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44EA7" w14:textId="77777777" w:rsidR="002F4CFC" w:rsidRPr="00D505DB" w:rsidRDefault="002F4CFC" w:rsidP="002F4CFC">
      <w:pPr>
        <w:spacing w:line="360" w:lineRule="auto"/>
        <w:jc w:val="center"/>
        <w:rPr>
          <w:rStyle w:val="Strong"/>
          <w:rFonts w:ascii="Times New Roman" w:hAnsi="Times New Roman" w:cs="Times New Roman"/>
          <w:bCs w:val="0"/>
          <w:color w:val="000000" w:themeColor="text1"/>
          <w:sz w:val="32"/>
          <w:szCs w:val="32"/>
        </w:rPr>
      </w:pPr>
      <w:r w:rsidRPr="00D505DB">
        <w:rPr>
          <w:rStyle w:val="Strong"/>
          <w:rFonts w:ascii="Times New Roman" w:hAnsi="Times New Roman" w:cs="Times New Roman"/>
          <w:bCs w:val="0"/>
          <w:color w:val="000000" w:themeColor="text1"/>
          <w:sz w:val="32"/>
          <w:szCs w:val="32"/>
        </w:rPr>
        <w:t>Understanding Patient</w:t>
      </w:r>
      <w:r>
        <w:rPr>
          <w:rStyle w:val="Strong"/>
          <w:rFonts w:ascii="Times New Roman" w:hAnsi="Times New Roman" w:cs="Times New Roman"/>
          <w:bCs w:val="0"/>
          <w:color w:val="000000" w:themeColor="text1"/>
          <w:sz w:val="32"/>
          <w:szCs w:val="32"/>
        </w:rPr>
        <w:t xml:space="preserve"> Journey</w:t>
      </w:r>
      <w:r w:rsidRPr="00D505DB">
        <w:rPr>
          <w:rStyle w:val="Strong"/>
          <w:rFonts w:ascii="Times New Roman" w:hAnsi="Times New Roman" w:cs="Times New Roman"/>
          <w:bCs w:val="0"/>
          <w:color w:val="000000" w:themeColor="text1"/>
          <w:sz w:val="32"/>
          <w:szCs w:val="32"/>
        </w:rPr>
        <w:t>: Key Factors Influencing Revisit Intentions in Private Hospitals of India</w:t>
      </w:r>
    </w:p>
    <w:p w14:paraId="4CCF5615" w14:textId="77777777" w:rsidR="00C25D1C" w:rsidRDefault="00C25D1C" w:rsidP="00C25D1C">
      <w:pPr>
        <w:spacing w:line="360" w:lineRule="auto"/>
        <w:jc w:val="both"/>
        <w:rPr>
          <w:rFonts w:ascii="Times New Roman" w:eastAsia="Times New Roman" w:hAnsi="Times New Roman" w:cs="Times New Roman"/>
          <w:b/>
          <w:bCs/>
          <w:color w:val="000000"/>
          <w:sz w:val="28"/>
          <w:szCs w:val="28"/>
        </w:rPr>
      </w:pPr>
    </w:p>
    <w:p w14:paraId="2B3ABABF" w14:textId="6DA7AE1A" w:rsidR="00C25D1C" w:rsidRDefault="00C25D1C" w:rsidP="00C25D1C">
      <w:pPr>
        <w:spacing w:line="360" w:lineRule="auto"/>
        <w:jc w:val="both"/>
      </w:pPr>
      <w:r w:rsidRPr="00C25D1C">
        <w:rPr>
          <w:rFonts w:ascii="Times New Roman" w:hAnsi="Times New Roman" w:cs="Times New Roman"/>
          <w:b/>
          <w:bCs/>
          <w:i/>
          <w:iCs/>
          <w:sz w:val="24"/>
          <w:szCs w:val="24"/>
        </w:rPr>
        <w:t/>
      </w:r>
      <w:r w:rsidR="002F4CFC">
        <w:rPr>
          <w:rFonts w:ascii="Times New Roman" w:hAnsi="Times New Roman" w:cs="Times New Roman"/>
          <w:b/>
          <w:bCs/>
          <w:i/>
          <w:iCs/>
          <w:sz w:val="24"/>
          <w:szCs w:val="24"/>
        </w:rPr>
        <w:t xml:space="preserve"/>
      </w:r>
      <w:r w:rsidRPr="00C25D1C">
        <w:rPr>
          <w:rFonts w:ascii="Times New Roman" w:hAnsi="Times New Roman" w:cs="Times New Roman"/>
          <w:b/>
          <w:bCs/>
          <w:i/>
          <w:iCs/>
          <w:sz w:val="24"/>
          <w:szCs w:val="24"/>
        </w:rPr>
        <w:t xml:space="preserve"/>
      </w:r>
      <w:r w:rsidR="002F4CFC">
        <w:rPr>
          <w:rFonts w:ascii="Times New Roman" w:hAnsi="Times New Roman" w:cs="Times New Roman"/>
          <w:b/>
          <w:bCs/>
          <w:i/>
          <w:iCs/>
          <w:sz w:val="24"/>
          <w:szCs w:val="24"/>
        </w:rPr>
        <w:t/>
      </w:r>
      <w:r w:rsidRPr="00C25D1C">
        <w:rPr>
          <w:rFonts w:ascii="Times New Roman" w:hAnsi="Times New Roman" w:cs="Times New Roman"/>
          <w:b/>
          <w:bCs/>
          <w:i/>
          <w:iCs/>
          <w:sz w:val="24"/>
          <w:szCs w:val="24"/>
        </w:rPr>
        <w:t xml:space="preserve"/>
      </w:r>
      <w:proofErr w:type="spellStart"/>
      <w:r w:rsidRPr="00C25D1C">
        <w:rPr>
          <w:rFonts w:ascii="Times New Roman" w:hAnsi="Times New Roman" w:cs="Times New Roman"/>
          <w:b/>
          <w:bCs/>
          <w:i/>
          <w:iCs/>
          <w:sz w:val="24"/>
          <w:szCs w:val="24"/>
        </w:rPr>
        <w:t/>
      </w:r>
      <w:proofErr w:type="spellEnd"/>
      <w:r w:rsidRPr="00C25D1C">
        <w:rPr>
          <w:rFonts w:ascii="Times New Roman" w:hAnsi="Times New Roman" w:cs="Times New Roman"/>
          <w:b/>
          <w:bCs/>
          <w:i/>
          <w:iCs/>
          <w:sz w:val="24"/>
          <w:szCs w:val="24"/>
        </w:rPr>
        <w:t xml:space="preserve"/>
      </w:r>
      <w:hyperlink r:id="rId8" w:history="1">
        <w:r w:rsidRPr="00C25D1C">
          <w:rPr>
            <w:rStyle w:val="Hyperlink"/>
            <w:rFonts w:ascii="Times New Roman" w:hAnsi="Times New Roman" w:cs="Times New Roman"/>
            <w:b/>
            <w:bCs/>
            <w:i/>
            <w:iCs/>
            <w:sz w:val="24"/>
            <w:szCs w:val="24"/>
          </w:rPr>
          <w:t/>
        </w:r>
      </w:hyperlink>
    </w:p>
    <w:p w14:paraId="3D33276B" w14:textId="266664F7" w:rsidR="002F4CFC" w:rsidRPr="00C25D1C" w:rsidRDefault="002F4CFC" w:rsidP="002F4CFC">
      <w:pPr>
        <w:spacing w:line="360" w:lineRule="auto"/>
        <w:jc w:val="both"/>
        <w:rPr>
          <w:rFonts w:ascii="Times New Roman" w:hAnsi="Times New Roman" w:cs="Times New Roman"/>
          <w:sz w:val="24"/>
          <w:szCs w:val="24"/>
        </w:rPr>
      </w:pPr>
      <w:r>
        <w:rPr>
          <w:rFonts w:ascii="Times New Roman" w:hAnsi="Times New Roman" w:cs="Times New Roman"/>
          <w:b/>
          <w:bCs/>
          <w:i/>
          <w:iCs/>
          <w:sz w:val="24"/>
          <w:szCs w:val="24"/>
        </w:rPr>
        <w:t/>
      </w:r>
      <w:r w:rsidRPr="00C25D1C">
        <w:rPr>
          <w:rFonts w:ascii="Times New Roman" w:hAnsi="Times New Roman" w:cs="Times New Roman"/>
          <w:b/>
          <w:bCs/>
          <w:i/>
          <w:iCs/>
          <w:sz w:val="24"/>
          <w:szCs w:val="24"/>
        </w:rPr>
        <w:t xml:space="preserve"/>
      </w:r>
      <w:proofErr w:type="spellStart"/>
      <w:r w:rsidRPr="00C25D1C">
        <w:rPr>
          <w:rFonts w:ascii="Times New Roman" w:hAnsi="Times New Roman" w:cs="Times New Roman"/>
          <w:b/>
          <w:bCs/>
          <w:i/>
          <w:iCs/>
          <w:sz w:val="24"/>
          <w:szCs w:val="24"/>
        </w:rPr>
        <w:t/>
      </w:r>
      <w:proofErr w:type="spellEnd"/>
      <w:r w:rsidRPr="00C25D1C">
        <w:rPr>
          <w:rFonts w:ascii="Times New Roman" w:hAnsi="Times New Roman" w:cs="Times New Roman"/>
          <w:b/>
          <w:bCs/>
          <w:i/>
          <w:iCs/>
          <w:sz w:val="24"/>
          <w:szCs w:val="24"/>
        </w:rPr>
        <w:t xml:space="preserve"/>
      </w:r>
    </w:p>
    <w:p w14:paraId="45A96832" w14:textId="063AFA1B" w:rsidR="00C25D1C" w:rsidRPr="00C25D1C" w:rsidRDefault="002F4CFC" w:rsidP="00C25D1C">
      <w:pPr>
        <w:spacing w:line="36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
      </w:r>
      <w:proofErr w:type="spellStart"/>
      <w:r w:rsidR="00C25D1C" w:rsidRPr="00C25D1C">
        <w:rPr>
          <w:rFonts w:ascii="Times New Roman" w:hAnsi="Times New Roman" w:cs="Times New Roman"/>
          <w:b/>
          <w:bCs/>
          <w:i/>
          <w:iCs/>
          <w:sz w:val="24"/>
          <w:szCs w:val="24"/>
        </w:rPr>
        <w:t/>
      </w:r>
      <w:proofErr w:type="spellEnd"/>
      <w:r w:rsidR="00C25D1C" w:rsidRPr="00C25D1C">
        <w:rPr>
          <w:rFonts w:ascii="Times New Roman" w:hAnsi="Times New Roman" w:cs="Times New Roman"/>
          <w:b/>
          <w:bCs/>
          <w:i/>
          <w:iCs/>
          <w:sz w:val="24"/>
          <w:szCs w:val="24"/>
        </w:rPr>
        <w:t xml:space="preserve"/>
      </w:r>
      <w:r>
        <w:rPr>
          <w:rFonts w:ascii="Times New Roman" w:hAnsi="Times New Roman" w:cs="Times New Roman"/>
          <w:b/>
          <w:bCs/>
          <w:i/>
          <w:iCs/>
          <w:sz w:val="24"/>
          <w:szCs w:val="24"/>
        </w:rPr>
        <w:t xml:space="preserve"/>
      </w:r>
      <w:r w:rsidR="00C25D1C" w:rsidRPr="00C25D1C">
        <w:rPr>
          <w:rFonts w:ascii="Times New Roman" w:hAnsi="Times New Roman" w:cs="Times New Roman"/>
          <w:b/>
          <w:bCs/>
          <w:i/>
          <w:iCs/>
          <w:sz w:val="24"/>
          <w:szCs w:val="24"/>
        </w:rPr>
        <w:t xml:space="preserve"/>
      </w:r>
      <w:proofErr w:type="spellStart"/>
      <w:r w:rsidR="00C25D1C" w:rsidRPr="00C25D1C">
        <w:rPr>
          <w:rFonts w:ascii="Times New Roman" w:hAnsi="Times New Roman" w:cs="Times New Roman"/>
          <w:b/>
          <w:bCs/>
          <w:i/>
          <w:iCs/>
          <w:sz w:val="24"/>
          <w:szCs w:val="24"/>
        </w:rPr>
        <w:t/>
      </w:r>
      <w:proofErr w:type="spellEnd"/>
      <w:r w:rsidR="00C25D1C" w:rsidRPr="00C25D1C">
        <w:rPr>
          <w:rFonts w:ascii="Times New Roman" w:hAnsi="Times New Roman" w:cs="Times New Roman"/>
          <w:b/>
          <w:bCs/>
          <w:i/>
          <w:iCs/>
          <w:sz w:val="24"/>
          <w:szCs w:val="24"/>
        </w:rPr>
        <w:t xml:space="preserve"/>
      </w:r>
    </w:p>
    <w:p w14:paraId="5B953051" w14:textId="77777777" w:rsidR="00C25D1C" w:rsidRDefault="00C25D1C">
      <w:pPr>
        <w:spacing w:line="360" w:lineRule="auto"/>
        <w:jc w:val="center"/>
        <w:rPr>
          <w:sz w:val="28"/>
          <w:szCs w:val="28"/>
        </w:rPr>
      </w:pPr>
    </w:p>
    <w:p w14:paraId="016DB23E" w14:textId="77777777" w:rsidR="001A78F4" w:rsidRDefault="00000000">
      <w:pPr>
        <w:spacing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Abstract</w:t>
      </w:r>
    </w:p>
    <w:p w14:paraId="685BB7BB" w14:textId="7339CE1A"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aims to examine the influencing components influencing patient revisit intention in Indian private hospitals, with </w:t>
      </w:r>
      <w:r w:rsidR="002F4CFC">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 xml:space="preserve">focus on </w:t>
      </w:r>
      <w:r w:rsidR="002F4CFC">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 xml:space="preserve">mediating roles of satisfaction and word-of-mouth (WOM). The study also investigates the combined impact of perceived service quality, trust, brand image, satisfaction, and WOM to understand revisit behaviour in a competitive healthcare environment. A quantitative research framework was adopted, and data were collected from 449 patients in selected private hospitals in India who had previously received services at the same hospital more than once, using purposive sampling. Structural equation modelling (SEM) was used to analyse the relationships among the variables. </w:t>
      </w:r>
      <w:r w:rsidR="002F4CFC">
        <w:rPr>
          <w:rFonts w:ascii="Times New Roman" w:eastAsia="Times New Roman" w:hAnsi="Times New Roman" w:cs="Times New Roman"/>
          <w:color w:val="000000"/>
          <w:sz w:val="24"/>
          <w:szCs w:val="24"/>
        </w:rPr>
        <w:t>The results</w:t>
      </w:r>
      <w:r>
        <w:rPr>
          <w:rFonts w:ascii="Times New Roman" w:eastAsia="Times New Roman" w:hAnsi="Times New Roman" w:cs="Times New Roman"/>
          <w:color w:val="000000"/>
          <w:sz w:val="24"/>
          <w:szCs w:val="24"/>
        </w:rPr>
        <w:t xml:space="preserve"> of this study reveal that perceived service quality, trust, and brand image significantly impact patient satisfaction as well as revisit intention. Both satisfaction and WOM act as important mediators that strengthen the relationship between service-related factors and revisit behaviour. The study is limited to selected urban private hospitals, which may restrict generalisation to rural or public healthcare settings. This research contributes by proposing an integrated model of revisit intention after the COVID-19 era in the Indian private healthcare context and also provides practical insights for private hospital administrators to enhance patient revisit intention by integrating modern technologies and using them as a cost-effective promotional tool in the private healthcare sector.</w:t>
      </w:r>
    </w:p>
    <w:p w14:paraId="21A47E84"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Keywords: Perceived Service Quality; Brand Image; Trust; Satisfaction; Word-Of-Mouth; Revisit Intention. </w:t>
      </w:r>
    </w:p>
    <w:p w14:paraId="3E965D61" w14:textId="77777777" w:rsidR="001A78F4" w:rsidRDefault="00000000">
      <w:pPr>
        <w:pBdr>
          <w:top w:val="nil"/>
          <w:left w:val="nil"/>
          <w:bottom w:val="nil"/>
          <w:right w:val="nil"/>
          <w:between w:val="nil"/>
        </w:pBd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Introduction</w:t>
      </w:r>
    </w:p>
    <w:p w14:paraId="29891A65" w14:textId="28D3DFC1"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color w:val="000000"/>
          <w:sz w:val="24"/>
          <w:szCs w:val="24"/>
        </w:rPr>
        <w:t xml:space="preserve"> healthcare industry globally plays a substantial role in national economic development, valued at approximately USD 13.7 trillion, with projections reflecting continued growth at a compound annual growth rate (CARG) of about 6.9% from 2025 to 2035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(Global Growth Insights, 2025). It has also seen significant growth in the Indian healthcare context, which is driven by both public and private hospitals (</w:t>
      </w:r>
      <w:proofErr w:type="spellStart"/>
      <w:r>
        <w:rPr>
          <w:rFonts w:ascii="Times New Roman" w:eastAsia="Times New Roman" w:hAnsi="Times New Roman" w:cs="Times New Roman"/>
          <w:color w:val="000000"/>
          <w:sz w:val="24"/>
          <w:szCs w:val="24"/>
        </w:rPr>
        <w:t>Fukuti</w:t>
      </w:r>
      <w:proofErr w:type="spellEnd"/>
      <w:r>
        <w:rPr>
          <w:rFonts w:ascii="Times New Roman" w:eastAsia="Times New Roman" w:hAnsi="Times New Roman" w:cs="Times New Roman"/>
          <w:color w:val="000000"/>
          <w:sz w:val="24"/>
          <w:szCs w:val="24"/>
        </w:rPr>
        <w:t xml:space="preserve"> et al., 2020). According to IBEF, (2025) report Indian healthcare </w:t>
      </w:r>
      <w:r w:rsidR="002F4CFC">
        <w:rPr>
          <w:rFonts w:ascii="Times New Roman" w:eastAsia="Times New Roman" w:hAnsi="Times New Roman" w:cs="Times New Roman"/>
          <w:color w:val="000000"/>
          <w:sz w:val="24"/>
          <w:szCs w:val="24"/>
        </w:rPr>
        <w:t xml:space="preserve">states that it is </w:t>
      </w:r>
      <w:r>
        <w:rPr>
          <w:rFonts w:ascii="Times New Roman" w:eastAsia="Times New Roman" w:hAnsi="Times New Roman" w:cs="Times New Roman"/>
          <w:color w:val="000000"/>
          <w:sz w:val="24"/>
          <w:szCs w:val="24"/>
        </w:rPr>
        <w:t xml:space="preserve">approximately USD 372 billion in 2023 with healthcare spending accounting for about 3.3% of GDP in 2022 and expected to rise to nearly 5% by 2030 Studies based on national LASI data further indicate that approximately 63.7% of patients prefer private hospitals, reflecting patient choice and competitive pressures in the public sector (Choi ,2020). After the COVID-19, </w:t>
      </w:r>
      <w:r>
        <w:rPr>
          <w:rFonts w:ascii="Times New Roman" w:eastAsia="Times New Roman" w:hAnsi="Times New Roman" w:cs="Times New Roman"/>
          <w:sz w:val="24"/>
          <w:szCs w:val="24"/>
        </w:rPr>
        <w:t>the number</w:t>
      </w:r>
      <w:r>
        <w:rPr>
          <w:rFonts w:ascii="Times New Roman" w:eastAsia="Times New Roman" w:hAnsi="Times New Roman" w:cs="Times New Roman"/>
          <w:color w:val="000000"/>
          <w:sz w:val="24"/>
          <w:szCs w:val="24"/>
        </w:rPr>
        <w:t xml:space="preserve"> of private hospitals in India increased from approximately 43,500 in 2019 to about 54,000 in 2024, intensifying competition within the healthcare sector (Financial Express, 2024). In this increasingly competitive environment, private hospitals must deliver high-quality and efficient services to achieve economic growth, financial performance, and long-term sustainability (Holmlund et al., 2020; </w:t>
      </w:r>
      <w:proofErr w:type="spellStart"/>
      <w:r>
        <w:rPr>
          <w:rFonts w:ascii="Times New Roman" w:eastAsia="Times New Roman" w:hAnsi="Times New Roman" w:cs="Times New Roman"/>
          <w:color w:val="000000"/>
          <w:sz w:val="24"/>
          <w:szCs w:val="24"/>
        </w:rPr>
        <w:t>Ratasuk</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Buranasompob</w:t>
      </w:r>
      <w:proofErr w:type="spellEnd"/>
      <w:r>
        <w:rPr>
          <w:rFonts w:ascii="Times New Roman" w:eastAsia="Times New Roman" w:hAnsi="Times New Roman" w:cs="Times New Roman"/>
          <w:color w:val="000000"/>
          <w:sz w:val="24"/>
          <w:szCs w:val="24"/>
        </w:rPr>
        <w:t>, 2022). Consequently, revisit intention has been known as a strategic priority and cost-efficient, powerful promotional tool to sustain in this competitiveness (Nahima et al., 2024), and private hospitals must enhance the revisit intention of patients by making them satisfied to achieve long-term organisational sustainability in private healthcare settings (Azam et al., 2023).</w:t>
      </w:r>
    </w:p>
    <w:p w14:paraId="0BC66B76" w14:textId="5123A6A5" w:rsidR="001A78F4" w:rsidRDefault="00000000">
      <w:pPr>
        <w:spacing w:line="360" w:lineRule="auto"/>
        <w:jc w:val="both"/>
        <w:rPr>
          <w:rFonts w:ascii="Times New Roman" w:eastAsia="Times New Roman" w:hAnsi="Times New Roman" w:cs="Times New Roman"/>
          <w:color w:val="000000"/>
          <w:sz w:val="24"/>
          <w:szCs w:val="24"/>
        </w:rPr>
      </w:pPr>
      <w:bookmarkStart w:id="0" w:name="_heading=h.nvj7nj6nqz23" w:colFirst="0" w:colLast="0"/>
      <w:bookmarkEnd w:id="0"/>
      <w:r>
        <w:rPr>
          <w:rFonts w:ascii="Times New Roman" w:eastAsia="Times New Roman" w:hAnsi="Times New Roman" w:cs="Times New Roman"/>
          <w:color w:val="000000"/>
          <w:sz w:val="24"/>
          <w:szCs w:val="24"/>
        </w:rPr>
        <w:t xml:space="preserve">In healthcare, </w:t>
      </w:r>
      <w:r>
        <w:rPr>
          <w:rFonts w:ascii="Times New Roman" w:eastAsia="Times New Roman" w:hAnsi="Times New Roman" w:cs="Times New Roman"/>
          <w:sz w:val="24"/>
          <w:szCs w:val="24"/>
        </w:rPr>
        <w:t>revisiting the</w:t>
      </w:r>
      <w:r>
        <w:rPr>
          <w:rFonts w:ascii="Times New Roman" w:eastAsia="Times New Roman" w:hAnsi="Times New Roman" w:cs="Times New Roman"/>
          <w:color w:val="000000"/>
          <w:sz w:val="24"/>
          <w:szCs w:val="24"/>
        </w:rPr>
        <w:t xml:space="preserve"> intention of patients means a satisfied patient’s decision to reuse service from the same hospital (</w:t>
      </w:r>
      <w:proofErr w:type="spellStart"/>
      <w:r>
        <w:rPr>
          <w:rFonts w:ascii="Times New Roman" w:eastAsia="Times New Roman" w:hAnsi="Times New Roman" w:cs="Times New Roman"/>
          <w:color w:val="000000"/>
          <w:sz w:val="24"/>
          <w:szCs w:val="24"/>
        </w:rPr>
        <w:t>Jianga</w:t>
      </w:r>
      <w:proofErr w:type="spellEnd"/>
      <w:r>
        <w:rPr>
          <w:rFonts w:ascii="Times New Roman" w:eastAsia="Times New Roman" w:hAnsi="Times New Roman" w:cs="Times New Roman"/>
          <w:color w:val="000000"/>
          <w:sz w:val="24"/>
          <w:szCs w:val="24"/>
        </w:rPr>
        <w:t xml:space="preserve"> and Pan, 2020). In the post-COVID period, patients’ decision-making processes have undergone a significant transformation (Ali et al., 2022). Nowadays, patients are more aware of service quality and hospital image because they increasingly obtain information from social media and evaluate hospitals across multiple dimensions before making future decisions (Zhang et al., 2021). ‘Service </w:t>
      </w:r>
      <w:r>
        <w:rPr>
          <w:rFonts w:ascii="Times New Roman" w:eastAsia="Times New Roman" w:hAnsi="Times New Roman" w:cs="Times New Roman"/>
          <w:sz w:val="24"/>
          <w:szCs w:val="24"/>
        </w:rPr>
        <w:t>quality’ is known as a</w:t>
      </w:r>
      <w:r>
        <w:rPr>
          <w:rFonts w:ascii="Times New Roman" w:eastAsia="Times New Roman" w:hAnsi="Times New Roman" w:cs="Times New Roman"/>
          <w:color w:val="000000"/>
          <w:sz w:val="24"/>
          <w:szCs w:val="24"/>
        </w:rPr>
        <w:t xml:space="preserve"> well-established determinant of revisit intention (</w:t>
      </w:r>
      <w:proofErr w:type="spellStart"/>
      <w:r>
        <w:rPr>
          <w:rFonts w:ascii="Times New Roman" w:eastAsia="Times New Roman" w:hAnsi="Times New Roman" w:cs="Times New Roman"/>
          <w:color w:val="000000"/>
          <w:sz w:val="24"/>
          <w:szCs w:val="24"/>
        </w:rPr>
        <w:t>Khasanah</w:t>
      </w:r>
      <w:proofErr w:type="spellEnd"/>
      <w:r>
        <w:rPr>
          <w:rFonts w:ascii="Times New Roman" w:eastAsia="Times New Roman" w:hAnsi="Times New Roman" w:cs="Times New Roman"/>
          <w:color w:val="000000"/>
          <w:sz w:val="24"/>
          <w:szCs w:val="24"/>
        </w:rPr>
        <w:t xml:space="preserve"> et al., 2023)</w:t>
      </w:r>
      <w:r w:rsidR="002F4CFC">
        <w:rPr>
          <w:rFonts w:ascii="Times New Roman" w:eastAsia="Times New Roman" w:hAnsi="Times New Roman" w:cs="Times New Roman"/>
          <w:color w:val="000000"/>
          <w:sz w:val="24"/>
          <w:szCs w:val="24"/>
        </w:rPr>
        <w:t>. Recent</w:t>
      </w:r>
      <w:r>
        <w:rPr>
          <w:rFonts w:ascii="Times New Roman" w:eastAsia="Times New Roman" w:hAnsi="Times New Roman" w:cs="Times New Roman"/>
          <w:color w:val="000000"/>
          <w:sz w:val="24"/>
          <w:szCs w:val="24"/>
        </w:rPr>
        <w:t xml:space="preserve"> evidence suggests that service quality alone is not sufficient to measure patient satisfaction or to foster patients’ intention to revisit (Havana et al., 2023</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 xml:space="preserve"> Research across various healthcare settings explored that revisit intention is shaped by different hospital aspects. Like in Indonesia, </w:t>
      </w:r>
      <w:r>
        <w:rPr>
          <w:rFonts w:ascii="Times New Roman" w:eastAsia="Times New Roman" w:hAnsi="Times New Roman" w:cs="Times New Roman"/>
          <w:color w:val="000000"/>
          <w:sz w:val="24"/>
          <w:szCs w:val="24"/>
        </w:rPr>
        <w:lastRenderedPageBreak/>
        <w:t xml:space="preserve">Pakistan, and Japan </w:t>
      </w:r>
      <w:r>
        <w:rPr>
          <w:rFonts w:ascii="Times New Roman" w:eastAsia="Times New Roman" w:hAnsi="Times New Roman" w:cs="Times New Roman"/>
          <w:sz w:val="24"/>
          <w:szCs w:val="24"/>
        </w:rPr>
        <w:t>context, intention</w:t>
      </w:r>
      <w:r>
        <w:rPr>
          <w:rFonts w:ascii="Times New Roman" w:eastAsia="Times New Roman" w:hAnsi="Times New Roman" w:cs="Times New Roman"/>
          <w:color w:val="000000"/>
          <w:sz w:val="24"/>
          <w:szCs w:val="24"/>
        </w:rPr>
        <w:t xml:space="preserve"> to revisit is influenced by service quality dimensions, modern hospital infrastructure, online resources, waiting time, and hospital trust (Jung et al., 2018; </w:t>
      </w:r>
      <w:proofErr w:type="spellStart"/>
      <w:r>
        <w:rPr>
          <w:rFonts w:ascii="Times New Roman" w:eastAsia="Times New Roman" w:hAnsi="Times New Roman" w:cs="Times New Roman"/>
          <w:color w:val="000000"/>
          <w:sz w:val="24"/>
          <w:szCs w:val="24"/>
        </w:rPr>
        <w:t>Noviyani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Viwattanakulvanid</w:t>
      </w:r>
      <w:proofErr w:type="spellEnd"/>
      <w:r>
        <w:rPr>
          <w:rFonts w:ascii="Times New Roman" w:eastAsia="Times New Roman" w:hAnsi="Times New Roman" w:cs="Times New Roman"/>
          <w:color w:val="000000"/>
          <w:sz w:val="24"/>
          <w:szCs w:val="24"/>
        </w:rPr>
        <w:t>, 2025). Another piece of evidence indicates that physician practice and staff kindness are associated with intent to revisit both OPD and IPD in healthcare (</w:t>
      </w:r>
      <w:r>
        <w:rPr>
          <w:rFonts w:ascii="Times New Roman" w:eastAsia="Times New Roman" w:hAnsi="Times New Roman" w:cs="Times New Roman"/>
          <w:color w:val="000000"/>
          <w:sz w:val="24"/>
          <w:szCs w:val="24"/>
          <w:highlight w:val="white"/>
        </w:rPr>
        <w:t>Utama</w:t>
      </w:r>
      <w:r>
        <w:rPr>
          <w:rFonts w:ascii="Times New Roman" w:eastAsia="Times New Roman" w:hAnsi="Times New Roman" w:cs="Times New Roman"/>
          <w:color w:val="000000"/>
          <w:sz w:val="24"/>
          <w:szCs w:val="24"/>
        </w:rPr>
        <w:t xml:space="preserve"> et al., 2023). Furthermore, a survey on international patients reveals that perceived service facilities using AI technologies, social review, trust, and related knowledge significantly influence further return (Kruse et al., 2022). Additionally, service speed, diagnostic accuracy, facility comfort, the friendliness of medical staff, and treatment outcomes can also affect patient satisfaction (</w:t>
      </w:r>
      <w:proofErr w:type="spellStart"/>
      <w:r>
        <w:rPr>
          <w:rFonts w:ascii="Times New Roman" w:eastAsia="Times New Roman" w:hAnsi="Times New Roman" w:cs="Times New Roman"/>
          <w:sz w:val="24"/>
          <w:szCs w:val="24"/>
        </w:rPr>
        <w:t>Arjmandnia</w:t>
      </w:r>
      <w:proofErr w:type="spellEnd"/>
      <w:r>
        <w:rPr>
          <w:rFonts w:ascii="Times New Roman" w:eastAsia="Times New Roman" w:hAnsi="Times New Roman" w:cs="Times New Roman"/>
          <w:color w:val="000000"/>
          <w:sz w:val="24"/>
          <w:szCs w:val="24"/>
        </w:rPr>
        <w:t xml:space="preserve"> et al., 2024; Kang et al., 2020). According to Cadel et al. (2021), digital healthcare interfaces can shape patients’ internal service evaluations, including satisfaction and trust. Kim et al. (2021) also emphasise that patients’ willingness to revisit is strongly influenced by continuous improvements in healthcare quality with digital technologies, doctor specialisation, and the price of treatments. In addition, telemedicine and online appointments improve service quality by reducing travel and waiting time and improving access to specialists, which leads to higher patient satisfaction than physical visits (Kruse et al., 2017). Patient involvement and respectful treatment significantly enhance satisfaction and promote positive word-of-mouth, aiding hospital growth (Melinda and Faried, 2019).</w:t>
      </w:r>
    </w:p>
    <w:p w14:paraId="5D11A044" w14:textId="76F0F87D" w:rsidR="008F2362" w:rsidRDefault="008F2362">
      <w:pPr>
        <w:spacing w:line="360" w:lineRule="auto"/>
        <w:jc w:val="both"/>
        <w:rPr>
          <w:rFonts w:ascii="Times New Roman" w:eastAsia="Times New Roman" w:hAnsi="Times New Roman" w:cs="Times New Roman"/>
          <w:color w:val="000000"/>
          <w:sz w:val="24"/>
          <w:szCs w:val="24"/>
        </w:rPr>
      </w:pPr>
      <w:r w:rsidRPr="008F2362">
        <w:rPr>
          <w:rFonts w:ascii="Times New Roman" w:eastAsia="Times New Roman" w:hAnsi="Times New Roman" w:cs="Times New Roman"/>
          <w:color w:val="000000"/>
          <w:sz w:val="24"/>
          <w:szCs w:val="24"/>
        </w:rPr>
        <w:t>The relationship between satisfaction and revisit has been established in many different fields (</w:t>
      </w:r>
      <w:proofErr w:type="spellStart"/>
      <w:r w:rsidRPr="008F2362">
        <w:rPr>
          <w:rFonts w:ascii="Times New Roman" w:eastAsia="Times New Roman" w:hAnsi="Times New Roman" w:cs="Times New Roman"/>
          <w:color w:val="000000"/>
          <w:sz w:val="24"/>
          <w:szCs w:val="24"/>
        </w:rPr>
        <w:t>Yuniarti</w:t>
      </w:r>
      <w:proofErr w:type="spellEnd"/>
      <w:r w:rsidRPr="008F2362">
        <w:rPr>
          <w:rFonts w:ascii="Times New Roman" w:eastAsia="Times New Roman" w:hAnsi="Times New Roman" w:cs="Times New Roman"/>
          <w:color w:val="000000"/>
          <w:sz w:val="24"/>
          <w:szCs w:val="24"/>
        </w:rPr>
        <w:t xml:space="preserve"> and Hidayat, 2021), including Indonesia (Sutanto et al., 2023), Pakistan (Ali et al., 2022), </w:t>
      </w:r>
      <w:r w:rsidR="002F4CFC">
        <w:rPr>
          <w:rFonts w:ascii="Times New Roman" w:eastAsia="Times New Roman" w:hAnsi="Times New Roman" w:cs="Times New Roman"/>
          <w:color w:val="000000"/>
          <w:sz w:val="24"/>
          <w:szCs w:val="24"/>
        </w:rPr>
        <w:t>and</w:t>
      </w:r>
      <w:r w:rsidRPr="008F2362">
        <w:rPr>
          <w:rFonts w:ascii="Times New Roman" w:eastAsia="Times New Roman" w:hAnsi="Times New Roman" w:cs="Times New Roman"/>
          <w:color w:val="000000"/>
          <w:sz w:val="24"/>
          <w:szCs w:val="24"/>
        </w:rPr>
        <w:t xml:space="preserve"> China (Zhou et al., 2022); nevertheless, little empirical evidence exists regarding the given context of Indian healthcare. Service quality (</w:t>
      </w:r>
      <w:proofErr w:type="spellStart"/>
      <w:r w:rsidRPr="008F2362">
        <w:rPr>
          <w:rFonts w:ascii="Times New Roman" w:eastAsia="Times New Roman" w:hAnsi="Times New Roman" w:cs="Times New Roman"/>
          <w:color w:val="000000"/>
          <w:sz w:val="24"/>
          <w:szCs w:val="24"/>
        </w:rPr>
        <w:t>Khasanah</w:t>
      </w:r>
      <w:proofErr w:type="spellEnd"/>
      <w:r w:rsidRPr="008F2362">
        <w:rPr>
          <w:rFonts w:ascii="Times New Roman" w:eastAsia="Times New Roman" w:hAnsi="Times New Roman" w:cs="Times New Roman"/>
          <w:color w:val="000000"/>
          <w:sz w:val="24"/>
          <w:szCs w:val="24"/>
        </w:rPr>
        <w:t xml:space="preserve"> and Mahendri, 2023) and patient satisfaction (</w:t>
      </w:r>
      <w:proofErr w:type="spellStart"/>
      <w:r w:rsidRPr="008F2362">
        <w:rPr>
          <w:rFonts w:ascii="Times New Roman" w:eastAsia="Times New Roman" w:hAnsi="Times New Roman" w:cs="Times New Roman"/>
          <w:color w:val="000000"/>
          <w:sz w:val="24"/>
          <w:szCs w:val="24"/>
        </w:rPr>
        <w:t>Yuniarti</w:t>
      </w:r>
      <w:proofErr w:type="spellEnd"/>
      <w:r w:rsidRPr="008F2362">
        <w:rPr>
          <w:rFonts w:ascii="Times New Roman" w:eastAsia="Times New Roman" w:hAnsi="Times New Roman" w:cs="Times New Roman"/>
          <w:color w:val="000000"/>
          <w:sz w:val="24"/>
          <w:szCs w:val="24"/>
        </w:rPr>
        <w:t xml:space="preserve"> and Hidayat, 2021) are usually considered to be the main determinants of revisit intention, yet comparatively small numbers of studies have investigated these two variables as combined components of revisit behaviour (Rigo et al., 2022; Lee and Kim, 2020; Woo and Ch In addition, although it has been recognized that trust is a crucial element in decision-making (Amanda, 2022), it is not always considered as a mediating variable in the revisit model but instead as an independent variable. Equally, despite the extensive research on the use of word of mouth as a predictor of revisit intention, minimal focus has been on the mediating effect of satisfaction on revisit intention (Lai et al., 2020).</w:t>
      </w:r>
    </w:p>
    <w:p w14:paraId="0A6CC824" w14:textId="4DE903B1"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India, where more than 60% of patients rely on private hospitals—approximately 72% in rural areas and 79% in urban areas—and where nearly 75 million elderly people live with one or more chronic diseases requiring regular follow-ups (LASI), understanding revisit behaviour </w:t>
      </w:r>
      <w:r>
        <w:rPr>
          <w:rFonts w:ascii="Times New Roman" w:eastAsia="Times New Roman" w:hAnsi="Times New Roman" w:cs="Times New Roman"/>
          <w:color w:val="000000"/>
          <w:sz w:val="24"/>
          <w:szCs w:val="24"/>
        </w:rPr>
        <w:lastRenderedPageBreak/>
        <w:t xml:space="preserve">is crucial. Additionally, private healthcare providers plan to invest nearly ₹30,000 crores, with steady occupancy rates of 62–64% (Kumar, 2023; Fortune India, 2024), highlighting the growing importance of patient retention. In past research, most of the studies have examined these contracts in isolation in a static service context. Limited research has examined technologies </w:t>
      </w:r>
      <w:r w:rsidR="002F4CFC">
        <w:rPr>
          <w:rFonts w:ascii="Times New Roman" w:eastAsia="Times New Roman" w:hAnsi="Times New Roman" w:cs="Times New Roman"/>
          <w:color w:val="000000"/>
          <w:sz w:val="24"/>
          <w:szCs w:val="24"/>
        </w:rPr>
        <w:t>involved in</w:t>
      </w:r>
      <w:r>
        <w:rPr>
          <w:rFonts w:ascii="Times New Roman" w:eastAsia="Times New Roman" w:hAnsi="Times New Roman" w:cs="Times New Roman"/>
          <w:color w:val="000000"/>
          <w:sz w:val="24"/>
          <w:szCs w:val="24"/>
        </w:rPr>
        <w:t xml:space="preserve"> service. After a post-COVID revisit, intention behaviour depends on various hospital aspects rather than a single one.</w:t>
      </w:r>
      <w:r>
        <w:rPr>
          <w:rFonts w:ascii="Times New Roman" w:eastAsia="Times New Roman" w:hAnsi="Times New Roman" w:cs="Times New Roman"/>
          <w:sz w:val="24"/>
          <w:szCs w:val="24"/>
        </w:rPr>
        <w:t xml:space="preserve"> According to </w:t>
      </w:r>
      <w:proofErr w:type="spellStart"/>
      <w:r>
        <w:rPr>
          <w:rFonts w:ascii="Times New Roman" w:eastAsia="Times New Roman" w:hAnsi="Times New Roman" w:cs="Times New Roman"/>
          <w:sz w:val="24"/>
          <w:szCs w:val="24"/>
        </w:rPr>
        <w:t>Arjmandnia</w:t>
      </w:r>
      <w:proofErr w:type="spellEnd"/>
      <w:r>
        <w:rPr>
          <w:rFonts w:ascii="Times New Roman" w:eastAsia="Times New Roman" w:hAnsi="Times New Roman" w:cs="Times New Roman"/>
          <w:color w:val="000000"/>
          <w:sz w:val="24"/>
          <w:szCs w:val="24"/>
        </w:rPr>
        <w:t xml:space="preserve"> et al. (2024) now patients are more aware of overall facilities before revisit.</w:t>
      </w:r>
    </w:p>
    <w:p w14:paraId="0A46CBF2" w14:textId="6F91CB15"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Addressing these gaps, this study </w:t>
      </w:r>
      <w:r w:rsidR="002F4CFC">
        <w:rPr>
          <w:rFonts w:ascii="Times New Roman" w:eastAsia="Times New Roman" w:hAnsi="Times New Roman" w:cs="Times New Roman"/>
          <w:color w:val="000000"/>
          <w:sz w:val="24"/>
          <w:szCs w:val="24"/>
        </w:rPr>
        <w:t>proposes</w:t>
      </w:r>
      <w:r>
        <w:rPr>
          <w:rFonts w:ascii="Times New Roman" w:eastAsia="Times New Roman" w:hAnsi="Times New Roman" w:cs="Times New Roman"/>
          <w:color w:val="000000"/>
          <w:sz w:val="24"/>
          <w:szCs w:val="24"/>
        </w:rPr>
        <w:t xml:space="preserve"> a robust model mainly focused in Indian healthcare setting to examine by combining effects of perceived service quality, trust, brand image, and patient satisfaction, WOM as a mediating factor, on patients’ revisit intention.  Accordingly, these findings are expected to provide practical insights for improving service quality, strengthening patient repeat visits through satisfaction to enhance long-term competitiveness and financial stability, and also to use positive WOM as a promotional strategy to attract new patients in private healthcare setting in India.</w:t>
      </w:r>
    </w:p>
    <w:p w14:paraId="590AC59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main contributions of this study are:</w:t>
      </w:r>
    </w:p>
    <w:p w14:paraId="0D4B71C0" w14:textId="23EB8EB2"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2F4C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 assess the effect of perceived service quality, trust, and brand image on patient satisfaction and revisit intention in Indian private hospitals, with word-of-mouth as a mediating mechanism in the post-COVID healthcare environment.</w:t>
      </w:r>
    </w:p>
    <w:p w14:paraId="22578D3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t xml:space="preserve"> </w:t>
      </w:r>
      <w:r>
        <w:rPr>
          <w:rFonts w:ascii="Times New Roman" w:eastAsia="Times New Roman" w:hAnsi="Times New Roman" w:cs="Times New Roman"/>
          <w:color w:val="000000"/>
          <w:sz w:val="24"/>
          <w:szCs w:val="24"/>
        </w:rPr>
        <w:t>To analyse the direct and indirect influence among service quality, trust, brand image, satisfaction, WOM and revisit intention by testing mediation mechanisms using structural equation modelling.</w:t>
      </w:r>
    </w:p>
    <w:p w14:paraId="13D084B8" w14:textId="77777777" w:rsidR="001A78F4"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Literature Background &amp; Development of Research Hypotheses</w:t>
      </w:r>
    </w:p>
    <w:p w14:paraId="41803A3F" w14:textId="77777777" w:rsidR="001A78F4"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 Perceived Service Quality, Satisfaction &amp; Revisit Intention</w:t>
      </w:r>
    </w:p>
    <w:p w14:paraId="6F474D96" w14:textId="189EE3A1"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‘Perceived service quality’ is defined </w:t>
      </w:r>
      <w:r w:rsidR="002F4CFC">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rPr>
        <w:t>a combination of customer expectations about service and actual received service (Ye et al.,2017). In healthcare settings, the quality of hospital service is an important factor; good services can make patients satisfied and encourage them to return (</w:t>
      </w:r>
      <w:proofErr w:type="spellStart"/>
      <w:r>
        <w:rPr>
          <w:rFonts w:ascii="Times New Roman" w:eastAsia="Times New Roman" w:hAnsi="Times New Roman" w:cs="Times New Roman"/>
          <w:color w:val="000000"/>
          <w:sz w:val="24"/>
          <w:szCs w:val="24"/>
        </w:rPr>
        <w:t>Chuenyindee</w:t>
      </w:r>
      <w:proofErr w:type="spellEnd"/>
      <w:r>
        <w:rPr>
          <w:rFonts w:ascii="Times New Roman" w:eastAsia="Times New Roman" w:hAnsi="Times New Roman" w:cs="Times New Roman"/>
          <w:color w:val="000000"/>
          <w:sz w:val="24"/>
          <w:szCs w:val="24"/>
        </w:rPr>
        <w:t xml:space="preserve"> et al., 2024). The quality of medical services means how effectively and efficiently hospital services are received by patients by maintaining professional standards, modern facilities as per patient requirements and needs (Nguyen et al., 2021).  Prior studies have shown that service quality dimensions have a direct impact on satisfaction (Khoo, 2022). </w:t>
      </w:r>
      <w:r>
        <w:rPr>
          <w:rFonts w:ascii="Times New Roman" w:eastAsia="Times New Roman" w:hAnsi="Times New Roman" w:cs="Times New Roman"/>
          <w:sz w:val="24"/>
          <w:szCs w:val="24"/>
        </w:rPr>
        <w:t>Lestari</w:t>
      </w:r>
      <w:r>
        <w:rPr>
          <w:rFonts w:ascii="Times New Roman" w:eastAsia="Times New Roman" w:hAnsi="Times New Roman" w:cs="Times New Roman"/>
          <w:color w:val="000000"/>
          <w:sz w:val="24"/>
          <w:szCs w:val="24"/>
        </w:rPr>
        <w:t xml:space="preserve"> (2023) also examines that satisfaction has </w:t>
      </w:r>
      <w:r w:rsidR="002F4CFC">
        <w:rPr>
          <w:rFonts w:ascii="Times New Roman" w:eastAsia="Times New Roman" w:hAnsi="Times New Roman" w:cs="Times New Roman"/>
          <w:color w:val="000000"/>
          <w:sz w:val="24"/>
          <w:szCs w:val="24"/>
        </w:rPr>
        <w:t xml:space="preserve">an </w:t>
      </w:r>
      <w:r>
        <w:rPr>
          <w:rFonts w:ascii="Times New Roman" w:eastAsia="Times New Roman" w:hAnsi="Times New Roman" w:cs="Times New Roman"/>
          <w:color w:val="000000"/>
          <w:sz w:val="24"/>
          <w:szCs w:val="24"/>
        </w:rPr>
        <w:t xml:space="preserve">indirect connection </w:t>
      </w:r>
      <w:r w:rsidR="002F4CFC">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z w:val="24"/>
          <w:szCs w:val="24"/>
        </w:rPr>
        <w:t xml:space="preserve"> service quality </w:t>
      </w:r>
      <w:r>
        <w:rPr>
          <w:rFonts w:ascii="Times New Roman" w:eastAsia="Times New Roman" w:hAnsi="Times New Roman" w:cs="Times New Roman"/>
          <w:color w:val="000000"/>
          <w:sz w:val="24"/>
          <w:szCs w:val="24"/>
        </w:rPr>
        <w:lastRenderedPageBreak/>
        <w:t xml:space="preserve">and future behaviour like reuse. Patients’ overall satisfaction can be influenced by timely response, proper communication, and adequate modern facilities, which in turn increases interest </w:t>
      </w:r>
      <w:r w:rsidR="002F4CFC">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z w:val="24"/>
          <w:szCs w:val="24"/>
        </w:rPr>
        <w:t xml:space="preserve"> coming back (</w:t>
      </w:r>
      <w:r>
        <w:rPr>
          <w:rFonts w:ascii="Times New Roman" w:eastAsia="Times New Roman" w:hAnsi="Times New Roman" w:cs="Times New Roman"/>
          <w:sz w:val="24"/>
          <w:szCs w:val="24"/>
        </w:rPr>
        <w:t>Hidayat</w:t>
      </w:r>
      <w:r>
        <w:rPr>
          <w:rFonts w:ascii="Times New Roman" w:eastAsia="Times New Roman" w:hAnsi="Times New Roman" w:cs="Times New Roman"/>
          <w:color w:val="000000"/>
          <w:sz w:val="24"/>
          <w:szCs w:val="24"/>
        </w:rPr>
        <w:t xml:space="preserve"> et al., 2023). It also examines the excellence of hospital resources by maintaining service standards and monitoring patients’ evaluations to ensure satisfaction (Amankwah et al., 2019). According to Ukus et al. (2024), after the post-COVID period, patients’ perception of hospital service has shifted; hospital safety protocols, hygiene maintenance, digital access, and cleanliness significantly influence patient satisfaction (Woo and Choi, 2021). Revisit intention strengthens patient-provider relationships, enhancing reputation and competitiveness (</w:t>
      </w:r>
      <w:proofErr w:type="spellStart"/>
      <w:r>
        <w:rPr>
          <w:rFonts w:ascii="Times New Roman" w:eastAsia="Times New Roman" w:hAnsi="Times New Roman" w:cs="Times New Roman"/>
          <w:color w:val="000000"/>
          <w:sz w:val="24"/>
          <w:szCs w:val="24"/>
        </w:rPr>
        <w:t>Mandagi</w:t>
      </w:r>
      <w:proofErr w:type="spellEnd"/>
      <w:r>
        <w:rPr>
          <w:rFonts w:ascii="Times New Roman" w:eastAsia="Times New Roman" w:hAnsi="Times New Roman" w:cs="Times New Roman"/>
          <w:color w:val="000000"/>
          <w:sz w:val="24"/>
          <w:szCs w:val="24"/>
        </w:rPr>
        <w:t xml:space="preserve"> et al., 2024). Thus, the proposed hypotheses followed:</w:t>
      </w:r>
    </w:p>
    <w:p w14:paraId="1D78775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H1</w:t>
      </w:r>
      <w:r>
        <w:rPr>
          <w:rFonts w:ascii="Times New Roman" w:eastAsia="Times New Roman" w:hAnsi="Times New Roman" w:cs="Times New Roman"/>
          <w:color w:val="000000"/>
          <w:sz w:val="24"/>
          <w:szCs w:val="24"/>
        </w:rPr>
        <w:t>: ‘Perceived service quality’ positively influences ‘patients' revisit intention’ in private hospitals in India.</w:t>
      </w:r>
    </w:p>
    <w:p w14:paraId="31881F0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H2</w:t>
      </w:r>
      <w:r>
        <w:rPr>
          <w:rFonts w:ascii="Times New Roman" w:eastAsia="Times New Roman" w:hAnsi="Times New Roman" w:cs="Times New Roman"/>
          <w:color w:val="000000"/>
          <w:sz w:val="24"/>
          <w:szCs w:val="24"/>
        </w:rPr>
        <w:t>: ‘Perceived service quality’ has a positive influence on satisfaction.</w:t>
      </w:r>
    </w:p>
    <w:p w14:paraId="4E1A124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H3</w:t>
      </w:r>
      <w:r>
        <w:rPr>
          <w:rFonts w:ascii="Times New Roman" w:eastAsia="Times New Roman" w:hAnsi="Times New Roman" w:cs="Times New Roman"/>
          <w:color w:val="000000"/>
          <w:sz w:val="24"/>
          <w:szCs w:val="24"/>
        </w:rPr>
        <w:t>: ‘Satisfaction’ positively influences ‘patients' revisit intention’ in private hospitals in India.</w:t>
      </w:r>
    </w:p>
    <w:p w14:paraId="593BE80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H3a</w:t>
      </w:r>
      <w:r>
        <w:rPr>
          <w:rFonts w:ascii="Times New Roman" w:eastAsia="Times New Roman" w:hAnsi="Times New Roman" w:cs="Times New Roman"/>
          <w:color w:val="000000"/>
          <w:sz w:val="24"/>
          <w:szCs w:val="24"/>
        </w:rPr>
        <w:t>: ‘Satisfaction’ mediates the correlation between perceived service quality and patients' revisit intention.</w:t>
      </w:r>
    </w:p>
    <w:p w14:paraId="6A409A19" w14:textId="77777777" w:rsidR="001A78F4"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 Brand Image &amp; Satisfaction</w:t>
      </w:r>
    </w:p>
    <w:p w14:paraId="4B64973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Brand image refers to the perception of a company in the market, which depends on factors such as market reputation, perceived quality and brand identity, which collectively influence overall image (</w:t>
      </w:r>
      <w:proofErr w:type="spellStart"/>
      <w:r>
        <w:rPr>
          <w:rFonts w:ascii="Times New Roman" w:eastAsia="Times New Roman" w:hAnsi="Times New Roman" w:cs="Times New Roman"/>
          <w:color w:val="000000"/>
          <w:sz w:val="24"/>
          <w:szCs w:val="24"/>
        </w:rPr>
        <w:t>Nurapni</w:t>
      </w:r>
      <w:proofErr w:type="spellEnd"/>
      <w:r>
        <w:rPr>
          <w:rFonts w:ascii="Times New Roman" w:eastAsia="Times New Roman" w:hAnsi="Times New Roman" w:cs="Times New Roman"/>
          <w:color w:val="000000"/>
          <w:sz w:val="24"/>
          <w:szCs w:val="24"/>
        </w:rPr>
        <w:t xml:space="preserve"> et al., 2024; </w:t>
      </w:r>
      <w:proofErr w:type="spellStart"/>
      <w:r>
        <w:rPr>
          <w:rFonts w:ascii="Times New Roman" w:eastAsia="Times New Roman" w:hAnsi="Times New Roman" w:cs="Times New Roman"/>
          <w:color w:val="000000"/>
          <w:sz w:val="24"/>
          <w:szCs w:val="24"/>
        </w:rPr>
        <w:t>Foroudi</w:t>
      </w:r>
      <w:proofErr w:type="spellEnd"/>
      <w:r>
        <w:rPr>
          <w:rFonts w:ascii="Times New Roman" w:eastAsia="Times New Roman" w:hAnsi="Times New Roman" w:cs="Times New Roman"/>
          <w:color w:val="000000"/>
          <w:sz w:val="24"/>
          <w:szCs w:val="24"/>
        </w:rPr>
        <w:t xml:space="preserve"> et al., 2021). Empirical evidence proved that brand image has a positive influence on satisfaction across various marketing contexts, such as tourism, restaurants and universities (</w:t>
      </w:r>
      <w:proofErr w:type="spellStart"/>
      <w:r>
        <w:rPr>
          <w:rFonts w:ascii="Times New Roman" w:eastAsia="Times New Roman" w:hAnsi="Times New Roman" w:cs="Times New Roman"/>
          <w:color w:val="000000"/>
          <w:sz w:val="24"/>
          <w:szCs w:val="24"/>
        </w:rPr>
        <w:t>Ulwiyah</w:t>
      </w:r>
      <w:proofErr w:type="spellEnd"/>
      <w:r>
        <w:rPr>
          <w:rFonts w:ascii="Times New Roman" w:eastAsia="Times New Roman" w:hAnsi="Times New Roman" w:cs="Times New Roman"/>
          <w:color w:val="000000"/>
          <w:sz w:val="24"/>
          <w:szCs w:val="24"/>
        </w:rPr>
        <w:t>, 2023). According to Anwar et al. (2019), the company’s image positively influences customer satisfaction. A previous study also examined that brand image shapes customers’ Perceptions of organisational image influence emotional bond to the organisation, which is one of the reasons to revisit (</w:t>
      </w:r>
      <w:proofErr w:type="spellStart"/>
      <w:r>
        <w:rPr>
          <w:rFonts w:ascii="Times New Roman" w:eastAsia="Times New Roman" w:hAnsi="Times New Roman" w:cs="Times New Roman"/>
          <w:color w:val="000000"/>
          <w:sz w:val="24"/>
          <w:szCs w:val="24"/>
        </w:rPr>
        <w:t>Alalwan</w:t>
      </w:r>
      <w:proofErr w:type="spellEnd"/>
      <w:r>
        <w:rPr>
          <w:rFonts w:ascii="Times New Roman" w:eastAsia="Times New Roman" w:hAnsi="Times New Roman" w:cs="Times New Roman"/>
          <w:color w:val="000000"/>
          <w:sz w:val="24"/>
          <w:szCs w:val="24"/>
        </w:rPr>
        <w:t>, 2022; Jin, 2022). In the healthcare context, hospital brand image refers to patients’ perceptions of hospital facilities, trustworthiness, and identity (Monfort et al., 2025). After COVID-19, patients are now more aware of brand image, which is evaluated based on quality, transparency, and adherence to safety protocols (Mansoor et al., 2025). Nowadays, patients are more aware of hospital reputation through social media (</w:t>
      </w:r>
      <w:proofErr w:type="spellStart"/>
      <w:r>
        <w:rPr>
          <w:rFonts w:ascii="Times New Roman" w:eastAsia="Times New Roman" w:hAnsi="Times New Roman" w:cs="Times New Roman"/>
          <w:color w:val="000000"/>
          <w:sz w:val="24"/>
          <w:szCs w:val="24"/>
        </w:rPr>
        <w:t>Inaray</w:t>
      </w:r>
      <w:proofErr w:type="spellEnd"/>
      <w:r>
        <w:rPr>
          <w:rFonts w:ascii="Times New Roman" w:eastAsia="Times New Roman" w:hAnsi="Times New Roman" w:cs="Times New Roman"/>
          <w:color w:val="000000"/>
          <w:sz w:val="24"/>
          <w:szCs w:val="24"/>
        </w:rPr>
        <w:t xml:space="preserve"> et al., 2024). Maintaining a consistent hospital brand reputation can enhance patient satisfaction and competitiveness (Ole et al., 2025). Satisfied </w:t>
      </w:r>
      <w:r>
        <w:rPr>
          <w:rFonts w:ascii="Times New Roman" w:eastAsia="Times New Roman" w:hAnsi="Times New Roman" w:cs="Times New Roman"/>
          <w:color w:val="000000"/>
          <w:sz w:val="24"/>
          <w:szCs w:val="24"/>
        </w:rPr>
        <w:lastRenderedPageBreak/>
        <w:t>patients think positively about the hospital, and this influences their intention to return (</w:t>
      </w:r>
      <w:proofErr w:type="spellStart"/>
      <w:r>
        <w:rPr>
          <w:rFonts w:ascii="Times New Roman" w:eastAsia="Times New Roman" w:hAnsi="Times New Roman" w:cs="Times New Roman"/>
          <w:color w:val="000000"/>
          <w:sz w:val="24"/>
          <w:szCs w:val="24"/>
        </w:rPr>
        <w:t>Faaghna</w:t>
      </w:r>
      <w:proofErr w:type="spellEnd"/>
      <w:r>
        <w:rPr>
          <w:rFonts w:ascii="Times New Roman" w:eastAsia="Times New Roman" w:hAnsi="Times New Roman" w:cs="Times New Roman"/>
          <w:color w:val="000000"/>
          <w:sz w:val="24"/>
          <w:szCs w:val="24"/>
        </w:rPr>
        <w:t xml:space="preserve"> et al., 2019). Based on previous ground, the proposed hypothesis is as follows:</w:t>
      </w:r>
    </w:p>
    <w:p w14:paraId="6D09BC3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H4:</w:t>
      </w:r>
      <w:r>
        <w:rPr>
          <w:rFonts w:ascii="Times New Roman" w:eastAsia="Times New Roman" w:hAnsi="Times New Roman" w:cs="Times New Roman"/>
          <w:color w:val="000000"/>
          <w:sz w:val="24"/>
          <w:szCs w:val="24"/>
        </w:rPr>
        <w:t xml:space="preserve"> ‘Brand image’ has a positive impact on ‘Satisfaction’</w:t>
      </w:r>
    </w:p>
    <w:p w14:paraId="2985B23E" w14:textId="77777777" w:rsidR="001A78F4"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 Trust &amp; Satisfaction</w:t>
      </w:r>
    </w:p>
    <w:p w14:paraId="0913B38B" w14:textId="1D32A02D"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organisation needs to sustain customer trust, as it strengthens competitiveness and supports the achievement of its goals (Kim and Chao, 2019). The Trust–Commitment Theory states that trust is a central mechanism that sustains long-term relationships by reducing uncertainty and fostering loyalty (Morgan and Hunt, 1994). In healthcare, patient trust reflects confidence that providers act with integrity, competence, and in the best interest of patients (Topuz et al., 2025). When trust is established, patients are more satisfied with </w:t>
      </w:r>
      <w:r w:rsidR="002F4CFC">
        <w:rPr>
          <w:rFonts w:ascii="Times New Roman" w:eastAsia="Times New Roman" w:hAnsi="Times New Roman" w:cs="Times New Roman"/>
          <w:color w:val="000000"/>
          <w:sz w:val="24"/>
          <w:szCs w:val="24"/>
        </w:rPr>
        <w:t xml:space="preserve">their </w:t>
      </w:r>
      <w:r>
        <w:rPr>
          <w:rFonts w:ascii="Times New Roman" w:eastAsia="Times New Roman" w:hAnsi="Times New Roman" w:cs="Times New Roman"/>
          <w:color w:val="000000"/>
          <w:sz w:val="24"/>
          <w:szCs w:val="24"/>
        </w:rPr>
        <w:t xml:space="preserve">experiences and more likely to reuse hospital </w:t>
      </w:r>
      <w:r w:rsidR="002F4CFC">
        <w:rPr>
          <w:rFonts w:ascii="Times New Roman" w:eastAsia="Times New Roman" w:hAnsi="Times New Roman" w:cs="Times New Roman"/>
          <w:color w:val="000000"/>
          <w:sz w:val="24"/>
          <w:szCs w:val="24"/>
        </w:rPr>
        <w:t>services</w:t>
      </w:r>
      <w:r>
        <w:rPr>
          <w:rFonts w:ascii="Times New Roman" w:eastAsia="Times New Roman" w:hAnsi="Times New Roman" w:cs="Times New Roman"/>
          <w:color w:val="000000"/>
          <w:sz w:val="24"/>
          <w:szCs w:val="24"/>
        </w:rPr>
        <w:t xml:space="preserve"> from </w:t>
      </w:r>
      <w:r w:rsidR="002F4CFC">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same hospital (</w:t>
      </w:r>
      <w:proofErr w:type="spellStart"/>
      <w:r>
        <w:rPr>
          <w:rFonts w:ascii="Times New Roman" w:eastAsia="Times New Roman" w:hAnsi="Times New Roman" w:cs="Times New Roman"/>
          <w:color w:val="000000"/>
          <w:sz w:val="24"/>
          <w:szCs w:val="24"/>
        </w:rPr>
        <w:t>Ruswanti</w:t>
      </w:r>
      <w:proofErr w:type="spellEnd"/>
      <w:r>
        <w:rPr>
          <w:rFonts w:ascii="Times New Roman" w:eastAsia="Times New Roman" w:hAnsi="Times New Roman" w:cs="Times New Roman"/>
          <w:color w:val="000000"/>
          <w:sz w:val="24"/>
          <w:szCs w:val="24"/>
        </w:rPr>
        <w:t xml:space="preserve"> et al., 2020). If hospital services fulfil their expectations, satisfaction is enhanced (Negm et al., 2022). Higher levels of satisfaction are reported by patients who trust their healthcare professionals (Gilligan et al., 2017). Mir et al. (2022) stated that if an unwell patient trusts the hospital service, it will impact satisfaction, which will increase revisit intention in future. This statement is also supported by Tian et al. (2024). Thus, the study offers the following hypothesis:</w:t>
      </w:r>
    </w:p>
    <w:p w14:paraId="53DB85C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H5:</w:t>
      </w:r>
      <w:r>
        <w:rPr>
          <w:rFonts w:ascii="Times New Roman" w:eastAsia="Times New Roman" w:hAnsi="Times New Roman" w:cs="Times New Roman"/>
          <w:color w:val="000000"/>
          <w:sz w:val="24"/>
          <w:szCs w:val="24"/>
        </w:rPr>
        <w:t xml:space="preserve"> ‘Trust’ positively influences ‘Satisfaction’.</w:t>
      </w:r>
    </w:p>
    <w:p w14:paraId="27A7280A" w14:textId="77777777" w:rsidR="001A78F4" w:rsidRDefault="00000000">
      <w:pPr>
        <w:spacing w:line="360" w:lineRule="auto"/>
        <w:jc w:val="both"/>
        <w:rPr>
          <w:rFonts w:ascii="Times New Roman" w:eastAsia="Times New Roman" w:hAnsi="Times New Roman" w:cs="Times New Roman"/>
          <w:b/>
          <w:bCs/>
          <w:color w:val="000000"/>
          <w:sz w:val="24"/>
          <w:szCs w:val="24"/>
        </w:rPr>
      </w:pPr>
      <w:bookmarkStart w:id="1" w:name="_heading=h.e3z56ixe7p2z" w:colFirst="0" w:colLast="0"/>
      <w:bookmarkEnd w:id="1"/>
      <w:r>
        <w:rPr>
          <w:rFonts w:ascii="Times New Roman" w:eastAsia="Times New Roman" w:hAnsi="Times New Roman" w:cs="Times New Roman"/>
          <w:b/>
          <w:bCs/>
          <w:color w:val="000000"/>
          <w:sz w:val="24"/>
          <w:szCs w:val="24"/>
        </w:rPr>
        <w:t>2.4 Satisfaction, WOM &amp; Revisit intention:</w:t>
      </w:r>
    </w:p>
    <w:p w14:paraId="52B7C2D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Word-of-Mouth drives business growth by introducing new services, highlighting quality, and influencing choices (</w:t>
      </w:r>
      <w:proofErr w:type="spellStart"/>
      <w:r>
        <w:rPr>
          <w:rFonts w:ascii="Times New Roman" w:eastAsia="Times New Roman" w:hAnsi="Times New Roman" w:cs="Times New Roman"/>
          <w:color w:val="000000"/>
          <w:sz w:val="24"/>
          <w:szCs w:val="24"/>
        </w:rPr>
        <w:t>Ruswanti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Kusumawati</w:t>
      </w:r>
      <w:proofErr w:type="spellEnd"/>
      <w:r>
        <w:rPr>
          <w:rFonts w:ascii="Times New Roman" w:eastAsia="Times New Roman" w:hAnsi="Times New Roman" w:cs="Times New Roman"/>
          <w:color w:val="000000"/>
          <w:sz w:val="24"/>
          <w:szCs w:val="24"/>
        </w:rPr>
        <w:t xml:space="preserve">, 2020). </w:t>
      </w:r>
      <w:proofErr w:type="spellStart"/>
      <w:r>
        <w:rPr>
          <w:rFonts w:ascii="Times New Roman" w:eastAsia="Times New Roman" w:hAnsi="Times New Roman" w:cs="Times New Roman"/>
          <w:color w:val="000000"/>
          <w:sz w:val="24"/>
          <w:szCs w:val="24"/>
        </w:rPr>
        <w:t>Hasibuan</w:t>
      </w:r>
      <w:proofErr w:type="spellEnd"/>
      <w:r>
        <w:rPr>
          <w:rFonts w:ascii="Times New Roman" w:eastAsia="Times New Roman" w:hAnsi="Times New Roman" w:cs="Times New Roman"/>
          <w:color w:val="000000"/>
          <w:sz w:val="24"/>
          <w:szCs w:val="24"/>
        </w:rPr>
        <w:t xml:space="preserve"> (2021) found that customers usually share their positive experiences with others only after they feel satisfied with the service provider. In modern hospital marketing strategies, patient satisfaction, which arises from service experiences, is </w:t>
      </w:r>
      <w:r w:rsidRPr="00D400A4">
        <w:rPr>
          <w:rFonts w:ascii="Times New Roman" w:eastAsia="Times New Roman" w:hAnsi="Times New Roman" w:cs="Times New Roman"/>
          <w:color w:val="000000"/>
          <w:sz w:val="24"/>
          <w:szCs w:val="24"/>
        </w:rPr>
        <w:t>related to word of mouth (Zhao</w:t>
      </w:r>
      <w:r>
        <w:rPr>
          <w:rFonts w:ascii="Times New Roman" w:eastAsia="Times New Roman" w:hAnsi="Times New Roman" w:cs="Times New Roman"/>
          <w:color w:val="000000"/>
          <w:sz w:val="24"/>
          <w:szCs w:val="24"/>
        </w:rPr>
        <w:t xml:space="preserve"> et al., 2025).  Patients share their treatment journey on social platforms, which directly impacts the perceptions of potential patients and their interest in using the treatment service at the same hospital (Izza et al., 2021).  It is also important not only for future visit purposes but also to foster long-term loyalty (Rasheed and Rasheed, 2024). In a study, Subrahmanyam and Shekhar (2017) find an indirect connection between WOM and satisfaction. Understanding this mechanism is crucial for hospital administration to survive competitiveness in this competitive landscape (</w:t>
      </w:r>
      <w:proofErr w:type="spellStart"/>
      <w:r>
        <w:rPr>
          <w:rFonts w:ascii="Times New Roman" w:eastAsia="Times New Roman" w:hAnsi="Times New Roman" w:cs="Times New Roman"/>
          <w:color w:val="000000"/>
          <w:sz w:val="24"/>
          <w:szCs w:val="24"/>
        </w:rPr>
        <w:t>Sihombing</w:t>
      </w:r>
      <w:proofErr w:type="spellEnd"/>
      <w:r>
        <w:rPr>
          <w:rFonts w:ascii="Times New Roman" w:eastAsia="Times New Roman" w:hAnsi="Times New Roman" w:cs="Times New Roman"/>
          <w:color w:val="000000"/>
          <w:sz w:val="24"/>
          <w:szCs w:val="24"/>
        </w:rPr>
        <w:t xml:space="preserve"> et al., 2025). Hence, the hypotheses are developed:</w:t>
      </w:r>
    </w:p>
    <w:p w14:paraId="6EBA058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H6</w:t>
      </w:r>
      <w:r>
        <w:rPr>
          <w:rFonts w:ascii="Times New Roman" w:eastAsia="Times New Roman" w:hAnsi="Times New Roman" w:cs="Times New Roman"/>
          <w:color w:val="000000"/>
          <w:sz w:val="24"/>
          <w:szCs w:val="24"/>
        </w:rPr>
        <w:t>: ‘Satisfaction’ positively influences ‘Word-of-Mouth’.</w:t>
      </w:r>
    </w:p>
    <w:p w14:paraId="7172BC9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H7:</w:t>
      </w:r>
      <w:r>
        <w:rPr>
          <w:rFonts w:ascii="Times New Roman" w:eastAsia="Times New Roman" w:hAnsi="Times New Roman" w:cs="Times New Roman"/>
          <w:color w:val="000000"/>
          <w:sz w:val="24"/>
          <w:szCs w:val="24"/>
        </w:rPr>
        <w:t xml:space="preserve"> ‘Word-of-Mouth’ has a significant influence on ‘patients' revisit intention’ in private hospitals in India.</w:t>
      </w:r>
    </w:p>
    <w:p w14:paraId="59BA080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H7a</w:t>
      </w:r>
      <w:r>
        <w:rPr>
          <w:rFonts w:ascii="Times New Roman" w:eastAsia="Times New Roman" w:hAnsi="Times New Roman" w:cs="Times New Roman"/>
          <w:color w:val="000000"/>
          <w:sz w:val="24"/>
          <w:szCs w:val="24"/>
        </w:rPr>
        <w:t>: ‘Word-of-Mouth’ serves as a mediator between satisfaction and patients' revisit intention.</w:t>
      </w:r>
    </w:p>
    <w:p w14:paraId="50D2FBA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previous studies, a conceptual research framework has been developed to examine the relationships among the study variables. As shown in Figure 1, service quality, trust, and brand image are proposed as influence factors on patient satisfaction, which also affects word-of-mouth and revisit intention.</w:t>
      </w:r>
    </w:p>
    <w:p w14:paraId="490C8929" w14:textId="77777777" w:rsidR="001A78F4" w:rsidRDefault="00000000">
      <w:pPr>
        <w:spacing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noProof/>
          <w:color w:val="000000"/>
          <w:sz w:val="24"/>
          <w:szCs w:val="24"/>
        </w:rPr>
        <w:drawing>
          <wp:inline distT="0" distB="0" distL="0" distR="0" wp14:anchorId="7F515F36" wp14:editId="6FBEA29C">
            <wp:extent cx="5517660" cy="3374174"/>
            <wp:effectExtent l="0" t="0" r="0" b="0"/>
            <wp:docPr id="19651115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17660" cy="3374174"/>
                    </a:xfrm>
                    <a:prstGeom prst="rect">
                      <a:avLst/>
                    </a:prstGeom>
                    <a:ln/>
                  </pic:spPr>
                </pic:pic>
              </a:graphicData>
            </a:graphic>
          </wp:inline>
        </w:drawing>
      </w:r>
      <w:r>
        <w:rPr>
          <w:rFonts w:ascii="Times New Roman" w:eastAsia="Times New Roman" w:hAnsi="Times New Roman" w:cs="Times New Roman"/>
          <w:i/>
          <w:iCs/>
          <w:color w:val="000000"/>
          <w:sz w:val="24"/>
          <w:szCs w:val="24"/>
        </w:rPr>
        <w:t xml:space="preserve"> Figure 1: Proposed Conceptual Research Framework (Source: Authors’ Compilation)</w:t>
      </w:r>
    </w:p>
    <w:p w14:paraId="00F6C7C9" w14:textId="77777777" w:rsidR="001A78F4"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Methodology</w:t>
      </w:r>
    </w:p>
    <w:p w14:paraId="165B0DFD" w14:textId="77777777"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quantitative research method has been employed to analyse the key variables that influence patient satisfaction, as well as revisit intention across select private hospitals in India. The study focuses on individuals who have been patients at private hospitals across different regions. In India, we have used hospital services at least twice, including both outpatient (OPD) and inpatient (IPD) patients, with most respondents coming from private hospitals such as Apollo, Manipal, Tata, Max, Narayana, and Fortis hospitals in India. The inclusion criteria for OPD patients focus on those who revisit the same hospital for follow-up check-ups. Data were collected from the gynaecology, cardiology, ophthalmology, general medicine, and neurology </w:t>
      </w:r>
      <w:r>
        <w:rPr>
          <w:rFonts w:ascii="Times New Roman" w:eastAsia="Times New Roman" w:hAnsi="Times New Roman" w:cs="Times New Roman"/>
          <w:color w:val="000000"/>
          <w:sz w:val="24"/>
          <w:szCs w:val="24"/>
        </w:rPr>
        <w:lastRenderedPageBreak/>
        <w:t xml:space="preserve">departments. For IPD patients, the inclusion criteria specify that they must have visited or received services from that particular hospital more than once. </w:t>
      </w:r>
    </w:p>
    <w:p w14:paraId="3E345D95" w14:textId="77777777" w:rsidR="001A78F4" w:rsidRDefault="001A78F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9F6E4B8" w14:textId="77777777"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 adopted a purposive (judgmental) sampling technique, focusing on individuals who met specific criteria, including having visited the hospital more than once and being aged between 21 and 55 years. Purposive sampling was used to ensure respondents had experience with hospital services. It is acknowledged that this approach may introduce potential selection bias. To minimise this concern, patients were drawn from multiple leading private hospitals across different regions of India, covering a broad demographic profile, including type of care (OPD and IPD), gender, age, revisit times, revisit frequency, and source of information. This diversity was intended to strengthen the robustness of the study. Nevertheless, the application of non-probability sampling might restrict the generalisability of the results, and it is recommended that researchers use probability-based sampling with broader geographic coverage to improve external validity. Additionally, to ensure data quality, the lead researcher asked three screening questions at the time of beginning of the survey: (1) Are you aged 18 or above? (2) Have you received outpatient or inpatient treatment at this hospital within the last six months? and (3) Was your visit for a personal health consultation rather than accompanying a patient? Respondents who answered 'Yes' to all three were permitted to proceed with the survey. This ensured that the data reflected actual patient experiences.</w:t>
      </w:r>
    </w:p>
    <w:p w14:paraId="0FB16939" w14:textId="77777777" w:rsidR="001A78F4" w:rsidRDefault="001A78F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41E6548" w14:textId="77777777"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3.1 Data Collection </w:t>
      </w:r>
    </w:p>
    <w:p w14:paraId="6327625C" w14:textId="379EAD96" w:rsidR="008F2362" w:rsidRDefault="008F2362" w:rsidP="00D40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2362">
        <w:rPr>
          <w:rFonts w:ascii="Times New Roman" w:eastAsia="Times New Roman" w:hAnsi="Times New Roman" w:cs="Times New Roman"/>
          <w:color w:val="000000"/>
          <w:sz w:val="24"/>
          <w:szCs w:val="24"/>
        </w:rPr>
        <w:t xml:space="preserve">The data was gathered in three months with the assistance of MBA graduates who were serving </w:t>
      </w:r>
      <w:r w:rsidR="002F4CFC">
        <w:rPr>
          <w:rFonts w:ascii="Times New Roman" w:eastAsia="Times New Roman" w:hAnsi="Times New Roman" w:cs="Times New Roman"/>
          <w:color w:val="000000"/>
          <w:sz w:val="24"/>
          <w:szCs w:val="24"/>
        </w:rPr>
        <w:t xml:space="preserve">an </w:t>
      </w:r>
      <w:r w:rsidRPr="008F2362">
        <w:rPr>
          <w:rFonts w:ascii="Times New Roman" w:eastAsia="Times New Roman" w:hAnsi="Times New Roman" w:cs="Times New Roman"/>
          <w:color w:val="000000"/>
          <w:sz w:val="24"/>
          <w:szCs w:val="24"/>
        </w:rPr>
        <w:t xml:space="preserve">internship in the above-mentioned private hospitals in India. To reduce the number of inconsistencies, all interns had a short training course on how to administer the online questionnaire, make certain that informed consent is obtained, and how to respond </w:t>
      </w:r>
      <w:r w:rsidR="002F4CFC">
        <w:rPr>
          <w:rFonts w:ascii="Times New Roman" w:eastAsia="Times New Roman" w:hAnsi="Times New Roman" w:cs="Times New Roman"/>
          <w:color w:val="000000"/>
          <w:sz w:val="24"/>
          <w:szCs w:val="24"/>
        </w:rPr>
        <w:t>consistently</w:t>
      </w:r>
      <w:r w:rsidRPr="008F2362">
        <w:rPr>
          <w:rFonts w:ascii="Times New Roman" w:eastAsia="Times New Roman" w:hAnsi="Times New Roman" w:cs="Times New Roman"/>
          <w:color w:val="000000"/>
          <w:sz w:val="24"/>
          <w:szCs w:val="24"/>
        </w:rPr>
        <w:t xml:space="preserve"> to the questions of patients. They also received very clear written instructions and would be periodically checked by the lead authors to ensure consistency and quality control of the data collection process. First of all, 560 questionnaires were sent. A valid response rate of 87.0 was achieved by a total of 487 valid responses. In the cleaning of the data, 22 responses were excluded because of missing data and 16 cases were classified as multivariate outliers by </w:t>
      </w:r>
      <w:proofErr w:type="spellStart"/>
      <w:r w:rsidRPr="008F2362">
        <w:rPr>
          <w:rFonts w:ascii="Times New Roman" w:eastAsia="Times New Roman" w:hAnsi="Times New Roman" w:cs="Times New Roman"/>
          <w:color w:val="000000"/>
          <w:sz w:val="24"/>
          <w:szCs w:val="24"/>
        </w:rPr>
        <w:t>Mahalanobis</w:t>
      </w:r>
      <w:proofErr w:type="spellEnd"/>
      <w:r w:rsidRPr="008F2362">
        <w:rPr>
          <w:rFonts w:ascii="Times New Roman" w:eastAsia="Times New Roman" w:hAnsi="Times New Roman" w:cs="Times New Roman"/>
          <w:color w:val="000000"/>
          <w:sz w:val="24"/>
          <w:szCs w:val="24"/>
        </w:rPr>
        <w:t xml:space="preserve"> distance (d 2) at the p-value of 0.001. By filtering out such cases, the remaining useful data were 449 responses.</w:t>
      </w:r>
    </w:p>
    <w:p w14:paraId="26184C9B" w14:textId="00CD684F" w:rsidR="00D400A4" w:rsidRDefault="00D400A4" w:rsidP="00D40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9A5FFD5" w14:textId="1413022C" w:rsidR="008F2362" w:rsidRPr="008F2362" w:rsidRDefault="008F2362" w:rsidP="008F236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2362">
        <w:rPr>
          <w:rFonts w:ascii="Times New Roman" w:eastAsia="Times New Roman" w:hAnsi="Times New Roman" w:cs="Times New Roman"/>
          <w:color w:val="000000"/>
          <w:sz w:val="24"/>
          <w:szCs w:val="24"/>
        </w:rPr>
        <w:lastRenderedPageBreak/>
        <w:t>The size of a sample (449) is theoretically and statistically justified. In the past, SEM-based healthcare studies used similar or smaller sample sizes to test similar models, and typically 200 to 400 respondents (Hair et al., 2010; Kline, 2016). Statistically, Structural Equation Modelling (SEM) requires sufficient cases to each parameter being estimated. The recommended range is between 5:1 and 10:1 (Bentler and Chou, 1987; Kline, 2016). There were 24 variables that we observed in our model, which meant that the smallest sample size required was 240 to 480. The present sample of 449 meets these requirements and provides adequate statistical power to identify medium effect sizes with 95% confidence, which confirms the credibility of the results. The number of people needed in the sample was also determined using G*Power version 3.1.9.4. A structural model with 5 independent variables, an alpha of 0.05, a power of 0.95 and a medium effect size (f2 = 0.15) was determined to have a minimum sample size of 138. The sample size of 449 used in this study is much higher than the threshold, ensuring a high statistical power and reducing Type II errors.</w:t>
      </w:r>
    </w:p>
    <w:p w14:paraId="0E44A54C" w14:textId="7DAE265D" w:rsidR="00D400A4" w:rsidRDefault="008F2362" w:rsidP="008F236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F2362">
        <w:rPr>
          <w:rFonts w:ascii="Times New Roman" w:eastAsia="Times New Roman" w:hAnsi="Times New Roman" w:cs="Times New Roman"/>
          <w:color w:val="000000"/>
          <w:sz w:val="24"/>
          <w:szCs w:val="24"/>
        </w:rPr>
        <w:t>This paper used SPSS 26.0 to conduct exploratory factor analysis (EFA) and preliminary screening whereas AMOS 26.0 was used to perform structural equation modelling and confirmatory factor analysis</w:t>
      </w:r>
      <w:r w:rsidR="00BD4A1D" w:rsidRPr="00BD4A1D">
        <w:rPr>
          <w:rFonts w:ascii="Times New Roman" w:eastAsia="Times New Roman" w:hAnsi="Times New Roman" w:cs="Times New Roman"/>
          <w:color w:val="000000"/>
          <w:sz w:val="24"/>
          <w:szCs w:val="24"/>
        </w:rPr>
        <w:t>.</w:t>
      </w:r>
    </w:p>
    <w:p w14:paraId="7A85FFEA" w14:textId="77777777" w:rsidR="00D400A4" w:rsidRDefault="00D400A4" w:rsidP="00D400A4">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 Measurement Items</w:t>
      </w:r>
    </w:p>
    <w:p w14:paraId="01B7B3C4" w14:textId="5BDBDF03" w:rsidR="00D400A4" w:rsidRDefault="00D400A4" w:rsidP="00D400A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questionnaire included a total of 24 items taken from previous validated studies to ensure reliability and content validity, along with demographic questions. A five-point Likert scale used with "strongly disagree" to "strongly agree." The scales adopted in the study were developed in the West (like those for Service Quality or Loyalty) and often carry cultural biases. Words like "Responsiveness" or "Assurance" may be interpreted differently by a patient in a private hospital in Delhi than by one in New York. Therefore, to address the cross-cultural and contextual nuances of the Indian private healthcare sector, the adopted scales underwent a two-stage validation process before final administration. First, a Content Validity Index (CVI) was established by a panel of five experts (three senior hospital administrators and two professors of marketing). They reviewed the items for significance and </w:t>
      </w:r>
      <w:r w:rsidR="002F4CFC">
        <w:rPr>
          <w:rFonts w:ascii="Times New Roman" w:eastAsia="Times New Roman" w:hAnsi="Times New Roman" w:cs="Times New Roman"/>
          <w:color w:val="000000"/>
          <w:sz w:val="24"/>
          <w:szCs w:val="24"/>
        </w:rPr>
        <w:t>clarity</w:t>
      </w:r>
      <w:r>
        <w:rPr>
          <w:rFonts w:ascii="Times New Roman" w:eastAsia="Times New Roman" w:hAnsi="Times New Roman" w:cs="Times New Roman"/>
          <w:color w:val="000000"/>
          <w:sz w:val="24"/>
          <w:szCs w:val="24"/>
        </w:rPr>
        <w:t>. Second, a Cognitive Debriefing was carried out with 15 patients to ensure that the phrasing of the items was culturally appropriate and easily understood. Based on feedback, a minor linguistic adjustment was made to ensure the scales achieved 'Functional Equivalence' in the local setting.</w:t>
      </w:r>
    </w:p>
    <w:p w14:paraId="3D205020" w14:textId="1B27FE58"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1BAEB4B8" w14:textId="77777777"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857A933" w14:textId="0F5F13B8"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sample size of 449 is </w:t>
      </w:r>
      <w:r w:rsidR="00B10729">
        <w:rPr>
          <w:rFonts w:ascii="Times New Roman" w:eastAsia="Times New Roman" w:hAnsi="Times New Roman" w:cs="Times New Roman"/>
          <w:color w:val="000000"/>
          <w:sz w:val="24"/>
          <w:szCs w:val="24"/>
        </w:rPr>
        <w:t xml:space="preserve">appropriate for </w:t>
      </w:r>
      <w:r>
        <w:rPr>
          <w:rFonts w:ascii="Times New Roman" w:eastAsia="Times New Roman" w:hAnsi="Times New Roman" w:cs="Times New Roman"/>
          <w:color w:val="000000"/>
          <w:sz w:val="24"/>
          <w:szCs w:val="24"/>
        </w:rPr>
        <w:t xml:space="preserve">both theoretically and statistically. From a </w:t>
      </w:r>
      <w:r w:rsidR="00B10729">
        <w:rPr>
          <w:rFonts w:ascii="Times New Roman" w:eastAsia="Times New Roman" w:hAnsi="Times New Roman" w:cs="Times New Roman"/>
          <w:color w:val="000000"/>
          <w:sz w:val="24"/>
          <w:szCs w:val="24"/>
        </w:rPr>
        <w:t>theoretical concept,</w:t>
      </w:r>
      <w:r>
        <w:rPr>
          <w:rFonts w:ascii="Times New Roman" w:eastAsia="Times New Roman" w:hAnsi="Times New Roman" w:cs="Times New Roman"/>
          <w:color w:val="000000"/>
          <w:sz w:val="24"/>
          <w:szCs w:val="24"/>
        </w:rPr>
        <w:t xml:space="preserve"> previous SEM-based healthcare </w:t>
      </w:r>
      <w:r w:rsidR="00B10729">
        <w:rPr>
          <w:rFonts w:ascii="Times New Roman" w:eastAsia="Times New Roman" w:hAnsi="Times New Roman" w:cs="Times New Roman"/>
          <w:color w:val="000000"/>
          <w:sz w:val="24"/>
          <w:szCs w:val="24"/>
        </w:rPr>
        <w:t xml:space="preserve">models </w:t>
      </w:r>
      <w:r>
        <w:rPr>
          <w:rFonts w:ascii="Times New Roman" w:eastAsia="Times New Roman" w:hAnsi="Times New Roman" w:cs="Times New Roman"/>
          <w:color w:val="000000"/>
          <w:sz w:val="24"/>
          <w:szCs w:val="24"/>
        </w:rPr>
        <w:t xml:space="preserve">have </w:t>
      </w:r>
      <w:r w:rsidR="00B10729">
        <w:rPr>
          <w:rFonts w:ascii="Times New Roman" w:eastAsia="Times New Roman" w:hAnsi="Times New Roman" w:cs="Times New Roman"/>
          <w:color w:val="000000"/>
          <w:sz w:val="24"/>
          <w:szCs w:val="24"/>
        </w:rPr>
        <w:t xml:space="preserve">tested </w:t>
      </w:r>
      <w:r>
        <w:rPr>
          <w:rFonts w:ascii="Times New Roman" w:eastAsia="Times New Roman" w:hAnsi="Times New Roman" w:cs="Times New Roman"/>
          <w:color w:val="000000"/>
          <w:sz w:val="24"/>
          <w:szCs w:val="24"/>
        </w:rPr>
        <w:t xml:space="preserve">similar or smaller sample sizes to </w:t>
      </w:r>
      <w:r>
        <w:rPr>
          <w:rFonts w:ascii="Times New Roman" w:eastAsia="Times New Roman" w:hAnsi="Times New Roman" w:cs="Times New Roman"/>
          <w:color w:val="000000"/>
          <w:sz w:val="24"/>
          <w:szCs w:val="24"/>
        </w:rPr>
        <w:lastRenderedPageBreak/>
        <w:t>test comparable models, typically ranging between 200 and 400 respondents (Hair et al., 2010; Kline, 2016). From a statistical perspective, Structural Equation Modelling requires adequate cases per estimated parameter, with recommendations varying between 5:1 and 10:1 (Bentler and Chou, 1987; Kline, 2016). Given that our model included 24 observed variables, the required minimum sample ranged from 240 to 480. The current sample size of 449 thus meets these criteria and provides an adequate statistical strength to identify medium effect sizes with 95% confidence, supporting the reliability of the results. Moreover, G*Power version 3.1.9.4 was employed to calculate the required sample size. For a structural model with 5 independent variables, a level of alpha 0.05, a power of 0.95, and a medium effect size (f</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0.15), the required minimum sample size was calculated as 138. This study’s usable sample of 449 significantly exceeds this threshold, ensuring high statistical power and reducing Type II errors.</w:t>
      </w:r>
    </w:p>
    <w:p w14:paraId="7602BF66" w14:textId="77777777"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present study used SPSS 26.0 for exploratory factor analysis (EFA) and for preliminary screening, whereas AMOS 26.0 was utilized for structural equation modelling and confirmatory factor analysis.</w:t>
      </w:r>
    </w:p>
    <w:p w14:paraId="62759CE5" w14:textId="77777777" w:rsidR="001A78F4" w:rsidRDefault="001A78F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510EC4F" w14:textId="77777777"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 Measurement Items</w:t>
      </w:r>
    </w:p>
    <w:p w14:paraId="05467ADA" w14:textId="6D118F9D"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questionnaire </w:t>
      </w:r>
      <w:r w:rsidR="000A3165">
        <w:rPr>
          <w:rFonts w:ascii="Times New Roman" w:eastAsia="Times New Roman" w:hAnsi="Times New Roman" w:cs="Times New Roman"/>
          <w:color w:val="000000"/>
          <w:sz w:val="24"/>
          <w:szCs w:val="24"/>
        </w:rPr>
        <w:t>comprised</w:t>
      </w:r>
      <w:r>
        <w:rPr>
          <w:rFonts w:ascii="Times New Roman" w:eastAsia="Times New Roman" w:hAnsi="Times New Roman" w:cs="Times New Roman"/>
          <w:color w:val="000000"/>
          <w:sz w:val="24"/>
          <w:szCs w:val="24"/>
        </w:rPr>
        <w:t xml:space="preserve"> a total of 24 items</w:t>
      </w:r>
      <w:r w:rsidR="000A3165">
        <w:rPr>
          <w:rFonts w:ascii="Times New Roman" w:eastAsia="Times New Roman" w:hAnsi="Times New Roman" w:cs="Times New Roman"/>
          <w:color w:val="000000"/>
          <w:sz w:val="24"/>
          <w:szCs w:val="24"/>
        </w:rPr>
        <w:t xml:space="preserve"> with demographic</w:t>
      </w:r>
      <w:r>
        <w:rPr>
          <w:rFonts w:ascii="Times New Roman" w:eastAsia="Times New Roman" w:hAnsi="Times New Roman" w:cs="Times New Roman"/>
          <w:color w:val="000000"/>
          <w:sz w:val="24"/>
          <w:szCs w:val="24"/>
        </w:rPr>
        <w:t xml:space="preserve"> </w:t>
      </w:r>
      <w:r w:rsidR="002F4CFC">
        <w:rPr>
          <w:rFonts w:ascii="Times New Roman" w:eastAsia="Times New Roman" w:hAnsi="Times New Roman" w:cs="Times New Roman"/>
          <w:color w:val="000000"/>
          <w:sz w:val="24"/>
          <w:szCs w:val="24"/>
        </w:rPr>
        <w:t>inquiries</w:t>
      </w:r>
      <w:r w:rsidR="000A3165">
        <w:rPr>
          <w:rFonts w:ascii="Times New Roman" w:eastAsia="Times New Roman" w:hAnsi="Times New Roman" w:cs="Times New Roman"/>
          <w:color w:val="000000"/>
          <w:sz w:val="24"/>
          <w:szCs w:val="24"/>
        </w:rPr>
        <w:t>, taken</w:t>
      </w:r>
      <w:r>
        <w:rPr>
          <w:rFonts w:ascii="Times New Roman" w:eastAsia="Times New Roman" w:hAnsi="Times New Roman" w:cs="Times New Roman"/>
          <w:color w:val="000000"/>
          <w:sz w:val="24"/>
          <w:szCs w:val="24"/>
        </w:rPr>
        <w:t xml:space="preserve"> from </w:t>
      </w:r>
      <w:r w:rsidR="000A3165">
        <w:rPr>
          <w:rFonts w:ascii="Times New Roman" w:eastAsia="Times New Roman" w:hAnsi="Times New Roman" w:cs="Times New Roman"/>
          <w:color w:val="000000"/>
          <w:sz w:val="24"/>
          <w:szCs w:val="24"/>
        </w:rPr>
        <w:t xml:space="preserve">earlier </w:t>
      </w:r>
      <w:r>
        <w:rPr>
          <w:rFonts w:ascii="Times New Roman" w:eastAsia="Times New Roman" w:hAnsi="Times New Roman" w:cs="Times New Roman"/>
          <w:color w:val="000000"/>
          <w:sz w:val="24"/>
          <w:szCs w:val="24"/>
        </w:rPr>
        <w:t xml:space="preserve">validated studies to ensure reliability and content </w:t>
      </w:r>
      <w:r w:rsidR="000A3165">
        <w:rPr>
          <w:rFonts w:ascii="Times New Roman" w:eastAsia="Times New Roman" w:hAnsi="Times New Roman" w:cs="Times New Roman"/>
          <w:color w:val="000000"/>
          <w:sz w:val="24"/>
          <w:szCs w:val="24"/>
        </w:rPr>
        <w:t>validity. A</w:t>
      </w:r>
      <w:r>
        <w:rPr>
          <w:rFonts w:ascii="Times New Roman" w:eastAsia="Times New Roman" w:hAnsi="Times New Roman" w:cs="Times New Roman"/>
          <w:color w:val="000000"/>
          <w:sz w:val="24"/>
          <w:szCs w:val="24"/>
        </w:rPr>
        <w:t xml:space="preserve"> Likert scale </w:t>
      </w:r>
      <w:r w:rsidR="000A3165">
        <w:rPr>
          <w:rFonts w:ascii="Times New Roman" w:eastAsia="Times New Roman" w:hAnsi="Times New Roman" w:cs="Times New Roman"/>
          <w:color w:val="000000"/>
          <w:sz w:val="24"/>
          <w:szCs w:val="24"/>
        </w:rPr>
        <w:t xml:space="preserve">of 5 points </w:t>
      </w:r>
      <w:r w:rsidR="00094303">
        <w:rPr>
          <w:rFonts w:ascii="Times New Roman" w:eastAsia="Times New Roman" w:hAnsi="Times New Roman" w:cs="Times New Roman"/>
          <w:color w:val="000000"/>
          <w:sz w:val="24"/>
          <w:szCs w:val="24"/>
        </w:rPr>
        <w:t>ranging</w:t>
      </w:r>
      <w:r w:rsidR="000A3165">
        <w:rPr>
          <w:rFonts w:ascii="Times New Roman" w:eastAsia="Times New Roman" w:hAnsi="Times New Roman" w:cs="Times New Roman"/>
          <w:color w:val="000000"/>
          <w:sz w:val="24"/>
          <w:szCs w:val="24"/>
        </w:rPr>
        <w:t xml:space="preserve"> </w:t>
      </w:r>
      <w:r w:rsidR="002F4CFC">
        <w:rPr>
          <w:rFonts w:ascii="Times New Roman" w:eastAsia="Times New Roman" w:hAnsi="Times New Roman" w:cs="Times New Roman"/>
          <w:color w:val="000000"/>
          <w:sz w:val="24"/>
          <w:szCs w:val="24"/>
        </w:rPr>
        <w:t>from</w:t>
      </w:r>
      <w:r>
        <w:rPr>
          <w:rFonts w:ascii="Times New Roman" w:eastAsia="Times New Roman" w:hAnsi="Times New Roman" w:cs="Times New Roman"/>
          <w:color w:val="000000"/>
          <w:sz w:val="24"/>
          <w:szCs w:val="24"/>
        </w:rPr>
        <w:t xml:space="preserve"> "strongly disagree" to "strongly agree." The scales adopted in the study were developed in the West (like those for Service Quality or Loyalty) and often carry cultural biases. Words like "Responsiveness" or "Assurance" may be interpreted differently by a patient in a private hospital in Delhi than by one in New York. Therefore, to address the cross-cultural and contextual nuances of the Indian private healthcare sector, the adopted scales underwent a two-stage validation process before final administration. First, a Content Validity Index (CVI) was established by a panel of five experts (three senior hospital administrators and two professors of marketing). They reviewed the items for significance and </w:t>
      </w:r>
      <w:r w:rsidR="002F4CFC">
        <w:rPr>
          <w:rFonts w:ascii="Times New Roman" w:eastAsia="Times New Roman" w:hAnsi="Times New Roman" w:cs="Times New Roman"/>
          <w:color w:val="000000"/>
          <w:sz w:val="24"/>
          <w:szCs w:val="24"/>
        </w:rPr>
        <w:t>clarity</w:t>
      </w:r>
      <w:r>
        <w:rPr>
          <w:rFonts w:ascii="Times New Roman" w:eastAsia="Times New Roman" w:hAnsi="Times New Roman" w:cs="Times New Roman"/>
          <w:color w:val="000000"/>
          <w:sz w:val="24"/>
          <w:szCs w:val="24"/>
        </w:rPr>
        <w:t>. Second, a Cognitive Debriefing was carried out with 15 patients to ensure that the phrasing of the items was culturally appropriate and easily understood. Based on feedback, a minor linguistic adjustment was made to ensure the scales achieved 'Functional Equivalence' in the local setting.</w:t>
      </w:r>
    </w:p>
    <w:p w14:paraId="7BE3C31A" w14:textId="77777777" w:rsidR="001A78F4" w:rsidRDefault="001A78F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BC0A857" w14:textId="58A697D3"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Perceived service quality and Satisfaction scales were taken from Lai et al. (2020), Brand image from Khan et al.  (2023), Trust and Word of Mouth were assessed using items from AlOmari and Hamid (2022), and revisit intention from Nguyen et al. (2021). Before distributing all questions, respondents were made aware of the confidentiality of their </w:t>
      </w:r>
      <w:r>
        <w:rPr>
          <w:rFonts w:ascii="Times New Roman" w:eastAsia="Times New Roman" w:hAnsi="Times New Roman" w:cs="Times New Roman"/>
          <w:color w:val="000000"/>
          <w:sz w:val="24"/>
          <w:szCs w:val="24"/>
        </w:rPr>
        <w:lastRenderedPageBreak/>
        <w:t xml:space="preserve">information, their freedom to withdraw at any moment, and the use of their information solely for this study. This allowed for a comprehensive assessment of key factors impacting patients' experiences and future behaviour. Further, to ensure that only relevant respondents participated, qualifying questions were incorporated at the </w:t>
      </w:r>
      <w:r w:rsidR="002F4CFC">
        <w:rPr>
          <w:rFonts w:ascii="Times New Roman" w:eastAsia="Times New Roman" w:hAnsi="Times New Roman" w:cs="Times New Roman"/>
          <w:color w:val="000000"/>
          <w:sz w:val="24"/>
          <w:szCs w:val="24"/>
        </w:rPr>
        <w:t>start</w:t>
      </w:r>
      <w:r>
        <w:rPr>
          <w:rFonts w:ascii="Times New Roman" w:eastAsia="Times New Roman" w:hAnsi="Times New Roman" w:cs="Times New Roman"/>
          <w:color w:val="000000"/>
          <w:sz w:val="24"/>
          <w:szCs w:val="24"/>
        </w:rPr>
        <w:t xml:space="preserve"> of the survey</w:t>
      </w:r>
      <w:r w:rsidR="002F4CF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respondents were also asked about whether they had previously visited or received services from the same hospital more than once, either as an outpatient (OPD) or inpatient (IPD). Only those who confirmed these criteria were allowed to proceed with the questionnaire, thereby excluding non-related parties and improving the data’s reliability.</w:t>
      </w:r>
    </w:p>
    <w:p w14:paraId="59070106" w14:textId="77777777" w:rsidR="001A78F4" w:rsidRDefault="001A78F4">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7CBF20E9" w14:textId="77777777" w:rsidR="001A78F4" w:rsidRDefault="00000000">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Data Analysis</w:t>
      </w:r>
    </w:p>
    <w:p w14:paraId="4B5E93C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gathered data, SEM was employed. This method helped to analyse relationships between the variables and determine the positive lead of the proposed hypotheses. The respondents of 449 patients, 72 (16%) were IPD patients, while the remaining 377 (84%) were OPD patients. The sample was predominantly male, comprising participants 293 (65.3%), while females accounted for 156 (34.7%). Regarding age distribution, 237 respondents (52.78%) were aged 40–55 years, 166 (36.97%) were aged 30–40 years, and 46 (10.24%) were aged 21–30 years. Among the 449 patients, 165 (37%) had visited the hospital twice, while 284 (63%) had visited more than twice. Regarding revisit frequency, 120 (27%) had revisited within the past three months, 99 (22%) within the past six months, and 230 (51%) within the past year. Regarding the sources of healthcare information, 201 respondents (44.8%) depended on recommendations from doctors, 143 respondents (31.8%) got information from friends or family, and 105 respondents (23.4%) mentioned internet reviews or ads as their primary source of hospital information.</w:t>
      </w:r>
    </w:p>
    <w:p w14:paraId="06578945" w14:textId="77777777" w:rsidR="001A78F4"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4.1 Exploratory Factor Analysis </w:t>
      </w:r>
    </w:p>
    <w:p w14:paraId="6739BEF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Although the scales were adopted from established literature, an EFA was deemed essential as a preliminary step. Given that the original scales were developed in Western contexts, EFA was used to confirm that the 'Factorial Structure' held in the Indian healthcare environment. This was a necessary step to prevent 'imposed etic' (forcing a foreign structure on local data) and to ensure that the items loaded onto the same latent constructs as theorised before proceeding to the Confirmatory Factor Analysis.</w:t>
      </w:r>
    </w:p>
    <w:p w14:paraId="2D6095C0" w14:textId="6F6F6D5C"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evaluate the factor structure of the constructs, Exploratory Factor Analysis (EFA) was performed using Principal Component Analysis with Varimax rotation. The Kaiser–Meyer–</w:t>
      </w:r>
      <w:r>
        <w:rPr>
          <w:rFonts w:ascii="Times New Roman" w:eastAsia="Times New Roman" w:hAnsi="Times New Roman" w:cs="Times New Roman"/>
          <w:color w:val="000000"/>
          <w:sz w:val="24"/>
          <w:szCs w:val="24"/>
        </w:rPr>
        <w:lastRenderedPageBreak/>
        <w:t>Olkin (KMO) value of 0.847 indicated adequate sampling suitability</w:t>
      </w:r>
      <w:r w:rsidR="002F4CF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and a substantial result from Bartlett's Test of Sphericity (χ² = 9122.983, </w:t>
      </w:r>
      <w:proofErr w:type="spellStart"/>
      <w:r>
        <w:rPr>
          <w:rFonts w:ascii="Times New Roman" w:eastAsia="Times New Roman" w:hAnsi="Times New Roman" w:cs="Times New Roman"/>
          <w:color w:val="000000"/>
          <w:sz w:val="24"/>
          <w:szCs w:val="24"/>
        </w:rPr>
        <w:t>df</w:t>
      </w:r>
      <w:proofErr w:type="spellEnd"/>
      <w:r>
        <w:rPr>
          <w:rFonts w:ascii="Times New Roman" w:eastAsia="Times New Roman" w:hAnsi="Times New Roman" w:cs="Times New Roman"/>
          <w:color w:val="000000"/>
          <w:sz w:val="24"/>
          <w:szCs w:val="24"/>
        </w:rPr>
        <w:t xml:space="preserve"> = 276, p &lt; 0.001) indicated that the data were appropriate for factor analysis. </w:t>
      </w:r>
    </w:p>
    <w:p w14:paraId="6D5DB62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EFA (Table 1) identified a six-factor structure, which showing 78.24% of total variance, exceeding the recommended 60% threshold, and all six factors had eigenvalues greater than 1. PCA with Varimax rotation showed strong factor loadings (&gt;0.6) for all items, supporting good construct validity. The six factors corresponded to the constructs of WOM, Trust, Satisfaction, PSQ, Brand Image, and Revisit Intention, confirming that these constructs were distinct and well-represented by their respective items. These outcomes suggest the measurement model is appropriate for additional analysis, including SEM and CFA.</w:t>
      </w:r>
    </w:p>
    <w:p w14:paraId="3F22A481" w14:textId="77777777" w:rsidR="001A78F4" w:rsidRDefault="00000000">
      <w:pPr>
        <w:spacing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Table 1: List of Items with their Factor Loadings</w:t>
      </w:r>
    </w:p>
    <w:tbl>
      <w:tblPr>
        <w:tblStyle w:val="a7"/>
        <w:tblW w:w="10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0"/>
        <w:gridCol w:w="950"/>
        <w:gridCol w:w="1110"/>
        <w:gridCol w:w="1110"/>
        <w:gridCol w:w="1282"/>
      </w:tblGrid>
      <w:tr w:rsidR="001A78F4" w14:paraId="4272F163" w14:textId="77777777">
        <w:tc>
          <w:tcPr>
            <w:tcW w:w="5570" w:type="dxa"/>
          </w:tcPr>
          <w:p w14:paraId="2F0DBFB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Items</w:t>
            </w:r>
          </w:p>
        </w:tc>
        <w:tc>
          <w:tcPr>
            <w:tcW w:w="950" w:type="dxa"/>
          </w:tcPr>
          <w:p w14:paraId="3D804A3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Codes</w:t>
            </w:r>
          </w:p>
        </w:tc>
        <w:tc>
          <w:tcPr>
            <w:tcW w:w="1110" w:type="dxa"/>
          </w:tcPr>
          <w:p w14:paraId="7DACC49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EFA Loadings</w:t>
            </w:r>
          </w:p>
        </w:tc>
        <w:tc>
          <w:tcPr>
            <w:tcW w:w="1110" w:type="dxa"/>
          </w:tcPr>
          <w:p w14:paraId="67FE210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CFA Loadings</w:t>
            </w:r>
          </w:p>
        </w:tc>
        <w:tc>
          <w:tcPr>
            <w:tcW w:w="1282" w:type="dxa"/>
          </w:tcPr>
          <w:p w14:paraId="1B4508E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References </w:t>
            </w:r>
          </w:p>
        </w:tc>
      </w:tr>
      <w:tr w:rsidR="001A78F4" w14:paraId="5AD69FFC" w14:textId="77777777">
        <w:tc>
          <w:tcPr>
            <w:tcW w:w="5570" w:type="dxa"/>
          </w:tcPr>
          <w:p w14:paraId="4EA345A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Perceived Service Quality</w:t>
            </w:r>
          </w:p>
        </w:tc>
        <w:tc>
          <w:tcPr>
            <w:tcW w:w="950" w:type="dxa"/>
          </w:tcPr>
          <w:p w14:paraId="68B3AD3F"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500A2FB7"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31D5538D"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282" w:type="dxa"/>
            <w:vMerge w:val="restart"/>
          </w:tcPr>
          <w:p w14:paraId="5FF31A6B" w14:textId="77777777" w:rsidR="001A78F4" w:rsidRDefault="001A78F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C495EAE" w14:textId="77777777" w:rsidR="001A78F4" w:rsidRDefault="001A78F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5C1EA96" w14:textId="77777777" w:rsidR="001A78F4" w:rsidRDefault="001A78F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B51713B" w14:textId="77777777" w:rsidR="001A78F4" w:rsidRDefault="001A78F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E71BE45" w14:textId="77777777" w:rsidR="001A78F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 et al., 2020)</w:t>
            </w:r>
          </w:p>
          <w:p w14:paraId="1C9D551B" w14:textId="77777777" w:rsidR="001A78F4" w:rsidRDefault="001A78F4">
            <w:pPr>
              <w:spacing w:line="360" w:lineRule="auto"/>
              <w:jc w:val="both"/>
              <w:rPr>
                <w:rFonts w:ascii="Times New Roman" w:eastAsia="Times New Roman" w:hAnsi="Times New Roman" w:cs="Times New Roman"/>
                <w:color w:val="000000"/>
                <w:sz w:val="24"/>
                <w:szCs w:val="24"/>
              </w:rPr>
            </w:pPr>
          </w:p>
        </w:tc>
      </w:tr>
      <w:tr w:rsidR="001A78F4" w14:paraId="75EA4EF5" w14:textId="77777777">
        <w:tc>
          <w:tcPr>
            <w:tcW w:w="5570" w:type="dxa"/>
          </w:tcPr>
          <w:p w14:paraId="76C462B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this hospital provides exceptional medical services</w:t>
            </w:r>
          </w:p>
        </w:tc>
        <w:tc>
          <w:tcPr>
            <w:tcW w:w="950" w:type="dxa"/>
          </w:tcPr>
          <w:p w14:paraId="670BA3A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PSQ1</w:t>
            </w:r>
          </w:p>
        </w:tc>
        <w:tc>
          <w:tcPr>
            <w:tcW w:w="1110" w:type="dxa"/>
            <w:vAlign w:val="center"/>
          </w:tcPr>
          <w:p w14:paraId="4491244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0.781</w:t>
            </w:r>
          </w:p>
        </w:tc>
        <w:tc>
          <w:tcPr>
            <w:tcW w:w="1110" w:type="dxa"/>
            <w:vAlign w:val="center"/>
          </w:tcPr>
          <w:p w14:paraId="0F2A0BB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0.626</w:t>
            </w:r>
          </w:p>
        </w:tc>
        <w:tc>
          <w:tcPr>
            <w:tcW w:w="1282" w:type="dxa"/>
            <w:vMerge/>
          </w:tcPr>
          <w:p w14:paraId="5B0F52DA"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47630621" w14:textId="77777777">
        <w:tc>
          <w:tcPr>
            <w:tcW w:w="5570" w:type="dxa"/>
          </w:tcPr>
          <w:p w14:paraId="38E3FE1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think the hospital's medical care and the knowledge of its doctors are excellent.</w:t>
            </w:r>
          </w:p>
          <w:p w14:paraId="1D96D620"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950" w:type="dxa"/>
          </w:tcPr>
          <w:p w14:paraId="3EA15E7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PSQ2</w:t>
            </w:r>
          </w:p>
        </w:tc>
        <w:tc>
          <w:tcPr>
            <w:tcW w:w="1110" w:type="dxa"/>
            <w:vAlign w:val="center"/>
          </w:tcPr>
          <w:p w14:paraId="4FB1069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0.761</w:t>
            </w:r>
          </w:p>
        </w:tc>
        <w:tc>
          <w:tcPr>
            <w:tcW w:w="1110" w:type="dxa"/>
            <w:vAlign w:val="center"/>
          </w:tcPr>
          <w:p w14:paraId="5555C9A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0.651</w:t>
            </w:r>
          </w:p>
        </w:tc>
        <w:tc>
          <w:tcPr>
            <w:tcW w:w="1282" w:type="dxa"/>
            <w:vMerge/>
          </w:tcPr>
          <w:p w14:paraId="57252757"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1B76C03C" w14:textId="77777777">
        <w:tc>
          <w:tcPr>
            <w:tcW w:w="5570" w:type="dxa"/>
          </w:tcPr>
          <w:p w14:paraId="3CEEEB7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prefer this hospital’s medical equipment to be high-grade</w:t>
            </w:r>
          </w:p>
        </w:tc>
        <w:tc>
          <w:tcPr>
            <w:tcW w:w="950" w:type="dxa"/>
          </w:tcPr>
          <w:p w14:paraId="34CB248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PSQ3</w:t>
            </w:r>
          </w:p>
        </w:tc>
        <w:tc>
          <w:tcPr>
            <w:tcW w:w="1110" w:type="dxa"/>
            <w:vAlign w:val="center"/>
          </w:tcPr>
          <w:p w14:paraId="7044CD5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0.881</w:t>
            </w:r>
          </w:p>
        </w:tc>
        <w:tc>
          <w:tcPr>
            <w:tcW w:w="1110" w:type="dxa"/>
            <w:vAlign w:val="center"/>
          </w:tcPr>
          <w:p w14:paraId="1A8595D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0.952</w:t>
            </w:r>
          </w:p>
        </w:tc>
        <w:tc>
          <w:tcPr>
            <w:tcW w:w="1282" w:type="dxa"/>
            <w:vMerge/>
          </w:tcPr>
          <w:p w14:paraId="11D109EF"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222D6E14" w14:textId="77777777">
        <w:tc>
          <w:tcPr>
            <w:tcW w:w="5570" w:type="dxa"/>
          </w:tcPr>
          <w:p w14:paraId="35B9904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doctor gives me enough time to explain all my health problems.</w:t>
            </w:r>
          </w:p>
        </w:tc>
        <w:tc>
          <w:tcPr>
            <w:tcW w:w="950" w:type="dxa"/>
          </w:tcPr>
          <w:p w14:paraId="2AE1669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PSQ4</w:t>
            </w:r>
          </w:p>
        </w:tc>
        <w:tc>
          <w:tcPr>
            <w:tcW w:w="1110" w:type="dxa"/>
            <w:vAlign w:val="center"/>
          </w:tcPr>
          <w:p w14:paraId="2428699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0.901</w:t>
            </w:r>
          </w:p>
        </w:tc>
        <w:tc>
          <w:tcPr>
            <w:tcW w:w="1110" w:type="dxa"/>
            <w:vAlign w:val="center"/>
          </w:tcPr>
          <w:p w14:paraId="3D66D5E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0.972</w:t>
            </w:r>
          </w:p>
        </w:tc>
        <w:tc>
          <w:tcPr>
            <w:tcW w:w="1282" w:type="dxa"/>
            <w:vMerge/>
          </w:tcPr>
          <w:p w14:paraId="2D293D9D"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0788DD33" w14:textId="77777777">
        <w:tc>
          <w:tcPr>
            <w:tcW w:w="5570" w:type="dxa"/>
          </w:tcPr>
          <w:p w14:paraId="43E4B80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Brand Image </w:t>
            </w:r>
          </w:p>
        </w:tc>
        <w:tc>
          <w:tcPr>
            <w:tcW w:w="950" w:type="dxa"/>
          </w:tcPr>
          <w:p w14:paraId="3874B850"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70CFB1BF"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6AE2E0AC"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282" w:type="dxa"/>
            <w:vMerge w:val="restart"/>
          </w:tcPr>
          <w:p w14:paraId="1CD22318" w14:textId="77777777" w:rsidR="001A78F4" w:rsidRDefault="001A78F4">
            <w:pPr>
              <w:spacing w:line="360" w:lineRule="auto"/>
              <w:jc w:val="both"/>
              <w:rPr>
                <w:rFonts w:ascii="Times New Roman" w:eastAsia="Times New Roman" w:hAnsi="Times New Roman" w:cs="Times New Roman"/>
                <w:color w:val="000000"/>
                <w:sz w:val="24"/>
                <w:szCs w:val="24"/>
              </w:rPr>
            </w:pPr>
          </w:p>
          <w:p w14:paraId="449905E4" w14:textId="77777777" w:rsidR="001A78F4" w:rsidRDefault="001A78F4">
            <w:pPr>
              <w:spacing w:line="360" w:lineRule="auto"/>
              <w:jc w:val="both"/>
              <w:rPr>
                <w:rFonts w:ascii="Times New Roman" w:eastAsia="Times New Roman" w:hAnsi="Times New Roman" w:cs="Times New Roman"/>
                <w:color w:val="000000"/>
                <w:sz w:val="24"/>
                <w:szCs w:val="24"/>
              </w:rPr>
            </w:pPr>
          </w:p>
          <w:p w14:paraId="3D83E22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(Khan et al., 2023)</w:t>
            </w:r>
          </w:p>
        </w:tc>
      </w:tr>
      <w:tr w:rsidR="001A78F4" w14:paraId="446A4798" w14:textId="77777777">
        <w:tc>
          <w:tcPr>
            <w:tcW w:w="5570" w:type="dxa"/>
          </w:tcPr>
          <w:p w14:paraId="289AA2E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overall impression of this hospital is positive</w:t>
            </w:r>
          </w:p>
        </w:tc>
        <w:tc>
          <w:tcPr>
            <w:tcW w:w="950" w:type="dxa"/>
          </w:tcPr>
          <w:p w14:paraId="4F6751C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BI1</w:t>
            </w:r>
          </w:p>
        </w:tc>
        <w:tc>
          <w:tcPr>
            <w:tcW w:w="1110" w:type="dxa"/>
            <w:vAlign w:val="center"/>
          </w:tcPr>
          <w:p w14:paraId="49BA0AE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0.776</w:t>
            </w:r>
          </w:p>
        </w:tc>
        <w:tc>
          <w:tcPr>
            <w:tcW w:w="1110" w:type="dxa"/>
            <w:vAlign w:val="center"/>
          </w:tcPr>
          <w:p w14:paraId="0141FDB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0.716</w:t>
            </w:r>
          </w:p>
        </w:tc>
        <w:tc>
          <w:tcPr>
            <w:tcW w:w="1282" w:type="dxa"/>
            <w:vMerge/>
          </w:tcPr>
          <w:p w14:paraId="5BAE2FBD"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5D2A491C" w14:textId="77777777">
        <w:tc>
          <w:tcPr>
            <w:tcW w:w="5570" w:type="dxa"/>
          </w:tcPr>
          <w:p w14:paraId="3C4960A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hospital is well-regarded and has a strong reputation.</w:t>
            </w:r>
          </w:p>
        </w:tc>
        <w:tc>
          <w:tcPr>
            <w:tcW w:w="950" w:type="dxa"/>
          </w:tcPr>
          <w:p w14:paraId="660E60C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BI2</w:t>
            </w:r>
          </w:p>
        </w:tc>
        <w:tc>
          <w:tcPr>
            <w:tcW w:w="1110" w:type="dxa"/>
            <w:vAlign w:val="center"/>
          </w:tcPr>
          <w:p w14:paraId="50A3984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0.864</w:t>
            </w:r>
          </w:p>
        </w:tc>
        <w:tc>
          <w:tcPr>
            <w:tcW w:w="1110" w:type="dxa"/>
            <w:vAlign w:val="center"/>
          </w:tcPr>
          <w:p w14:paraId="2F15711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0.824</w:t>
            </w:r>
          </w:p>
        </w:tc>
        <w:tc>
          <w:tcPr>
            <w:tcW w:w="1282" w:type="dxa"/>
            <w:vMerge/>
          </w:tcPr>
          <w:p w14:paraId="649FAFDB"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0B3B565F" w14:textId="77777777">
        <w:tc>
          <w:tcPr>
            <w:tcW w:w="5570" w:type="dxa"/>
          </w:tcPr>
          <w:p w14:paraId="3A43AE3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hospital effectively met my needs and expectations.</w:t>
            </w:r>
          </w:p>
        </w:tc>
        <w:tc>
          <w:tcPr>
            <w:tcW w:w="950" w:type="dxa"/>
          </w:tcPr>
          <w:p w14:paraId="517FFF5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BI3</w:t>
            </w:r>
          </w:p>
        </w:tc>
        <w:tc>
          <w:tcPr>
            <w:tcW w:w="1110" w:type="dxa"/>
            <w:vAlign w:val="center"/>
          </w:tcPr>
          <w:p w14:paraId="3672F09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0.843</w:t>
            </w:r>
          </w:p>
        </w:tc>
        <w:tc>
          <w:tcPr>
            <w:tcW w:w="1110" w:type="dxa"/>
            <w:vAlign w:val="center"/>
          </w:tcPr>
          <w:p w14:paraId="728497B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0.816</w:t>
            </w:r>
          </w:p>
        </w:tc>
        <w:tc>
          <w:tcPr>
            <w:tcW w:w="1282" w:type="dxa"/>
            <w:vMerge/>
          </w:tcPr>
          <w:p w14:paraId="63BE010E"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33FA039E" w14:textId="77777777">
        <w:tc>
          <w:tcPr>
            <w:tcW w:w="5570" w:type="dxa"/>
          </w:tcPr>
          <w:p w14:paraId="7E6D3DA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believe the hospital’s brand name provides a pleasant service experience</w:t>
            </w:r>
          </w:p>
        </w:tc>
        <w:tc>
          <w:tcPr>
            <w:tcW w:w="950" w:type="dxa"/>
          </w:tcPr>
          <w:p w14:paraId="3FE2D98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BI4</w:t>
            </w:r>
          </w:p>
        </w:tc>
        <w:tc>
          <w:tcPr>
            <w:tcW w:w="1110" w:type="dxa"/>
            <w:vAlign w:val="center"/>
          </w:tcPr>
          <w:p w14:paraId="7CC0E4B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0.817</w:t>
            </w:r>
          </w:p>
        </w:tc>
        <w:tc>
          <w:tcPr>
            <w:tcW w:w="1110" w:type="dxa"/>
            <w:vAlign w:val="center"/>
          </w:tcPr>
          <w:p w14:paraId="0F1423C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0.779</w:t>
            </w:r>
          </w:p>
        </w:tc>
        <w:tc>
          <w:tcPr>
            <w:tcW w:w="1282" w:type="dxa"/>
            <w:vMerge/>
          </w:tcPr>
          <w:p w14:paraId="12ADE36A"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6C6D7472" w14:textId="77777777">
        <w:tc>
          <w:tcPr>
            <w:tcW w:w="5570" w:type="dxa"/>
          </w:tcPr>
          <w:p w14:paraId="1969A16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Trust</w:t>
            </w:r>
          </w:p>
        </w:tc>
        <w:tc>
          <w:tcPr>
            <w:tcW w:w="950" w:type="dxa"/>
          </w:tcPr>
          <w:p w14:paraId="04611667"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1BA5332E"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2BA9234F"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282" w:type="dxa"/>
            <w:vMerge w:val="restart"/>
          </w:tcPr>
          <w:p w14:paraId="12BC5F00" w14:textId="77777777" w:rsidR="001A78F4" w:rsidRDefault="001A78F4">
            <w:pPr>
              <w:spacing w:line="360" w:lineRule="auto"/>
              <w:jc w:val="both"/>
              <w:rPr>
                <w:rFonts w:ascii="Times New Roman" w:eastAsia="Times New Roman" w:hAnsi="Times New Roman" w:cs="Times New Roman"/>
                <w:color w:val="000000"/>
                <w:sz w:val="24"/>
                <w:szCs w:val="24"/>
              </w:rPr>
            </w:pPr>
          </w:p>
          <w:p w14:paraId="5F95398C" w14:textId="77777777" w:rsidR="001A78F4" w:rsidRDefault="001A78F4">
            <w:pPr>
              <w:spacing w:line="360" w:lineRule="auto"/>
              <w:jc w:val="both"/>
              <w:rPr>
                <w:rFonts w:ascii="Times New Roman" w:eastAsia="Times New Roman" w:hAnsi="Times New Roman" w:cs="Times New Roman"/>
                <w:color w:val="000000"/>
                <w:sz w:val="24"/>
                <w:szCs w:val="24"/>
              </w:rPr>
            </w:pPr>
          </w:p>
          <w:p w14:paraId="7ACD92B0" w14:textId="77777777" w:rsidR="001A78F4" w:rsidRDefault="001A78F4">
            <w:pPr>
              <w:spacing w:line="360" w:lineRule="auto"/>
              <w:jc w:val="both"/>
              <w:rPr>
                <w:rFonts w:ascii="Times New Roman" w:eastAsia="Times New Roman" w:hAnsi="Times New Roman" w:cs="Times New Roman"/>
                <w:color w:val="000000"/>
                <w:sz w:val="24"/>
                <w:szCs w:val="24"/>
              </w:rPr>
            </w:pPr>
          </w:p>
          <w:p w14:paraId="3B815A2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(AlOmari and Hamid 2022)</w:t>
            </w:r>
          </w:p>
        </w:tc>
      </w:tr>
      <w:tr w:rsidR="001A78F4" w14:paraId="1E6ADB8D" w14:textId="77777777">
        <w:trPr>
          <w:trHeight w:val="369"/>
        </w:trPr>
        <w:tc>
          <w:tcPr>
            <w:tcW w:w="5570" w:type="dxa"/>
          </w:tcPr>
          <w:p w14:paraId="3E191C2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 am confident that all medical professionals and staff are highly skilled.</w:t>
            </w:r>
          </w:p>
        </w:tc>
        <w:tc>
          <w:tcPr>
            <w:tcW w:w="950" w:type="dxa"/>
          </w:tcPr>
          <w:p w14:paraId="645A870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TR1</w:t>
            </w:r>
          </w:p>
        </w:tc>
        <w:tc>
          <w:tcPr>
            <w:tcW w:w="1110" w:type="dxa"/>
            <w:vAlign w:val="center"/>
          </w:tcPr>
          <w:p w14:paraId="7FFBA0A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0.889</w:t>
            </w:r>
          </w:p>
          <w:p w14:paraId="734E7FC7"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vAlign w:val="center"/>
          </w:tcPr>
          <w:p w14:paraId="2588EB2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0.825</w:t>
            </w:r>
          </w:p>
        </w:tc>
        <w:tc>
          <w:tcPr>
            <w:tcW w:w="1282" w:type="dxa"/>
            <w:vMerge/>
          </w:tcPr>
          <w:p w14:paraId="10B22CBC"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0A5747E2" w14:textId="77777777">
        <w:trPr>
          <w:trHeight w:val="804"/>
        </w:trPr>
        <w:tc>
          <w:tcPr>
            <w:tcW w:w="5570" w:type="dxa"/>
          </w:tcPr>
          <w:p w14:paraId="04756CF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have faith that every employee at this hospital provides trustworthy care.</w:t>
            </w:r>
          </w:p>
          <w:p w14:paraId="27E30BAA"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950" w:type="dxa"/>
          </w:tcPr>
          <w:p w14:paraId="4C4345D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TR2</w:t>
            </w:r>
          </w:p>
        </w:tc>
        <w:tc>
          <w:tcPr>
            <w:tcW w:w="1110" w:type="dxa"/>
            <w:vAlign w:val="center"/>
          </w:tcPr>
          <w:p w14:paraId="4BDBDF3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0.861</w:t>
            </w:r>
          </w:p>
        </w:tc>
        <w:tc>
          <w:tcPr>
            <w:tcW w:w="1110" w:type="dxa"/>
            <w:vAlign w:val="center"/>
          </w:tcPr>
          <w:p w14:paraId="4D100A9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0.781</w:t>
            </w:r>
          </w:p>
        </w:tc>
        <w:tc>
          <w:tcPr>
            <w:tcW w:w="1282" w:type="dxa"/>
            <w:vMerge/>
          </w:tcPr>
          <w:p w14:paraId="7B731E1D"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06CE1EE4" w14:textId="77777777">
        <w:tc>
          <w:tcPr>
            <w:tcW w:w="5570" w:type="dxa"/>
          </w:tcPr>
          <w:p w14:paraId="516D5AA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believe that all staff of this hospital demonstrate high integrity.</w:t>
            </w:r>
          </w:p>
        </w:tc>
        <w:tc>
          <w:tcPr>
            <w:tcW w:w="950" w:type="dxa"/>
          </w:tcPr>
          <w:p w14:paraId="6B3AAEC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TR3</w:t>
            </w:r>
          </w:p>
        </w:tc>
        <w:tc>
          <w:tcPr>
            <w:tcW w:w="1110" w:type="dxa"/>
            <w:vAlign w:val="center"/>
          </w:tcPr>
          <w:p w14:paraId="4550BFE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0.939</w:t>
            </w:r>
          </w:p>
          <w:p w14:paraId="45DF854B"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vAlign w:val="center"/>
          </w:tcPr>
          <w:p w14:paraId="2B096FC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0.966</w:t>
            </w:r>
          </w:p>
        </w:tc>
        <w:tc>
          <w:tcPr>
            <w:tcW w:w="1282" w:type="dxa"/>
            <w:vMerge/>
          </w:tcPr>
          <w:p w14:paraId="2412F858"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15CE3F71" w14:textId="77777777">
        <w:tc>
          <w:tcPr>
            <w:tcW w:w="5570" w:type="dxa"/>
          </w:tcPr>
          <w:p w14:paraId="2C83B8E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confident that this hospital offers the best value and quality of care.</w:t>
            </w:r>
          </w:p>
        </w:tc>
        <w:tc>
          <w:tcPr>
            <w:tcW w:w="950" w:type="dxa"/>
          </w:tcPr>
          <w:p w14:paraId="5459C9A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TR4</w:t>
            </w:r>
          </w:p>
        </w:tc>
        <w:tc>
          <w:tcPr>
            <w:tcW w:w="1110" w:type="dxa"/>
            <w:vAlign w:val="center"/>
          </w:tcPr>
          <w:p w14:paraId="139A64B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0.944</w:t>
            </w:r>
          </w:p>
        </w:tc>
        <w:tc>
          <w:tcPr>
            <w:tcW w:w="1110" w:type="dxa"/>
            <w:vAlign w:val="center"/>
          </w:tcPr>
          <w:p w14:paraId="2517624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0.977</w:t>
            </w:r>
          </w:p>
        </w:tc>
        <w:tc>
          <w:tcPr>
            <w:tcW w:w="1282" w:type="dxa"/>
            <w:vMerge/>
          </w:tcPr>
          <w:p w14:paraId="0D23144B"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3E1FDE0C" w14:textId="77777777">
        <w:tc>
          <w:tcPr>
            <w:tcW w:w="5570" w:type="dxa"/>
          </w:tcPr>
          <w:p w14:paraId="24647C6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Satisfaction </w:t>
            </w:r>
          </w:p>
        </w:tc>
        <w:tc>
          <w:tcPr>
            <w:tcW w:w="950" w:type="dxa"/>
          </w:tcPr>
          <w:p w14:paraId="3E04AD7E"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54809835"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645C167F"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282" w:type="dxa"/>
            <w:vMerge w:val="restart"/>
          </w:tcPr>
          <w:p w14:paraId="3BD7FFE5" w14:textId="77777777" w:rsidR="001A78F4" w:rsidRDefault="001A78F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880D466" w14:textId="77777777" w:rsidR="001A78F4" w:rsidRDefault="001A78F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1612F96" w14:textId="77777777" w:rsidR="001A78F4" w:rsidRDefault="001A78F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86B61DC" w14:textId="77777777" w:rsidR="001A78F4" w:rsidRDefault="001A78F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A9622FE" w14:textId="77777777" w:rsidR="001A78F4" w:rsidRDefault="001A78F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CC93DAA" w14:textId="77777777" w:rsidR="001A78F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(Nguyen et al., 2021) </w:t>
            </w:r>
          </w:p>
          <w:p w14:paraId="4F4FA954" w14:textId="77777777" w:rsidR="001A78F4" w:rsidRDefault="001A78F4">
            <w:pPr>
              <w:spacing w:line="360" w:lineRule="auto"/>
              <w:jc w:val="both"/>
              <w:rPr>
                <w:rFonts w:ascii="Times New Roman" w:eastAsia="Times New Roman" w:hAnsi="Times New Roman" w:cs="Times New Roman"/>
                <w:color w:val="000000"/>
                <w:sz w:val="24"/>
                <w:szCs w:val="24"/>
              </w:rPr>
            </w:pPr>
          </w:p>
        </w:tc>
      </w:tr>
      <w:tr w:rsidR="001A78F4" w14:paraId="3BF6E00D" w14:textId="77777777">
        <w:tc>
          <w:tcPr>
            <w:tcW w:w="5570" w:type="dxa"/>
          </w:tcPr>
          <w:p w14:paraId="679646B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 been satisfied with the quality of clinical service </w:t>
            </w:r>
          </w:p>
        </w:tc>
        <w:tc>
          <w:tcPr>
            <w:tcW w:w="950" w:type="dxa"/>
          </w:tcPr>
          <w:p w14:paraId="0B243BA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SAT1</w:t>
            </w:r>
          </w:p>
        </w:tc>
        <w:tc>
          <w:tcPr>
            <w:tcW w:w="1110" w:type="dxa"/>
            <w:vAlign w:val="center"/>
          </w:tcPr>
          <w:p w14:paraId="0810D5E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0.829</w:t>
            </w:r>
          </w:p>
        </w:tc>
        <w:tc>
          <w:tcPr>
            <w:tcW w:w="1110" w:type="dxa"/>
            <w:vAlign w:val="center"/>
          </w:tcPr>
          <w:p w14:paraId="08EAB1C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0.820</w:t>
            </w:r>
          </w:p>
        </w:tc>
        <w:tc>
          <w:tcPr>
            <w:tcW w:w="1282" w:type="dxa"/>
            <w:vMerge/>
          </w:tcPr>
          <w:p w14:paraId="2EB39F66"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0D5FFF91" w14:textId="77777777">
        <w:tc>
          <w:tcPr>
            <w:tcW w:w="5570" w:type="dxa"/>
          </w:tcPr>
          <w:p w14:paraId="08FE1DF4"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satisfied with the level of service given by medical professionals.</w:t>
            </w:r>
          </w:p>
        </w:tc>
        <w:tc>
          <w:tcPr>
            <w:tcW w:w="950" w:type="dxa"/>
          </w:tcPr>
          <w:p w14:paraId="17CFDB3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SAT2</w:t>
            </w:r>
          </w:p>
        </w:tc>
        <w:tc>
          <w:tcPr>
            <w:tcW w:w="1110" w:type="dxa"/>
            <w:vAlign w:val="center"/>
          </w:tcPr>
          <w:p w14:paraId="1C19314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0.828</w:t>
            </w:r>
          </w:p>
        </w:tc>
        <w:tc>
          <w:tcPr>
            <w:tcW w:w="1110" w:type="dxa"/>
            <w:vAlign w:val="center"/>
          </w:tcPr>
          <w:p w14:paraId="0D8382E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0.804</w:t>
            </w:r>
          </w:p>
        </w:tc>
        <w:tc>
          <w:tcPr>
            <w:tcW w:w="1282" w:type="dxa"/>
            <w:vMerge/>
          </w:tcPr>
          <w:p w14:paraId="0940934F"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661A232A" w14:textId="77777777">
        <w:tc>
          <w:tcPr>
            <w:tcW w:w="5570" w:type="dxa"/>
          </w:tcPr>
          <w:p w14:paraId="36DC043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happy with the service facilities and equipment.</w:t>
            </w:r>
          </w:p>
        </w:tc>
        <w:tc>
          <w:tcPr>
            <w:tcW w:w="950" w:type="dxa"/>
          </w:tcPr>
          <w:p w14:paraId="31998D3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SAT3</w:t>
            </w:r>
          </w:p>
        </w:tc>
        <w:tc>
          <w:tcPr>
            <w:tcW w:w="1110" w:type="dxa"/>
            <w:vAlign w:val="center"/>
          </w:tcPr>
          <w:p w14:paraId="6ACB406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0.831</w:t>
            </w:r>
          </w:p>
        </w:tc>
        <w:tc>
          <w:tcPr>
            <w:tcW w:w="1110" w:type="dxa"/>
            <w:vAlign w:val="center"/>
          </w:tcPr>
          <w:p w14:paraId="1272D64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0.850</w:t>
            </w:r>
          </w:p>
        </w:tc>
        <w:tc>
          <w:tcPr>
            <w:tcW w:w="1282" w:type="dxa"/>
            <w:vMerge/>
          </w:tcPr>
          <w:p w14:paraId="5A9375C6"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51E1684B" w14:textId="77777777">
        <w:tc>
          <w:tcPr>
            <w:tcW w:w="5570" w:type="dxa"/>
          </w:tcPr>
          <w:p w14:paraId="13C3F43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feel happy with the relationship that I have with this</w:t>
            </w:r>
          </w:p>
          <w:p w14:paraId="5F7D131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hospital.</w:t>
            </w:r>
          </w:p>
        </w:tc>
        <w:tc>
          <w:tcPr>
            <w:tcW w:w="950" w:type="dxa"/>
          </w:tcPr>
          <w:p w14:paraId="5C53024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SAT4</w:t>
            </w:r>
          </w:p>
        </w:tc>
        <w:tc>
          <w:tcPr>
            <w:tcW w:w="1110" w:type="dxa"/>
            <w:vAlign w:val="center"/>
          </w:tcPr>
          <w:p w14:paraId="778BF16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0.844</w:t>
            </w:r>
          </w:p>
        </w:tc>
        <w:tc>
          <w:tcPr>
            <w:tcW w:w="1110" w:type="dxa"/>
            <w:vAlign w:val="center"/>
          </w:tcPr>
          <w:p w14:paraId="4EB7F2E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0.806</w:t>
            </w:r>
          </w:p>
        </w:tc>
        <w:tc>
          <w:tcPr>
            <w:tcW w:w="1282" w:type="dxa"/>
            <w:vMerge/>
          </w:tcPr>
          <w:p w14:paraId="01EF3C1A"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60F9B086" w14:textId="77777777">
        <w:tc>
          <w:tcPr>
            <w:tcW w:w="5570" w:type="dxa"/>
          </w:tcPr>
          <w:p w14:paraId="4F6ADD9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Word of Mouth </w:t>
            </w:r>
          </w:p>
        </w:tc>
        <w:tc>
          <w:tcPr>
            <w:tcW w:w="950" w:type="dxa"/>
          </w:tcPr>
          <w:p w14:paraId="51C3BA41"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5CCD25A1"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45297F68"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282" w:type="dxa"/>
            <w:vMerge w:val="restart"/>
          </w:tcPr>
          <w:p w14:paraId="6409A48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(AlOmari and Hamid 2022)</w:t>
            </w:r>
          </w:p>
        </w:tc>
      </w:tr>
      <w:tr w:rsidR="001A78F4" w14:paraId="5D1AB612" w14:textId="77777777">
        <w:tc>
          <w:tcPr>
            <w:tcW w:w="5570" w:type="dxa"/>
          </w:tcPr>
          <w:p w14:paraId="65F5EA9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will share positive information about hospital.</w:t>
            </w:r>
          </w:p>
        </w:tc>
        <w:tc>
          <w:tcPr>
            <w:tcW w:w="950" w:type="dxa"/>
          </w:tcPr>
          <w:p w14:paraId="2635312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WOM1</w:t>
            </w:r>
          </w:p>
        </w:tc>
        <w:tc>
          <w:tcPr>
            <w:tcW w:w="1110" w:type="dxa"/>
          </w:tcPr>
          <w:p w14:paraId="61AC0CB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.844</w:t>
            </w:r>
          </w:p>
        </w:tc>
        <w:tc>
          <w:tcPr>
            <w:tcW w:w="1110" w:type="dxa"/>
            <w:vAlign w:val="center"/>
          </w:tcPr>
          <w:p w14:paraId="206FECD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0.798</w:t>
            </w:r>
          </w:p>
        </w:tc>
        <w:tc>
          <w:tcPr>
            <w:tcW w:w="1282" w:type="dxa"/>
            <w:vMerge/>
          </w:tcPr>
          <w:p w14:paraId="00DDEEB1"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3192A730" w14:textId="77777777">
        <w:tc>
          <w:tcPr>
            <w:tcW w:w="5570" w:type="dxa"/>
          </w:tcPr>
          <w:p w14:paraId="64C7AC1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will recommend these hospital services.</w:t>
            </w:r>
          </w:p>
        </w:tc>
        <w:tc>
          <w:tcPr>
            <w:tcW w:w="950" w:type="dxa"/>
          </w:tcPr>
          <w:p w14:paraId="5B22456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WOM2</w:t>
            </w:r>
          </w:p>
        </w:tc>
        <w:tc>
          <w:tcPr>
            <w:tcW w:w="1110" w:type="dxa"/>
            <w:vAlign w:val="center"/>
          </w:tcPr>
          <w:p w14:paraId="4CCD3FB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.953</w:t>
            </w:r>
          </w:p>
        </w:tc>
        <w:tc>
          <w:tcPr>
            <w:tcW w:w="1110" w:type="dxa"/>
            <w:vAlign w:val="center"/>
          </w:tcPr>
          <w:p w14:paraId="7912D56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0.975</w:t>
            </w:r>
          </w:p>
        </w:tc>
        <w:tc>
          <w:tcPr>
            <w:tcW w:w="1282" w:type="dxa"/>
            <w:vMerge/>
          </w:tcPr>
          <w:p w14:paraId="6292B766"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457496E9" w14:textId="77777777">
        <w:tc>
          <w:tcPr>
            <w:tcW w:w="5570" w:type="dxa"/>
          </w:tcPr>
          <w:p w14:paraId="62249BD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 would suggest this hospital to friends &amp; relatives for their medical facility.</w:t>
            </w:r>
          </w:p>
        </w:tc>
        <w:tc>
          <w:tcPr>
            <w:tcW w:w="950" w:type="dxa"/>
          </w:tcPr>
          <w:p w14:paraId="317AE11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WOM3</w:t>
            </w:r>
          </w:p>
        </w:tc>
        <w:tc>
          <w:tcPr>
            <w:tcW w:w="1110" w:type="dxa"/>
            <w:vAlign w:val="center"/>
          </w:tcPr>
          <w:p w14:paraId="521B123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.962</w:t>
            </w:r>
          </w:p>
        </w:tc>
        <w:tc>
          <w:tcPr>
            <w:tcW w:w="1110" w:type="dxa"/>
            <w:vAlign w:val="center"/>
          </w:tcPr>
          <w:p w14:paraId="7396AB6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0.988</w:t>
            </w:r>
          </w:p>
        </w:tc>
        <w:tc>
          <w:tcPr>
            <w:tcW w:w="1282" w:type="dxa"/>
            <w:vMerge/>
          </w:tcPr>
          <w:p w14:paraId="763AB667"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555462D5" w14:textId="77777777">
        <w:tc>
          <w:tcPr>
            <w:tcW w:w="5570" w:type="dxa"/>
          </w:tcPr>
          <w:p w14:paraId="24CE4E7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willing to share my positive experiences about this hospital online.</w:t>
            </w:r>
          </w:p>
        </w:tc>
        <w:tc>
          <w:tcPr>
            <w:tcW w:w="950" w:type="dxa"/>
          </w:tcPr>
          <w:p w14:paraId="19A54C0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WOM4</w:t>
            </w:r>
          </w:p>
        </w:tc>
        <w:tc>
          <w:tcPr>
            <w:tcW w:w="1110" w:type="dxa"/>
            <w:vAlign w:val="center"/>
          </w:tcPr>
          <w:p w14:paraId="75627AB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.964</w:t>
            </w:r>
          </w:p>
        </w:tc>
        <w:tc>
          <w:tcPr>
            <w:tcW w:w="1110" w:type="dxa"/>
            <w:vAlign w:val="center"/>
          </w:tcPr>
          <w:p w14:paraId="5E0B887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0.970</w:t>
            </w:r>
          </w:p>
        </w:tc>
        <w:tc>
          <w:tcPr>
            <w:tcW w:w="1282" w:type="dxa"/>
            <w:vMerge/>
          </w:tcPr>
          <w:p w14:paraId="7B7F14F8"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rsidRPr="002F4CFC" w14:paraId="683A4513" w14:textId="77777777">
        <w:tc>
          <w:tcPr>
            <w:tcW w:w="5570" w:type="dxa"/>
          </w:tcPr>
          <w:p w14:paraId="21605F3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Revisit Intention</w:t>
            </w:r>
          </w:p>
        </w:tc>
        <w:tc>
          <w:tcPr>
            <w:tcW w:w="950" w:type="dxa"/>
          </w:tcPr>
          <w:p w14:paraId="0931B905"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5393A7D7"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110" w:type="dxa"/>
          </w:tcPr>
          <w:p w14:paraId="629AD7B1"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282" w:type="dxa"/>
            <w:vMerge w:val="restart"/>
          </w:tcPr>
          <w:p w14:paraId="6951936A" w14:textId="77777777" w:rsidR="001A78F4" w:rsidRPr="00D400A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de-DE"/>
              </w:rPr>
            </w:pPr>
            <w:r w:rsidRPr="00D400A4">
              <w:rPr>
                <w:rFonts w:ascii="Times New Roman" w:eastAsia="Times New Roman" w:hAnsi="Times New Roman" w:cs="Times New Roman"/>
                <w:color w:val="000000"/>
                <w:sz w:val="24"/>
                <w:szCs w:val="24"/>
                <w:lang w:val="de-DE"/>
              </w:rPr>
              <w:t xml:space="preserve">Lai et al., 2020) </w:t>
            </w:r>
          </w:p>
          <w:p w14:paraId="79913BD8" w14:textId="77777777" w:rsidR="001A78F4" w:rsidRPr="00D400A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de-DE"/>
              </w:rPr>
            </w:pPr>
            <w:r w:rsidRPr="00D400A4">
              <w:rPr>
                <w:rFonts w:ascii="Times New Roman" w:eastAsia="Times New Roman" w:hAnsi="Times New Roman" w:cs="Times New Roman"/>
                <w:color w:val="000000"/>
                <w:sz w:val="24"/>
                <w:szCs w:val="24"/>
                <w:lang w:val="de-DE"/>
              </w:rPr>
              <w:t xml:space="preserve"> &amp;</w:t>
            </w:r>
          </w:p>
          <w:p w14:paraId="53B1D4B7" w14:textId="77777777" w:rsidR="001A78F4" w:rsidRPr="00D400A4" w:rsidRDefault="00000000">
            <w:pPr>
              <w:spacing w:line="360" w:lineRule="auto"/>
              <w:jc w:val="both"/>
              <w:rPr>
                <w:rFonts w:ascii="Times New Roman" w:eastAsia="Times New Roman" w:hAnsi="Times New Roman" w:cs="Times New Roman"/>
                <w:color w:val="000000"/>
                <w:sz w:val="24"/>
                <w:szCs w:val="24"/>
                <w:lang w:val="de-DE"/>
              </w:rPr>
            </w:pPr>
            <w:r w:rsidRPr="00D400A4">
              <w:rPr>
                <w:rFonts w:ascii="Times New Roman" w:eastAsia="Times New Roman" w:hAnsi="Times New Roman" w:cs="Times New Roman"/>
                <w:color w:val="000000"/>
                <w:sz w:val="24"/>
                <w:szCs w:val="24"/>
                <w:lang w:val="de-DE"/>
              </w:rPr>
              <w:t>(Nguyen et al., 2021)</w:t>
            </w:r>
          </w:p>
        </w:tc>
      </w:tr>
      <w:tr w:rsidR="001A78F4" w14:paraId="02D45F72" w14:textId="77777777">
        <w:tc>
          <w:tcPr>
            <w:tcW w:w="5570" w:type="dxa"/>
          </w:tcPr>
          <w:p w14:paraId="1E78C684"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always prefer this hospital as a top choice.</w:t>
            </w:r>
          </w:p>
        </w:tc>
        <w:tc>
          <w:tcPr>
            <w:tcW w:w="950" w:type="dxa"/>
          </w:tcPr>
          <w:p w14:paraId="1A647CE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RI1</w:t>
            </w:r>
          </w:p>
        </w:tc>
        <w:tc>
          <w:tcPr>
            <w:tcW w:w="1110" w:type="dxa"/>
            <w:vAlign w:val="center"/>
          </w:tcPr>
          <w:p w14:paraId="1C18D10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0.822</w:t>
            </w:r>
          </w:p>
        </w:tc>
        <w:tc>
          <w:tcPr>
            <w:tcW w:w="1110" w:type="dxa"/>
            <w:vAlign w:val="center"/>
          </w:tcPr>
          <w:p w14:paraId="7F1715C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0.760</w:t>
            </w:r>
          </w:p>
        </w:tc>
        <w:tc>
          <w:tcPr>
            <w:tcW w:w="1282" w:type="dxa"/>
            <w:vMerge/>
          </w:tcPr>
          <w:p w14:paraId="33ACAF78"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7FE086DF" w14:textId="77777777">
        <w:tc>
          <w:tcPr>
            <w:tcW w:w="5570" w:type="dxa"/>
          </w:tcPr>
          <w:p w14:paraId="285E4B84"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will continue using this hospital over others.</w:t>
            </w:r>
          </w:p>
        </w:tc>
        <w:tc>
          <w:tcPr>
            <w:tcW w:w="950" w:type="dxa"/>
          </w:tcPr>
          <w:p w14:paraId="4483DC2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RI2</w:t>
            </w:r>
          </w:p>
        </w:tc>
        <w:tc>
          <w:tcPr>
            <w:tcW w:w="1110" w:type="dxa"/>
            <w:vAlign w:val="center"/>
          </w:tcPr>
          <w:p w14:paraId="11A17C7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0.772</w:t>
            </w:r>
          </w:p>
        </w:tc>
        <w:tc>
          <w:tcPr>
            <w:tcW w:w="1110" w:type="dxa"/>
            <w:vAlign w:val="center"/>
          </w:tcPr>
          <w:p w14:paraId="7B2FBE5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0.705</w:t>
            </w:r>
          </w:p>
        </w:tc>
        <w:tc>
          <w:tcPr>
            <w:tcW w:w="1282" w:type="dxa"/>
            <w:vMerge/>
          </w:tcPr>
          <w:p w14:paraId="71A5C76D"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0A582966" w14:textId="77777777">
        <w:tc>
          <w:tcPr>
            <w:tcW w:w="5570" w:type="dxa"/>
          </w:tcPr>
          <w:p w14:paraId="63A316F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prioritise this hospital for my future medical needs.</w:t>
            </w:r>
          </w:p>
        </w:tc>
        <w:tc>
          <w:tcPr>
            <w:tcW w:w="950" w:type="dxa"/>
          </w:tcPr>
          <w:p w14:paraId="02B4E89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RI3</w:t>
            </w:r>
          </w:p>
        </w:tc>
        <w:tc>
          <w:tcPr>
            <w:tcW w:w="1110" w:type="dxa"/>
            <w:vAlign w:val="center"/>
          </w:tcPr>
          <w:p w14:paraId="714C6B3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0.849</w:t>
            </w:r>
          </w:p>
        </w:tc>
        <w:tc>
          <w:tcPr>
            <w:tcW w:w="1110" w:type="dxa"/>
            <w:vAlign w:val="center"/>
          </w:tcPr>
          <w:p w14:paraId="1BB9B57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0.820</w:t>
            </w:r>
          </w:p>
        </w:tc>
        <w:tc>
          <w:tcPr>
            <w:tcW w:w="1282" w:type="dxa"/>
            <w:vMerge/>
          </w:tcPr>
          <w:p w14:paraId="3E742FBD"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1A78F4" w14:paraId="11386E97" w14:textId="77777777">
        <w:tc>
          <w:tcPr>
            <w:tcW w:w="5570" w:type="dxa"/>
          </w:tcPr>
          <w:p w14:paraId="7338E95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will continue choosing service of this hospital even though there are many other options.</w:t>
            </w:r>
          </w:p>
        </w:tc>
        <w:tc>
          <w:tcPr>
            <w:tcW w:w="950" w:type="dxa"/>
          </w:tcPr>
          <w:p w14:paraId="695BE2A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RI4</w:t>
            </w:r>
          </w:p>
        </w:tc>
        <w:tc>
          <w:tcPr>
            <w:tcW w:w="1110" w:type="dxa"/>
            <w:vAlign w:val="center"/>
          </w:tcPr>
          <w:p w14:paraId="05120D7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0.840</w:t>
            </w:r>
          </w:p>
        </w:tc>
        <w:tc>
          <w:tcPr>
            <w:tcW w:w="1110" w:type="dxa"/>
            <w:vAlign w:val="center"/>
          </w:tcPr>
          <w:p w14:paraId="209A381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0.828</w:t>
            </w:r>
          </w:p>
        </w:tc>
        <w:tc>
          <w:tcPr>
            <w:tcW w:w="1282" w:type="dxa"/>
            <w:vMerge/>
          </w:tcPr>
          <w:p w14:paraId="576678E3" w14:textId="77777777" w:rsidR="001A78F4" w:rsidRDefault="001A78F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3CF74D54" w14:textId="77777777" w:rsidR="001A78F4" w:rsidRDefault="001A78F4">
      <w:pPr>
        <w:spacing w:line="360" w:lineRule="auto"/>
        <w:jc w:val="both"/>
        <w:rPr>
          <w:rFonts w:ascii="Times New Roman" w:eastAsia="Times New Roman" w:hAnsi="Times New Roman" w:cs="Times New Roman"/>
          <w:color w:val="000000"/>
          <w:sz w:val="24"/>
          <w:szCs w:val="24"/>
        </w:rPr>
      </w:pPr>
    </w:p>
    <w:p w14:paraId="765E6B60" w14:textId="77777777" w:rsidR="001A78F4"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4.2 Common Method Bias (CMB) Test</w:t>
      </w:r>
    </w:p>
    <w:p w14:paraId="1F4A363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Harman’s single-factor test was conducted to examine the presence of common method bias. We evaluated the probability of CMB to ensure that the data are free from self-perception bias (Sadiq et al., 2021). The first factor accounts for 26.931% of total variance (Table 2), less than 50 per cent. This justifies that there is no common method bias, and the collected bias is ready for further analysis (Podsakoff et al., 2012).</w:t>
      </w:r>
    </w:p>
    <w:p w14:paraId="7D0F9F71" w14:textId="77777777" w:rsidR="001A78F4" w:rsidRDefault="00000000">
      <w:pPr>
        <w:spacing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Table 2: Harman’s Single Factor Test</w:t>
      </w:r>
    </w:p>
    <w:tbl>
      <w:tblPr>
        <w:tblStyle w:val="a8"/>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1"/>
        <w:gridCol w:w="1028"/>
        <w:gridCol w:w="1445"/>
        <w:gridCol w:w="1461"/>
        <w:gridCol w:w="1169"/>
        <w:gridCol w:w="1445"/>
        <w:gridCol w:w="1461"/>
      </w:tblGrid>
      <w:tr w:rsidR="001A78F4" w14:paraId="41E90FD8" w14:textId="77777777">
        <w:trPr>
          <w:cantSplit/>
        </w:trPr>
        <w:tc>
          <w:tcPr>
            <w:tcW w:w="9300" w:type="dxa"/>
            <w:gridSpan w:val="7"/>
            <w:shd w:val="clear" w:color="auto" w:fill="FFFFFF"/>
            <w:vAlign w:val="center"/>
          </w:tcPr>
          <w:p w14:paraId="5B64B7B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Explanation of Total Variance </w:t>
            </w:r>
          </w:p>
        </w:tc>
      </w:tr>
      <w:tr w:rsidR="001A78F4" w14:paraId="3AD3CB5A" w14:textId="77777777">
        <w:trPr>
          <w:cantSplit/>
        </w:trPr>
        <w:tc>
          <w:tcPr>
            <w:tcW w:w="1291" w:type="dxa"/>
            <w:vMerge w:val="restart"/>
            <w:shd w:val="clear" w:color="auto" w:fill="FFFFFF"/>
            <w:vAlign w:val="bottom"/>
          </w:tcPr>
          <w:p w14:paraId="2511B0E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Component</w:t>
            </w:r>
          </w:p>
        </w:tc>
        <w:tc>
          <w:tcPr>
            <w:tcW w:w="3934" w:type="dxa"/>
            <w:gridSpan w:val="3"/>
            <w:shd w:val="clear" w:color="auto" w:fill="FFFFFF"/>
            <w:vAlign w:val="bottom"/>
          </w:tcPr>
          <w:p w14:paraId="32BD5DA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Initial Eigenvalues</w:t>
            </w:r>
          </w:p>
        </w:tc>
        <w:tc>
          <w:tcPr>
            <w:tcW w:w="4075" w:type="dxa"/>
            <w:gridSpan w:val="3"/>
            <w:shd w:val="clear" w:color="auto" w:fill="FFFFFF"/>
            <w:vAlign w:val="bottom"/>
          </w:tcPr>
          <w:p w14:paraId="25BF66B4"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Extraction Sums of Squared Loadings</w:t>
            </w:r>
          </w:p>
        </w:tc>
      </w:tr>
      <w:tr w:rsidR="001A78F4" w14:paraId="5BE21590" w14:textId="77777777">
        <w:trPr>
          <w:cantSplit/>
        </w:trPr>
        <w:tc>
          <w:tcPr>
            <w:tcW w:w="1291" w:type="dxa"/>
            <w:vMerge/>
            <w:shd w:val="clear" w:color="auto" w:fill="FFFFFF"/>
            <w:vAlign w:val="bottom"/>
          </w:tcPr>
          <w:p w14:paraId="6A2D0BDE" w14:textId="77777777" w:rsidR="001A78F4" w:rsidRDefault="001A78F4">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028" w:type="dxa"/>
            <w:shd w:val="clear" w:color="auto" w:fill="FFFFFF"/>
            <w:vAlign w:val="bottom"/>
          </w:tcPr>
          <w:p w14:paraId="5D2D2B1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445" w:type="dxa"/>
            <w:shd w:val="clear" w:color="auto" w:fill="FFFFFF"/>
            <w:vAlign w:val="bottom"/>
          </w:tcPr>
          <w:p w14:paraId="28DC3E8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of Variance</w:t>
            </w:r>
          </w:p>
        </w:tc>
        <w:tc>
          <w:tcPr>
            <w:tcW w:w="1461" w:type="dxa"/>
            <w:shd w:val="clear" w:color="auto" w:fill="FFFFFF"/>
            <w:vAlign w:val="bottom"/>
          </w:tcPr>
          <w:p w14:paraId="2458451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w:t>
            </w:r>
          </w:p>
        </w:tc>
        <w:tc>
          <w:tcPr>
            <w:tcW w:w="1169" w:type="dxa"/>
            <w:shd w:val="clear" w:color="auto" w:fill="FFFFFF"/>
            <w:vAlign w:val="bottom"/>
          </w:tcPr>
          <w:p w14:paraId="69607BF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445" w:type="dxa"/>
            <w:shd w:val="clear" w:color="auto" w:fill="FFFFFF"/>
            <w:vAlign w:val="bottom"/>
          </w:tcPr>
          <w:p w14:paraId="357FC9E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of Variance</w:t>
            </w:r>
          </w:p>
        </w:tc>
        <w:tc>
          <w:tcPr>
            <w:tcW w:w="1461" w:type="dxa"/>
            <w:shd w:val="clear" w:color="auto" w:fill="FFFFFF"/>
            <w:vAlign w:val="bottom"/>
          </w:tcPr>
          <w:p w14:paraId="02719EB4"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w:t>
            </w:r>
          </w:p>
        </w:tc>
      </w:tr>
      <w:tr w:rsidR="001A78F4" w14:paraId="6F44B22E" w14:textId="77777777">
        <w:trPr>
          <w:cantSplit/>
        </w:trPr>
        <w:tc>
          <w:tcPr>
            <w:tcW w:w="1291" w:type="dxa"/>
            <w:shd w:val="clear" w:color="auto" w:fill="E0E0E0"/>
          </w:tcPr>
          <w:p w14:paraId="0B621BA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28" w:type="dxa"/>
            <w:shd w:val="clear" w:color="auto" w:fill="FFFFFF"/>
          </w:tcPr>
          <w:p w14:paraId="4DCC3E3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6.463</w:t>
            </w:r>
          </w:p>
        </w:tc>
        <w:tc>
          <w:tcPr>
            <w:tcW w:w="1445" w:type="dxa"/>
            <w:shd w:val="clear" w:color="auto" w:fill="FFFFFF"/>
          </w:tcPr>
          <w:p w14:paraId="2F7CC98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26.931</w:t>
            </w:r>
          </w:p>
        </w:tc>
        <w:tc>
          <w:tcPr>
            <w:tcW w:w="1461" w:type="dxa"/>
            <w:shd w:val="clear" w:color="auto" w:fill="FFFFFF"/>
          </w:tcPr>
          <w:p w14:paraId="614C4DA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26.931</w:t>
            </w:r>
          </w:p>
        </w:tc>
        <w:tc>
          <w:tcPr>
            <w:tcW w:w="1169" w:type="dxa"/>
            <w:shd w:val="clear" w:color="auto" w:fill="FFFFFF"/>
          </w:tcPr>
          <w:p w14:paraId="474C0B6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6.463</w:t>
            </w:r>
          </w:p>
        </w:tc>
        <w:tc>
          <w:tcPr>
            <w:tcW w:w="1445" w:type="dxa"/>
            <w:shd w:val="clear" w:color="auto" w:fill="FFFFFF"/>
          </w:tcPr>
          <w:p w14:paraId="4B5E8BC4"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26.931</w:t>
            </w:r>
          </w:p>
        </w:tc>
        <w:tc>
          <w:tcPr>
            <w:tcW w:w="1461" w:type="dxa"/>
            <w:shd w:val="clear" w:color="auto" w:fill="FFFFFF"/>
          </w:tcPr>
          <w:p w14:paraId="0524C92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26.931</w:t>
            </w:r>
          </w:p>
        </w:tc>
      </w:tr>
      <w:tr w:rsidR="001A78F4" w14:paraId="4CE29698" w14:textId="77777777">
        <w:trPr>
          <w:cantSplit/>
        </w:trPr>
        <w:tc>
          <w:tcPr>
            <w:tcW w:w="1291" w:type="dxa"/>
            <w:shd w:val="clear" w:color="auto" w:fill="E0E0E0"/>
          </w:tcPr>
          <w:p w14:paraId="39747B9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028" w:type="dxa"/>
            <w:shd w:val="clear" w:color="auto" w:fill="FFFFFF"/>
          </w:tcPr>
          <w:p w14:paraId="44B5DA1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3.113</w:t>
            </w:r>
          </w:p>
        </w:tc>
        <w:tc>
          <w:tcPr>
            <w:tcW w:w="1445" w:type="dxa"/>
            <w:shd w:val="clear" w:color="auto" w:fill="FFFFFF"/>
          </w:tcPr>
          <w:p w14:paraId="0F7DACA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12.970</w:t>
            </w:r>
          </w:p>
        </w:tc>
        <w:tc>
          <w:tcPr>
            <w:tcW w:w="1461" w:type="dxa"/>
            <w:shd w:val="clear" w:color="auto" w:fill="FFFFFF"/>
          </w:tcPr>
          <w:p w14:paraId="63566BB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39.901</w:t>
            </w:r>
          </w:p>
        </w:tc>
        <w:tc>
          <w:tcPr>
            <w:tcW w:w="1169" w:type="dxa"/>
            <w:shd w:val="clear" w:color="auto" w:fill="FFFFFF"/>
            <w:vAlign w:val="center"/>
          </w:tcPr>
          <w:p w14:paraId="057064BE"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45" w:type="dxa"/>
            <w:shd w:val="clear" w:color="auto" w:fill="FFFFFF"/>
            <w:vAlign w:val="center"/>
          </w:tcPr>
          <w:p w14:paraId="43D58525"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61" w:type="dxa"/>
            <w:shd w:val="clear" w:color="auto" w:fill="FFFFFF"/>
            <w:vAlign w:val="center"/>
          </w:tcPr>
          <w:p w14:paraId="7161B827" w14:textId="77777777" w:rsidR="001A78F4" w:rsidRDefault="001A78F4">
            <w:pPr>
              <w:spacing w:line="360" w:lineRule="auto"/>
              <w:jc w:val="both"/>
              <w:rPr>
                <w:rFonts w:ascii="Times New Roman" w:eastAsia="Times New Roman" w:hAnsi="Times New Roman" w:cs="Times New Roman"/>
                <w:color w:val="000000"/>
                <w:sz w:val="24"/>
                <w:szCs w:val="24"/>
              </w:rPr>
            </w:pPr>
          </w:p>
        </w:tc>
      </w:tr>
      <w:tr w:rsidR="001A78F4" w14:paraId="6DADBAA3" w14:textId="77777777">
        <w:trPr>
          <w:cantSplit/>
        </w:trPr>
        <w:tc>
          <w:tcPr>
            <w:tcW w:w="1291" w:type="dxa"/>
            <w:shd w:val="clear" w:color="auto" w:fill="E0E0E0"/>
          </w:tcPr>
          <w:p w14:paraId="2BB82AC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28" w:type="dxa"/>
            <w:shd w:val="clear" w:color="auto" w:fill="FFFFFF"/>
          </w:tcPr>
          <w:p w14:paraId="534CBFF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2.797</w:t>
            </w:r>
          </w:p>
        </w:tc>
        <w:tc>
          <w:tcPr>
            <w:tcW w:w="1445" w:type="dxa"/>
            <w:shd w:val="clear" w:color="auto" w:fill="FFFFFF"/>
          </w:tcPr>
          <w:p w14:paraId="426C899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11.654</w:t>
            </w:r>
          </w:p>
        </w:tc>
        <w:tc>
          <w:tcPr>
            <w:tcW w:w="1461" w:type="dxa"/>
            <w:shd w:val="clear" w:color="auto" w:fill="FFFFFF"/>
          </w:tcPr>
          <w:p w14:paraId="58E76E8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51.555</w:t>
            </w:r>
          </w:p>
        </w:tc>
        <w:tc>
          <w:tcPr>
            <w:tcW w:w="1169" w:type="dxa"/>
            <w:shd w:val="clear" w:color="auto" w:fill="FFFFFF"/>
            <w:vAlign w:val="center"/>
          </w:tcPr>
          <w:p w14:paraId="4187F082"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45" w:type="dxa"/>
            <w:shd w:val="clear" w:color="auto" w:fill="FFFFFF"/>
            <w:vAlign w:val="center"/>
          </w:tcPr>
          <w:p w14:paraId="17227F4D"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61" w:type="dxa"/>
            <w:shd w:val="clear" w:color="auto" w:fill="FFFFFF"/>
            <w:vAlign w:val="center"/>
          </w:tcPr>
          <w:p w14:paraId="217A58CF" w14:textId="77777777" w:rsidR="001A78F4" w:rsidRDefault="001A78F4">
            <w:pPr>
              <w:spacing w:line="360" w:lineRule="auto"/>
              <w:jc w:val="both"/>
              <w:rPr>
                <w:rFonts w:ascii="Times New Roman" w:eastAsia="Times New Roman" w:hAnsi="Times New Roman" w:cs="Times New Roman"/>
                <w:color w:val="000000"/>
                <w:sz w:val="24"/>
                <w:szCs w:val="24"/>
              </w:rPr>
            </w:pPr>
          </w:p>
        </w:tc>
      </w:tr>
      <w:tr w:rsidR="001A78F4" w14:paraId="77D5FC7D" w14:textId="77777777">
        <w:trPr>
          <w:cantSplit/>
        </w:trPr>
        <w:tc>
          <w:tcPr>
            <w:tcW w:w="1291" w:type="dxa"/>
            <w:shd w:val="clear" w:color="auto" w:fill="E0E0E0"/>
          </w:tcPr>
          <w:p w14:paraId="3CDDFD5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028" w:type="dxa"/>
            <w:shd w:val="clear" w:color="auto" w:fill="FFFFFF"/>
          </w:tcPr>
          <w:p w14:paraId="2B4C013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2.335</w:t>
            </w:r>
          </w:p>
        </w:tc>
        <w:tc>
          <w:tcPr>
            <w:tcW w:w="1445" w:type="dxa"/>
            <w:shd w:val="clear" w:color="auto" w:fill="FFFFFF"/>
          </w:tcPr>
          <w:p w14:paraId="1DD861D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9.731</w:t>
            </w:r>
          </w:p>
        </w:tc>
        <w:tc>
          <w:tcPr>
            <w:tcW w:w="1461" w:type="dxa"/>
            <w:shd w:val="clear" w:color="auto" w:fill="FFFFFF"/>
          </w:tcPr>
          <w:p w14:paraId="112D74E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61.286</w:t>
            </w:r>
          </w:p>
        </w:tc>
        <w:tc>
          <w:tcPr>
            <w:tcW w:w="1169" w:type="dxa"/>
            <w:shd w:val="clear" w:color="auto" w:fill="FFFFFF"/>
            <w:vAlign w:val="center"/>
          </w:tcPr>
          <w:p w14:paraId="17EAA3ED"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45" w:type="dxa"/>
            <w:shd w:val="clear" w:color="auto" w:fill="FFFFFF"/>
            <w:vAlign w:val="center"/>
          </w:tcPr>
          <w:p w14:paraId="1F9F850E"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61" w:type="dxa"/>
            <w:shd w:val="clear" w:color="auto" w:fill="FFFFFF"/>
            <w:vAlign w:val="center"/>
          </w:tcPr>
          <w:p w14:paraId="45C02847" w14:textId="77777777" w:rsidR="001A78F4" w:rsidRDefault="001A78F4">
            <w:pPr>
              <w:spacing w:line="360" w:lineRule="auto"/>
              <w:jc w:val="both"/>
              <w:rPr>
                <w:rFonts w:ascii="Times New Roman" w:eastAsia="Times New Roman" w:hAnsi="Times New Roman" w:cs="Times New Roman"/>
                <w:color w:val="000000"/>
                <w:sz w:val="24"/>
                <w:szCs w:val="24"/>
              </w:rPr>
            </w:pPr>
          </w:p>
        </w:tc>
      </w:tr>
      <w:tr w:rsidR="001A78F4" w14:paraId="57745BD7" w14:textId="77777777">
        <w:trPr>
          <w:cantSplit/>
        </w:trPr>
        <w:tc>
          <w:tcPr>
            <w:tcW w:w="1291" w:type="dxa"/>
            <w:shd w:val="clear" w:color="auto" w:fill="E0E0E0"/>
          </w:tcPr>
          <w:p w14:paraId="6744394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028" w:type="dxa"/>
            <w:shd w:val="clear" w:color="auto" w:fill="FFFFFF"/>
          </w:tcPr>
          <w:p w14:paraId="3F571C6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2.276</w:t>
            </w:r>
          </w:p>
        </w:tc>
        <w:tc>
          <w:tcPr>
            <w:tcW w:w="1445" w:type="dxa"/>
            <w:shd w:val="clear" w:color="auto" w:fill="FFFFFF"/>
          </w:tcPr>
          <w:p w14:paraId="0BE9AF0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9.481</w:t>
            </w:r>
          </w:p>
        </w:tc>
        <w:tc>
          <w:tcPr>
            <w:tcW w:w="1461" w:type="dxa"/>
            <w:shd w:val="clear" w:color="auto" w:fill="FFFFFF"/>
          </w:tcPr>
          <w:p w14:paraId="1EEC72F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70.767</w:t>
            </w:r>
          </w:p>
        </w:tc>
        <w:tc>
          <w:tcPr>
            <w:tcW w:w="1169" w:type="dxa"/>
            <w:shd w:val="clear" w:color="auto" w:fill="FFFFFF"/>
            <w:vAlign w:val="center"/>
          </w:tcPr>
          <w:p w14:paraId="70024165"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45" w:type="dxa"/>
            <w:shd w:val="clear" w:color="auto" w:fill="FFFFFF"/>
            <w:vAlign w:val="center"/>
          </w:tcPr>
          <w:p w14:paraId="2193A239"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61" w:type="dxa"/>
            <w:shd w:val="clear" w:color="auto" w:fill="FFFFFF"/>
            <w:vAlign w:val="center"/>
          </w:tcPr>
          <w:p w14:paraId="37C33927" w14:textId="77777777" w:rsidR="001A78F4" w:rsidRDefault="001A78F4">
            <w:pPr>
              <w:spacing w:line="360" w:lineRule="auto"/>
              <w:jc w:val="both"/>
              <w:rPr>
                <w:rFonts w:ascii="Times New Roman" w:eastAsia="Times New Roman" w:hAnsi="Times New Roman" w:cs="Times New Roman"/>
                <w:color w:val="000000"/>
                <w:sz w:val="24"/>
                <w:szCs w:val="24"/>
              </w:rPr>
            </w:pPr>
          </w:p>
        </w:tc>
      </w:tr>
      <w:tr w:rsidR="001A78F4" w14:paraId="04C97CCF" w14:textId="77777777">
        <w:trPr>
          <w:cantSplit/>
        </w:trPr>
        <w:tc>
          <w:tcPr>
            <w:tcW w:w="1291" w:type="dxa"/>
            <w:shd w:val="clear" w:color="auto" w:fill="E0E0E0"/>
          </w:tcPr>
          <w:p w14:paraId="25F43CA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028" w:type="dxa"/>
            <w:shd w:val="clear" w:color="auto" w:fill="FFFFFF"/>
          </w:tcPr>
          <w:p w14:paraId="25C845B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1.794</w:t>
            </w:r>
          </w:p>
        </w:tc>
        <w:tc>
          <w:tcPr>
            <w:tcW w:w="1445" w:type="dxa"/>
            <w:shd w:val="clear" w:color="auto" w:fill="FFFFFF"/>
          </w:tcPr>
          <w:p w14:paraId="0F28206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7.476</w:t>
            </w:r>
          </w:p>
        </w:tc>
        <w:tc>
          <w:tcPr>
            <w:tcW w:w="1461" w:type="dxa"/>
            <w:shd w:val="clear" w:color="auto" w:fill="FFFFFF"/>
          </w:tcPr>
          <w:p w14:paraId="1170DB5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78.243</w:t>
            </w:r>
          </w:p>
        </w:tc>
        <w:tc>
          <w:tcPr>
            <w:tcW w:w="1169" w:type="dxa"/>
            <w:shd w:val="clear" w:color="auto" w:fill="FFFFFF"/>
            <w:vAlign w:val="center"/>
          </w:tcPr>
          <w:p w14:paraId="319BD8CC"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45" w:type="dxa"/>
            <w:shd w:val="clear" w:color="auto" w:fill="FFFFFF"/>
            <w:vAlign w:val="center"/>
          </w:tcPr>
          <w:p w14:paraId="42D8E06D" w14:textId="77777777" w:rsidR="001A78F4" w:rsidRDefault="001A78F4">
            <w:pPr>
              <w:spacing w:line="360" w:lineRule="auto"/>
              <w:jc w:val="both"/>
              <w:rPr>
                <w:rFonts w:ascii="Times New Roman" w:eastAsia="Times New Roman" w:hAnsi="Times New Roman" w:cs="Times New Roman"/>
                <w:color w:val="000000"/>
                <w:sz w:val="24"/>
                <w:szCs w:val="24"/>
              </w:rPr>
            </w:pPr>
          </w:p>
        </w:tc>
        <w:tc>
          <w:tcPr>
            <w:tcW w:w="1461" w:type="dxa"/>
            <w:shd w:val="clear" w:color="auto" w:fill="FFFFFF"/>
            <w:vAlign w:val="center"/>
          </w:tcPr>
          <w:p w14:paraId="15269908" w14:textId="77777777" w:rsidR="001A78F4" w:rsidRDefault="001A78F4">
            <w:pPr>
              <w:spacing w:line="360" w:lineRule="auto"/>
              <w:jc w:val="both"/>
              <w:rPr>
                <w:rFonts w:ascii="Times New Roman" w:eastAsia="Times New Roman" w:hAnsi="Times New Roman" w:cs="Times New Roman"/>
                <w:color w:val="000000"/>
                <w:sz w:val="24"/>
                <w:szCs w:val="24"/>
              </w:rPr>
            </w:pPr>
          </w:p>
        </w:tc>
      </w:tr>
      <w:tr w:rsidR="001A78F4" w14:paraId="5EF1285D" w14:textId="77777777">
        <w:trPr>
          <w:cantSplit/>
          <w:trHeight w:val="324"/>
        </w:trPr>
        <w:tc>
          <w:tcPr>
            <w:tcW w:w="9300" w:type="dxa"/>
            <w:gridSpan w:val="7"/>
            <w:shd w:val="clear" w:color="auto" w:fill="FFFFFF"/>
          </w:tcPr>
          <w:p w14:paraId="40C5CDD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Analysis of Principal Components is the extraction method.</w:t>
            </w:r>
          </w:p>
          <w:p w14:paraId="7F75A2BD" w14:textId="77777777" w:rsidR="001A78F4" w:rsidRDefault="001A78F4">
            <w:pPr>
              <w:spacing w:line="360" w:lineRule="auto"/>
              <w:jc w:val="both"/>
              <w:rPr>
                <w:rFonts w:ascii="Times New Roman" w:eastAsia="Times New Roman" w:hAnsi="Times New Roman" w:cs="Times New Roman"/>
                <w:color w:val="000000"/>
                <w:sz w:val="24"/>
                <w:szCs w:val="24"/>
              </w:rPr>
            </w:pPr>
          </w:p>
        </w:tc>
      </w:tr>
    </w:tbl>
    <w:p w14:paraId="64A673CA" w14:textId="77777777" w:rsidR="001A78F4" w:rsidRDefault="001A78F4">
      <w:pPr>
        <w:spacing w:line="360" w:lineRule="auto"/>
        <w:jc w:val="both"/>
        <w:rPr>
          <w:rFonts w:ascii="Times New Roman" w:eastAsia="Times New Roman" w:hAnsi="Times New Roman" w:cs="Times New Roman"/>
          <w:color w:val="000000"/>
          <w:sz w:val="24"/>
          <w:szCs w:val="24"/>
        </w:rPr>
      </w:pPr>
    </w:p>
    <w:p w14:paraId="60B4FDD3" w14:textId="77777777" w:rsidR="001A78F4" w:rsidRDefault="00000000">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4.3 Confirmatory Factor Analysis (CFA)</w:t>
      </w:r>
    </w:p>
    <w:p w14:paraId="1A7A61A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Confirmatory factor analysis (CFA) was employed to confirm all factor structure revealed by EFA. Table 1 (Model fit) indices show that the proposed model provided an excellent fit to the data. The Chi-Square statistic (CMIN) was 441.113 with 276 degrees of freedom, resulting in a CMIN/DF ratio of 1.861, which was within the acceptable range. The result of CFI, SRMR, RMSEA were 0.977, 0.043, 0.044, and the p-value for the close fit test (</w:t>
      </w:r>
      <w:proofErr w:type="spellStart"/>
      <w:r>
        <w:rPr>
          <w:rFonts w:ascii="Times New Roman" w:eastAsia="Times New Roman" w:hAnsi="Times New Roman" w:cs="Times New Roman"/>
          <w:color w:val="000000"/>
          <w:sz w:val="24"/>
          <w:szCs w:val="24"/>
        </w:rPr>
        <w:t>PClose</w:t>
      </w:r>
      <w:proofErr w:type="spellEnd"/>
      <w:r>
        <w:rPr>
          <w:rFonts w:ascii="Times New Roman" w:eastAsia="Times New Roman" w:hAnsi="Times New Roman" w:cs="Times New Roman"/>
          <w:color w:val="000000"/>
          <w:sz w:val="24"/>
          <w:szCs w:val="24"/>
        </w:rPr>
        <w:t>) was 0.945, all of which fall within the excellent fit range, as recommended by Hu and Bentler (1999).</w:t>
      </w:r>
    </w:p>
    <w:p w14:paraId="6400B02F" w14:textId="054D38DC" w:rsidR="001A78F4" w:rsidRDefault="00000000">
      <w:pPr>
        <w:spacing w:line="360" w:lineRule="auto"/>
        <w:jc w:val="both"/>
        <w:rPr>
          <w:rFonts w:ascii="Times New Roman" w:eastAsia="Times New Roman" w:hAnsi="Times New Roman" w:cs="Times New Roman"/>
          <w:color w:val="000000"/>
          <w:sz w:val="24"/>
          <w:szCs w:val="24"/>
        </w:rPr>
      </w:pPr>
      <w:bookmarkStart w:id="2" w:name="_heading=h.r8eskq3xj6q7" w:colFirst="0" w:colLast="0"/>
      <w:bookmarkEnd w:id="2"/>
      <w:r>
        <w:rPr>
          <w:rFonts w:ascii="Times New Roman" w:eastAsia="Times New Roman" w:hAnsi="Times New Roman" w:cs="Times New Roman"/>
          <w:color w:val="000000"/>
          <w:sz w:val="24"/>
          <w:szCs w:val="24"/>
        </w:rPr>
        <w:t xml:space="preserve">Convergent and discriminant validity within the model is confirmed by the CFA results (Tables 3 &amp; 4). According to Fornell and Larcker (1981) and Hair et al. (2010), the Average Variance </w:t>
      </w:r>
      <w:r>
        <w:rPr>
          <w:rFonts w:ascii="Times New Roman" w:eastAsia="Times New Roman" w:hAnsi="Times New Roman" w:cs="Times New Roman"/>
          <w:color w:val="000000"/>
          <w:sz w:val="24"/>
          <w:szCs w:val="24"/>
        </w:rPr>
        <w:lastRenderedPageBreak/>
        <w:t xml:space="preserve">Extracted (AVE) values </w:t>
      </w:r>
      <w:r w:rsidR="002F4CFC">
        <w:rPr>
          <w:rFonts w:ascii="Times New Roman" w:eastAsia="Times New Roman" w:hAnsi="Times New Roman" w:cs="Times New Roman"/>
          <w:color w:val="000000"/>
          <w:sz w:val="24"/>
          <w:szCs w:val="24"/>
        </w:rPr>
        <w:t>range</w:t>
      </w:r>
      <w:r>
        <w:rPr>
          <w:rFonts w:ascii="Times New Roman" w:eastAsia="Times New Roman" w:hAnsi="Times New Roman" w:cs="Times New Roman"/>
          <w:color w:val="000000"/>
          <w:sz w:val="24"/>
          <w:szCs w:val="24"/>
        </w:rPr>
        <w:t xml:space="preserve"> from 0.608 to 0.876, exceeding the recommended cutoff of 0.5 and </w:t>
      </w:r>
      <w:r w:rsidR="002F4CFC">
        <w:rPr>
          <w:rFonts w:ascii="Times New Roman" w:eastAsia="Times New Roman" w:hAnsi="Times New Roman" w:cs="Times New Roman"/>
          <w:color w:val="000000"/>
          <w:sz w:val="24"/>
          <w:szCs w:val="24"/>
        </w:rPr>
        <w:t>indicating</w:t>
      </w:r>
      <w:r>
        <w:rPr>
          <w:rFonts w:ascii="Times New Roman" w:eastAsia="Times New Roman" w:hAnsi="Times New Roman" w:cs="Times New Roman"/>
          <w:color w:val="000000"/>
          <w:sz w:val="24"/>
          <w:szCs w:val="24"/>
        </w:rPr>
        <w:t xml:space="preserve"> acceptable convergent validity. The Composite Reliability (CR) values range was 0.785 to 0.966, all of which exceed the 0.7 threshold, indicating good internal consistency. Acceptable discriminant validity is confirmed by Maximum Shared Variance (MSV) values, which ranged </w:t>
      </w:r>
      <w:r w:rsidR="002F4CFC">
        <w:rPr>
          <w:rFonts w:ascii="Times New Roman" w:eastAsia="Times New Roman" w:hAnsi="Times New Roman" w:cs="Times New Roman"/>
          <w:color w:val="000000"/>
          <w:sz w:val="24"/>
          <w:szCs w:val="24"/>
        </w:rPr>
        <w:t xml:space="preserve">from </w:t>
      </w:r>
      <w:r>
        <w:rPr>
          <w:rFonts w:ascii="Times New Roman" w:eastAsia="Times New Roman" w:hAnsi="Times New Roman" w:cs="Times New Roman"/>
          <w:color w:val="000000"/>
          <w:sz w:val="24"/>
          <w:szCs w:val="24"/>
        </w:rPr>
        <w:t xml:space="preserve">0.053 to 0.189 and are lower than respective AVE values. Additionally, proof of discriminant validity is provided by the fact that the square root of AVE for each concept is higher than the correlation coefficients between constructs (Hair et al., 2010). The HTMT analysis shows that the </w:t>
      </w:r>
      <w:proofErr w:type="spellStart"/>
      <w:r>
        <w:rPr>
          <w:rFonts w:ascii="Times New Roman" w:eastAsia="Times New Roman" w:hAnsi="Times New Roman" w:cs="Times New Roman"/>
          <w:color w:val="000000"/>
          <w:sz w:val="24"/>
          <w:szCs w:val="24"/>
        </w:rPr>
        <w:t>heterotrait-monotrait</w:t>
      </w:r>
      <w:proofErr w:type="spellEnd"/>
      <w:r>
        <w:rPr>
          <w:rFonts w:ascii="Times New Roman" w:eastAsia="Times New Roman" w:hAnsi="Times New Roman" w:cs="Times New Roman"/>
          <w:color w:val="000000"/>
          <w:sz w:val="24"/>
          <w:szCs w:val="24"/>
        </w:rPr>
        <w:t xml:space="preserve"> ratios are below 0.85, further confirming the originality of the constructs (Henseler, Ringle, and M. Sarstedt, 2015). Overall, these confirm the assurance of reliability and validity of the measurement model, demonstrating that all constructs are both well-defined and sufficiently distinct from one another, making them suitable for further analysis.</w:t>
      </w:r>
    </w:p>
    <w:p w14:paraId="0973F297" w14:textId="77777777" w:rsidR="001A78F4" w:rsidRDefault="00000000">
      <w:pPr>
        <w:keepNext/>
        <w:pBdr>
          <w:top w:val="nil"/>
          <w:left w:val="nil"/>
          <w:bottom w:val="nil"/>
          <w:right w:val="nil"/>
          <w:between w:val="nil"/>
        </w:pBdr>
        <w:spacing w:after="20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Table 3: Construct Validity Analysis</w:t>
      </w:r>
    </w:p>
    <w:tbl>
      <w:tblPr>
        <w:tblStyle w:val="a9"/>
        <w:tblW w:w="9013" w:type="dxa"/>
        <w:tblLayout w:type="fixed"/>
        <w:tblLook w:val="0400" w:firstRow="0" w:lastRow="0" w:firstColumn="0" w:lastColumn="0" w:noHBand="0" w:noVBand="1"/>
      </w:tblPr>
      <w:tblGrid>
        <w:gridCol w:w="1537"/>
        <w:gridCol w:w="660"/>
        <w:gridCol w:w="660"/>
        <w:gridCol w:w="660"/>
        <w:gridCol w:w="957"/>
        <w:gridCol w:w="957"/>
        <w:gridCol w:w="957"/>
        <w:gridCol w:w="957"/>
        <w:gridCol w:w="957"/>
        <w:gridCol w:w="711"/>
      </w:tblGrid>
      <w:tr w:rsidR="001A78F4" w14:paraId="262820E3" w14:textId="77777777">
        <w:trPr>
          <w:trHeight w:val="312"/>
        </w:trPr>
        <w:tc>
          <w:tcPr>
            <w:tcW w:w="1537" w:type="dxa"/>
            <w:tcBorders>
              <w:top w:val="single" w:sz="6" w:space="0" w:color="000000"/>
              <w:left w:val="single" w:sz="6" w:space="0" w:color="000000"/>
              <w:bottom w:val="single" w:sz="6" w:space="0" w:color="000000"/>
              <w:right w:val="single" w:sz="6" w:space="0" w:color="000000"/>
            </w:tcBorders>
            <w:vAlign w:val="center"/>
          </w:tcPr>
          <w:p w14:paraId="402E337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660" w:type="dxa"/>
            <w:tcBorders>
              <w:top w:val="single" w:sz="4" w:space="0" w:color="000000"/>
              <w:left w:val="nil"/>
              <w:bottom w:val="single" w:sz="4" w:space="0" w:color="000000"/>
              <w:right w:val="single" w:sz="4" w:space="0" w:color="000000"/>
            </w:tcBorders>
            <w:vAlign w:val="center"/>
          </w:tcPr>
          <w:p w14:paraId="4779474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w:t>
            </w:r>
          </w:p>
        </w:tc>
        <w:tc>
          <w:tcPr>
            <w:tcW w:w="660" w:type="dxa"/>
            <w:tcBorders>
              <w:top w:val="single" w:sz="4" w:space="0" w:color="000000"/>
              <w:left w:val="nil"/>
              <w:bottom w:val="single" w:sz="4" w:space="0" w:color="000000"/>
              <w:right w:val="single" w:sz="4" w:space="0" w:color="000000"/>
            </w:tcBorders>
            <w:vAlign w:val="center"/>
          </w:tcPr>
          <w:p w14:paraId="12B1447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w:t>
            </w:r>
          </w:p>
        </w:tc>
        <w:tc>
          <w:tcPr>
            <w:tcW w:w="660" w:type="dxa"/>
            <w:tcBorders>
              <w:top w:val="single" w:sz="4" w:space="0" w:color="000000"/>
              <w:left w:val="nil"/>
              <w:bottom w:val="single" w:sz="4" w:space="0" w:color="000000"/>
              <w:right w:val="single" w:sz="4" w:space="0" w:color="000000"/>
            </w:tcBorders>
            <w:vAlign w:val="center"/>
          </w:tcPr>
          <w:p w14:paraId="359C6DD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MSV</w:t>
            </w:r>
          </w:p>
        </w:tc>
        <w:tc>
          <w:tcPr>
            <w:tcW w:w="957" w:type="dxa"/>
            <w:tcBorders>
              <w:top w:val="single" w:sz="4" w:space="0" w:color="000000"/>
              <w:left w:val="nil"/>
              <w:bottom w:val="single" w:sz="4" w:space="0" w:color="000000"/>
              <w:right w:val="single" w:sz="4" w:space="0" w:color="000000"/>
            </w:tcBorders>
            <w:vAlign w:val="center"/>
          </w:tcPr>
          <w:p w14:paraId="4D2F689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w:t>
            </w:r>
          </w:p>
        </w:tc>
        <w:tc>
          <w:tcPr>
            <w:tcW w:w="957" w:type="dxa"/>
            <w:tcBorders>
              <w:top w:val="single" w:sz="4" w:space="0" w:color="000000"/>
              <w:left w:val="nil"/>
              <w:bottom w:val="single" w:sz="4" w:space="0" w:color="000000"/>
              <w:right w:val="single" w:sz="4" w:space="0" w:color="000000"/>
            </w:tcBorders>
            <w:vAlign w:val="center"/>
          </w:tcPr>
          <w:p w14:paraId="2ECC304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DL</w:t>
            </w:r>
          </w:p>
        </w:tc>
        <w:tc>
          <w:tcPr>
            <w:tcW w:w="957" w:type="dxa"/>
            <w:tcBorders>
              <w:top w:val="single" w:sz="4" w:space="0" w:color="000000"/>
              <w:left w:val="nil"/>
              <w:bottom w:val="single" w:sz="4" w:space="0" w:color="000000"/>
              <w:right w:val="single" w:sz="4" w:space="0" w:color="000000"/>
            </w:tcBorders>
            <w:vAlign w:val="center"/>
          </w:tcPr>
          <w:p w14:paraId="6A64582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w:t>
            </w:r>
          </w:p>
        </w:tc>
        <w:tc>
          <w:tcPr>
            <w:tcW w:w="957" w:type="dxa"/>
            <w:tcBorders>
              <w:top w:val="single" w:sz="4" w:space="0" w:color="000000"/>
              <w:left w:val="nil"/>
              <w:bottom w:val="single" w:sz="4" w:space="0" w:color="000000"/>
              <w:right w:val="single" w:sz="4" w:space="0" w:color="000000"/>
            </w:tcBorders>
            <w:vAlign w:val="center"/>
          </w:tcPr>
          <w:p w14:paraId="2696938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PBE</w:t>
            </w:r>
          </w:p>
        </w:tc>
        <w:tc>
          <w:tcPr>
            <w:tcW w:w="957" w:type="dxa"/>
            <w:tcBorders>
              <w:top w:val="single" w:sz="4" w:space="0" w:color="000000"/>
              <w:left w:val="nil"/>
              <w:bottom w:val="single" w:sz="4" w:space="0" w:color="000000"/>
              <w:right w:val="single" w:sz="4" w:space="0" w:color="000000"/>
            </w:tcBorders>
            <w:vAlign w:val="center"/>
          </w:tcPr>
          <w:p w14:paraId="79A6873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w:t>
            </w:r>
          </w:p>
        </w:tc>
        <w:tc>
          <w:tcPr>
            <w:tcW w:w="711" w:type="dxa"/>
            <w:tcBorders>
              <w:top w:val="single" w:sz="4" w:space="0" w:color="000000"/>
              <w:left w:val="nil"/>
              <w:bottom w:val="single" w:sz="4" w:space="0" w:color="000000"/>
              <w:right w:val="single" w:sz="4" w:space="0" w:color="000000"/>
            </w:tcBorders>
            <w:vAlign w:val="center"/>
          </w:tcPr>
          <w:p w14:paraId="049D6B4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PVPB</w:t>
            </w:r>
          </w:p>
        </w:tc>
      </w:tr>
      <w:tr w:rsidR="001A78F4" w14:paraId="41E2C760" w14:textId="77777777">
        <w:trPr>
          <w:trHeight w:val="312"/>
        </w:trPr>
        <w:tc>
          <w:tcPr>
            <w:tcW w:w="1537" w:type="dxa"/>
            <w:tcBorders>
              <w:top w:val="nil"/>
              <w:left w:val="single" w:sz="4" w:space="0" w:color="000000"/>
              <w:bottom w:val="single" w:sz="4" w:space="0" w:color="000000"/>
              <w:right w:val="single" w:sz="4" w:space="0" w:color="000000"/>
            </w:tcBorders>
            <w:vAlign w:val="center"/>
          </w:tcPr>
          <w:p w14:paraId="6C82658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w:t>
            </w:r>
          </w:p>
        </w:tc>
        <w:tc>
          <w:tcPr>
            <w:tcW w:w="660" w:type="dxa"/>
            <w:tcBorders>
              <w:top w:val="nil"/>
              <w:left w:val="nil"/>
              <w:bottom w:val="single" w:sz="4" w:space="0" w:color="000000"/>
              <w:right w:val="single" w:sz="4" w:space="0" w:color="000000"/>
            </w:tcBorders>
            <w:vAlign w:val="center"/>
          </w:tcPr>
          <w:p w14:paraId="617CD2D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0.966</w:t>
            </w:r>
          </w:p>
        </w:tc>
        <w:tc>
          <w:tcPr>
            <w:tcW w:w="660" w:type="dxa"/>
            <w:tcBorders>
              <w:top w:val="nil"/>
              <w:left w:val="nil"/>
              <w:bottom w:val="single" w:sz="4" w:space="0" w:color="000000"/>
              <w:right w:val="single" w:sz="4" w:space="0" w:color="000000"/>
            </w:tcBorders>
            <w:vAlign w:val="center"/>
          </w:tcPr>
          <w:p w14:paraId="0CB0646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0.876</w:t>
            </w:r>
          </w:p>
        </w:tc>
        <w:tc>
          <w:tcPr>
            <w:tcW w:w="660" w:type="dxa"/>
            <w:tcBorders>
              <w:top w:val="nil"/>
              <w:left w:val="nil"/>
              <w:bottom w:val="single" w:sz="4" w:space="0" w:color="000000"/>
              <w:right w:val="single" w:sz="4" w:space="0" w:color="000000"/>
            </w:tcBorders>
            <w:vAlign w:val="center"/>
          </w:tcPr>
          <w:p w14:paraId="6607CFE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w:t>
            </w:r>
          </w:p>
        </w:tc>
        <w:tc>
          <w:tcPr>
            <w:tcW w:w="957" w:type="dxa"/>
            <w:tcBorders>
              <w:top w:val="nil"/>
              <w:left w:val="nil"/>
              <w:bottom w:val="single" w:sz="4" w:space="0" w:color="000000"/>
              <w:right w:val="single" w:sz="4" w:space="0" w:color="000000"/>
            </w:tcBorders>
            <w:vAlign w:val="center"/>
          </w:tcPr>
          <w:p w14:paraId="54BEC12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0.936</w:t>
            </w:r>
          </w:p>
        </w:tc>
        <w:tc>
          <w:tcPr>
            <w:tcW w:w="957" w:type="dxa"/>
            <w:tcBorders>
              <w:top w:val="nil"/>
              <w:left w:val="nil"/>
              <w:bottom w:val="single" w:sz="4" w:space="0" w:color="000000"/>
              <w:right w:val="single" w:sz="4" w:space="0" w:color="000000"/>
            </w:tcBorders>
            <w:vAlign w:val="center"/>
          </w:tcPr>
          <w:p w14:paraId="3503F96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7" w:type="dxa"/>
            <w:tcBorders>
              <w:top w:val="nil"/>
              <w:left w:val="nil"/>
              <w:bottom w:val="single" w:sz="4" w:space="0" w:color="000000"/>
              <w:right w:val="single" w:sz="4" w:space="0" w:color="000000"/>
            </w:tcBorders>
            <w:vAlign w:val="center"/>
          </w:tcPr>
          <w:p w14:paraId="7483221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7" w:type="dxa"/>
            <w:tcBorders>
              <w:top w:val="nil"/>
              <w:left w:val="nil"/>
              <w:bottom w:val="single" w:sz="4" w:space="0" w:color="000000"/>
              <w:right w:val="single" w:sz="4" w:space="0" w:color="000000"/>
            </w:tcBorders>
            <w:vAlign w:val="center"/>
          </w:tcPr>
          <w:p w14:paraId="65C0492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7" w:type="dxa"/>
            <w:tcBorders>
              <w:top w:val="nil"/>
              <w:left w:val="nil"/>
              <w:bottom w:val="single" w:sz="4" w:space="0" w:color="000000"/>
              <w:right w:val="single" w:sz="4" w:space="0" w:color="000000"/>
            </w:tcBorders>
            <w:vAlign w:val="center"/>
          </w:tcPr>
          <w:p w14:paraId="1CC3A4B4"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11" w:type="dxa"/>
            <w:tcBorders>
              <w:top w:val="nil"/>
              <w:left w:val="nil"/>
              <w:bottom w:val="single" w:sz="4" w:space="0" w:color="000000"/>
              <w:right w:val="single" w:sz="4" w:space="0" w:color="000000"/>
            </w:tcBorders>
            <w:vAlign w:val="center"/>
          </w:tcPr>
          <w:p w14:paraId="18925C1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1A78F4" w14:paraId="50333F48" w14:textId="77777777">
        <w:trPr>
          <w:trHeight w:val="312"/>
        </w:trPr>
        <w:tc>
          <w:tcPr>
            <w:tcW w:w="1537" w:type="dxa"/>
            <w:tcBorders>
              <w:top w:val="nil"/>
              <w:left w:val="single" w:sz="4" w:space="0" w:color="000000"/>
              <w:bottom w:val="single" w:sz="4" w:space="0" w:color="000000"/>
              <w:right w:val="single" w:sz="4" w:space="0" w:color="000000"/>
            </w:tcBorders>
            <w:vAlign w:val="center"/>
          </w:tcPr>
          <w:p w14:paraId="3407877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Trust</w:t>
            </w:r>
          </w:p>
        </w:tc>
        <w:tc>
          <w:tcPr>
            <w:tcW w:w="660" w:type="dxa"/>
            <w:tcBorders>
              <w:top w:val="nil"/>
              <w:left w:val="nil"/>
              <w:bottom w:val="single" w:sz="4" w:space="0" w:color="000000"/>
              <w:right w:val="single" w:sz="4" w:space="0" w:color="000000"/>
            </w:tcBorders>
            <w:vAlign w:val="center"/>
          </w:tcPr>
          <w:p w14:paraId="1FE5A98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0.939</w:t>
            </w:r>
          </w:p>
        </w:tc>
        <w:tc>
          <w:tcPr>
            <w:tcW w:w="660" w:type="dxa"/>
            <w:tcBorders>
              <w:top w:val="nil"/>
              <w:left w:val="nil"/>
              <w:bottom w:val="single" w:sz="4" w:space="0" w:color="000000"/>
              <w:right w:val="single" w:sz="4" w:space="0" w:color="000000"/>
            </w:tcBorders>
            <w:vAlign w:val="center"/>
          </w:tcPr>
          <w:p w14:paraId="48A5F8E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0.795</w:t>
            </w:r>
          </w:p>
        </w:tc>
        <w:tc>
          <w:tcPr>
            <w:tcW w:w="660" w:type="dxa"/>
            <w:tcBorders>
              <w:top w:val="nil"/>
              <w:left w:val="nil"/>
              <w:bottom w:val="single" w:sz="4" w:space="0" w:color="000000"/>
              <w:right w:val="single" w:sz="4" w:space="0" w:color="000000"/>
            </w:tcBorders>
            <w:vAlign w:val="center"/>
          </w:tcPr>
          <w:p w14:paraId="2249E99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0.058</w:t>
            </w:r>
          </w:p>
        </w:tc>
        <w:tc>
          <w:tcPr>
            <w:tcW w:w="957" w:type="dxa"/>
            <w:tcBorders>
              <w:top w:val="nil"/>
              <w:left w:val="nil"/>
              <w:bottom w:val="single" w:sz="4" w:space="0" w:color="000000"/>
              <w:right w:val="single" w:sz="4" w:space="0" w:color="000000"/>
            </w:tcBorders>
            <w:vAlign w:val="center"/>
          </w:tcPr>
          <w:p w14:paraId="089235F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0.115*</w:t>
            </w:r>
          </w:p>
        </w:tc>
        <w:tc>
          <w:tcPr>
            <w:tcW w:w="957" w:type="dxa"/>
            <w:tcBorders>
              <w:top w:val="nil"/>
              <w:left w:val="nil"/>
              <w:bottom w:val="single" w:sz="4" w:space="0" w:color="000000"/>
              <w:right w:val="single" w:sz="4" w:space="0" w:color="000000"/>
            </w:tcBorders>
            <w:vAlign w:val="center"/>
          </w:tcPr>
          <w:p w14:paraId="6C2E34B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0.892</w:t>
            </w:r>
          </w:p>
        </w:tc>
        <w:tc>
          <w:tcPr>
            <w:tcW w:w="957" w:type="dxa"/>
            <w:tcBorders>
              <w:top w:val="nil"/>
              <w:left w:val="nil"/>
              <w:bottom w:val="single" w:sz="4" w:space="0" w:color="000000"/>
              <w:right w:val="single" w:sz="4" w:space="0" w:color="000000"/>
            </w:tcBorders>
            <w:vAlign w:val="center"/>
          </w:tcPr>
          <w:p w14:paraId="43A8B8A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7" w:type="dxa"/>
            <w:tcBorders>
              <w:top w:val="nil"/>
              <w:left w:val="nil"/>
              <w:bottom w:val="single" w:sz="4" w:space="0" w:color="000000"/>
              <w:right w:val="single" w:sz="4" w:space="0" w:color="000000"/>
            </w:tcBorders>
            <w:vAlign w:val="center"/>
          </w:tcPr>
          <w:p w14:paraId="3AC0C1C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7" w:type="dxa"/>
            <w:tcBorders>
              <w:top w:val="nil"/>
              <w:left w:val="nil"/>
              <w:bottom w:val="single" w:sz="4" w:space="0" w:color="000000"/>
              <w:right w:val="single" w:sz="4" w:space="0" w:color="000000"/>
            </w:tcBorders>
            <w:vAlign w:val="center"/>
          </w:tcPr>
          <w:p w14:paraId="0FD794D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11" w:type="dxa"/>
            <w:tcBorders>
              <w:top w:val="nil"/>
              <w:left w:val="nil"/>
              <w:bottom w:val="single" w:sz="4" w:space="0" w:color="000000"/>
              <w:right w:val="single" w:sz="4" w:space="0" w:color="000000"/>
            </w:tcBorders>
            <w:vAlign w:val="center"/>
          </w:tcPr>
          <w:p w14:paraId="5C76AF6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1A78F4" w14:paraId="2E86876B" w14:textId="77777777">
        <w:trPr>
          <w:trHeight w:val="312"/>
        </w:trPr>
        <w:tc>
          <w:tcPr>
            <w:tcW w:w="1537" w:type="dxa"/>
            <w:tcBorders>
              <w:top w:val="nil"/>
              <w:left w:val="single" w:sz="4" w:space="0" w:color="000000"/>
              <w:bottom w:val="single" w:sz="4" w:space="0" w:color="000000"/>
              <w:right w:val="single" w:sz="4" w:space="0" w:color="000000"/>
            </w:tcBorders>
            <w:vAlign w:val="center"/>
          </w:tcPr>
          <w:p w14:paraId="590F909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Satisfaction</w:t>
            </w:r>
          </w:p>
        </w:tc>
        <w:tc>
          <w:tcPr>
            <w:tcW w:w="660" w:type="dxa"/>
            <w:tcBorders>
              <w:top w:val="nil"/>
              <w:left w:val="nil"/>
              <w:bottom w:val="single" w:sz="4" w:space="0" w:color="000000"/>
              <w:right w:val="single" w:sz="4" w:space="0" w:color="000000"/>
            </w:tcBorders>
            <w:vAlign w:val="center"/>
          </w:tcPr>
          <w:p w14:paraId="452AA5C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0.892</w:t>
            </w:r>
          </w:p>
        </w:tc>
        <w:tc>
          <w:tcPr>
            <w:tcW w:w="660" w:type="dxa"/>
            <w:tcBorders>
              <w:top w:val="nil"/>
              <w:left w:val="nil"/>
              <w:bottom w:val="single" w:sz="4" w:space="0" w:color="000000"/>
              <w:right w:val="single" w:sz="4" w:space="0" w:color="000000"/>
            </w:tcBorders>
            <w:vAlign w:val="center"/>
          </w:tcPr>
          <w:p w14:paraId="1025C01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0.673</w:t>
            </w:r>
          </w:p>
        </w:tc>
        <w:tc>
          <w:tcPr>
            <w:tcW w:w="660" w:type="dxa"/>
            <w:tcBorders>
              <w:top w:val="nil"/>
              <w:left w:val="nil"/>
              <w:bottom w:val="single" w:sz="4" w:space="0" w:color="000000"/>
              <w:right w:val="single" w:sz="4" w:space="0" w:color="000000"/>
            </w:tcBorders>
            <w:vAlign w:val="center"/>
          </w:tcPr>
          <w:p w14:paraId="1347308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0.162</w:t>
            </w:r>
          </w:p>
        </w:tc>
        <w:tc>
          <w:tcPr>
            <w:tcW w:w="957" w:type="dxa"/>
            <w:tcBorders>
              <w:top w:val="nil"/>
              <w:left w:val="nil"/>
              <w:bottom w:val="single" w:sz="4" w:space="0" w:color="000000"/>
              <w:right w:val="single" w:sz="4" w:space="0" w:color="000000"/>
            </w:tcBorders>
            <w:vAlign w:val="center"/>
          </w:tcPr>
          <w:p w14:paraId="2D1DCD1D"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0.276***</w:t>
            </w:r>
          </w:p>
        </w:tc>
        <w:tc>
          <w:tcPr>
            <w:tcW w:w="957" w:type="dxa"/>
            <w:tcBorders>
              <w:top w:val="nil"/>
              <w:left w:val="nil"/>
              <w:bottom w:val="single" w:sz="4" w:space="0" w:color="000000"/>
              <w:right w:val="single" w:sz="4" w:space="0" w:color="000000"/>
            </w:tcBorders>
            <w:vAlign w:val="center"/>
          </w:tcPr>
          <w:p w14:paraId="6B52A71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0.234***</w:t>
            </w:r>
          </w:p>
        </w:tc>
        <w:tc>
          <w:tcPr>
            <w:tcW w:w="957" w:type="dxa"/>
            <w:tcBorders>
              <w:top w:val="nil"/>
              <w:left w:val="nil"/>
              <w:bottom w:val="single" w:sz="4" w:space="0" w:color="000000"/>
              <w:right w:val="single" w:sz="4" w:space="0" w:color="000000"/>
            </w:tcBorders>
            <w:vAlign w:val="center"/>
          </w:tcPr>
          <w:p w14:paraId="5CE17AE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0.820</w:t>
            </w:r>
          </w:p>
        </w:tc>
        <w:tc>
          <w:tcPr>
            <w:tcW w:w="957" w:type="dxa"/>
            <w:tcBorders>
              <w:top w:val="nil"/>
              <w:left w:val="nil"/>
              <w:bottom w:val="single" w:sz="4" w:space="0" w:color="000000"/>
              <w:right w:val="single" w:sz="4" w:space="0" w:color="000000"/>
            </w:tcBorders>
            <w:vAlign w:val="center"/>
          </w:tcPr>
          <w:p w14:paraId="5135678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7" w:type="dxa"/>
            <w:tcBorders>
              <w:top w:val="nil"/>
              <w:left w:val="nil"/>
              <w:bottom w:val="single" w:sz="4" w:space="0" w:color="000000"/>
              <w:right w:val="single" w:sz="4" w:space="0" w:color="000000"/>
            </w:tcBorders>
            <w:vAlign w:val="center"/>
          </w:tcPr>
          <w:p w14:paraId="08D298C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11" w:type="dxa"/>
            <w:tcBorders>
              <w:top w:val="nil"/>
              <w:left w:val="nil"/>
              <w:bottom w:val="single" w:sz="4" w:space="0" w:color="000000"/>
              <w:right w:val="single" w:sz="4" w:space="0" w:color="000000"/>
            </w:tcBorders>
            <w:vAlign w:val="center"/>
          </w:tcPr>
          <w:p w14:paraId="123C4DE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1A78F4" w14:paraId="08F0D87E" w14:textId="77777777">
        <w:trPr>
          <w:trHeight w:val="312"/>
        </w:trPr>
        <w:tc>
          <w:tcPr>
            <w:tcW w:w="1537" w:type="dxa"/>
            <w:tcBorders>
              <w:top w:val="nil"/>
              <w:left w:val="single" w:sz="4" w:space="0" w:color="000000"/>
              <w:bottom w:val="single" w:sz="4" w:space="0" w:color="000000"/>
              <w:right w:val="single" w:sz="4" w:space="0" w:color="000000"/>
            </w:tcBorders>
            <w:vAlign w:val="center"/>
          </w:tcPr>
          <w:p w14:paraId="7A05D32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 Quality</w:t>
            </w:r>
          </w:p>
        </w:tc>
        <w:tc>
          <w:tcPr>
            <w:tcW w:w="660" w:type="dxa"/>
            <w:tcBorders>
              <w:top w:val="nil"/>
              <w:left w:val="nil"/>
              <w:bottom w:val="single" w:sz="4" w:space="0" w:color="000000"/>
              <w:right w:val="single" w:sz="4" w:space="0" w:color="000000"/>
            </w:tcBorders>
            <w:vAlign w:val="center"/>
          </w:tcPr>
          <w:p w14:paraId="4C839E92"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0.885</w:t>
            </w:r>
          </w:p>
        </w:tc>
        <w:tc>
          <w:tcPr>
            <w:tcW w:w="660" w:type="dxa"/>
            <w:tcBorders>
              <w:top w:val="nil"/>
              <w:left w:val="nil"/>
              <w:bottom w:val="single" w:sz="4" w:space="0" w:color="000000"/>
              <w:right w:val="single" w:sz="4" w:space="0" w:color="000000"/>
            </w:tcBorders>
            <w:vAlign w:val="center"/>
          </w:tcPr>
          <w:p w14:paraId="7067217A"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0.667</w:t>
            </w:r>
          </w:p>
        </w:tc>
        <w:tc>
          <w:tcPr>
            <w:tcW w:w="660" w:type="dxa"/>
            <w:tcBorders>
              <w:top w:val="nil"/>
              <w:left w:val="nil"/>
              <w:bottom w:val="single" w:sz="4" w:space="0" w:color="000000"/>
              <w:right w:val="single" w:sz="4" w:space="0" w:color="000000"/>
            </w:tcBorders>
            <w:vAlign w:val="center"/>
          </w:tcPr>
          <w:p w14:paraId="3F7C286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0.162</w:t>
            </w:r>
          </w:p>
        </w:tc>
        <w:tc>
          <w:tcPr>
            <w:tcW w:w="957" w:type="dxa"/>
            <w:tcBorders>
              <w:top w:val="nil"/>
              <w:left w:val="nil"/>
              <w:bottom w:val="single" w:sz="4" w:space="0" w:color="000000"/>
              <w:right w:val="single" w:sz="4" w:space="0" w:color="000000"/>
            </w:tcBorders>
            <w:vAlign w:val="center"/>
          </w:tcPr>
          <w:p w14:paraId="1925C9D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0.204***</w:t>
            </w:r>
          </w:p>
        </w:tc>
        <w:tc>
          <w:tcPr>
            <w:tcW w:w="957" w:type="dxa"/>
            <w:tcBorders>
              <w:top w:val="nil"/>
              <w:left w:val="nil"/>
              <w:bottom w:val="single" w:sz="4" w:space="0" w:color="000000"/>
              <w:right w:val="single" w:sz="4" w:space="0" w:color="000000"/>
            </w:tcBorders>
            <w:vAlign w:val="center"/>
          </w:tcPr>
          <w:p w14:paraId="59BBE95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0.114*</w:t>
            </w:r>
          </w:p>
        </w:tc>
        <w:tc>
          <w:tcPr>
            <w:tcW w:w="957" w:type="dxa"/>
            <w:tcBorders>
              <w:top w:val="nil"/>
              <w:left w:val="nil"/>
              <w:bottom w:val="single" w:sz="4" w:space="0" w:color="000000"/>
              <w:right w:val="single" w:sz="4" w:space="0" w:color="000000"/>
            </w:tcBorders>
            <w:vAlign w:val="center"/>
          </w:tcPr>
          <w:p w14:paraId="18F43C2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0.403***</w:t>
            </w:r>
          </w:p>
        </w:tc>
        <w:tc>
          <w:tcPr>
            <w:tcW w:w="957" w:type="dxa"/>
            <w:tcBorders>
              <w:top w:val="nil"/>
              <w:left w:val="nil"/>
              <w:bottom w:val="single" w:sz="4" w:space="0" w:color="000000"/>
              <w:right w:val="single" w:sz="4" w:space="0" w:color="000000"/>
            </w:tcBorders>
            <w:vAlign w:val="center"/>
          </w:tcPr>
          <w:p w14:paraId="6CB358F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0.816</w:t>
            </w:r>
          </w:p>
        </w:tc>
        <w:tc>
          <w:tcPr>
            <w:tcW w:w="957" w:type="dxa"/>
            <w:tcBorders>
              <w:top w:val="nil"/>
              <w:left w:val="nil"/>
              <w:bottom w:val="single" w:sz="4" w:space="0" w:color="000000"/>
              <w:right w:val="single" w:sz="4" w:space="0" w:color="000000"/>
            </w:tcBorders>
            <w:vAlign w:val="center"/>
          </w:tcPr>
          <w:p w14:paraId="3768BE3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711" w:type="dxa"/>
            <w:tcBorders>
              <w:top w:val="nil"/>
              <w:left w:val="nil"/>
              <w:bottom w:val="single" w:sz="4" w:space="0" w:color="000000"/>
              <w:right w:val="single" w:sz="4" w:space="0" w:color="000000"/>
            </w:tcBorders>
            <w:vAlign w:val="center"/>
          </w:tcPr>
          <w:p w14:paraId="48553C23"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1A78F4" w14:paraId="345D21CC" w14:textId="77777777">
        <w:trPr>
          <w:trHeight w:val="312"/>
        </w:trPr>
        <w:tc>
          <w:tcPr>
            <w:tcW w:w="1537" w:type="dxa"/>
            <w:tcBorders>
              <w:top w:val="nil"/>
              <w:left w:val="single" w:sz="4" w:space="0" w:color="000000"/>
              <w:bottom w:val="single" w:sz="4" w:space="0" w:color="000000"/>
              <w:right w:val="single" w:sz="4" w:space="0" w:color="000000"/>
            </w:tcBorders>
            <w:vAlign w:val="center"/>
          </w:tcPr>
          <w:p w14:paraId="1AAE221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Brand Image</w:t>
            </w:r>
          </w:p>
        </w:tc>
        <w:tc>
          <w:tcPr>
            <w:tcW w:w="660" w:type="dxa"/>
            <w:tcBorders>
              <w:top w:val="nil"/>
              <w:left w:val="nil"/>
              <w:bottom w:val="single" w:sz="4" w:space="0" w:color="000000"/>
              <w:right w:val="single" w:sz="4" w:space="0" w:color="000000"/>
            </w:tcBorders>
            <w:vAlign w:val="center"/>
          </w:tcPr>
          <w:p w14:paraId="255E3DF9"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0.865</w:t>
            </w:r>
          </w:p>
        </w:tc>
        <w:tc>
          <w:tcPr>
            <w:tcW w:w="660" w:type="dxa"/>
            <w:tcBorders>
              <w:top w:val="nil"/>
              <w:left w:val="nil"/>
              <w:bottom w:val="single" w:sz="4" w:space="0" w:color="000000"/>
              <w:right w:val="single" w:sz="4" w:space="0" w:color="000000"/>
            </w:tcBorders>
            <w:vAlign w:val="center"/>
          </w:tcPr>
          <w:p w14:paraId="2B7C31BB"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0.617</w:t>
            </w:r>
          </w:p>
        </w:tc>
        <w:tc>
          <w:tcPr>
            <w:tcW w:w="660" w:type="dxa"/>
            <w:tcBorders>
              <w:top w:val="nil"/>
              <w:left w:val="nil"/>
              <w:bottom w:val="single" w:sz="4" w:space="0" w:color="000000"/>
              <w:right w:val="single" w:sz="4" w:space="0" w:color="000000"/>
            </w:tcBorders>
            <w:vAlign w:val="center"/>
          </w:tcPr>
          <w:p w14:paraId="568C963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0.107</w:t>
            </w:r>
          </w:p>
        </w:tc>
        <w:tc>
          <w:tcPr>
            <w:tcW w:w="957" w:type="dxa"/>
            <w:tcBorders>
              <w:top w:val="nil"/>
              <w:left w:val="nil"/>
              <w:bottom w:val="single" w:sz="4" w:space="0" w:color="000000"/>
              <w:right w:val="single" w:sz="4" w:space="0" w:color="000000"/>
            </w:tcBorders>
            <w:vAlign w:val="center"/>
          </w:tcPr>
          <w:p w14:paraId="6A6BC08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0.168**</w:t>
            </w:r>
          </w:p>
        </w:tc>
        <w:tc>
          <w:tcPr>
            <w:tcW w:w="957" w:type="dxa"/>
            <w:tcBorders>
              <w:top w:val="nil"/>
              <w:left w:val="nil"/>
              <w:bottom w:val="single" w:sz="4" w:space="0" w:color="000000"/>
              <w:right w:val="single" w:sz="4" w:space="0" w:color="000000"/>
            </w:tcBorders>
            <w:vAlign w:val="center"/>
          </w:tcPr>
          <w:p w14:paraId="42C5E13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0.116*</w:t>
            </w:r>
          </w:p>
        </w:tc>
        <w:tc>
          <w:tcPr>
            <w:tcW w:w="957" w:type="dxa"/>
            <w:tcBorders>
              <w:top w:val="nil"/>
              <w:left w:val="nil"/>
              <w:bottom w:val="single" w:sz="4" w:space="0" w:color="000000"/>
              <w:right w:val="single" w:sz="4" w:space="0" w:color="000000"/>
            </w:tcBorders>
            <w:vAlign w:val="center"/>
          </w:tcPr>
          <w:p w14:paraId="3C5EFE6F"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0.327***</w:t>
            </w:r>
          </w:p>
        </w:tc>
        <w:tc>
          <w:tcPr>
            <w:tcW w:w="957" w:type="dxa"/>
            <w:tcBorders>
              <w:top w:val="nil"/>
              <w:left w:val="nil"/>
              <w:bottom w:val="single" w:sz="4" w:space="0" w:color="000000"/>
              <w:right w:val="single" w:sz="4" w:space="0" w:color="000000"/>
            </w:tcBorders>
            <w:vAlign w:val="center"/>
          </w:tcPr>
          <w:p w14:paraId="2353CC4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0.232***</w:t>
            </w:r>
          </w:p>
        </w:tc>
        <w:tc>
          <w:tcPr>
            <w:tcW w:w="957" w:type="dxa"/>
            <w:tcBorders>
              <w:top w:val="nil"/>
              <w:left w:val="nil"/>
              <w:bottom w:val="single" w:sz="4" w:space="0" w:color="000000"/>
              <w:right w:val="single" w:sz="4" w:space="0" w:color="000000"/>
            </w:tcBorders>
            <w:vAlign w:val="center"/>
          </w:tcPr>
          <w:p w14:paraId="60D0A57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0.785</w:t>
            </w:r>
          </w:p>
        </w:tc>
        <w:tc>
          <w:tcPr>
            <w:tcW w:w="711" w:type="dxa"/>
            <w:tcBorders>
              <w:top w:val="nil"/>
              <w:left w:val="nil"/>
              <w:bottom w:val="single" w:sz="4" w:space="0" w:color="000000"/>
              <w:right w:val="single" w:sz="4" w:space="0" w:color="000000"/>
            </w:tcBorders>
            <w:vAlign w:val="center"/>
          </w:tcPr>
          <w:p w14:paraId="3F68D917"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1A78F4" w14:paraId="70C7FFD2" w14:textId="77777777">
        <w:trPr>
          <w:trHeight w:val="312"/>
        </w:trPr>
        <w:tc>
          <w:tcPr>
            <w:tcW w:w="1537" w:type="dxa"/>
            <w:tcBorders>
              <w:top w:val="nil"/>
              <w:left w:val="single" w:sz="4" w:space="0" w:color="000000"/>
              <w:bottom w:val="single" w:sz="4" w:space="0" w:color="000000"/>
              <w:right w:val="single" w:sz="4" w:space="0" w:color="000000"/>
            </w:tcBorders>
            <w:vAlign w:val="center"/>
          </w:tcPr>
          <w:p w14:paraId="73E64BCC"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Revisit Intention</w:t>
            </w:r>
          </w:p>
        </w:tc>
        <w:tc>
          <w:tcPr>
            <w:tcW w:w="660" w:type="dxa"/>
            <w:tcBorders>
              <w:top w:val="nil"/>
              <w:left w:val="nil"/>
              <w:bottom w:val="single" w:sz="4" w:space="0" w:color="000000"/>
              <w:right w:val="single" w:sz="4" w:space="0" w:color="000000"/>
            </w:tcBorders>
            <w:vAlign w:val="center"/>
          </w:tcPr>
          <w:p w14:paraId="64F6D64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0.861</w:t>
            </w:r>
          </w:p>
        </w:tc>
        <w:tc>
          <w:tcPr>
            <w:tcW w:w="660" w:type="dxa"/>
            <w:tcBorders>
              <w:top w:val="nil"/>
              <w:left w:val="nil"/>
              <w:bottom w:val="single" w:sz="4" w:space="0" w:color="000000"/>
              <w:right w:val="single" w:sz="4" w:space="0" w:color="000000"/>
            </w:tcBorders>
            <w:vAlign w:val="center"/>
          </w:tcPr>
          <w:p w14:paraId="6C867345"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0.608</w:t>
            </w:r>
          </w:p>
        </w:tc>
        <w:tc>
          <w:tcPr>
            <w:tcW w:w="660" w:type="dxa"/>
            <w:tcBorders>
              <w:top w:val="nil"/>
              <w:left w:val="nil"/>
              <w:bottom w:val="single" w:sz="4" w:space="0" w:color="000000"/>
              <w:right w:val="single" w:sz="4" w:space="0" w:color="000000"/>
            </w:tcBorders>
            <w:vAlign w:val="center"/>
          </w:tcPr>
          <w:p w14:paraId="7D012156"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0.058</w:t>
            </w:r>
          </w:p>
        </w:tc>
        <w:tc>
          <w:tcPr>
            <w:tcW w:w="957" w:type="dxa"/>
            <w:tcBorders>
              <w:top w:val="nil"/>
              <w:left w:val="nil"/>
              <w:bottom w:val="single" w:sz="4" w:space="0" w:color="000000"/>
              <w:right w:val="single" w:sz="4" w:space="0" w:color="000000"/>
            </w:tcBorders>
            <w:vAlign w:val="center"/>
          </w:tcPr>
          <w:p w14:paraId="2F68E97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0.178***</w:t>
            </w:r>
          </w:p>
        </w:tc>
        <w:tc>
          <w:tcPr>
            <w:tcW w:w="957" w:type="dxa"/>
            <w:tcBorders>
              <w:top w:val="nil"/>
              <w:left w:val="nil"/>
              <w:bottom w:val="single" w:sz="4" w:space="0" w:color="000000"/>
              <w:right w:val="single" w:sz="4" w:space="0" w:color="000000"/>
            </w:tcBorders>
            <w:vAlign w:val="center"/>
          </w:tcPr>
          <w:p w14:paraId="66D037A4"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0.241***</w:t>
            </w:r>
          </w:p>
        </w:tc>
        <w:tc>
          <w:tcPr>
            <w:tcW w:w="957" w:type="dxa"/>
            <w:tcBorders>
              <w:top w:val="nil"/>
              <w:left w:val="nil"/>
              <w:bottom w:val="single" w:sz="4" w:space="0" w:color="000000"/>
              <w:right w:val="single" w:sz="4" w:space="0" w:color="000000"/>
            </w:tcBorders>
            <w:vAlign w:val="center"/>
          </w:tcPr>
          <w:p w14:paraId="5CF3732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0.219***</w:t>
            </w:r>
          </w:p>
        </w:tc>
        <w:tc>
          <w:tcPr>
            <w:tcW w:w="957" w:type="dxa"/>
            <w:tcBorders>
              <w:top w:val="nil"/>
              <w:left w:val="nil"/>
              <w:bottom w:val="single" w:sz="4" w:space="0" w:color="000000"/>
              <w:right w:val="single" w:sz="4" w:space="0" w:color="000000"/>
            </w:tcBorders>
            <w:vAlign w:val="center"/>
          </w:tcPr>
          <w:p w14:paraId="0294B00E"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0.224***</w:t>
            </w:r>
          </w:p>
        </w:tc>
        <w:tc>
          <w:tcPr>
            <w:tcW w:w="957" w:type="dxa"/>
            <w:tcBorders>
              <w:top w:val="nil"/>
              <w:left w:val="nil"/>
              <w:bottom w:val="single" w:sz="4" w:space="0" w:color="000000"/>
              <w:right w:val="single" w:sz="4" w:space="0" w:color="000000"/>
            </w:tcBorders>
            <w:vAlign w:val="center"/>
          </w:tcPr>
          <w:p w14:paraId="1D32AE41"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0.225***</w:t>
            </w:r>
          </w:p>
        </w:tc>
        <w:tc>
          <w:tcPr>
            <w:tcW w:w="711" w:type="dxa"/>
            <w:tcBorders>
              <w:top w:val="nil"/>
              <w:left w:val="nil"/>
              <w:bottom w:val="single" w:sz="4" w:space="0" w:color="000000"/>
              <w:right w:val="single" w:sz="4" w:space="0" w:color="000000"/>
            </w:tcBorders>
            <w:vAlign w:val="center"/>
          </w:tcPr>
          <w:p w14:paraId="3C53AAB0"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0.780</w:t>
            </w:r>
          </w:p>
        </w:tc>
      </w:tr>
    </w:tbl>
    <w:p w14:paraId="43AE0BFB" w14:textId="77777777" w:rsidR="001A78F4" w:rsidRDefault="001A78F4">
      <w:pPr>
        <w:spacing w:after="0" w:line="360" w:lineRule="auto"/>
        <w:jc w:val="both"/>
        <w:rPr>
          <w:rFonts w:ascii="Times New Roman" w:eastAsia="Times New Roman" w:hAnsi="Times New Roman" w:cs="Times New Roman"/>
          <w:i/>
          <w:iCs/>
          <w:color w:val="000000"/>
          <w:sz w:val="24"/>
          <w:szCs w:val="24"/>
        </w:rPr>
      </w:pPr>
    </w:p>
    <w:p w14:paraId="070E7D38" w14:textId="77777777" w:rsidR="001A78F4" w:rsidRDefault="00000000">
      <w:pPr>
        <w:spacing w:after="0"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Table 4: HTMT Analysis</w:t>
      </w:r>
    </w:p>
    <w:tbl>
      <w:tblPr>
        <w:tblStyle w:val="aa"/>
        <w:tblW w:w="920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24"/>
        <w:gridCol w:w="914"/>
        <w:gridCol w:w="799"/>
        <w:gridCol w:w="1434"/>
        <w:gridCol w:w="1544"/>
        <w:gridCol w:w="1023"/>
        <w:gridCol w:w="1968"/>
      </w:tblGrid>
      <w:tr w:rsidR="001A78F4" w14:paraId="76A43AC9" w14:textId="77777777">
        <w:tc>
          <w:tcPr>
            <w:tcW w:w="15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51E6896F"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91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14335B17"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w:t>
            </w:r>
          </w:p>
        </w:tc>
        <w:tc>
          <w:tcPr>
            <w:tcW w:w="79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113A4D30"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Trust</w:t>
            </w:r>
          </w:p>
        </w:tc>
        <w:tc>
          <w:tcPr>
            <w:tcW w:w="143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04AFD70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Satisfaction</w:t>
            </w:r>
          </w:p>
        </w:tc>
        <w:tc>
          <w:tcPr>
            <w:tcW w:w="154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68D8B793"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Perceived Service Quality</w:t>
            </w:r>
          </w:p>
        </w:tc>
        <w:tc>
          <w:tcPr>
            <w:tcW w:w="1023"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5D077DA8"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Brand Image</w:t>
            </w:r>
          </w:p>
        </w:tc>
        <w:tc>
          <w:tcPr>
            <w:tcW w:w="1968"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036C8E8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Revisit Intention</w:t>
            </w:r>
          </w:p>
        </w:tc>
      </w:tr>
      <w:tr w:rsidR="001A78F4" w14:paraId="5CF1DB84" w14:textId="77777777">
        <w:tc>
          <w:tcPr>
            <w:tcW w:w="15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1570333F"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w:t>
            </w:r>
          </w:p>
        </w:tc>
        <w:tc>
          <w:tcPr>
            <w:tcW w:w="914" w:type="dxa"/>
            <w:tcBorders>
              <w:top w:val="single" w:sz="6" w:space="0" w:color="000000"/>
              <w:left w:val="single" w:sz="6" w:space="0" w:color="000000"/>
              <w:bottom w:val="single" w:sz="6" w:space="0" w:color="000000"/>
              <w:right w:val="single" w:sz="6" w:space="0" w:color="000000"/>
            </w:tcBorders>
            <w:shd w:val="clear" w:color="auto" w:fill="000000"/>
            <w:tcMar>
              <w:top w:w="75" w:type="dxa"/>
              <w:left w:w="75" w:type="dxa"/>
              <w:bottom w:w="75" w:type="dxa"/>
              <w:right w:w="75" w:type="dxa"/>
            </w:tcMar>
            <w:vAlign w:val="center"/>
          </w:tcPr>
          <w:p w14:paraId="0C6AC60A"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3C326A"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6702F8"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E9C4AE"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2AFFDC"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A65AAF" w14:textId="77777777" w:rsidR="001A78F4" w:rsidRDefault="001A78F4">
            <w:pPr>
              <w:spacing w:after="0" w:line="360" w:lineRule="auto"/>
              <w:jc w:val="both"/>
              <w:rPr>
                <w:rFonts w:ascii="Times New Roman" w:eastAsia="Times New Roman" w:hAnsi="Times New Roman" w:cs="Times New Roman"/>
                <w:color w:val="000000"/>
                <w:sz w:val="24"/>
                <w:szCs w:val="24"/>
              </w:rPr>
            </w:pPr>
          </w:p>
        </w:tc>
      </w:tr>
      <w:tr w:rsidR="001A78F4" w14:paraId="6B902A72" w14:textId="77777777">
        <w:tc>
          <w:tcPr>
            <w:tcW w:w="15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457F3F07"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Trust</w:t>
            </w:r>
          </w:p>
        </w:tc>
        <w:tc>
          <w:tcPr>
            <w:tcW w:w="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A1D4D9"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0.140</w:t>
            </w:r>
          </w:p>
        </w:tc>
        <w:tc>
          <w:tcPr>
            <w:tcW w:w="799" w:type="dxa"/>
            <w:tcBorders>
              <w:top w:val="single" w:sz="6" w:space="0" w:color="000000"/>
              <w:left w:val="single" w:sz="6" w:space="0" w:color="000000"/>
              <w:bottom w:val="single" w:sz="6" w:space="0" w:color="000000"/>
              <w:right w:val="single" w:sz="6" w:space="0" w:color="000000"/>
            </w:tcBorders>
            <w:shd w:val="clear" w:color="auto" w:fill="000000"/>
            <w:tcMar>
              <w:top w:w="75" w:type="dxa"/>
              <w:left w:w="75" w:type="dxa"/>
              <w:bottom w:w="75" w:type="dxa"/>
              <w:right w:w="75" w:type="dxa"/>
            </w:tcMar>
            <w:vAlign w:val="center"/>
          </w:tcPr>
          <w:p w14:paraId="046F527E"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BC4E17"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0CA989"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D0DD2A"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C1596B" w14:textId="77777777" w:rsidR="001A78F4" w:rsidRDefault="001A78F4">
            <w:pPr>
              <w:spacing w:after="0" w:line="360" w:lineRule="auto"/>
              <w:jc w:val="both"/>
              <w:rPr>
                <w:rFonts w:ascii="Times New Roman" w:eastAsia="Times New Roman" w:hAnsi="Times New Roman" w:cs="Times New Roman"/>
                <w:color w:val="000000"/>
                <w:sz w:val="24"/>
                <w:szCs w:val="24"/>
              </w:rPr>
            </w:pPr>
          </w:p>
        </w:tc>
      </w:tr>
      <w:tr w:rsidR="001A78F4" w14:paraId="4DDF3BD3" w14:textId="77777777">
        <w:tc>
          <w:tcPr>
            <w:tcW w:w="15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14B949AF"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Satisfaction</w:t>
            </w:r>
          </w:p>
        </w:tc>
        <w:tc>
          <w:tcPr>
            <w:tcW w:w="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4C7234"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0.288</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5EE23"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0.237</w:t>
            </w:r>
          </w:p>
        </w:tc>
        <w:tc>
          <w:tcPr>
            <w:tcW w:w="1434" w:type="dxa"/>
            <w:tcBorders>
              <w:top w:val="single" w:sz="6" w:space="0" w:color="000000"/>
              <w:left w:val="single" w:sz="6" w:space="0" w:color="000000"/>
              <w:bottom w:val="single" w:sz="6" w:space="0" w:color="000000"/>
              <w:right w:val="single" w:sz="6" w:space="0" w:color="000000"/>
            </w:tcBorders>
            <w:shd w:val="clear" w:color="auto" w:fill="000000"/>
            <w:tcMar>
              <w:top w:w="75" w:type="dxa"/>
              <w:left w:w="75" w:type="dxa"/>
              <w:bottom w:w="75" w:type="dxa"/>
              <w:right w:w="75" w:type="dxa"/>
            </w:tcMar>
            <w:vAlign w:val="center"/>
          </w:tcPr>
          <w:p w14:paraId="324D85DD"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153E42"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02550D"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859CDB" w14:textId="77777777" w:rsidR="001A78F4" w:rsidRDefault="001A78F4">
            <w:pPr>
              <w:spacing w:after="0" w:line="360" w:lineRule="auto"/>
              <w:jc w:val="both"/>
              <w:rPr>
                <w:rFonts w:ascii="Times New Roman" w:eastAsia="Times New Roman" w:hAnsi="Times New Roman" w:cs="Times New Roman"/>
                <w:color w:val="000000"/>
                <w:sz w:val="24"/>
                <w:szCs w:val="24"/>
              </w:rPr>
            </w:pPr>
          </w:p>
        </w:tc>
      </w:tr>
      <w:tr w:rsidR="001A78F4" w14:paraId="1376C641" w14:textId="77777777">
        <w:tc>
          <w:tcPr>
            <w:tcW w:w="15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0806E552"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 Quality</w:t>
            </w:r>
          </w:p>
        </w:tc>
        <w:tc>
          <w:tcPr>
            <w:tcW w:w="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984233"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0.256</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3055F9"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0.123</w:t>
            </w:r>
          </w:p>
        </w:tc>
        <w:tc>
          <w:tcPr>
            <w:tcW w:w="1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5F1B2F"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0.408</w:t>
            </w:r>
          </w:p>
        </w:tc>
        <w:tc>
          <w:tcPr>
            <w:tcW w:w="1544" w:type="dxa"/>
            <w:tcBorders>
              <w:top w:val="single" w:sz="6" w:space="0" w:color="000000"/>
              <w:left w:val="single" w:sz="6" w:space="0" w:color="000000"/>
              <w:bottom w:val="single" w:sz="6" w:space="0" w:color="000000"/>
              <w:right w:val="single" w:sz="6" w:space="0" w:color="000000"/>
            </w:tcBorders>
            <w:shd w:val="clear" w:color="auto" w:fill="000000"/>
            <w:tcMar>
              <w:top w:w="75" w:type="dxa"/>
              <w:left w:w="75" w:type="dxa"/>
              <w:bottom w:w="75" w:type="dxa"/>
              <w:right w:w="75" w:type="dxa"/>
            </w:tcMar>
            <w:vAlign w:val="center"/>
          </w:tcPr>
          <w:p w14:paraId="33A298F1"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D2183C"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F8A8F6" w14:textId="77777777" w:rsidR="001A78F4" w:rsidRDefault="001A78F4">
            <w:pPr>
              <w:spacing w:after="0" w:line="360" w:lineRule="auto"/>
              <w:jc w:val="both"/>
              <w:rPr>
                <w:rFonts w:ascii="Times New Roman" w:eastAsia="Times New Roman" w:hAnsi="Times New Roman" w:cs="Times New Roman"/>
                <w:color w:val="000000"/>
                <w:sz w:val="24"/>
                <w:szCs w:val="24"/>
              </w:rPr>
            </w:pPr>
          </w:p>
        </w:tc>
      </w:tr>
      <w:tr w:rsidR="001A78F4" w14:paraId="40D8CC7E" w14:textId="77777777">
        <w:tc>
          <w:tcPr>
            <w:tcW w:w="15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4EA059C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Brand Image</w:t>
            </w:r>
          </w:p>
        </w:tc>
        <w:tc>
          <w:tcPr>
            <w:tcW w:w="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A0B03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0.200</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94D2B2"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0.138</w:t>
            </w:r>
          </w:p>
        </w:tc>
        <w:tc>
          <w:tcPr>
            <w:tcW w:w="1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63D0C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0.328</w:t>
            </w:r>
          </w:p>
        </w:tc>
        <w:tc>
          <w:tcPr>
            <w:tcW w:w="1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4E360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0.258</w:t>
            </w:r>
          </w:p>
        </w:tc>
        <w:tc>
          <w:tcPr>
            <w:tcW w:w="1023" w:type="dxa"/>
            <w:tcBorders>
              <w:top w:val="single" w:sz="6" w:space="0" w:color="000000"/>
              <w:left w:val="single" w:sz="6" w:space="0" w:color="000000"/>
              <w:bottom w:val="single" w:sz="6" w:space="0" w:color="000000"/>
              <w:right w:val="single" w:sz="6" w:space="0" w:color="000000"/>
            </w:tcBorders>
            <w:shd w:val="clear" w:color="auto" w:fill="000000"/>
            <w:tcMar>
              <w:top w:w="75" w:type="dxa"/>
              <w:left w:w="75" w:type="dxa"/>
              <w:bottom w:w="75" w:type="dxa"/>
              <w:right w:w="75" w:type="dxa"/>
            </w:tcMar>
            <w:vAlign w:val="center"/>
          </w:tcPr>
          <w:p w14:paraId="2E7B26B9" w14:textId="77777777" w:rsidR="001A78F4" w:rsidRDefault="001A78F4">
            <w:pPr>
              <w:spacing w:after="0" w:line="360" w:lineRule="auto"/>
              <w:jc w:val="both"/>
              <w:rPr>
                <w:rFonts w:ascii="Times New Roman" w:eastAsia="Times New Roman" w:hAnsi="Times New Roman" w:cs="Times New Roman"/>
                <w:color w:val="000000"/>
                <w:sz w:val="24"/>
                <w:szCs w:val="24"/>
              </w:rPr>
            </w:pPr>
          </w:p>
        </w:tc>
        <w:tc>
          <w:tcPr>
            <w:tcW w:w="19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8956EE" w14:textId="77777777" w:rsidR="001A78F4" w:rsidRDefault="001A78F4">
            <w:pPr>
              <w:spacing w:after="0" w:line="360" w:lineRule="auto"/>
              <w:jc w:val="both"/>
              <w:rPr>
                <w:rFonts w:ascii="Times New Roman" w:eastAsia="Times New Roman" w:hAnsi="Times New Roman" w:cs="Times New Roman"/>
                <w:color w:val="000000"/>
                <w:sz w:val="24"/>
                <w:szCs w:val="24"/>
              </w:rPr>
            </w:pPr>
          </w:p>
        </w:tc>
      </w:tr>
      <w:tr w:rsidR="001A78F4" w14:paraId="5CFFBD72" w14:textId="77777777">
        <w:trPr>
          <w:trHeight w:val="23"/>
        </w:trPr>
        <w:tc>
          <w:tcPr>
            <w:tcW w:w="1524"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5829C40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Revisit Intention</w:t>
            </w:r>
          </w:p>
        </w:tc>
        <w:tc>
          <w:tcPr>
            <w:tcW w:w="9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3357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0.208</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36CAAD"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0.235</w:t>
            </w:r>
          </w:p>
        </w:tc>
        <w:tc>
          <w:tcPr>
            <w:tcW w:w="1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0A54B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0.234</w:t>
            </w:r>
          </w:p>
        </w:tc>
        <w:tc>
          <w:tcPr>
            <w:tcW w:w="1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61EDA4"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0.286</w:t>
            </w:r>
          </w:p>
        </w:tc>
        <w:tc>
          <w:tcPr>
            <w:tcW w:w="10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E686B7"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0.236</w:t>
            </w:r>
          </w:p>
        </w:tc>
        <w:tc>
          <w:tcPr>
            <w:tcW w:w="1968" w:type="dxa"/>
            <w:tcBorders>
              <w:top w:val="single" w:sz="6" w:space="0" w:color="000000"/>
              <w:left w:val="single" w:sz="6" w:space="0" w:color="000000"/>
              <w:bottom w:val="single" w:sz="6" w:space="0" w:color="000000"/>
              <w:right w:val="single" w:sz="6" w:space="0" w:color="000000"/>
            </w:tcBorders>
            <w:shd w:val="clear" w:color="auto" w:fill="000000"/>
            <w:tcMar>
              <w:top w:w="75" w:type="dxa"/>
              <w:left w:w="75" w:type="dxa"/>
              <w:bottom w:w="75" w:type="dxa"/>
              <w:right w:w="75" w:type="dxa"/>
            </w:tcMar>
            <w:vAlign w:val="center"/>
          </w:tcPr>
          <w:p w14:paraId="59CB0806" w14:textId="77777777" w:rsidR="001A78F4" w:rsidRDefault="001A78F4">
            <w:pPr>
              <w:spacing w:after="0" w:line="360" w:lineRule="auto"/>
              <w:jc w:val="both"/>
              <w:rPr>
                <w:rFonts w:ascii="Times New Roman" w:eastAsia="Times New Roman" w:hAnsi="Times New Roman" w:cs="Times New Roman"/>
                <w:color w:val="000000"/>
                <w:sz w:val="24"/>
                <w:szCs w:val="24"/>
              </w:rPr>
            </w:pPr>
          </w:p>
        </w:tc>
      </w:tr>
    </w:tbl>
    <w:p w14:paraId="5A13B480" w14:textId="77777777" w:rsidR="001A78F4" w:rsidRDefault="00000000">
      <w:pPr>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4.4 SEM Result Analysis</w:t>
      </w:r>
    </w:p>
    <w:p w14:paraId="41007688" w14:textId="77777777"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proposed relationships among constructs were tested through the structural model using SEM. The model fit (Table 5) metrics for SEM showed that the overall fit was good, though there were some areas for improvement. Chi-Square (CMIN) demonstrated a strong fit with value of 498.698 with 245 degrees of freedom, resulting in a CMIN/DF ratio of 2.036, which includes an acceptable range of 1 to 3, indicating a good fit. The CFI was 0.972, and RMSEA was 0.048, which was within the threshold, indicating a good fit. However, SRMR was 0.091, which was higher than the acceptable threshold of 0.08. </w:t>
      </w:r>
    </w:p>
    <w:p w14:paraId="49D005B0" w14:textId="72F6B278" w:rsidR="001A78F4" w:rsidRDefault="00000000">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 the proposed hypotheses were tested. A significant correlation between Service Quality and Satisfaction was found (β = 0.347, p &lt; 0.001), which supports H1. This suggests that higher service quality in hospitals significantly increases patient satisfaction, indicating that well-managed healthcare services lead to better patient experiences. Further, the regression weight for the link between Brand Image and Satisfaction was significant (β = 0.242, p &lt; 0.001), supporting H2. This indicates that a positive hospital brand image can increase patient satisfaction, reinforcing the importance of maintaining a strong and trustworthy brand identity. </w:t>
      </w:r>
      <w:r>
        <w:rPr>
          <w:rFonts w:ascii="Times New Roman" w:eastAsia="Times New Roman" w:hAnsi="Times New Roman" w:cs="Times New Roman"/>
          <w:color w:val="000000"/>
          <w:sz w:val="24"/>
          <w:szCs w:val="24"/>
        </w:rPr>
        <w:lastRenderedPageBreak/>
        <w:t xml:space="preserve">Additionally, the correlation between Trust and Satisfaction was found to be significant (β = 0.183, p &lt; 0.001), supporting H3. This suggests that when patients trust the hospital and its services, they express greater levels of satisfaction. Moreover, the relationship between Satisfaction and Word-of-Mouth (WOM) was found to be statistically significant (β = 0.278, p &lt; 0.001), supporting H4. This implies that satisfied patients are more likely to recommend the hospital to others, contributing to good information as a promotion. The link between Satisfaction and Revisit Intention also shows a significant (β = 0.138, p = 0.010), supporting H5. This indicates that satisfied patients are more inclined to return to the same hospital for future healthcare needs. The association between Service Quality and Revisit Intention was found to be statistically significant (β = 0.143, p = 0.004), confirming H6. This suggests that high service quality directly influences patients' willingness to visit again in future. Lastly, the connection between Word-of-Mouth (WOM) and Revisit Intention was also significant (β = 0.109, p = 0.018), supporting H7; the effect size is very modest. This indicates that although positive recommendations can encourage revisit behaviour, their standalone influence is limited compared to stronger predictors such as service quality and satisfaction. Hence, WOM should be viewed as a complementary factor that reinforces revisit intention rather than a dominant driver. Figure 2 presents the results of the SEM analysis, depicting the </w:t>
      </w:r>
      <w:r w:rsidR="002F4CFC">
        <w:rPr>
          <w:rFonts w:ascii="Times New Roman" w:eastAsia="Times New Roman" w:hAnsi="Times New Roman" w:cs="Times New Roman"/>
          <w:color w:val="000000"/>
          <w:sz w:val="24"/>
          <w:szCs w:val="24"/>
        </w:rPr>
        <w:t>standardised</w:t>
      </w:r>
      <w:r>
        <w:rPr>
          <w:rFonts w:ascii="Times New Roman" w:eastAsia="Times New Roman" w:hAnsi="Times New Roman" w:cs="Times New Roman"/>
          <w:color w:val="000000"/>
          <w:sz w:val="24"/>
          <w:szCs w:val="24"/>
        </w:rPr>
        <w:t xml:space="preserve"> path coefficients between service quality, trust, brand image, patient satisfaction, word-of-mouth, and revisit intention in the suggested model.</w:t>
      </w:r>
    </w:p>
    <w:p w14:paraId="4C771950" w14:textId="77777777" w:rsidR="001A78F4" w:rsidRDefault="00000000">
      <w:pPr>
        <w:spacing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Table 5: SEM Result</w:t>
      </w:r>
    </w:p>
    <w:tbl>
      <w:tblPr>
        <w:tblStyle w:val="ab"/>
        <w:tblW w:w="9016" w:type="dxa"/>
        <w:tblLayout w:type="fixed"/>
        <w:tblLook w:val="0400" w:firstRow="0" w:lastRow="0" w:firstColumn="0" w:lastColumn="0" w:noHBand="0" w:noVBand="1"/>
      </w:tblPr>
      <w:tblGrid>
        <w:gridCol w:w="1054"/>
        <w:gridCol w:w="647"/>
        <w:gridCol w:w="899"/>
        <w:gridCol w:w="975"/>
        <w:gridCol w:w="975"/>
        <w:gridCol w:w="858"/>
        <w:gridCol w:w="1002"/>
        <w:gridCol w:w="1499"/>
        <w:gridCol w:w="1107"/>
      </w:tblGrid>
      <w:tr w:rsidR="001A78F4" w14:paraId="4495985B" w14:textId="77777777">
        <w:trPr>
          <w:trHeight w:val="312"/>
        </w:trPr>
        <w:tc>
          <w:tcPr>
            <w:tcW w:w="2600" w:type="dxa"/>
            <w:gridSpan w:val="3"/>
            <w:tcBorders>
              <w:top w:val="single" w:sz="4" w:space="0" w:color="000000"/>
              <w:left w:val="single" w:sz="4" w:space="0" w:color="000000"/>
              <w:bottom w:val="single" w:sz="4" w:space="0" w:color="000000"/>
              <w:right w:val="single" w:sz="4" w:space="0" w:color="000000"/>
            </w:tcBorders>
            <w:vAlign w:val="center"/>
          </w:tcPr>
          <w:p w14:paraId="1012ECE1"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Hypothesized Relationship</w:t>
            </w:r>
          </w:p>
        </w:tc>
        <w:tc>
          <w:tcPr>
            <w:tcW w:w="975" w:type="dxa"/>
            <w:tcBorders>
              <w:top w:val="single" w:sz="4" w:space="0" w:color="000000"/>
              <w:left w:val="nil"/>
              <w:bottom w:val="single" w:sz="4" w:space="0" w:color="000000"/>
              <w:right w:val="single" w:sz="4" w:space="0" w:color="000000"/>
            </w:tcBorders>
            <w:vAlign w:val="center"/>
          </w:tcPr>
          <w:p w14:paraId="41162CE9"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Estimate</w:t>
            </w:r>
          </w:p>
        </w:tc>
        <w:tc>
          <w:tcPr>
            <w:tcW w:w="975" w:type="dxa"/>
            <w:tcBorders>
              <w:top w:val="single" w:sz="4" w:space="0" w:color="000000"/>
              <w:left w:val="nil"/>
              <w:bottom w:val="single" w:sz="4" w:space="0" w:color="000000"/>
              <w:right w:val="single" w:sz="4" w:space="0" w:color="000000"/>
            </w:tcBorders>
            <w:vAlign w:val="bottom"/>
          </w:tcPr>
          <w:p w14:paraId="0AC5B0D4"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Std. Estimate</w:t>
            </w:r>
          </w:p>
        </w:tc>
        <w:tc>
          <w:tcPr>
            <w:tcW w:w="858" w:type="dxa"/>
            <w:tcBorders>
              <w:top w:val="single" w:sz="4" w:space="0" w:color="000000"/>
              <w:left w:val="nil"/>
              <w:bottom w:val="single" w:sz="4" w:space="0" w:color="000000"/>
              <w:right w:val="single" w:sz="4" w:space="0" w:color="000000"/>
            </w:tcBorders>
            <w:vAlign w:val="center"/>
          </w:tcPr>
          <w:p w14:paraId="5D1D61BF"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w:t>
            </w:r>
          </w:p>
        </w:tc>
        <w:tc>
          <w:tcPr>
            <w:tcW w:w="1002" w:type="dxa"/>
            <w:tcBorders>
              <w:top w:val="single" w:sz="4" w:space="0" w:color="000000"/>
              <w:left w:val="nil"/>
              <w:bottom w:val="single" w:sz="4" w:space="0" w:color="000000"/>
              <w:right w:val="single" w:sz="4" w:space="0" w:color="000000"/>
            </w:tcBorders>
            <w:vAlign w:val="center"/>
          </w:tcPr>
          <w:p w14:paraId="4B3BC71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 (t-value)</w:t>
            </w:r>
          </w:p>
        </w:tc>
        <w:tc>
          <w:tcPr>
            <w:tcW w:w="1499" w:type="dxa"/>
            <w:tcBorders>
              <w:top w:val="single" w:sz="4" w:space="0" w:color="000000"/>
              <w:left w:val="nil"/>
              <w:bottom w:val="single" w:sz="4" w:space="0" w:color="000000"/>
              <w:right w:val="single" w:sz="4" w:space="0" w:color="000000"/>
            </w:tcBorders>
            <w:vAlign w:val="center"/>
          </w:tcPr>
          <w:p w14:paraId="4F5163A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(One-Tailed)</w:t>
            </w:r>
          </w:p>
        </w:tc>
        <w:tc>
          <w:tcPr>
            <w:tcW w:w="1107" w:type="dxa"/>
            <w:tcBorders>
              <w:top w:val="single" w:sz="4" w:space="0" w:color="000000"/>
              <w:left w:val="nil"/>
              <w:bottom w:val="single" w:sz="4" w:space="0" w:color="000000"/>
              <w:right w:val="single" w:sz="4" w:space="0" w:color="000000"/>
            </w:tcBorders>
          </w:tcPr>
          <w:p w14:paraId="006883D1"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Results </w:t>
            </w:r>
          </w:p>
        </w:tc>
      </w:tr>
      <w:tr w:rsidR="001A78F4" w14:paraId="0075C8F0" w14:textId="77777777">
        <w:trPr>
          <w:trHeight w:val="312"/>
        </w:trPr>
        <w:tc>
          <w:tcPr>
            <w:tcW w:w="1054" w:type="dxa"/>
            <w:tcBorders>
              <w:top w:val="nil"/>
              <w:left w:val="single" w:sz="4" w:space="0" w:color="000000"/>
              <w:bottom w:val="single" w:sz="4" w:space="0" w:color="000000"/>
              <w:right w:val="single" w:sz="4" w:space="0" w:color="000000"/>
            </w:tcBorders>
            <w:vAlign w:val="center"/>
          </w:tcPr>
          <w:p w14:paraId="3A02B413"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PSQ</w:t>
            </w:r>
          </w:p>
        </w:tc>
        <w:tc>
          <w:tcPr>
            <w:tcW w:w="647" w:type="dxa"/>
            <w:tcBorders>
              <w:top w:val="nil"/>
              <w:left w:val="nil"/>
              <w:bottom w:val="single" w:sz="4" w:space="0" w:color="000000"/>
              <w:right w:val="single" w:sz="4" w:space="0" w:color="000000"/>
            </w:tcBorders>
          </w:tcPr>
          <w:p w14:paraId="14C31D0A"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899" w:type="dxa"/>
            <w:tcBorders>
              <w:top w:val="nil"/>
              <w:left w:val="nil"/>
              <w:bottom w:val="single" w:sz="4" w:space="0" w:color="000000"/>
              <w:right w:val="single" w:sz="4" w:space="0" w:color="000000"/>
            </w:tcBorders>
            <w:vAlign w:val="center"/>
          </w:tcPr>
          <w:p w14:paraId="1C3DBDD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w:t>
            </w:r>
          </w:p>
        </w:tc>
        <w:tc>
          <w:tcPr>
            <w:tcW w:w="975" w:type="dxa"/>
            <w:tcBorders>
              <w:top w:val="nil"/>
              <w:left w:val="nil"/>
              <w:bottom w:val="single" w:sz="4" w:space="0" w:color="000000"/>
              <w:right w:val="single" w:sz="4" w:space="0" w:color="000000"/>
            </w:tcBorders>
            <w:vAlign w:val="center"/>
          </w:tcPr>
          <w:p w14:paraId="07A86CDF"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0.123</w:t>
            </w:r>
          </w:p>
        </w:tc>
        <w:tc>
          <w:tcPr>
            <w:tcW w:w="975" w:type="dxa"/>
            <w:tcBorders>
              <w:top w:val="nil"/>
              <w:left w:val="nil"/>
              <w:bottom w:val="single" w:sz="4" w:space="0" w:color="000000"/>
              <w:right w:val="single" w:sz="4" w:space="0" w:color="000000"/>
            </w:tcBorders>
            <w:vAlign w:val="center"/>
          </w:tcPr>
          <w:p w14:paraId="63656E57"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0.143</w:t>
            </w:r>
          </w:p>
        </w:tc>
        <w:tc>
          <w:tcPr>
            <w:tcW w:w="858" w:type="dxa"/>
            <w:tcBorders>
              <w:top w:val="nil"/>
              <w:left w:val="nil"/>
              <w:bottom w:val="single" w:sz="4" w:space="0" w:color="000000"/>
              <w:right w:val="single" w:sz="4" w:space="0" w:color="000000"/>
            </w:tcBorders>
            <w:vAlign w:val="center"/>
          </w:tcPr>
          <w:p w14:paraId="4546FCD0"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0.046</w:t>
            </w:r>
          </w:p>
        </w:tc>
        <w:tc>
          <w:tcPr>
            <w:tcW w:w="1002" w:type="dxa"/>
            <w:tcBorders>
              <w:top w:val="nil"/>
              <w:left w:val="nil"/>
              <w:bottom w:val="single" w:sz="4" w:space="0" w:color="000000"/>
              <w:right w:val="single" w:sz="4" w:space="0" w:color="000000"/>
            </w:tcBorders>
            <w:vAlign w:val="center"/>
          </w:tcPr>
          <w:p w14:paraId="4F5D7F0B"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2.649</w:t>
            </w:r>
          </w:p>
        </w:tc>
        <w:tc>
          <w:tcPr>
            <w:tcW w:w="1499" w:type="dxa"/>
            <w:tcBorders>
              <w:top w:val="nil"/>
              <w:left w:val="nil"/>
              <w:bottom w:val="single" w:sz="4" w:space="0" w:color="000000"/>
              <w:right w:val="single" w:sz="4" w:space="0" w:color="000000"/>
            </w:tcBorders>
            <w:vAlign w:val="center"/>
          </w:tcPr>
          <w:p w14:paraId="50DFADC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w:t>
            </w:r>
          </w:p>
        </w:tc>
        <w:tc>
          <w:tcPr>
            <w:tcW w:w="1107" w:type="dxa"/>
            <w:tcBorders>
              <w:top w:val="nil"/>
              <w:left w:val="nil"/>
              <w:bottom w:val="single" w:sz="4" w:space="0" w:color="000000"/>
              <w:right w:val="single" w:sz="4" w:space="0" w:color="000000"/>
            </w:tcBorders>
          </w:tcPr>
          <w:p w14:paraId="301A6A89"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Supported</w:t>
            </w:r>
          </w:p>
        </w:tc>
      </w:tr>
      <w:tr w:rsidR="001A78F4" w14:paraId="75A14CDE" w14:textId="77777777">
        <w:trPr>
          <w:trHeight w:val="312"/>
        </w:trPr>
        <w:tc>
          <w:tcPr>
            <w:tcW w:w="1054" w:type="dxa"/>
            <w:tcBorders>
              <w:top w:val="nil"/>
              <w:left w:val="single" w:sz="4" w:space="0" w:color="000000"/>
              <w:bottom w:val="single" w:sz="4" w:space="0" w:color="000000"/>
              <w:right w:val="single" w:sz="4" w:space="0" w:color="000000"/>
            </w:tcBorders>
            <w:vAlign w:val="center"/>
          </w:tcPr>
          <w:p w14:paraId="41AA5762"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PSQ</w:t>
            </w:r>
          </w:p>
        </w:tc>
        <w:tc>
          <w:tcPr>
            <w:tcW w:w="647" w:type="dxa"/>
            <w:tcBorders>
              <w:top w:val="nil"/>
              <w:left w:val="nil"/>
              <w:bottom w:val="single" w:sz="4" w:space="0" w:color="000000"/>
              <w:right w:val="single" w:sz="4" w:space="0" w:color="000000"/>
            </w:tcBorders>
          </w:tcPr>
          <w:p w14:paraId="3EE72D49"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899" w:type="dxa"/>
            <w:tcBorders>
              <w:top w:val="nil"/>
              <w:left w:val="nil"/>
              <w:bottom w:val="single" w:sz="4" w:space="0" w:color="000000"/>
              <w:right w:val="single" w:sz="4" w:space="0" w:color="000000"/>
            </w:tcBorders>
            <w:vAlign w:val="center"/>
          </w:tcPr>
          <w:p w14:paraId="45C110ED"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w:t>
            </w:r>
          </w:p>
        </w:tc>
        <w:tc>
          <w:tcPr>
            <w:tcW w:w="975" w:type="dxa"/>
            <w:tcBorders>
              <w:top w:val="nil"/>
              <w:left w:val="nil"/>
              <w:bottom w:val="single" w:sz="4" w:space="0" w:color="000000"/>
              <w:right w:val="single" w:sz="4" w:space="0" w:color="000000"/>
            </w:tcBorders>
            <w:vAlign w:val="center"/>
          </w:tcPr>
          <w:p w14:paraId="1AB331E9"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0.318</w:t>
            </w:r>
          </w:p>
        </w:tc>
        <w:tc>
          <w:tcPr>
            <w:tcW w:w="975" w:type="dxa"/>
            <w:tcBorders>
              <w:top w:val="nil"/>
              <w:left w:val="nil"/>
              <w:bottom w:val="single" w:sz="4" w:space="0" w:color="000000"/>
              <w:right w:val="single" w:sz="4" w:space="0" w:color="000000"/>
            </w:tcBorders>
            <w:vAlign w:val="center"/>
          </w:tcPr>
          <w:p w14:paraId="678E7B01"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0.347</w:t>
            </w:r>
          </w:p>
        </w:tc>
        <w:tc>
          <w:tcPr>
            <w:tcW w:w="858" w:type="dxa"/>
            <w:tcBorders>
              <w:top w:val="nil"/>
              <w:left w:val="nil"/>
              <w:bottom w:val="single" w:sz="4" w:space="0" w:color="000000"/>
              <w:right w:val="single" w:sz="4" w:space="0" w:color="000000"/>
            </w:tcBorders>
            <w:vAlign w:val="center"/>
          </w:tcPr>
          <w:p w14:paraId="6011BA84"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0.044</w:t>
            </w:r>
          </w:p>
        </w:tc>
        <w:tc>
          <w:tcPr>
            <w:tcW w:w="1002" w:type="dxa"/>
            <w:tcBorders>
              <w:top w:val="nil"/>
              <w:left w:val="nil"/>
              <w:bottom w:val="single" w:sz="4" w:space="0" w:color="000000"/>
              <w:right w:val="single" w:sz="4" w:space="0" w:color="000000"/>
            </w:tcBorders>
            <w:vAlign w:val="center"/>
          </w:tcPr>
          <w:p w14:paraId="232D3C09"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7.232</w:t>
            </w:r>
          </w:p>
        </w:tc>
        <w:tc>
          <w:tcPr>
            <w:tcW w:w="1499" w:type="dxa"/>
            <w:tcBorders>
              <w:top w:val="nil"/>
              <w:left w:val="nil"/>
              <w:bottom w:val="single" w:sz="4" w:space="0" w:color="000000"/>
              <w:right w:val="single" w:sz="4" w:space="0" w:color="000000"/>
            </w:tcBorders>
            <w:vAlign w:val="center"/>
          </w:tcPr>
          <w:p w14:paraId="1964F632"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0.001</w:t>
            </w:r>
          </w:p>
        </w:tc>
        <w:tc>
          <w:tcPr>
            <w:tcW w:w="1107" w:type="dxa"/>
            <w:tcBorders>
              <w:top w:val="nil"/>
              <w:left w:val="nil"/>
              <w:bottom w:val="single" w:sz="4" w:space="0" w:color="000000"/>
              <w:right w:val="single" w:sz="4" w:space="0" w:color="000000"/>
            </w:tcBorders>
          </w:tcPr>
          <w:p w14:paraId="5145963C"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Supported</w:t>
            </w:r>
          </w:p>
        </w:tc>
      </w:tr>
      <w:tr w:rsidR="001A78F4" w14:paraId="4BC65BC5" w14:textId="77777777">
        <w:trPr>
          <w:trHeight w:val="312"/>
        </w:trPr>
        <w:tc>
          <w:tcPr>
            <w:tcW w:w="1054" w:type="dxa"/>
            <w:tcBorders>
              <w:top w:val="nil"/>
              <w:left w:val="single" w:sz="4" w:space="0" w:color="000000"/>
              <w:bottom w:val="single" w:sz="4" w:space="0" w:color="000000"/>
              <w:right w:val="single" w:sz="4" w:space="0" w:color="000000"/>
            </w:tcBorders>
            <w:vAlign w:val="center"/>
          </w:tcPr>
          <w:p w14:paraId="480ECF0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w:t>
            </w:r>
          </w:p>
        </w:tc>
        <w:tc>
          <w:tcPr>
            <w:tcW w:w="647" w:type="dxa"/>
            <w:tcBorders>
              <w:top w:val="nil"/>
              <w:left w:val="nil"/>
              <w:bottom w:val="single" w:sz="4" w:space="0" w:color="000000"/>
              <w:right w:val="single" w:sz="4" w:space="0" w:color="000000"/>
            </w:tcBorders>
            <w:vAlign w:val="center"/>
          </w:tcPr>
          <w:p w14:paraId="7B28BBB8"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899" w:type="dxa"/>
            <w:tcBorders>
              <w:top w:val="nil"/>
              <w:left w:val="nil"/>
              <w:bottom w:val="single" w:sz="4" w:space="0" w:color="000000"/>
              <w:right w:val="single" w:sz="4" w:space="0" w:color="000000"/>
            </w:tcBorders>
            <w:vAlign w:val="center"/>
          </w:tcPr>
          <w:p w14:paraId="64B677E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w:t>
            </w:r>
          </w:p>
        </w:tc>
        <w:tc>
          <w:tcPr>
            <w:tcW w:w="975" w:type="dxa"/>
            <w:tcBorders>
              <w:top w:val="nil"/>
              <w:left w:val="nil"/>
              <w:bottom w:val="single" w:sz="4" w:space="0" w:color="000000"/>
              <w:right w:val="single" w:sz="4" w:space="0" w:color="000000"/>
            </w:tcBorders>
            <w:vAlign w:val="center"/>
          </w:tcPr>
          <w:p w14:paraId="4723C97D"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0.129</w:t>
            </w:r>
          </w:p>
        </w:tc>
        <w:tc>
          <w:tcPr>
            <w:tcW w:w="975" w:type="dxa"/>
            <w:tcBorders>
              <w:top w:val="nil"/>
              <w:left w:val="nil"/>
              <w:bottom w:val="single" w:sz="4" w:space="0" w:color="000000"/>
              <w:right w:val="single" w:sz="4" w:space="0" w:color="000000"/>
            </w:tcBorders>
            <w:vAlign w:val="center"/>
          </w:tcPr>
          <w:p w14:paraId="42F5AD0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0.138</w:t>
            </w:r>
          </w:p>
        </w:tc>
        <w:tc>
          <w:tcPr>
            <w:tcW w:w="858" w:type="dxa"/>
            <w:tcBorders>
              <w:top w:val="nil"/>
              <w:left w:val="nil"/>
              <w:bottom w:val="single" w:sz="4" w:space="0" w:color="000000"/>
              <w:right w:val="single" w:sz="4" w:space="0" w:color="000000"/>
            </w:tcBorders>
            <w:vAlign w:val="center"/>
          </w:tcPr>
          <w:p w14:paraId="65FCDA7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0.055</w:t>
            </w:r>
          </w:p>
        </w:tc>
        <w:tc>
          <w:tcPr>
            <w:tcW w:w="1002" w:type="dxa"/>
            <w:tcBorders>
              <w:top w:val="nil"/>
              <w:left w:val="nil"/>
              <w:bottom w:val="single" w:sz="4" w:space="0" w:color="000000"/>
              <w:right w:val="single" w:sz="4" w:space="0" w:color="000000"/>
            </w:tcBorders>
            <w:vAlign w:val="center"/>
          </w:tcPr>
          <w:p w14:paraId="3055BBA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2.355</w:t>
            </w:r>
          </w:p>
        </w:tc>
        <w:tc>
          <w:tcPr>
            <w:tcW w:w="1499" w:type="dxa"/>
            <w:tcBorders>
              <w:top w:val="nil"/>
              <w:left w:val="nil"/>
              <w:bottom w:val="single" w:sz="4" w:space="0" w:color="000000"/>
              <w:right w:val="single" w:sz="4" w:space="0" w:color="000000"/>
            </w:tcBorders>
            <w:vAlign w:val="center"/>
          </w:tcPr>
          <w:p w14:paraId="640DE1B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w:t>
            </w:r>
          </w:p>
        </w:tc>
        <w:tc>
          <w:tcPr>
            <w:tcW w:w="1107" w:type="dxa"/>
            <w:tcBorders>
              <w:top w:val="nil"/>
              <w:left w:val="nil"/>
              <w:bottom w:val="single" w:sz="4" w:space="0" w:color="000000"/>
              <w:right w:val="single" w:sz="4" w:space="0" w:color="000000"/>
            </w:tcBorders>
          </w:tcPr>
          <w:p w14:paraId="039A2692"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Supported</w:t>
            </w:r>
          </w:p>
        </w:tc>
      </w:tr>
      <w:tr w:rsidR="001A78F4" w14:paraId="52D7B46C" w14:textId="77777777">
        <w:trPr>
          <w:trHeight w:val="312"/>
        </w:trPr>
        <w:tc>
          <w:tcPr>
            <w:tcW w:w="1054" w:type="dxa"/>
            <w:tcBorders>
              <w:top w:val="nil"/>
              <w:left w:val="single" w:sz="4" w:space="0" w:color="000000"/>
              <w:bottom w:val="single" w:sz="4" w:space="0" w:color="000000"/>
              <w:right w:val="single" w:sz="4" w:space="0" w:color="000000"/>
            </w:tcBorders>
            <w:vAlign w:val="center"/>
          </w:tcPr>
          <w:p w14:paraId="13BB7F44"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w:t>
            </w:r>
          </w:p>
        </w:tc>
        <w:tc>
          <w:tcPr>
            <w:tcW w:w="647" w:type="dxa"/>
            <w:tcBorders>
              <w:top w:val="nil"/>
              <w:left w:val="nil"/>
              <w:bottom w:val="single" w:sz="4" w:space="0" w:color="000000"/>
              <w:right w:val="single" w:sz="4" w:space="0" w:color="000000"/>
            </w:tcBorders>
          </w:tcPr>
          <w:p w14:paraId="1B0E205B"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899" w:type="dxa"/>
            <w:tcBorders>
              <w:top w:val="nil"/>
              <w:left w:val="nil"/>
              <w:bottom w:val="single" w:sz="4" w:space="0" w:color="000000"/>
              <w:right w:val="single" w:sz="4" w:space="0" w:color="000000"/>
            </w:tcBorders>
            <w:vAlign w:val="center"/>
          </w:tcPr>
          <w:p w14:paraId="07FC15EF"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w:t>
            </w:r>
          </w:p>
        </w:tc>
        <w:tc>
          <w:tcPr>
            <w:tcW w:w="975" w:type="dxa"/>
            <w:tcBorders>
              <w:top w:val="nil"/>
              <w:left w:val="nil"/>
              <w:bottom w:val="single" w:sz="4" w:space="0" w:color="000000"/>
              <w:right w:val="single" w:sz="4" w:space="0" w:color="000000"/>
            </w:tcBorders>
            <w:vAlign w:val="center"/>
          </w:tcPr>
          <w:p w14:paraId="6CE22140"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0.249</w:t>
            </w:r>
          </w:p>
        </w:tc>
        <w:tc>
          <w:tcPr>
            <w:tcW w:w="975" w:type="dxa"/>
            <w:tcBorders>
              <w:top w:val="nil"/>
              <w:left w:val="nil"/>
              <w:bottom w:val="single" w:sz="4" w:space="0" w:color="000000"/>
              <w:right w:val="single" w:sz="4" w:space="0" w:color="000000"/>
            </w:tcBorders>
            <w:vAlign w:val="center"/>
          </w:tcPr>
          <w:p w14:paraId="3A2293A1"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0.242</w:t>
            </w:r>
          </w:p>
        </w:tc>
        <w:tc>
          <w:tcPr>
            <w:tcW w:w="858" w:type="dxa"/>
            <w:tcBorders>
              <w:top w:val="nil"/>
              <w:left w:val="nil"/>
              <w:bottom w:val="single" w:sz="4" w:space="0" w:color="000000"/>
              <w:right w:val="single" w:sz="4" w:space="0" w:color="000000"/>
            </w:tcBorders>
            <w:vAlign w:val="center"/>
          </w:tcPr>
          <w:p w14:paraId="5B86593C"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0.052</w:t>
            </w:r>
          </w:p>
        </w:tc>
        <w:tc>
          <w:tcPr>
            <w:tcW w:w="1002" w:type="dxa"/>
            <w:tcBorders>
              <w:top w:val="nil"/>
              <w:left w:val="nil"/>
              <w:bottom w:val="single" w:sz="4" w:space="0" w:color="000000"/>
              <w:right w:val="single" w:sz="4" w:space="0" w:color="000000"/>
            </w:tcBorders>
            <w:vAlign w:val="center"/>
          </w:tcPr>
          <w:p w14:paraId="4C1A3327"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4.838</w:t>
            </w:r>
          </w:p>
        </w:tc>
        <w:tc>
          <w:tcPr>
            <w:tcW w:w="1499" w:type="dxa"/>
            <w:tcBorders>
              <w:top w:val="nil"/>
              <w:left w:val="nil"/>
              <w:bottom w:val="single" w:sz="4" w:space="0" w:color="000000"/>
              <w:right w:val="single" w:sz="4" w:space="0" w:color="000000"/>
            </w:tcBorders>
            <w:vAlign w:val="center"/>
          </w:tcPr>
          <w:p w14:paraId="24294FA3"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0.001</w:t>
            </w:r>
          </w:p>
        </w:tc>
        <w:tc>
          <w:tcPr>
            <w:tcW w:w="1107" w:type="dxa"/>
            <w:tcBorders>
              <w:top w:val="nil"/>
              <w:left w:val="nil"/>
              <w:bottom w:val="single" w:sz="4" w:space="0" w:color="000000"/>
              <w:right w:val="single" w:sz="4" w:space="0" w:color="000000"/>
            </w:tcBorders>
          </w:tcPr>
          <w:p w14:paraId="5FE0EC57"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Supported</w:t>
            </w:r>
          </w:p>
        </w:tc>
      </w:tr>
      <w:tr w:rsidR="001A78F4" w14:paraId="0D464051" w14:textId="77777777">
        <w:trPr>
          <w:trHeight w:val="312"/>
        </w:trPr>
        <w:tc>
          <w:tcPr>
            <w:tcW w:w="1054" w:type="dxa"/>
            <w:tcBorders>
              <w:top w:val="nil"/>
              <w:left w:val="single" w:sz="4" w:space="0" w:color="000000"/>
              <w:bottom w:val="single" w:sz="4" w:space="0" w:color="000000"/>
              <w:right w:val="single" w:sz="4" w:space="0" w:color="000000"/>
            </w:tcBorders>
            <w:vAlign w:val="center"/>
          </w:tcPr>
          <w:p w14:paraId="383185E0"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TRUST</w:t>
            </w:r>
          </w:p>
        </w:tc>
        <w:tc>
          <w:tcPr>
            <w:tcW w:w="647" w:type="dxa"/>
            <w:tcBorders>
              <w:top w:val="nil"/>
              <w:left w:val="nil"/>
              <w:bottom w:val="single" w:sz="4" w:space="0" w:color="000000"/>
              <w:right w:val="single" w:sz="4" w:space="0" w:color="000000"/>
            </w:tcBorders>
          </w:tcPr>
          <w:p w14:paraId="5EE9B8C4"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899" w:type="dxa"/>
            <w:tcBorders>
              <w:top w:val="nil"/>
              <w:left w:val="nil"/>
              <w:bottom w:val="single" w:sz="4" w:space="0" w:color="000000"/>
              <w:right w:val="single" w:sz="4" w:space="0" w:color="000000"/>
            </w:tcBorders>
            <w:vAlign w:val="center"/>
          </w:tcPr>
          <w:p w14:paraId="4762219A"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w:t>
            </w:r>
          </w:p>
        </w:tc>
        <w:tc>
          <w:tcPr>
            <w:tcW w:w="975" w:type="dxa"/>
            <w:tcBorders>
              <w:top w:val="nil"/>
              <w:left w:val="nil"/>
              <w:bottom w:val="single" w:sz="4" w:space="0" w:color="000000"/>
              <w:right w:val="single" w:sz="4" w:space="0" w:color="000000"/>
            </w:tcBorders>
            <w:vAlign w:val="center"/>
          </w:tcPr>
          <w:p w14:paraId="1AAFE817"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0.161</w:t>
            </w:r>
          </w:p>
        </w:tc>
        <w:tc>
          <w:tcPr>
            <w:tcW w:w="975" w:type="dxa"/>
            <w:tcBorders>
              <w:top w:val="nil"/>
              <w:left w:val="nil"/>
              <w:bottom w:val="single" w:sz="4" w:space="0" w:color="000000"/>
              <w:right w:val="single" w:sz="4" w:space="0" w:color="000000"/>
            </w:tcBorders>
            <w:vAlign w:val="center"/>
          </w:tcPr>
          <w:p w14:paraId="69677758"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0.183</w:t>
            </w:r>
          </w:p>
        </w:tc>
        <w:tc>
          <w:tcPr>
            <w:tcW w:w="858" w:type="dxa"/>
            <w:tcBorders>
              <w:top w:val="nil"/>
              <w:left w:val="nil"/>
              <w:bottom w:val="single" w:sz="4" w:space="0" w:color="000000"/>
              <w:right w:val="single" w:sz="4" w:space="0" w:color="000000"/>
            </w:tcBorders>
            <w:vAlign w:val="center"/>
          </w:tcPr>
          <w:p w14:paraId="415A65A0"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0.041</w:t>
            </w:r>
          </w:p>
        </w:tc>
        <w:tc>
          <w:tcPr>
            <w:tcW w:w="1002" w:type="dxa"/>
            <w:tcBorders>
              <w:top w:val="nil"/>
              <w:left w:val="nil"/>
              <w:bottom w:val="single" w:sz="4" w:space="0" w:color="000000"/>
              <w:right w:val="single" w:sz="4" w:space="0" w:color="000000"/>
            </w:tcBorders>
            <w:vAlign w:val="center"/>
          </w:tcPr>
          <w:p w14:paraId="43F9923A"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3.926</w:t>
            </w:r>
          </w:p>
        </w:tc>
        <w:tc>
          <w:tcPr>
            <w:tcW w:w="1499" w:type="dxa"/>
            <w:tcBorders>
              <w:top w:val="nil"/>
              <w:left w:val="nil"/>
              <w:bottom w:val="single" w:sz="4" w:space="0" w:color="000000"/>
              <w:right w:val="single" w:sz="4" w:space="0" w:color="000000"/>
            </w:tcBorders>
            <w:vAlign w:val="center"/>
          </w:tcPr>
          <w:p w14:paraId="586B9283"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0.001</w:t>
            </w:r>
          </w:p>
        </w:tc>
        <w:tc>
          <w:tcPr>
            <w:tcW w:w="1107" w:type="dxa"/>
            <w:tcBorders>
              <w:top w:val="nil"/>
              <w:left w:val="nil"/>
              <w:bottom w:val="single" w:sz="4" w:space="0" w:color="000000"/>
              <w:right w:val="single" w:sz="4" w:space="0" w:color="000000"/>
            </w:tcBorders>
          </w:tcPr>
          <w:p w14:paraId="31E0847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Supported</w:t>
            </w:r>
          </w:p>
        </w:tc>
      </w:tr>
      <w:tr w:rsidR="001A78F4" w14:paraId="39BA0520" w14:textId="77777777">
        <w:trPr>
          <w:trHeight w:val="312"/>
        </w:trPr>
        <w:tc>
          <w:tcPr>
            <w:tcW w:w="1054" w:type="dxa"/>
            <w:tcBorders>
              <w:top w:val="nil"/>
              <w:left w:val="single" w:sz="4" w:space="0" w:color="000000"/>
              <w:bottom w:val="single" w:sz="4" w:space="0" w:color="000000"/>
              <w:right w:val="single" w:sz="4" w:space="0" w:color="000000"/>
            </w:tcBorders>
            <w:vAlign w:val="center"/>
          </w:tcPr>
          <w:p w14:paraId="5B1E25A9"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w:t>
            </w:r>
          </w:p>
        </w:tc>
        <w:tc>
          <w:tcPr>
            <w:tcW w:w="647" w:type="dxa"/>
            <w:tcBorders>
              <w:top w:val="nil"/>
              <w:left w:val="nil"/>
              <w:bottom w:val="single" w:sz="4" w:space="0" w:color="000000"/>
              <w:right w:val="single" w:sz="4" w:space="0" w:color="000000"/>
            </w:tcBorders>
            <w:vAlign w:val="center"/>
          </w:tcPr>
          <w:p w14:paraId="2E97B41D"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899" w:type="dxa"/>
            <w:tcBorders>
              <w:top w:val="nil"/>
              <w:left w:val="nil"/>
              <w:bottom w:val="single" w:sz="4" w:space="0" w:color="000000"/>
              <w:right w:val="single" w:sz="4" w:space="0" w:color="000000"/>
            </w:tcBorders>
            <w:vAlign w:val="center"/>
          </w:tcPr>
          <w:p w14:paraId="0CE58FB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w:t>
            </w:r>
          </w:p>
        </w:tc>
        <w:tc>
          <w:tcPr>
            <w:tcW w:w="975" w:type="dxa"/>
            <w:tcBorders>
              <w:top w:val="nil"/>
              <w:left w:val="nil"/>
              <w:bottom w:val="single" w:sz="4" w:space="0" w:color="000000"/>
              <w:right w:val="single" w:sz="4" w:space="0" w:color="000000"/>
            </w:tcBorders>
            <w:vAlign w:val="center"/>
          </w:tcPr>
          <w:p w14:paraId="5DC6DE0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0.373</w:t>
            </w:r>
          </w:p>
        </w:tc>
        <w:tc>
          <w:tcPr>
            <w:tcW w:w="975" w:type="dxa"/>
            <w:tcBorders>
              <w:top w:val="nil"/>
              <w:left w:val="nil"/>
              <w:bottom w:val="single" w:sz="4" w:space="0" w:color="000000"/>
              <w:right w:val="single" w:sz="4" w:space="0" w:color="000000"/>
            </w:tcBorders>
            <w:vAlign w:val="center"/>
          </w:tcPr>
          <w:p w14:paraId="3141ADFB"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0.278</w:t>
            </w:r>
          </w:p>
        </w:tc>
        <w:tc>
          <w:tcPr>
            <w:tcW w:w="858" w:type="dxa"/>
            <w:tcBorders>
              <w:top w:val="nil"/>
              <w:left w:val="nil"/>
              <w:bottom w:val="single" w:sz="4" w:space="0" w:color="000000"/>
              <w:right w:val="single" w:sz="4" w:space="0" w:color="000000"/>
            </w:tcBorders>
            <w:vAlign w:val="center"/>
          </w:tcPr>
          <w:p w14:paraId="3FBC496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0.067</w:t>
            </w:r>
          </w:p>
        </w:tc>
        <w:tc>
          <w:tcPr>
            <w:tcW w:w="1002" w:type="dxa"/>
            <w:tcBorders>
              <w:top w:val="nil"/>
              <w:left w:val="nil"/>
              <w:bottom w:val="single" w:sz="4" w:space="0" w:color="000000"/>
              <w:right w:val="single" w:sz="4" w:space="0" w:color="000000"/>
            </w:tcBorders>
            <w:vAlign w:val="center"/>
          </w:tcPr>
          <w:p w14:paraId="3559D33C"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5.580</w:t>
            </w:r>
          </w:p>
        </w:tc>
        <w:tc>
          <w:tcPr>
            <w:tcW w:w="1499" w:type="dxa"/>
            <w:tcBorders>
              <w:top w:val="nil"/>
              <w:left w:val="nil"/>
              <w:bottom w:val="single" w:sz="4" w:space="0" w:color="000000"/>
              <w:right w:val="single" w:sz="4" w:space="0" w:color="000000"/>
            </w:tcBorders>
            <w:vAlign w:val="center"/>
          </w:tcPr>
          <w:p w14:paraId="5209693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0.001</w:t>
            </w:r>
          </w:p>
        </w:tc>
        <w:tc>
          <w:tcPr>
            <w:tcW w:w="1107" w:type="dxa"/>
            <w:tcBorders>
              <w:top w:val="nil"/>
              <w:left w:val="nil"/>
              <w:bottom w:val="single" w:sz="4" w:space="0" w:color="000000"/>
              <w:right w:val="single" w:sz="4" w:space="0" w:color="000000"/>
            </w:tcBorders>
          </w:tcPr>
          <w:p w14:paraId="4E15E9E0"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Supported</w:t>
            </w:r>
          </w:p>
        </w:tc>
      </w:tr>
      <w:tr w:rsidR="001A78F4" w14:paraId="6F50B1A2" w14:textId="77777777">
        <w:trPr>
          <w:trHeight w:val="312"/>
        </w:trPr>
        <w:tc>
          <w:tcPr>
            <w:tcW w:w="1054" w:type="dxa"/>
            <w:tcBorders>
              <w:top w:val="nil"/>
              <w:left w:val="single" w:sz="4" w:space="0" w:color="000000"/>
              <w:bottom w:val="single" w:sz="4" w:space="0" w:color="000000"/>
              <w:right w:val="single" w:sz="4" w:space="0" w:color="000000"/>
            </w:tcBorders>
            <w:vAlign w:val="center"/>
          </w:tcPr>
          <w:p w14:paraId="306372CB"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WOM</w:t>
            </w:r>
          </w:p>
        </w:tc>
        <w:tc>
          <w:tcPr>
            <w:tcW w:w="647" w:type="dxa"/>
            <w:tcBorders>
              <w:top w:val="nil"/>
              <w:left w:val="nil"/>
              <w:bottom w:val="single" w:sz="4" w:space="0" w:color="000000"/>
              <w:right w:val="single" w:sz="4" w:space="0" w:color="000000"/>
            </w:tcBorders>
          </w:tcPr>
          <w:p w14:paraId="7237AB3D"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w:t>
            </w:r>
          </w:p>
        </w:tc>
        <w:tc>
          <w:tcPr>
            <w:tcW w:w="899" w:type="dxa"/>
            <w:tcBorders>
              <w:top w:val="nil"/>
              <w:left w:val="nil"/>
              <w:bottom w:val="single" w:sz="4" w:space="0" w:color="000000"/>
              <w:right w:val="single" w:sz="4" w:space="0" w:color="000000"/>
            </w:tcBorders>
            <w:vAlign w:val="center"/>
          </w:tcPr>
          <w:p w14:paraId="5CB126AA"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w:t>
            </w:r>
          </w:p>
        </w:tc>
        <w:tc>
          <w:tcPr>
            <w:tcW w:w="975" w:type="dxa"/>
            <w:tcBorders>
              <w:top w:val="nil"/>
              <w:left w:val="nil"/>
              <w:bottom w:val="single" w:sz="4" w:space="0" w:color="000000"/>
              <w:right w:val="single" w:sz="4" w:space="0" w:color="000000"/>
            </w:tcBorders>
            <w:vAlign w:val="center"/>
          </w:tcPr>
          <w:p w14:paraId="132529FE"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w:t>
            </w:r>
          </w:p>
        </w:tc>
        <w:tc>
          <w:tcPr>
            <w:tcW w:w="975" w:type="dxa"/>
            <w:tcBorders>
              <w:top w:val="nil"/>
              <w:left w:val="nil"/>
              <w:bottom w:val="single" w:sz="4" w:space="0" w:color="000000"/>
              <w:right w:val="single" w:sz="4" w:space="0" w:color="000000"/>
            </w:tcBorders>
            <w:vAlign w:val="center"/>
          </w:tcPr>
          <w:p w14:paraId="13C8ADC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0.109</w:t>
            </w:r>
          </w:p>
        </w:tc>
        <w:tc>
          <w:tcPr>
            <w:tcW w:w="858" w:type="dxa"/>
            <w:tcBorders>
              <w:top w:val="nil"/>
              <w:left w:val="nil"/>
              <w:bottom w:val="single" w:sz="4" w:space="0" w:color="000000"/>
              <w:right w:val="single" w:sz="4" w:space="0" w:color="000000"/>
            </w:tcBorders>
            <w:vAlign w:val="center"/>
          </w:tcPr>
          <w:p w14:paraId="14BF36C3"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0.036</w:t>
            </w:r>
          </w:p>
        </w:tc>
        <w:tc>
          <w:tcPr>
            <w:tcW w:w="1002" w:type="dxa"/>
            <w:tcBorders>
              <w:top w:val="nil"/>
              <w:left w:val="nil"/>
              <w:bottom w:val="single" w:sz="4" w:space="0" w:color="000000"/>
              <w:right w:val="single" w:sz="4" w:space="0" w:color="000000"/>
            </w:tcBorders>
            <w:vAlign w:val="center"/>
          </w:tcPr>
          <w:p w14:paraId="06A4824D"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2.102</w:t>
            </w:r>
          </w:p>
        </w:tc>
        <w:tc>
          <w:tcPr>
            <w:tcW w:w="1499" w:type="dxa"/>
            <w:tcBorders>
              <w:top w:val="nil"/>
              <w:left w:val="nil"/>
              <w:bottom w:val="single" w:sz="4" w:space="0" w:color="000000"/>
              <w:right w:val="single" w:sz="4" w:space="0" w:color="000000"/>
            </w:tcBorders>
            <w:vAlign w:val="center"/>
          </w:tcPr>
          <w:p w14:paraId="702784EF"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0.018</w:t>
            </w:r>
          </w:p>
        </w:tc>
        <w:tc>
          <w:tcPr>
            <w:tcW w:w="1107" w:type="dxa"/>
            <w:tcBorders>
              <w:top w:val="nil"/>
              <w:left w:val="nil"/>
              <w:bottom w:val="single" w:sz="4" w:space="0" w:color="000000"/>
              <w:right w:val="single" w:sz="4" w:space="0" w:color="000000"/>
            </w:tcBorders>
          </w:tcPr>
          <w:p w14:paraId="3723B12C"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Supported</w:t>
            </w:r>
          </w:p>
        </w:tc>
      </w:tr>
    </w:tbl>
    <w:p w14:paraId="05BB8D17" w14:textId="77777777" w:rsidR="001A78F4" w:rsidRDefault="001A78F4">
      <w:pPr>
        <w:spacing w:before="240" w:line="360" w:lineRule="auto"/>
        <w:jc w:val="both"/>
        <w:rPr>
          <w:rFonts w:ascii="Times New Roman" w:eastAsia="Times New Roman" w:hAnsi="Times New Roman" w:cs="Times New Roman"/>
          <w:b/>
          <w:bCs/>
          <w:color w:val="000000"/>
          <w:sz w:val="24"/>
          <w:szCs w:val="24"/>
        </w:rPr>
      </w:pPr>
    </w:p>
    <w:p w14:paraId="07205AF0" w14:textId="77777777" w:rsidR="001A78F4" w:rsidRDefault="00000000">
      <w:pPr>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4.5 Mediation Analysis</w:t>
      </w:r>
    </w:p>
    <w:p w14:paraId="7F4D69C6" w14:textId="74448110"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indirect association between perceived service quality and intention to revisit was investigated in the current study (Table 6), and another indirect effect of WOM between satisfaction and revisit intention. The indirect connection found between Service Quality, Satisfaction, and Revisit Intention was found to be statistically proved (β = 0.048, p = 0.008), supporting H3a. Additionally, an indirect link among Satisfaction, Word-of-Mouth and Revisit Intention was significantly found (β = 0.030, p = 0.010), supporting H7a. This implies that higher service quality helps to enhance patient satisfaction. When patients are satisfied, they are </w:t>
      </w:r>
      <w:r w:rsidR="002F4CFC">
        <w:rPr>
          <w:rFonts w:ascii="Times New Roman" w:eastAsia="Times New Roman" w:hAnsi="Times New Roman" w:cs="Times New Roman"/>
          <w:color w:val="000000"/>
          <w:sz w:val="24"/>
          <w:szCs w:val="24"/>
        </w:rPr>
        <w:t>inclined</w:t>
      </w:r>
      <w:r>
        <w:rPr>
          <w:rFonts w:ascii="Times New Roman" w:eastAsia="Times New Roman" w:hAnsi="Times New Roman" w:cs="Times New Roman"/>
          <w:color w:val="000000"/>
          <w:sz w:val="24"/>
          <w:szCs w:val="24"/>
        </w:rPr>
        <w:t xml:space="preserve"> to return and share positive WOM about the hospital, which further encourages other patients to revisit the hospital.</w:t>
      </w:r>
    </w:p>
    <w:p w14:paraId="57DFC0CC" w14:textId="77777777" w:rsidR="001A78F4" w:rsidRDefault="001A78F4">
      <w:pPr>
        <w:spacing w:after="0" w:line="360" w:lineRule="auto"/>
        <w:jc w:val="both"/>
        <w:rPr>
          <w:rFonts w:ascii="Times New Roman" w:eastAsia="Times New Roman" w:hAnsi="Times New Roman" w:cs="Times New Roman"/>
          <w:color w:val="000000"/>
          <w:sz w:val="24"/>
          <w:szCs w:val="24"/>
        </w:rPr>
      </w:pPr>
    </w:p>
    <w:p w14:paraId="3DF4334B" w14:textId="77777777" w:rsidR="001A78F4" w:rsidRDefault="001A78F4">
      <w:pPr>
        <w:spacing w:after="0" w:line="360" w:lineRule="auto"/>
        <w:ind w:firstLine="720"/>
        <w:jc w:val="both"/>
        <w:rPr>
          <w:rFonts w:ascii="Times New Roman" w:eastAsia="Times New Roman" w:hAnsi="Times New Roman" w:cs="Times New Roman"/>
          <w:color w:val="000000"/>
          <w:sz w:val="24"/>
          <w:szCs w:val="24"/>
        </w:rPr>
      </w:pPr>
    </w:p>
    <w:p w14:paraId="5C608E46" w14:textId="77777777" w:rsidR="001A78F4" w:rsidRDefault="00000000">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F712E95" wp14:editId="34150A55">
            <wp:extent cx="5991146" cy="3396886"/>
            <wp:effectExtent l="0" t="0" r="0" b="0"/>
            <wp:docPr id="19651115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991146" cy="3396886"/>
                    </a:xfrm>
                    <a:prstGeom prst="rect">
                      <a:avLst/>
                    </a:prstGeom>
                    <a:ln/>
                  </pic:spPr>
                </pic:pic>
              </a:graphicData>
            </a:graphic>
          </wp:inline>
        </w:drawing>
      </w:r>
    </w:p>
    <w:p w14:paraId="7F3EFEF3" w14:textId="77777777" w:rsidR="001A78F4" w:rsidRDefault="00000000">
      <w:pPr>
        <w:spacing w:line="360" w:lineRule="auto"/>
        <w:ind w:firstLine="72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lastRenderedPageBreak/>
        <w:t>Figure 2:  SEM analysis results (Source: Authors’ Compilation)</w:t>
      </w:r>
    </w:p>
    <w:p w14:paraId="2EC7A338" w14:textId="77777777" w:rsidR="001A78F4" w:rsidRDefault="001A78F4">
      <w:pPr>
        <w:keepNext/>
        <w:pBdr>
          <w:top w:val="nil"/>
          <w:left w:val="nil"/>
          <w:bottom w:val="nil"/>
          <w:right w:val="nil"/>
          <w:between w:val="nil"/>
        </w:pBdr>
        <w:spacing w:after="0" w:line="360" w:lineRule="auto"/>
        <w:jc w:val="both"/>
        <w:rPr>
          <w:rFonts w:ascii="Times New Roman" w:eastAsia="Times New Roman" w:hAnsi="Times New Roman" w:cs="Times New Roman"/>
          <w:b/>
          <w:bCs/>
          <w:i/>
          <w:iCs/>
          <w:color w:val="000000"/>
          <w:sz w:val="24"/>
          <w:szCs w:val="24"/>
        </w:rPr>
      </w:pPr>
    </w:p>
    <w:p w14:paraId="3BCD6766" w14:textId="77777777" w:rsidR="001A78F4" w:rsidRDefault="00000000">
      <w:pPr>
        <w:keepNext/>
        <w:pBdr>
          <w:top w:val="nil"/>
          <w:left w:val="nil"/>
          <w:bottom w:val="nil"/>
          <w:right w:val="nil"/>
          <w:between w:val="nil"/>
        </w:pBdr>
        <w:spacing w:after="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Table 6: Results of the Mediation Analysis</w:t>
      </w:r>
    </w:p>
    <w:tbl>
      <w:tblPr>
        <w:tblStyle w:val="ac"/>
        <w:tblpPr w:leftFromText="180" w:rightFromText="180" w:vertAnchor="text" w:tblpX="4" w:tblpY="24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9"/>
        <w:gridCol w:w="1807"/>
        <w:gridCol w:w="927"/>
        <w:gridCol w:w="900"/>
        <w:gridCol w:w="1333"/>
        <w:gridCol w:w="1553"/>
        <w:gridCol w:w="1017"/>
      </w:tblGrid>
      <w:tr w:rsidR="001A78F4" w14:paraId="4245AE47" w14:textId="77777777">
        <w:tc>
          <w:tcPr>
            <w:tcW w:w="1479" w:type="dxa"/>
            <w:tcMar>
              <w:top w:w="150" w:type="dxa"/>
              <w:left w:w="150" w:type="dxa"/>
              <w:bottom w:w="150" w:type="dxa"/>
              <w:right w:w="150" w:type="dxa"/>
            </w:tcMar>
            <w:vAlign w:val="center"/>
          </w:tcPr>
          <w:p w14:paraId="5204758B"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Indirect Path</w:t>
            </w:r>
          </w:p>
        </w:tc>
        <w:tc>
          <w:tcPr>
            <w:tcW w:w="1807" w:type="dxa"/>
            <w:tcMar>
              <w:top w:w="150" w:type="dxa"/>
              <w:left w:w="150" w:type="dxa"/>
              <w:bottom w:w="150" w:type="dxa"/>
              <w:right w:w="150" w:type="dxa"/>
            </w:tcMar>
            <w:vAlign w:val="center"/>
          </w:tcPr>
          <w:p w14:paraId="101E25E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Unstandardized Estimate</w:t>
            </w:r>
          </w:p>
        </w:tc>
        <w:tc>
          <w:tcPr>
            <w:tcW w:w="927" w:type="dxa"/>
            <w:tcMar>
              <w:top w:w="150" w:type="dxa"/>
              <w:left w:w="150" w:type="dxa"/>
              <w:bottom w:w="150" w:type="dxa"/>
              <w:right w:w="150" w:type="dxa"/>
            </w:tcMar>
            <w:vAlign w:val="center"/>
          </w:tcPr>
          <w:p w14:paraId="6FA0983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Lower</w:t>
            </w:r>
          </w:p>
        </w:tc>
        <w:tc>
          <w:tcPr>
            <w:tcW w:w="900" w:type="dxa"/>
            <w:tcMar>
              <w:top w:w="150" w:type="dxa"/>
              <w:left w:w="150" w:type="dxa"/>
              <w:bottom w:w="150" w:type="dxa"/>
              <w:right w:w="150" w:type="dxa"/>
            </w:tcMar>
            <w:vAlign w:val="center"/>
          </w:tcPr>
          <w:p w14:paraId="7EFC172C"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Upper</w:t>
            </w:r>
          </w:p>
        </w:tc>
        <w:tc>
          <w:tcPr>
            <w:tcW w:w="1333" w:type="dxa"/>
            <w:tcMar>
              <w:top w:w="150" w:type="dxa"/>
              <w:left w:w="150" w:type="dxa"/>
              <w:bottom w:w="150" w:type="dxa"/>
              <w:right w:w="150" w:type="dxa"/>
            </w:tcMar>
            <w:vAlign w:val="center"/>
          </w:tcPr>
          <w:p w14:paraId="2811DECF"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P-Value (One-Tailed) </w:t>
            </w:r>
          </w:p>
        </w:tc>
        <w:tc>
          <w:tcPr>
            <w:tcW w:w="1553" w:type="dxa"/>
            <w:tcMar>
              <w:top w:w="150" w:type="dxa"/>
              <w:left w:w="150" w:type="dxa"/>
              <w:bottom w:w="150" w:type="dxa"/>
              <w:right w:w="150" w:type="dxa"/>
            </w:tcMar>
            <w:vAlign w:val="center"/>
          </w:tcPr>
          <w:p w14:paraId="509D6D5C"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Standardized Estimate</w:t>
            </w:r>
          </w:p>
        </w:tc>
        <w:tc>
          <w:tcPr>
            <w:tcW w:w="1017" w:type="dxa"/>
          </w:tcPr>
          <w:p w14:paraId="42794B2C"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Result</w:t>
            </w:r>
          </w:p>
        </w:tc>
      </w:tr>
      <w:tr w:rsidR="001A78F4" w14:paraId="33157C26" w14:textId="77777777">
        <w:tc>
          <w:tcPr>
            <w:tcW w:w="1479" w:type="dxa"/>
            <w:tcMar>
              <w:top w:w="75" w:type="dxa"/>
              <w:left w:w="75" w:type="dxa"/>
              <w:bottom w:w="75" w:type="dxa"/>
              <w:right w:w="75" w:type="dxa"/>
            </w:tcMar>
            <w:vAlign w:val="center"/>
          </w:tcPr>
          <w:p w14:paraId="063BA4BA"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Perceived Service Quality --&gt; Satisfaction --&gt; Revisit Intention</w:t>
            </w:r>
          </w:p>
        </w:tc>
        <w:tc>
          <w:tcPr>
            <w:tcW w:w="1807" w:type="dxa"/>
            <w:tcMar>
              <w:top w:w="75" w:type="dxa"/>
              <w:left w:w="75" w:type="dxa"/>
              <w:bottom w:w="75" w:type="dxa"/>
              <w:right w:w="75" w:type="dxa"/>
            </w:tcMar>
            <w:vAlign w:val="center"/>
          </w:tcPr>
          <w:p w14:paraId="392B1943"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0.041</w:t>
            </w:r>
          </w:p>
        </w:tc>
        <w:tc>
          <w:tcPr>
            <w:tcW w:w="927" w:type="dxa"/>
            <w:tcMar>
              <w:top w:w="75" w:type="dxa"/>
              <w:left w:w="75" w:type="dxa"/>
              <w:bottom w:w="75" w:type="dxa"/>
              <w:right w:w="75" w:type="dxa"/>
            </w:tcMar>
            <w:vAlign w:val="center"/>
          </w:tcPr>
          <w:p w14:paraId="4574E0D4"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w:t>
            </w:r>
          </w:p>
        </w:tc>
        <w:tc>
          <w:tcPr>
            <w:tcW w:w="900" w:type="dxa"/>
            <w:tcMar>
              <w:top w:w="75" w:type="dxa"/>
              <w:left w:w="75" w:type="dxa"/>
              <w:bottom w:w="75" w:type="dxa"/>
              <w:right w:w="75" w:type="dxa"/>
            </w:tcMar>
            <w:vAlign w:val="center"/>
          </w:tcPr>
          <w:p w14:paraId="2FE1F56A"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w:t>
            </w:r>
          </w:p>
        </w:tc>
        <w:tc>
          <w:tcPr>
            <w:tcW w:w="1333" w:type="dxa"/>
            <w:tcMar>
              <w:top w:w="75" w:type="dxa"/>
              <w:left w:w="75" w:type="dxa"/>
              <w:bottom w:w="75" w:type="dxa"/>
              <w:right w:w="75" w:type="dxa"/>
            </w:tcMar>
            <w:vAlign w:val="center"/>
          </w:tcPr>
          <w:p w14:paraId="0A90B987"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0.008</w:t>
            </w:r>
          </w:p>
        </w:tc>
        <w:tc>
          <w:tcPr>
            <w:tcW w:w="1553" w:type="dxa"/>
            <w:tcMar>
              <w:top w:w="75" w:type="dxa"/>
              <w:left w:w="75" w:type="dxa"/>
              <w:bottom w:w="75" w:type="dxa"/>
              <w:right w:w="75" w:type="dxa"/>
            </w:tcMar>
            <w:vAlign w:val="center"/>
          </w:tcPr>
          <w:p w14:paraId="6D2A3799"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0.048*</w:t>
            </w:r>
          </w:p>
        </w:tc>
        <w:tc>
          <w:tcPr>
            <w:tcW w:w="1017" w:type="dxa"/>
          </w:tcPr>
          <w:p w14:paraId="07A3D455"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Supported </w:t>
            </w:r>
          </w:p>
        </w:tc>
      </w:tr>
      <w:tr w:rsidR="001A78F4" w14:paraId="071614A2" w14:textId="77777777">
        <w:tc>
          <w:tcPr>
            <w:tcW w:w="1479" w:type="dxa"/>
            <w:tcMar>
              <w:top w:w="75" w:type="dxa"/>
              <w:left w:w="75" w:type="dxa"/>
              <w:bottom w:w="75" w:type="dxa"/>
              <w:right w:w="75" w:type="dxa"/>
            </w:tcMar>
            <w:vAlign w:val="center"/>
          </w:tcPr>
          <w:p w14:paraId="5A488B47"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Satisfaction --&gt; WOM --&gt; Revisit Intention</w:t>
            </w:r>
          </w:p>
        </w:tc>
        <w:tc>
          <w:tcPr>
            <w:tcW w:w="1807" w:type="dxa"/>
            <w:tcMar>
              <w:top w:w="75" w:type="dxa"/>
              <w:left w:w="75" w:type="dxa"/>
              <w:bottom w:w="75" w:type="dxa"/>
              <w:right w:w="75" w:type="dxa"/>
            </w:tcMar>
            <w:vAlign w:val="center"/>
          </w:tcPr>
          <w:p w14:paraId="2C141BF4"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0.028</w:t>
            </w:r>
          </w:p>
        </w:tc>
        <w:tc>
          <w:tcPr>
            <w:tcW w:w="927" w:type="dxa"/>
            <w:tcMar>
              <w:top w:w="75" w:type="dxa"/>
              <w:left w:w="75" w:type="dxa"/>
              <w:bottom w:w="75" w:type="dxa"/>
              <w:right w:w="75" w:type="dxa"/>
            </w:tcMar>
            <w:vAlign w:val="center"/>
          </w:tcPr>
          <w:p w14:paraId="1A812E78"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0.009</w:t>
            </w:r>
          </w:p>
        </w:tc>
        <w:tc>
          <w:tcPr>
            <w:tcW w:w="900" w:type="dxa"/>
            <w:tcMar>
              <w:top w:w="75" w:type="dxa"/>
              <w:left w:w="75" w:type="dxa"/>
              <w:bottom w:w="75" w:type="dxa"/>
              <w:right w:w="75" w:type="dxa"/>
            </w:tcMar>
            <w:vAlign w:val="center"/>
          </w:tcPr>
          <w:p w14:paraId="68E0685D"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0.057</w:t>
            </w:r>
          </w:p>
        </w:tc>
        <w:tc>
          <w:tcPr>
            <w:tcW w:w="1333" w:type="dxa"/>
            <w:tcMar>
              <w:top w:w="75" w:type="dxa"/>
              <w:left w:w="75" w:type="dxa"/>
              <w:bottom w:w="75" w:type="dxa"/>
              <w:right w:w="75" w:type="dxa"/>
            </w:tcMar>
            <w:vAlign w:val="center"/>
          </w:tcPr>
          <w:p w14:paraId="0410AF86"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w:t>
            </w:r>
          </w:p>
        </w:tc>
        <w:tc>
          <w:tcPr>
            <w:tcW w:w="1553" w:type="dxa"/>
            <w:tcMar>
              <w:top w:w="75" w:type="dxa"/>
              <w:left w:w="75" w:type="dxa"/>
              <w:bottom w:w="75" w:type="dxa"/>
              <w:right w:w="75" w:type="dxa"/>
            </w:tcMar>
            <w:vAlign w:val="center"/>
          </w:tcPr>
          <w:p w14:paraId="0F2A6533"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0.030*</w:t>
            </w:r>
          </w:p>
        </w:tc>
        <w:tc>
          <w:tcPr>
            <w:tcW w:w="1017" w:type="dxa"/>
          </w:tcPr>
          <w:p w14:paraId="68790DDF" w14:textId="77777777" w:rsidR="001A78F4"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Supported</w:t>
            </w:r>
          </w:p>
        </w:tc>
      </w:tr>
    </w:tbl>
    <w:p w14:paraId="75223E8D" w14:textId="77777777" w:rsidR="001A78F4" w:rsidRDefault="001A78F4">
      <w:pPr>
        <w:spacing w:before="240" w:line="360" w:lineRule="auto"/>
        <w:jc w:val="both"/>
        <w:rPr>
          <w:rFonts w:ascii="Times New Roman" w:eastAsia="Times New Roman" w:hAnsi="Times New Roman" w:cs="Times New Roman"/>
          <w:b/>
          <w:bCs/>
          <w:color w:val="000000"/>
          <w:sz w:val="24"/>
          <w:szCs w:val="24"/>
        </w:rPr>
      </w:pPr>
    </w:p>
    <w:p w14:paraId="3DC68DCD" w14:textId="77777777" w:rsidR="001A78F4" w:rsidRDefault="001A78F4">
      <w:pPr>
        <w:spacing w:before="240" w:line="360" w:lineRule="auto"/>
        <w:jc w:val="both"/>
        <w:rPr>
          <w:rFonts w:ascii="Times New Roman" w:eastAsia="Times New Roman" w:hAnsi="Times New Roman" w:cs="Times New Roman"/>
          <w:b/>
          <w:bCs/>
          <w:color w:val="000000"/>
          <w:sz w:val="24"/>
          <w:szCs w:val="24"/>
        </w:rPr>
      </w:pPr>
    </w:p>
    <w:p w14:paraId="053ABE94" w14:textId="77777777" w:rsidR="001A78F4" w:rsidRDefault="00000000">
      <w:pPr>
        <w:spacing w:before="24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Discussion</w:t>
      </w:r>
    </w:p>
    <w:p w14:paraId="39ADE3B8" w14:textId="77777777"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outcomes of the study effectively integrate a theoretical research framework that explains the key factors influencing patient revisit intention to private hospitals across India. The findings aimed to understand how hospital administration can enhance patients’ satisfaction, also revisit intention and help to provide positive word -of-mouth, through perceived service quality, trust, brand image, and which further attracts new patients, strengthens bonds with existing patients, and serves as a cost-effective promotional strategy in the competitive healthcare market.</w:t>
      </w:r>
    </w:p>
    <w:p w14:paraId="5F05ED46" w14:textId="7DE58694"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significant outcomes of present study indicate a positive connection between perceived service quality, satisfaction, and revisit intention (H1, H2 and H3). Findings suggest that perceived service quality plays a vital role in satisfaction and revisit intention to revisit among </w:t>
      </w:r>
      <w:r>
        <w:rPr>
          <w:rFonts w:ascii="Times New Roman" w:eastAsia="Times New Roman" w:hAnsi="Times New Roman" w:cs="Times New Roman"/>
          <w:sz w:val="24"/>
          <w:szCs w:val="24"/>
        </w:rPr>
        <w:lastRenderedPageBreak/>
        <w:t xml:space="preserve">patients of private hospitals in India. Patients will revisit the hospital if they feel satisfied with the service provider, doctors, </w:t>
      </w:r>
      <w:r>
        <w:rPr>
          <w:rFonts w:ascii="Times New Roman" w:eastAsia="Times New Roman" w:hAnsi="Times New Roman" w:cs="Times New Roman"/>
          <w:color w:val="000000"/>
          <w:sz w:val="24"/>
          <w:szCs w:val="24"/>
        </w:rPr>
        <w:t xml:space="preserve">modern </w:t>
      </w:r>
      <w:r>
        <w:rPr>
          <w:rFonts w:ascii="Times New Roman" w:eastAsia="Times New Roman" w:hAnsi="Times New Roman" w:cs="Times New Roman"/>
          <w:sz w:val="24"/>
          <w:szCs w:val="24"/>
        </w:rPr>
        <w:t xml:space="preserve">infrastructure, equipment, less waiting time, and nurses' communication (Nguyen et al., 2021). When patients feel pleased with the offered services, satisfaction will </w:t>
      </w:r>
      <w:r w:rsidR="002F4CFC">
        <w:rPr>
          <w:rFonts w:ascii="Times New Roman" w:eastAsia="Times New Roman" w:hAnsi="Times New Roman" w:cs="Times New Roman"/>
          <w:sz w:val="24"/>
          <w:szCs w:val="24"/>
        </w:rPr>
        <w:t>increase</w:t>
      </w:r>
      <w:r>
        <w:rPr>
          <w:rFonts w:ascii="Times New Roman" w:eastAsia="Times New Roman" w:hAnsi="Times New Roman" w:cs="Times New Roman"/>
          <w:sz w:val="24"/>
          <w:szCs w:val="24"/>
        </w:rPr>
        <w:t xml:space="preserve"> (Suyanto et al., 2019). Bellio and </w:t>
      </w:r>
      <w:proofErr w:type="spellStart"/>
      <w:r>
        <w:rPr>
          <w:rFonts w:ascii="Times New Roman" w:eastAsia="Times New Roman" w:hAnsi="Times New Roman" w:cs="Times New Roman"/>
          <w:sz w:val="24"/>
          <w:szCs w:val="24"/>
        </w:rPr>
        <w:t>Buccoliero</w:t>
      </w:r>
      <w:proofErr w:type="spellEnd"/>
      <w:r>
        <w:rPr>
          <w:rFonts w:ascii="Times New Roman" w:eastAsia="Times New Roman" w:hAnsi="Times New Roman" w:cs="Times New Roman"/>
          <w:sz w:val="24"/>
          <w:szCs w:val="24"/>
        </w:rPr>
        <w:t xml:space="preserve"> (2021) confirm that perceived service quality and satisfaction are positively connected, and these service dimensions can influence revisit intention </w:t>
      </w:r>
      <w:r w:rsidR="002F4CFC">
        <w:rPr>
          <w:rFonts w:ascii="Times New Roman" w:eastAsia="Times New Roman" w:hAnsi="Times New Roman" w:cs="Times New Roman"/>
          <w:sz w:val="24"/>
          <w:szCs w:val="24"/>
        </w:rPr>
        <w:t>mediated</w:t>
      </w:r>
      <w:r>
        <w:rPr>
          <w:rFonts w:ascii="Times New Roman" w:eastAsia="Times New Roman" w:hAnsi="Times New Roman" w:cs="Times New Roman"/>
          <w:sz w:val="24"/>
          <w:szCs w:val="24"/>
        </w:rPr>
        <w:t xml:space="preserve"> by satisfaction (Yun et al.,2022).</w:t>
      </w:r>
      <w:r>
        <w:rPr>
          <w:rFonts w:ascii="Times New Roman" w:eastAsia="Times New Roman" w:hAnsi="Times New Roman" w:cs="Times New Roman"/>
          <w:color w:val="000000"/>
          <w:sz w:val="24"/>
          <w:szCs w:val="24"/>
        </w:rPr>
        <w:t xml:space="preserve"> Khoo (2022) </w:t>
      </w:r>
      <w:r>
        <w:rPr>
          <w:rFonts w:ascii="Times New Roman" w:eastAsia="Times New Roman" w:hAnsi="Times New Roman" w:cs="Times New Roman"/>
          <w:sz w:val="24"/>
          <w:szCs w:val="24"/>
        </w:rPr>
        <w:t xml:space="preserve">also confirmed that satisfaction acts as </w:t>
      </w:r>
      <w:r w:rsidR="002F4CFC">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mediator between service quality and customer revisit intention.</w:t>
      </w:r>
    </w:p>
    <w:p w14:paraId="016C71B2" w14:textId="4CE6915E"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study reveals that hospital image affects satisfaction (H4). It indicates that when patients have a good perception of the hospital’s brand and experience services that meet their expectations, they feel more satisfied. However, the effect of brand image on satisfaction contrasts with the results of previous studies, where it has been shown that positive brand reputation and high perceived medical quality can increase patient satisfaction (</w:t>
      </w:r>
      <w:proofErr w:type="spellStart"/>
      <w:r>
        <w:rPr>
          <w:rFonts w:ascii="Times New Roman" w:eastAsia="Times New Roman" w:hAnsi="Times New Roman" w:cs="Times New Roman"/>
          <w:sz w:val="24"/>
          <w:szCs w:val="24"/>
        </w:rPr>
        <w:t>Inaray</w:t>
      </w:r>
      <w:proofErr w:type="spellEnd"/>
      <w:r>
        <w:rPr>
          <w:rFonts w:ascii="Times New Roman" w:eastAsia="Times New Roman" w:hAnsi="Times New Roman" w:cs="Times New Roman"/>
          <w:sz w:val="24"/>
          <w:szCs w:val="24"/>
        </w:rPr>
        <w:t xml:space="preserve"> et al., 2024). Additionally, findings reflect the significance of good brand image, enabling organisations to act as a benefit </w:t>
      </w:r>
      <w:r w:rsidR="002F4CFC">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increased customer satisfaction, leading to enhanced sustained success. </w:t>
      </w:r>
      <w:proofErr w:type="spellStart"/>
      <w:r>
        <w:rPr>
          <w:rFonts w:ascii="Times New Roman" w:eastAsia="Times New Roman" w:hAnsi="Times New Roman" w:cs="Times New Roman"/>
          <w:sz w:val="24"/>
          <w:szCs w:val="24"/>
        </w:rPr>
        <w:t>Puspitasari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Suhermin</w:t>
      </w:r>
      <w:proofErr w:type="spellEnd"/>
      <w:r>
        <w:rPr>
          <w:rFonts w:ascii="Times New Roman" w:eastAsia="Times New Roman" w:hAnsi="Times New Roman" w:cs="Times New Roman"/>
          <w:sz w:val="24"/>
          <w:szCs w:val="24"/>
        </w:rPr>
        <w:t xml:space="preserve"> (2017) also supported this view that the image of the hospital brand has a positive impression on patient satisfaction. Additionally, hospital brand image appears as an influencing component during the time of selecting specialised treatment. Overall, all findings suggest that environmental sustainability, social initiatives, and market reputation significantly affect satisfaction (O’Connor and </w:t>
      </w:r>
      <w:proofErr w:type="spellStart"/>
      <w:r>
        <w:rPr>
          <w:rFonts w:ascii="Times New Roman" w:eastAsia="Times New Roman" w:hAnsi="Times New Roman" w:cs="Times New Roman"/>
          <w:sz w:val="24"/>
          <w:szCs w:val="24"/>
        </w:rPr>
        <w:t>Assaker</w:t>
      </w:r>
      <w:proofErr w:type="spellEnd"/>
      <w:r>
        <w:rPr>
          <w:rFonts w:ascii="Times New Roman" w:eastAsia="Times New Roman" w:hAnsi="Times New Roman" w:cs="Times New Roman"/>
          <w:sz w:val="24"/>
          <w:szCs w:val="24"/>
        </w:rPr>
        <w:t xml:space="preserve">, 2022). </w:t>
      </w:r>
    </w:p>
    <w:p w14:paraId="38527648" w14:textId="77777777"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result shows that trust in hospital services is also a crucial factor in shaping satisfaction (H5). A long-term bonding between a customer and provider depends mostly on mutual trust and the satisfaction of both sides (Alom et al., 2019), and in our result it is noticeable that patients tend to be more satisfied when they trust the hospital offers valuable services and maintains staff integrity. Trust enhances patient satisfaction, as patients who feel confident in the hospital’s reliability are likely to evaluate their experiences positively (Darmawan et al., 2025). Bahari et al. (2024) also supported that trust is positively and strongly linked with the hospital quality of care, emphasising the importance of trust in enhancing patient satisfaction.</w:t>
      </w:r>
    </w:p>
    <w:p w14:paraId="4E907FF9" w14:textId="77777777" w:rsidR="001A78F4"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key finding of the result is the connection between satisfaction and WOM (H6) and the effect of WOM on revisit intention (H7). Prior studies (</w:t>
      </w:r>
      <w:proofErr w:type="spellStart"/>
      <w:r>
        <w:rPr>
          <w:rFonts w:ascii="Times New Roman" w:eastAsia="Times New Roman" w:hAnsi="Times New Roman" w:cs="Times New Roman"/>
          <w:color w:val="000000"/>
          <w:sz w:val="24"/>
          <w:szCs w:val="24"/>
        </w:rPr>
        <w:t>Meesala</w:t>
      </w:r>
      <w:proofErr w:type="spellEnd"/>
      <w:r>
        <w:rPr>
          <w:rFonts w:ascii="Times New Roman" w:eastAsia="Times New Roman" w:hAnsi="Times New Roman" w:cs="Times New Roman"/>
          <w:color w:val="000000"/>
          <w:sz w:val="24"/>
          <w:szCs w:val="24"/>
        </w:rPr>
        <w:t xml:space="preserve"> and Paul, 2018; Yuda et al., 2022) explain that in service marketing, satisfaction is a key factor influencing positive </w:t>
      </w:r>
      <w:r>
        <w:rPr>
          <w:rFonts w:ascii="Times New Roman" w:eastAsia="Times New Roman" w:hAnsi="Times New Roman" w:cs="Times New Roman"/>
          <w:color w:val="000000"/>
          <w:sz w:val="24"/>
          <w:szCs w:val="24"/>
        </w:rPr>
        <w:lastRenderedPageBreak/>
        <w:t>WOM and is also linked to future behaviour, including reusing the services. Patient satisfaction is a critical determinant of hospital success and growth, as it drives revisit intention and positive recommendations (Neupane and Devkota, 2017). Positive clinical outcomes based on patient-centred care can enhance satisfaction (Irdan et al., 2024), and patients are willing to give positive word-of-mouth and return for future care (</w:t>
      </w:r>
      <w:proofErr w:type="spellStart"/>
      <w:r>
        <w:rPr>
          <w:rFonts w:ascii="Times New Roman" w:eastAsia="Times New Roman" w:hAnsi="Times New Roman" w:cs="Times New Roman"/>
          <w:color w:val="000000"/>
          <w:sz w:val="24"/>
          <w:szCs w:val="24"/>
        </w:rPr>
        <w:t>Siripipatthanakul</w:t>
      </w:r>
      <w:proofErr w:type="spellEnd"/>
      <w:r>
        <w:rPr>
          <w:rFonts w:ascii="Times New Roman" w:eastAsia="Times New Roman" w:hAnsi="Times New Roman" w:cs="Times New Roman"/>
          <w:color w:val="000000"/>
          <w:sz w:val="24"/>
          <w:szCs w:val="24"/>
        </w:rPr>
        <w:t xml:space="preserve">, 2021). These results also emphasised that patient satisfaction is affected by treatment quality, staff </w:t>
      </w:r>
      <w:proofErr w:type="gramStart"/>
      <w:r>
        <w:rPr>
          <w:rFonts w:ascii="Times New Roman" w:eastAsia="Times New Roman" w:hAnsi="Times New Roman" w:cs="Times New Roman"/>
          <w:color w:val="000000"/>
          <w:sz w:val="24"/>
          <w:szCs w:val="24"/>
        </w:rPr>
        <w:t>behaviour ,</w:t>
      </w:r>
      <w:proofErr w:type="gramEnd"/>
      <w:r>
        <w:rPr>
          <w:rFonts w:ascii="Times New Roman" w:eastAsia="Times New Roman" w:hAnsi="Times New Roman" w:cs="Times New Roman"/>
          <w:color w:val="000000"/>
          <w:sz w:val="24"/>
          <w:szCs w:val="24"/>
        </w:rPr>
        <w:t xml:space="preserve"> facilities, equipment, and patient–hospital relationships, and this strongly affects patient intention to revisit and makes them share positive talks about the hospital (</w:t>
      </w:r>
      <w:proofErr w:type="spellStart"/>
      <w:r>
        <w:rPr>
          <w:rFonts w:ascii="Times New Roman" w:eastAsia="Times New Roman" w:hAnsi="Times New Roman" w:cs="Times New Roman"/>
          <w:color w:val="000000"/>
          <w:sz w:val="24"/>
          <w:szCs w:val="24"/>
        </w:rPr>
        <w:t>Ongkaruna</w:t>
      </w:r>
      <w:proofErr w:type="spellEnd"/>
      <w:r>
        <w:rPr>
          <w:rFonts w:ascii="Times New Roman" w:eastAsia="Times New Roman" w:hAnsi="Times New Roman" w:cs="Times New Roman"/>
          <w:color w:val="000000"/>
          <w:sz w:val="24"/>
          <w:szCs w:val="24"/>
        </w:rPr>
        <w:t xml:space="preserve"> and Kristaung, 2023). </w:t>
      </w:r>
    </w:p>
    <w:p w14:paraId="188A5444" w14:textId="70E6317C"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result further verifies that satisfaction and WOM influence revisit intention directly. In addition, they also have an indirect effect by mediating the link between perceived service quality and revisit intention, as well as between satisfaction and revisit intention (H3a and H7a). The result indicates that both serve as a mediating mechanism influencing revisit intention behaviour. Consistent with prior studies, Woo and Choi (2021) found that high-quality healthcare services improve patient satisfaction, which in turn increases the likelihood of patients' revisit intention. Similarly, WOM has been identified as a mediator role between satisfaction and revisit behaviours (Park et al., 2021)</w:t>
      </w:r>
      <w:r w:rsidR="002F4C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satisfied patients are tending to share positive experiences with others, also encourage both their own and others for revisit (Putra, 2024), which will keep customers for a longer time</w:t>
      </w:r>
      <w:r w:rsidR="002F4C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is likely to increase a company’s profits (Morgeson et al., 2020). In the context of Indian private healthcare, the result emphasises that revisit intention is not determined by service quality alone; other aspects of the hospital also have a control on future revisit behaviour. Therefore, Patients feel satisfaction with service quality and other aspects of </w:t>
      </w:r>
      <w:r w:rsidR="002F4CF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hospital journey, which develops trust with hospitals and spreads positive WOM to others (Rehman et al., 2022; Tan et al., 2022). This study also gives an insight that hospital service quality may be important as clinical outcomes, but other factors also have a major influence on patients' repeat visits (Lin et al., 2022).  Table 7 &amp; 8, shows the comparison of the current study with previous healthcare research on revisit intention. This study examines a sequential mediation process including satisfaction and word-of-mouth, whereas previous research mostly focused on the mediating role of satisfaction, WOM   or trust separately. The consistency of the results is confirmed by the fact that the standardized path coefficients in present study are within the range reported in earlier studies. However, a more thorough explanation of patient revisit intention is offered by combining brand image, trust, and word-of-mouth into a single integrated model, especially in private healthcare in India.         </w:t>
      </w:r>
    </w:p>
    <w:p w14:paraId="0DCF8242" w14:textId="77777777" w:rsidR="001A78F4" w:rsidRDefault="001A78F4">
      <w:pPr>
        <w:spacing w:line="360" w:lineRule="auto"/>
        <w:jc w:val="both"/>
        <w:rPr>
          <w:rFonts w:ascii="Times New Roman" w:eastAsia="Times New Roman" w:hAnsi="Times New Roman" w:cs="Times New Roman"/>
          <w:sz w:val="24"/>
          <w:szCs w:val="24"/>
        </w:rPr>
      </w:pPr>
    </w:p>
    <w:p w14:paraId="6CC4D160" w14:textId="77777777" w:rsidR="001A78F4" w:rsidRDefault="001A78F4">
      <w:pPr>
        <w:spacing w:line="360" w:lineRule="auto"/>
        <w:jc w:val="both"/>
        <w:rPr>
          <w:rFonts w:ascii="Times New Roman" w:eastAsia="Times New Roman" w:hAnsi="Times New Roman" w:cs="Times New Roman"/>
          <w:sz w:val="24"/>
          <w:szCs w:val="24"/>
        </w:rPr>
      </w:pPr>
    </w:p>
    <w:tbl>
      <w:tblPr>
        <w:tblStyle w:val="ad"/>
        <w:tblpPr w:leftFromText="180" w:rightFromText="180" w:vertAnchor="text" w:tblpY="577"/>
        <w:tblW w:w="9655" w:type="dxa"/>
        <w:tblLayout w:type="fixed"/>
        <w:tblLook w:val="0400" w:firstRow="0" w:lastRow="0" w:firstColumn="0" w:lastColumn="0" w:noHBand="0" w:noVBand="1"/>
      </w:tblPr>
      <w:tblGrid>
        <w:gridCol w:w="1278"/>
        <w:gridCol w:w="918"/>
        <w:gridCol w:w="958"/>
        <w:gridCol w:w="958"/>
        <w:gridCol w:w="1284"/>
        <w:gridCol w:w="958"/>
        <w:gridCol w:w="1065"/>
        <w:gridCol w:w="2236"/>
      </w:tblGrid>
      <w:tr w:rsidR="001A78F4" w14:paraId="38C571C5" w14:textId="77777777">
        <w:trPr>
          <w:trHeight w:val="288"/>
        </w:trPr>
        <w:tc>
          <w:tcPr>
            <w:tcW w:w="1278" w:type="dxa"/>
            <w:tcBorders>
              <w:top w:val="nil"/>
              <w:left w:val="nil"/>
              <w:bottom w:val="nil"/>
              <w:right w:val="nil"/>
            </w:tcBorders>
            <w:vAlign w:val="bottom"/>
          </w:tcPr>
          <w:p w14:paraId="55A140F1" w14:textId="77777777" w:rsidR="001A78F4" w:rsidRDefault="001A78F4">
            <w:pPr>
              <w:spacing w:after="0" w:line="240" w:lineRule="auto"/>
              <w:rPr>
                <w:rFonts w:ascii="Times New Roman" w:eastAsia="Times New Roman" w:hAnsi="Times New Roman" w:cs="Times New Roman"/>
                <w:sz w:val="24"/>
                <w:szCs w:val="24"/>
              </w:rPr>
            </w:pPr>
          </w:p>
        </w:tc>
        <w:tc>
          <w:tcPr>
            <w:tcW w:w="918" w:type="dxa"/>
            <w:tcBorders>
              <w:top w:val="nil"/>
              <w:left w:val="nil"/>
              <w:bottom w:val="nil"/>
              <w:right w:val="nil"/>
            </w:tcBorders>
            <w:vAlign w:val="bottom"/>
          </w:tcPr>
          <w:p w14:paraId="26453B23" w14:textId="77777777" w:rsidR="001A78F4" w:rsidRDefault="001A78F4">
            <w:pPr>
              <w:spacing w:after="0" w:line="240" w:lineRule="auto"/>
              <w:rPr>
                <w:rFonts w:ascii="Times New Roman" w:eastAsia="Times New Roman" w:hAnsi="Times New Roman" w:cs="Times New Roman"/>
                <w:sz w:val="20"/>
                <w:szCs w:val="20"/>
              </w:rPr>
            </w:pPr>
          </w:p>
        </w:tc>
        <w:tc>
          <w:tcPr>
            <w:tcW w:w="958" w:type="dxa"/>
            <w:tcBorders>
              <w:top w:val="nil"/>
              <w:left w:val="nil"/>
              <w:bottom w:val="nil"/>
              <w:right w:val="nil"/>
            </w:tcBorders>
            <w:vAlign w:val="bottom"/>
          </w:tcPr>
          <w:p w14:paraId="48FA8289" w14:textId="77777777" w:rsidR="001A78F4" w:rsidRDefault="001A78F4">
            <w:pPr>
              <w:spacing w:after="0" w:line="240" w:lineRule="auto"/>
              <w:rPr>
                <w:rFonts w:ascii="Times New Roman" w:eastAsia="Times New Roman" w:hAnsi="Times New Roman" w:cs="Times New Roman"/>
                <w:sz w:val="20"/>
                <w:szCs w:val="20"/>
              </w:rPr>
            </w:pPr>
          </w:p>
        </w:tc>
        <w:tc>
          <w:tcPr>
            <w:tcW w:w="958" w:type="dxa"/>
            <w:tcBorders>
              <w:top w:val="nil"/>
              <w:left w:val="nil"/>
              <w:bottom w:val="nil"/>
              <w:right w:val="nil"/>
            </w:tcBorders>
            <w:vAlign w:val="bottom"/>
          </w:tcPr>
          <w:p w14:paraId="4D6E8CEC" w14:textId="77777777" w:rsidR="001A78F4" w:rsidRDefault="001A78F4">
            <w:pPr>
              <w:spacing w:after="0" w:line="240" w:lineRule="auto"/>
              <w:rPr>
                <w:rFonts w:ascii="Times New Roman" w:eastAsia="Times New Roman" w:hAnsi="Times New Roman" w:cs="Times New Roman"/>
                <w:sz w:val="20"/>
                <w:szCs w:val="20"/>
              </w:rPr>
            </w:pPr>
          </w:p>
        </w:tc>
        <w:tc>
          <w:tcPr>
            <w:tcW w:w="1284" w:type="dxa"/>
            <w:tcBorders>
              <w:top w:val="nil"/>
              <w:left w:val="nil"/>
              <w:bottom w:val="nil"/>
              <w:right w:val="nil"/>
            </w:tcBorders>
            <w:vAlign w:val="bottom"/>
          </w:tcPr>
          <w:p w14:paraId="25211AB2" w14:textId="77777777" w:rsidR="001A78F4" w:rsidRDefault="001A78F4">
            <w:pPr>
              <w:spacing w:after="0" w:line="240" w:lineRule="auto"/>
              <w:rPr>
                <w:rFonts w:ascii="Times New Roman" w:eastAsia="Times New Roman" w:hAnsi="Times New Roman" w:cs="Times New Roman"/>
                <w:sz w:val="20"/>
                <w:szCs w:val="20"/>
              </w:rPr>
            </w:pPr>
          </w:p>
        </w:tc>
        <w:tc>
          <w:tcPr>
            <w:tcW w:w="958" w:type="dxa"/>
            <w:tcBorders>
              <w:top w:val="nil"/>
              <w:left w:val="nil"/>
              <w:bottom w:val="nil"/>
              <w:right w:val="nil"/>
            </w:tcBorders>
            <w:vAlign w:val="bottom"/>
          </w:tcPr>
          <w:p w14:paraId="0209D3CB" w14:textId="77777777" w:rsidR="001A78F4" w:rsidRDefault="001A78F4">
            <w:pPr>
              <w:spacing w:after="0" w:line="240" w:lineRule="auto"/>
              <w:rPr>
                <w:rFonts w:ascii="Times New Roman" w:eastAsia="Times New Roman" w:hAnsi="Times New Roman" w:cs="Times New Roman"/>
                <w:sz w:val="20"/>
                <w:szCs w:val="20"/>
              </w:rPr>
            </w:pPr>
          </w:p>
        </w:tc>
        <w:tc>
          <w:tcPr>
            <w:tcW w:w="1065" w:type="dxa"/>
            <w:tcBorders>
              <w:top w:val="nil"/>
              <w:left w:val="nil"/>
              <w:bottom w:val="nil"/>
              <w:right w:val="nil"/>
            </w:tcBorders>
            <w:vAlign w:val="bottom"/>
          </w:tcPr>
          <w:p w14:paraId="4E0EBDE7" w14:textId="77777777" w:rsidR="001A78F4" w:rsidRDefault="001A78F4">
            <w:pPr>
              <w:spacing w:after="0" w:line="240" w:lineRule="auto"/>
              <w:rPr>
                <w:rFonts w:ascii="Times New Roman" w:eastAsia="Times New Roman" w:hAnsi="Times New Roman" w:cs="Times New Roman"/>
                <w:sz w:val="20"/>
                <w:szCs w:val="20"/>
              </w:rPr>
            </w:pPr>
          </w:p>
        </w:tc>
        <w:tc>
          <w:tcPr>
            <w:tcW w:w="2236" w:type="dxa"/>
            <w:tcBorders>
              <w:top w:val="nil"/>
              <w:left w:val="nil"/>
              <w:bottom w:val="nil"/>
              <w:right w:val="nil"/>
            </w:tcBorders>
            <w:vAlign w:val="bottom"/>
          </w:tcPr>
          <w:p w14:paraId="269838BD" w14:textId="77777777" w:rsidR="001A78F4" w:rsidRDefault="001A78F4">
            <w:pPr>
              <w:spacing w:after="0" w:line="240" w:lineRule="auto"/>
              <w:rPr>
                <w:rFonts w:ascii="Times New Roman" w:eastAsia="Times New Roman" w:hAnsi="Times New Roman" w:cs="Times New Roman"/>
                <w:sz w:val="20"/>
                <w:szCs w:val="20"/>
              </w:rPr>
            </w:pPr>
          </w:p>
        </w:tc>
      </w:tr>
      <w:tr w:rsidR="001A78F4" w14:paraId="3A165853" w14:textId="77777777">
        <w:trPr>
          <w:trHeight w:val="288"/>
        </w:trPr>
        <w:tc>
          <w:tcPr>
            <w:tcW w:w="1278" w:type="dxa"/>
            <w:tcBorders>
              <w:top w:val="nil"/>
              <w:left w:val="nil"/>
              <w:right w:val="nil"/>
            </w:tcBorders>
            <w:vAlign w:val="bottom"/>
          </w:tcPr>
          <w:p w14:paraId="09AA5482" w14:textId="77777777" w:rsidR="001A78F4" w:rsidRDefault="001A78F4">
            <w:pPr>
              <w:spacing w:after="0" w:line="240" w:lineRule="auto"/>
              <w:rPr>
                <w:rFonts w:ascii="Times New Roman" w:eastAsia="Times New Roman" w:hAnsi="Times New Roman" w:cs="Times New Roman"/>
                <w:sz w:val="20"/>
                <w:szCs w:val="20"/>
              </w:rPr>
            </w:pPr>
          </w:p>
        </w:tc>
        <w:tc>
          <w:tcPr>
            <w:tcW w:w="918" w:type="dxa"/>
            <w:tcBorders>
              <w:top w:val="nil"/>
              <w:left w:val="nil"/>
              <w:right w:val="nil"/>
            </w:tcBorders>
            <w:vAlign w:val="bottom"/>
          </w:tcPr>
          <w:p w14:paraId="6678ACB5" w14:textId="77777777" w:rsidR="001A78F4" w:rsidRDefault="001A78F4">
            <w:pPr>
              <w:spacing w:after="0" w:line="240" w:lineRule="auto"/>
              <w:rPr>
                <w:rFonts w:ascii="Times New Roman" w:eastAsia="Times New Roman" w:hAnsi="Times New Roman" w:cs="Times New Roman"/>
                <w:sz w:val="20"/>
                <w:szCs w:val="20"/>
              </w:rPr>
            </w:pPr>
          </w:p>
        </w:tc>
        <w:tc>
          <w:tcPr>
            <w:tcW w:w="958" w:type="dxa"/>
            <w:tcBorders>
              <w:top w:val="nil"/>
              <w:left w:val="nil"/>
              <w:right w:val="nil"/>
            </w:tcBorders>
            <w:vAlign w:val="bottom"/>
          </w:tcPr>
          <w:p w14:paraId="3E867F69" w14:textId="77777777" w:rsidR="001A78F4" w:rsidRDefault="001A78F4">
            <w:pPr>
              <w:spacing w:after="0" w:line="240" w:lineRule="auto"/>
              <w:rPr>
                <w:rFonts w:ascii="Times New Roman" w:eastAsia="Times New Roman" w:hAnsi="Times New Roman" w:cs="Times New Roman"/>
                <w:sz w:val="20"/>
                <w:szCs w:val="20"/>
              </w:rPr>
            </w:pPr>
          </w:p>
        </w:tc>
        <w:tc>
          <w:tcPr>
            <w:tcW w:w="958" w:type="dxa"/>
            <w:tcBorders>
              <w:top w:val="nil"/>
              <w:left w:val="nil"/>
              <w:right w:val="nil"/>
            </w:tcBorders>
            <w:vAlign w:val="bottom"/>
          </w:tcPr>
          <w:p w14:paraId="48D2A8F3" w14:textId="77777777" w:rsidR="001A78F4" w:rsidRDefault="001A78F4">
            <w:pPr>
              <w:spacing w:after="0" w:line="240" w:lineRule="auto"/>
              <w:rPr>
                <w:rFonts w:ascii="Times New Roman" w:eastAsia="Times New Roman" w:hAnsi="Times New Roman" w:cs="Times New Roman"/>
                <w:sz w:val="20"/>
                <w:szCs w:val="20"/>
              </w:rPr>
            </w:pPr>
          </w:p>
        </w:tc>
        <w:tc>
          <w:tcPr>
            <w:tcW w:w="1284" w:type="dxa"/>
            <w:tcBorders>
              <w:top w:val="nil"/>
              <w:left w:val="nil"/>
              <w:right w:val="nil"/>
            </w:tcBorders>
            <w:vAlign w:val="bottom"/>
          </w:tcPr>
          <w:p w14:paraId="54A848E5" w14:textId="77777777" w:rsidR="001A78F4" w:rsidRDefault="001A78F4">
            <w:pPr>
              <w:spacing w:after="0" w:line="240" w:lineRule="auto"/>
              <w:rPr>
                <w:rFonts w:ascii="Times New Roman" w:eastAsia="Times New Roman" w:hAnsi="Times New Roman" w:cs="Times New Roman"/>
                <w:sz w:val="20"/>
                <w:szCs w:val="20"/>
              </w:rPr>
            </w:pPr>
          </w:p>
        </w:tc>
        <w:tc>
          <w:tcPr>
            <w:tcW w:w="958" w:type="dxa"/>
            <w:tcBorders>
              <w:top w:val="nil"/>
              <w:left w:val="nil"/>
              <w:right w:val="nil"/>
            </w:tcBorders>
            <w:vAlign w:val="bottom"/>
          </w:tcPr>
          <w:p w14:paraId="57015221" w14:textId="77777777" w:rsidR="001A78F4" w:rsidRDefault="001A78F4">
            <w:pPr>
              <w:spacing w:after="0" w:line="240" w:lineRule="auto"/>
              <w:rPr>
                <w:rFonts w:ascii="Times New Roman" w:eastAsia="Times New Roman" w:hAnsi="Times New Roman" w:cs="Times New Roman"/>
                <w:sz w:val="20"/>
                <w:szCs w:val="20"/>
              </w:rPr>
            </w:pPr>
          </w:p>
        </w:tc>
        <w:tc>
          <w:tcPr>
            <w:tcW w:w="1065" w:type="dxa"/>
            <w:tcBorders>
              <w:top w:val="nil"/>
              <w:left w:val="nil"/>
              <w:right w:val="nil"/>
            </w:tcBorders>
            <w:vAlign w:val="bottom"/>
          </w:tcPr>
          <w:p w14:paraId="68B8AD21" w14:textId="77777777" w:rsidR="001A78F4" w:rsidRDefault="001A78F4">
            <w:pPr>
              <w:spacing w:after="0" w:line="240" w:lineRule="auto"/>
              <w:rPr>
                <w:rFonts w:ascii="Times New Roman" w:eastAsia="Times New Roman" w:hAnsi="Times New Roman" w:cs="Times New Roman"/>
                <w:sz w:val="20"/>
                <w:szCs w:val="20"/>
              </w:rPr>
            </w:pPr>
          </w:p>
        </w:tc>
        <w:tc>
          <w:tcPr>
            <w:tcW w:w="2236" w:type="dxa"/>
            <w:tcBorders>
              <w:top w:val="nil"/>
              <w:left w:val="nil"/>
              <w:right w:val="nil"/>
            </w:tcBorders>
            <w:vAlign w:val="bottom"/>
          </w:tcPr>
          <w:p w14:paraId="0FD6AF78" w14:textId="77777777" w:rsidR="001A78F4" w:rsidRDefault="001A78F4">
            <w:pPr>
              <w:spacing w:after="0" w:line="240" w:lineRule="auto"/>
              <w:rPr>
                <w:rFonts w:ascii="Times New Roman" w:eastAsia="Times New Roman" w:hAnsi="Times New Roman" w:cs="Times New Roman"/>
                <w:sz w:val="20"/>
                <w:szCs w:val="20"/>
              </w:rPr>
            </w:pPr>
          </w:p>
        </w:tc>
      </w:tr>
      <w:tr w:rsidR="001A78F4" w14:paraId="11849B17" w14:textId="77777777">
        <w:trPr>
          <w:trHeight w:val="288"/>
        </w:trPr>
        <w:tc>
          <w:tcPr>
            <w:tcW w:w="1278" w:type="dxa"/>
            <w:tcBorders>
              <w:top w:val="nil"/>
              <w:left w:val="nil"/>
              <w:bottom w:val="single" w:sz="4" w:space="0" w:color="000000"/>
              <w:right w:val="nil"/>
            </w:tcBorders>
            <w:vAlign w:val="bottom"/>
          </w:tcPr>
          <w:p w14:paraId="064737CE" w14:textId="77777777" w:rsidR="001A78F4" w:rsidRDefault="001A78F4">
            <w:pPr>
              <w:spacing w:after="0" w:line="240" w:lineRule="auto"/>
              <w:rPr>
                <w:rFonts w:ascii="Times New Roman" w:eastAsia="Times New Roman" w:hAnsi="Times New Roman" w:cs="Times New Roman"/>
                <w:sz w:val="20"/>
                <w:szCs w:val="20"/>
              </w:rPr>
            </w:pPr>
          </w:p>
        </w:tc>
        <w:tc>
          <w:tcPr>
            <w:tcW w:w="918" w:type="dxa"/>
            <w:tcBorders>
              <w:top w:val="nil"/>
              <w:left w:val="nil"/>
              <w:bottom w:val="single" w:sz="4" w:space="0" w:color="000000"/>
              <w:right w:val="nil"/>
            </w:tcBorders>
            <w:vAlign w:val="bottom"/>
          </w:tcPr>
          <w:p w14:paraId="75349088" w14:textId="77777777" w:rsidR="001A78F4" w:rsidRDefault="001A78F4">
            <w:pPr>
              <w:spacing w:after="0" w:line="240" w:lineRule="auto"/>
              <w:rPr>
                <w:rFonts w:ascii="Times New Roman" w:eastAsia="Times New Roman" w:hAnsi="Times New Roman" w:cs="Times New Roman"/>
                <w:sz w:val="20"/>
                <w:szCs w:val="20"/>
              </w:rPr>
            </w:pPr>
          </w:p>
        </w:tc>
        <w:tc>
          <w:tcPr>
            <w:tcW w:w="958" w:type="dxa"/>
            <w:tcBorders>
              <w:top w:val="nil"/>
              <w:left w:val="nil"/>
              <w:bottom w:val="single" w:sz="4" w:space="0" w:color="000000"/>
              <w:right w:val="nil"/>
            </w:tcBorders>
            <w:vAlign w:val="bottom"/>
          </w:tcPr>
          <w:p w14:paraId="7C99A22C" w14:textId="77777777" w:rsidR="001A78F4" w:rsidRDefault="001A78F4">
            <w:pPr>
              <w:spacing w:after="0" w:line="240" w:lineRule="auto"/>
              <w:rPr>
                <w:rFonts w:ascii="Times New Roman" w:eastAsia="Times New Roman" w:hAnsi="Times New Roman" w:cs="Times New Roman"/>
                <w:sz w:val="20"/>
                <w:szCs w:val="20"/>
              </w:rPr>
            </w:pPr>
          </w:p>
        </w:tc>
        <w:tc>
          <w:tcPr>
            <w:tcW w:w="958" w:type="dxa"/>
            <w:tcBorders>
              <w:top w:val="nil"/>
              <w:left w:val="nil"/>
              <w:bottom w:val="single" w:sz="4" w:space="0" w:color="000000"/>
              <w:right w:val="nil"/>
            </w:tcBorders>
            <w:vAlign w:val="bottom"/>
          </w:tcPr>
          <w:p w14:paraId="2CEF5A10" w14:textId="77777777" w:rsidR="001A78F4" w:rsidRDefault="001A78F4">
            <w:pPr>
              <w:spacing w:after="0" w:line="240" w:lineRule="auto"/>
              <w:rPr>
                <w:rFonts w:ascii="Times New Roman" w:eastAsia="Times New Roman" w:hAnsi="Times New Roman" w:cs="Times New Roman"/>
                <w:sz w:val="20"/>
                <w:szCs w:val="20"/>
              </w:rPr>
            </w:pPr>
          </w:p>
        </w:tc>
        <w:tc>
          <w:tcPr>
            <w:tcW w:w="1284" w:type="dxa"/>
            <w:tcBorders>
              <w:top w:val="nil"/>
              <w:left w:val="nil"/>
              <w:bottom w:val="single" w:sz="4" w:space="0" w:color="000000"/>
              <w:right w:val="nil"/>
            </w:tcBorders>
            <w:vAlign w:val="bottom"/>
          </w:tcPr>
          <w:p w14:paraId="755ED6D3" w14:textId="77777777" w:rsidR="001A78F4" w:rsidRDefault="001A78F4">
            <w:pPr>
              <w:spacing w:after="0" w:line="240" w:lineRule="auto"/>
              <w:rPr>
                <w:rFonts w:ascii="Times New Roman" w:eastAsia="Times New Roman" w:hAnsi="Times New Roman" w:cs="Times New Roman"/>
                <w:sz w:val="20"/>
                <w:szCs w:val="20"/>
              </w:rPr>
            </w:pPr>
          </w:p>
        </w:tc>
        <w:tc>
          <w:tcPr>
            <w:tcW w:w="958" w:type="dxa"/>
            <w:tcBorders>
              <w:top w:val="nil"/>
              <w:left w:val="nil"/>
              <w:bottom w:val="single" w:sz="4" w:space="0" w:color="000000"/>
              <w:right w:val="nil"/>
            </w:tcBorders>
            <w:vAlign w:val="bottom"/>
          </w:tcPr>
          <w:p w14:paraId="526453A3" w14:textId="77777777" w:rsidR="001A78F4" w:rsidRDefault="001A78F4">
            <w:pPr>
              <w:spacing w:after="0" w:line="240" w:lineRule="auto"/>
              <w:rPr>
                <w:rFonts w:ascii="Times New Roman" w:eastAsia="Times New Roman" w:hAnsi="Times New Roman" w:cs="Times New Roman"/>
                <w:sz w:val="20"/>
                <w:szCs w:val="20"/>
              </w:rPr>
            </w:pPr>
          </w:p>
        </w:tc>
        <w:tc>
          <w:tcPr>
            <w:tcW w:w="1065" w:type="dxa"/>
            <w:tcBorders>
              <w:top w:val="nil"/>
              <w:left w:val="nil"/>
              <w:bottom w:val="single" w:sz="4" w:space="0" w:color="000000"/>
              <w:right w:val="nil"/>
            </w:tcBorders>
            <w:vAlign w:val="bottom"/>
          </w:tcPr>
          <w:p w14:paraId="6DE97F23" w14:textId="77777777" w:rsidR="001A78F4" w:rsidRDefault="001A78F4">
            <w:pPr>
              <w:spacing w:after="0" w:line="240" w:lineRule="auto"/>
              <w:rPr>
                <w:rFonts w:ascii="Times New Roman" w:eastAsia="Times New Roman" w:hAnsi="Times New Roman" w:cs="Times New Roman"/>
                <w:sz w:val="20"/>
                <w:szCs w:val="20"/>
              </w:rPr>
            </w:pPr>
          </w:p>
        </w:tc>
        <w:tc>
          <w:tcPr>
            <w:tcW w:w="2236" w:type="dxa"/>
            <w:tcBorders>
              <w:top w:val="nil"/>
              <w:left w:val="nil"/>
              <w:bottom w:val="single" w:sz="4" w:space="0" w:color="000000"/>
              <w:right w:val="nil"/>
            </w:tcBorders>
            <w:vAlign w:val="bottom"/>
          </w:tcPr>
          <w:p w14:paraId="31BF4346" w14:textId="77777777" w:rsidR="001A78F4" w:rsidRDefault="001A78F4">
            <w:pPr>
              <w:spacing w:after="0" w:line="240" w:lineRule="auto"/>
              <w:rPr>
                <w:rFonts w:ascii="Times New Roman" w:eastAsia="Times New Roman" w:hAnsi="Times New Roman" w:cs="Times New Roman"/>
                <w:sz w:val="20"/>
                <w:szCs w:val="20"/>
              </w:rPr>
            </w:pPr>
          </w:p>
        </w:tc>
      </w:tr>
      <w:tr w:rsidR="001A78F4" w14:paraId="354AEAAA" w14:textId="77777777">
        <w:trPr>
          <w:trHeight w:val="576"/>
        </w:trPr>
        <w:tc>
          <w:tcPr>
            <w:tcW w:w="1278" w:type="dxa"/>
            <w:tcBorders>
              <w:top w:val="single" w:sz="4" w:space="0" w:color="000000"/>
              <w:left w:val="nil"/>
              <w:bottom w:val="single" w:sz="4" w:space="0" w:color="000000"/>
              <w:right w:val="nil"/>
            </w:tcBorders>
            <w:vAlign w:val="center"/>
          </w:tcPr>
          <w:p w14:paraId="273E7FD9" w14:textId="77777777" w:rsidR="001A78F4"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Author</w:t>
            </w:r>
          </w:p>
        </w:tc>
        <w:tc>
          <w:tcPr>
            <w:tcW w:w="918" w:type="dxa"/>
            <w:tcBorders>
              <w:top w:val="single" w:sz="4" w:space="0" w:color="000000"/>
              <w:left w:val="nil"/>
              <w:bottom w:val="single" w:sz="4" w:space="0" w:color="000000"/>
              <w:right w:val="nil"/>
            </w:tcBorders>
            <w:vAlign w:val="center"/>
          </w:tcPr>
          <w:p w14:paraId="23BB6E0B" w14:textId="77777777" w:rsidR="001A78F4"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Service Quality</w:t>
            </w:r>
          </w:p>
        </w:tc>
        <w:tc>
          <w:tcPr>
            <w:tcW w:w="958" w:type="dxa"/>
            <w:tcBorders>
              <w:top w:val="single" w:sz="4" w:space="0" w:color="000000"/>
              <w:left w:val="nil"/>
              <w:bottom w:val="single" w:sz="4" w:space="0" w:color="000000"/>
              <w:right w:val="nil"/>
            </w:tcBorders>
            <w:vAlign w:val="center"/>
          </w:tcPr>
          <w:p w14:paraId="6879570A" w14:textId="77777777" w:rsidR="001A78F4"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Trust</w:t>
            </w:r>
          </w:p>
        </w:tc>
        <w:tc>
          <w:tcPr>
            <w:tcW w:w="958" w:type="dxa"/>
            <w:tcBorders>
              <w:top w:val="single" w:sz="4" w:space="0" w:color="000000"/>
              <w:left w:val="nil"/>
              <w:bottom w:val="single" w:sz="4" w:space="0" w:color="000000"/>
              <w:right w:val="nil"/>
            </w:tcBorders>
            <w:vAlign w:val="center"/>
          </w:tcPr>
          <w:p w14:paraId="120CF992" w14:textId="77777777" w:rsidR="001A78F4"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Brand Image</w:t>
            </w:r>
          </w:p>
        </w:tc>
        <w:tc>
          <w:tcPr>
            <w:tcW w:w="1284" w:type="dxa"/>
            <w:tcBorders>
              <w:top w:val="single" w:sz="4" w:space="0" w:color="000000"/>
              <w:left w:val="nil"/>
              <w:bottom w:val="single" w:sz="4" w:space="0" w:color="000000"/>
              <w:right w:val="nil"/>
            </w:tcBorders>
            <w:vAlign w:val="center"/>
          </w:tcPr>
          <w:p w14:paraId="16CF0ED6" w14:textId="77777777" w:rsidR="001A78F4"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Satisfaction</w:t>
            </w:r>
          </w:p>
        </w:tc>
        <w:tc>
          <w:tcPr>
            <w:tcW w:w="958" w:type="dxa"/>
            <w:tcBorders>
              <w:top w:val="single" w:sz="4" w:space="0" w:color="000000"/>
              <w:left w:val="nil"/>
              <w:bottom w:val="single" w:sz="4" w:space="0" w:color="000000"/>
              <w:right w:val="nil"/>
            </w:tcBorders>
            <w:vAlign w:val="center"/>
          </w:tcPr>
          <w:p w14:paraId="2078F572" w14:textId="77777777" w:rsidR="001A78F4"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WOM</w:t>
            </w:r>
          </w:p>
        </w:tc>
        <w:tc>
          <w:tcPr>
            <w:tcW w:w="1065" w:type="dxa"/>
            <w:tcBorders>
              <w:top w:val="single" w:sz="4" w:space="0" w:color="000000"/>
              <w:left w:val="nil"/>
              <w:bottom w:val="single" w:sz="4" w:space="0" w:color="000000"/>
              <w:right w:val="nil"/>
            </w:tcBorders>
            <w:vAlign w:val="center"/>
          </w:tcPr>
          <w:p w14:paraId="5B6CD7C0" w14:textId="77777777" w:rsidR="001A78F4"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Revisit Intention</w:t>
            </w:r>
          </w:p>
        </w:tc>
        <w:tc>
          <w:tcPr>
            <w:tcW w:w="2236" w:type="dxa"/>
            <w:tcBorders>
              <w:top w:val="single" w:sz="4" w:space="0" w:color="000000"/>
              <w:left w:val="nil"/>
              <w:bottom w:val="single" w:sz="4" w:space="0" w:color="000000"/>
              <w:right w:val="nil"/>
            </w:tcBorders>
            <w:vAlign w:val="center"/>
          </w:tcPr>
          <w:p w14:paraId="799DC992" w14:textId="77777777" w:rsidR="001A78F4" w:rsidRDefault="0000000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Key Finding</w:t>
            </w:r>
          </w:p>
        </w:tc>
      </w:tr>
      <w:tr w:rsidR="001A78F4" w14:paraId="01F17C99" w14:textId="77777777">
        <w:trPr>
          <w:trHeight w:val="516"/>
        </w:trPr>
        <w:tc>
          <w:tcPr>
            <w:tcW w:w="1278" w:type="dxa"/>
            <w:tcBorders>
              <w:top w:val="single" w:sz="4" w:space="0" w:color="000000"/>
              <w:left w:val="nil"/>
              <w:bottom w:val="single" w:sz="4" w:space="0" w:color="000000"/>
              <w:right w:val="nil"/>
            </w:tcBorders>
            <w:vAlign w:val="center"/>
          </w:tcPr>
          <w:p w14:paraId="161942B8"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Jung</w:t>
            </w:r>
            <w:r>
              <w:rPr>
                <w:rFonts w:ascii="Times New Roman" w:eastAsia="Times New Roman" w:hAnsi="Times New Roman" w:cs="Times New Roman"/>
                <w:color w:val="000000"/>
                <w:sz w:val="20"/>
                <w:szCs w:val="20"/>
              </w:rPr>
              <w:t xml:space="preserve"> et al., 2018</w:t>
            </w:r>
          </w:p>
        </w:tc>
        <w:tc>
          <w:tcPr>
            <w:tcW w:w="918" w:type="dxa"/>
            <w:tcBorders>
              <w:top w:val="single" w:sz="4" w:space="0" w:color="000000"/>
              <w:left w:val="nil"/>
              <w:bottom w:val="single" w:sz="4" w:space="0" w:color="000000"/>
              <w:right w:val="nil"/>
            </w:tcBorders>
            <w:vAlign w:val="center"/>
          </w:tcPr>
          <w:p w14:paraId="622140D8" w14:textId="77777777" w:rsidR="001A78F4" w:rsidRDefault="00000000">
            <w:pPr>
              <w:spacing w:after="0" w:line="240" w:lineRule="auto"/>
              <w:rPr>
                <w:color w:val="000000"/>
              </w:rPr>
            </w:pPr>
            <w:sdt>
              <w:sdtPr>
                <w:tag w:val="goog_rdk_0"/>
                <w:id w:val="920694146"/>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30C17A8F" w14:textId="77777777" w:rsidR="001A78F4" w:rsidRDefault="00000000">
            <w:pPr>
              <w:spacing w:after="0" w:line="240" w:lineRule="auto"/>
              <w:rPr>
                <w:color w:val="000000"/>
              </w:rPr>
            </w:pPr>
            <w:sdt>
              <w:sdtPr>
                <w:tag w:val="goog_rdk_1"/>
                <w:id w:val="1535014440"/>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09877C7F" w14:textId="77777777" w:rsidR="001A78F4" w:rsidRDefault="00000000">
            <w:pPr>
              <w:spacing w:after="0" w:line="240" w:lineRule="auto"/>
              <w:rPr>
                <w:color w:val="000000"/>
              </w:rPr>
            </w:pPr>
            <w:sdt>
              <w:sdtPr>
                <w:tag w:val="goog_rdk_2"/>
                <w:id w:val="-368030026"/>
              </w:sdtPr>
              <w:sdtContent>
                <w:r>
                  <w:rPr>
                    <w:rFonts w:ascii="Arial Unicode MS" w:eastAsia="Arial Unicode MS" w:hAnsi="Arial Unicode MS" w:cs="Arial Unicode MS"/>
                    <w:color w:val="000000"/>
                  </w:rPr>
                  <w:t>✘</w:t>
                </w:r>
              </w:sdtContent>
            </w:sdt>
          </w:p>
        </w:tc>
        <w:tc>
          <w:tcPr>
            <w:tcW w:w="1284" w:type="dxa"/>
            <w:tcBorders>
              <w:top w:val="single" w:sz="4" w:space="0" w:color="000000"/>
              <w:left w:val="nil"/>
              <w:bottom w:val="single" w:sz="4" w:space="0" w:color="000000"/>
              <w:right w:val="nil"/>
            </w:tcBorders>
            <w:vAlign w:val="center"/>
          </w:tcPr>
          <w:p w14:paraId="2DBFBE9F" w14:textId="77777777" w:rsidR="001A78F4" w:rsidRDefault="00000000">
            <w:pPr>
              <w:spacing w:after="0" w:line="240" w:lineRule="auto"/>
              <w:rPr>
                <w:color w:val="000000"/>
              </w:rPr>
            </w:pPr>
            <w:sdt>
              <w:sdtPr>
                <w:tag w:val="goog_rdk_3"/>
                <w:id w:val="327585177"/>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3000B33A" w14:textId="77777777" w:rsidR="001A78F4" w:rsidRDefault="00000000">
            <w:pPr>
              <w:spacing w:after="0" w:line="240" w:lineRule="auto"/>
              <w:rPr>
                <w:color w:val="000000"/>
              </w:rPr>
            </w:pPr>
            <w:sdt>
              <w:sdtPr>
                <w:tag w:val="goog_rdk_4"/>
                <w:id w:val="-31640541"/>
              </w:sdtPr>
              <w:sdtContent>
                <w:r>
                  <w:rPr>
                    <w:rFonts w:ascii="Arial Unicode MS" w:eastAsia="Arial Unicode MS" w:hAnsi="Arial Unicode MS" w:cs="Arial Unicode MS"/>
                    <w:color w:val="000000"/>
                  </w:rPr>
                  <w:t>✘</w:t>
                </w:r>
              </w:sdtContent>
            </w:sdt>
          </w:p>
        </w:tc>
        <w:tc>
          <w:tcPr>
            <w:tcW w:w="1065" w:type="dxa"/>
            <w:tcBorders>
              <w:top w:val="single" w:sz="4" w:space="0" w:color="000000"/>
              <w:left w:val="nil"/>
              <w:bottom w:val="single" w:sz="4" w:space="0" w:color="000000"/>
              <w:right w:val="nil"/>
            </w:tcBorders>
            <w:vAlign w:val="center"/>
          </w:tcPr>
          <w:p w14:paraId="25E88D44" w14:textId="77777777" w:rsidR="001A78F4" w:rsidRDefault="00000000">
            <w:pPr>
              <w:spacing w:after="0" w:line="240" w:lineRule="auto"/>
              <w:rPr>
                <w:color w:val="000000"/>
              </w:rPr>
            </w:pPr>
            <w:sdt>
              <w:sdtPr>
                <w:tag w:val="goog_rdk_5"/>
                <w:id w:val="-63157633"/>
              </w:sdtPr>
              <w:sdtContent>
                <w:r>
                  <w:rPr>
                    <w:rFonts w:ascii="Arial Unicode MS" w:eastAsia="Arial Unicode MS" w:hAnsi="Arial Unicode MS" w:cs="Arial Unicode MS"/>
                    <w:color w:val="000000"/>
                  </w:rPr>
                  <w:t>✔</w:t>
                </w:r>
              </w:sdtContent>
            </w:sdt>
          </w:p>
        </w:tc>
        <w:tc>
          <w:tcPr>
            <w:tcW w:w="2236" w:type="dxa"/>
            <w:tcBorders>
              <w:top w:val="single" w:sz="4" w:space="0" w:color="000000"/>
              <w:left w:val="nil"/>
              <w:bottom w:val="single" w:sz="4" w:space="0" w:color="000000"/>
              <w:right w:val="nil"/>
            </w:tcBorders>
            <w:vAlign w:val="center"/>
          </w:tcPr>
          <w:p w14:paraId="65803155"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Service quality affects satisfaction and revisit</w:t>
            </w:r>
          </w:p>
        </w:tc>
      </w:tr>
      <w:tr w:rsidR="001A78F4" w14:paraId="1A0BC2A6" w14:textId="77777777">
        <w:trPr>
          <w:trHeight w:val="660"/>
        </w:trPr>
        <w:tc>
          <w:tcPr>
            <w:tcW w:w="1278" w:type="dxa"/>
            <w:tcBorders>
              <w:top w:val="single" w:sz="4" w:space="0" w:color="000000"/>
              <w:left w:val="nil"/>
              <w:bottom w:val="single" w:sz="4" w:space="0" w:color="000000"/>
              <w:right w:val="nil"/>
            </w:tcBorders>
            <w:vAlign w:val="center"/>
          </w:tcPr>
          <w:p w14:paraId="2845B095"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Ali et al., 2022</w:t>
            </w:r>
          </w:p>
        </w:tc>
        <w:tc>
          <w:tcPr>
            <w:tcW w:w="918" w:type="dxa"/>
            <w:tcBorders>
              <w:top w:val="single" w:sz="4" w:space="0" w:color="000000"/>
              <w:left w:val="nil"/>
              <w:bottom w:val="single" w:sz="4" w:space="0" w:color="000000"/>
              <w:right w:val="nil"/>
            </w:tcBorders>
            <w:vAlign w:val="center"/>
          </w:tcPr>
          <w:p w14:paraId="1494040C" w14:textId="77777777" w:rsidR="001A78F4" w:rsidRDefault="00000000">
            <w:pPr>
              <w:spacing w:after="0" w:line="240" w:lineRule="auto"/>
              <w:rPr>
                <w:color w:val="000000"/>
              </w:rPr>
            </w:pPr>
            <w:sdt>
              <w:sdtPr>
                <w:tag w:val="goog_rdk_6"/>
                <w:id w:val="1031722655"/>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0D6C0885" w14:textId="77777777" w:rsidR="001A78F4" w:rsidRDefault="00000000">
            <w:pPr>
              <w:spacing w:after="0" w:line="240" w:lineRule="auto"/>
              <w:rPr>
                <w:color w:val="000000"/>
              </w:rPr>
            </w:pPr>
            <w:sdt>
              <w:sdtPr>
                <w:tag w:val="goog_rdk_7"/>
                <w:id w:val="-1641732811"/>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048F86B9" w14:textId="77777777" w:rsidR="001A78F4" w:rsidRDefault="00000000">
            <w:pPr>
              <w:spacing w:after="0" w:line="240" w:lineRule="auto"/>
              <w:rPr>
                <w:color w:val="000000"/>
              </w:rPr>
            </w:pPr>
            <w:sdt>
              <w:sdtPr>
                <w:tag w:val="goog_rdk_8"/>
                <w:id w:val="1525885292"/>
              </w:sdtPr>
              <w:sdtContent>
                <w:r>
                  <w:rPr>
                    <w:rFonts w:ascii="Arial Unicode MS" w:eastAsia="Arial Unicode MS" w:hAnsi="Arial Unicode MS" w:cs="Arial Unicode MS"/>
                    <w:color w:val="000000"/>
                  </w:rPr>
                  <w:t>✘</w:t>
                </w:r>
              </w:sdtContent>
            </w:sdt>
          </w:p>
        </w:tc>
        <w:tc>
          <w:tcPr>
            <w:tcW w:w="1284" w:type="dxa"/>
            <w:tcBorders>
              <w:top w:val="single" w:sz="4" w:space="0" w:color="000000"/>
              <w:left w:val="nil"/>
              <w:bottom w:val="single" w:sz="4" w:space="0" w:color="000000"/>
              <w:right w:val="nil"/>
            </w:tcBorders>
            <w:vAlign w:val="center"/>
          </w:tcPr>
          <w:p w14:paraId="113027B9" w14:textId="77777777" w:rsidR="001A78F4" w:rsidRDefault="00000000">
            <w:pPr>
              <w:spacing w:after="0" w:line="240" w:lineRule="auto"/>
              <w:rPr>
                <w:color w:val="000000"/>
              </w:rPr>
            </w:pPr>
            <w:sdt>
              <w:sdtPr>
                <w:tag w:val="goog_rdk_9"/>
                <w:id w:val="-153964434"/>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7F70A6BD" w14:textId="77777777" w:rsidR="001A78F4" w:rsidRDefault="00000000">
            <w:pPr>
              <w:spacing w:after="0" w:line="240" w:lineRule="auto"/>
              <w:rPr>
                <w:color w:val="000000"/>
              </w:rPr>
            </w:pPr>
            <w:sdt>
              <w:sdtPr>
                <w:tag w:val="goog_rdk_10"/>
                <w:id w:val="-1622615688"/>
              </w:sdtPr>
              <w:sdtContent>
                <w:r>
                  <w:rPr>
                    <w:rFonts w:ascii="Arial Unicode MS" w:eastAsia="Arial Unicode MS" w:hAnsi="Arial Unicode MS" w:cs="Arial Unicode MS"/>
                    <w:color w:val="000000"/>
                  </w:rPr>
                  <w:t>✘</w:t>
                </w:r>
              </w:sdtContent>
            </w:sdt>
          </w:p>
        </w:tc>
        <w:tc>
          <w:tcPr>
            <w:tcW w:w="1065" w:type="dxa"/>
            <w:tcBorders>
              <w:top w:val="single" w:sz="4" w:space="0" w:color="000000"/>
              <w:left w:val="nil"/>
              <w:bottom w:val="single" w:sz="4" w:space="0" w:color="000000"/>
              <w:right w:val="nil"/>
            </w:tcBorders>
            <w:vAlign w:val="center"/>
          </w:tcPr>
          <w:p w14:paraId="1FB9AC41" w14:textId="77777777" w:rsidR="001A78F4" w:rsidRDefault="00000000">
            <w:pPr>
              <w:spacing w:after="0" w:line="240" w:lineRule="auto"/>
              <w:rPr>
                <w:color w:val="000000"/>
              </w:rPr>
            </w:pPr>
            <w:sdt>
              <w:sdtPr>
                <w:tag w:val="goog_rdk_11"/>
                <w:id w:val="1153662179"/>
              </w:sdtPr>
              <w:sdtContent>
                <w:r>
                  <w:rPr>
                    <w:rFonts w:ascii="Arial Unicode MS" w:eastAsia="Arial Unicode MS" w:hAnsi="Arial Unicode MS" w:cs="Arial Unicode MS"/>
                    <w:color w:val="000000"/>
                  </w:rPr>
                  <w:t>✔</w:t>
                </w:r>
              </w:sdtContent>
            </w:sdt>
          </w:p>
        </w:tc>
        <w:tc>
          <w:tcPr>
            <w:tcW w:w="2236" w:type="dxa"/>
            <w:tcBorders>
              <w:top w:val="single" w:sz="4" w:space="0" w:color="000000"/>
              <w:left w:val="nil"/>
              <w:bottom w:val="single" w:sz="4" w:space="0" w:color="000000"/>
              <w:right w:val="nil"/>
            </w:tcBorders>
            <w:vAlign w:val="center"/>
          </w:tcPr>
          <w:p w14:paraId="3111FC60"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Trust and satisfaction influence revisit</w:t>
            </w:r>
          </w:p>
        </w:tc>
      </w:tr>
      <w:tr w:rsidR="001A78F4" w14:paraId="3D038E6E" w14:textId="77777777">
        <w:trPr>
          <w:trHeight w:val="480"/>
        </w:trPr>
        <w:tc>
          <w:tcPr>
            <w:tcW w:w="1278" w:type="dxa"/>
            <w:tcBorders>
              <w:top w:val="single" w:sz="4" w:space="0" w:color="000000"/>
              <w:left w:val="nil"/>
              <w:bottom w:val="single" w:sz="4" w:space="0" w:color="000000"/>
              <w:right w:val="nil"/>
            </w:tcBorders>
            <w:vAlign w:val="center"/>
          </w:tcPr>
          <w:p w14:paraId="503710A1"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Kim et al., 2021</w:t>
            </w:r>
          </w:p>
        </w:tc>
        <w:tc>
          <w:tcPr>
            <w:tcW w:w="918" w:type="dxa"/>
            <w:tcBorders>
              <w:top w:val="single" w:sz="4" w:space="0" w:color="000000"/>
              <w:left w:val="nil"/>
              <w:bottom w:val="single" w:sz="4" w:space="0" w:color="000000"/>
              <w:right w:val="nil"/>
            </w:tcBorders>
            <w:vAlign w:val="center"/>
          </w:tcPr>
          <w:p w14:paraId="6B85BE69" w14:textId="77777777" w:rsidR="001A78F4" w:rsidRDefault="00000000">
            <w:pPr>
              <w:spacing w:after="0" w:line="240" w:lineRule="auto"/>
              <w:rPr>
                <w:color w:val="000000"/>
              </w:rPr>
            </w:pPr>
            <w:sdt>
              <w:sdtPr>
                <w:tag w:val="goog_rdk_12"/>
                <w:id w:val="-351483939"/>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04E6BEC1" w14:textId="77777777" w:rsidR="001A78F4" w:rsidRDefault="00000000">
            <w:pPr>
              <w:spacing w:after="0" w:line="240" w:lineRule="auto"/>
              <w:rPr>
                <w:color w:val="000000"/>
              </w:rPr>
            </w:pPr>
            <w:sdt>
              <w:sdtPr>
                <w:tag w:val="goog_rdk_13"/>
                <w:id w:val="1944520574"/>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2330A84A" w14:textId="77777777" w:rsidR="001A78F4" w:rsidRDefault="00000000">
            <w:pPr>
              <w:spacing w:after="0" w:line="240" w:lineRule="auto"/>
              <w:rPr>
                <w:color w:val="000000"/>
              </w:rPr>
            </w:pPr>
            <w:sdt>
              <w:sdtPr>
                <w:tag w:val="goog_rdk_14"/>
                <w:id w:val="292055720"/>
              </w:sdtPr>
              <w:sdtContent>
                <w:r>
                  <w:rPr>
                    <w:rFonts w:ascii="Arial Unicode MS" w:eastAsia="Arial Unicode MS" w:hAnsi="Arial Unicode MS" w:cs="Arial Unicode MS"/>
                    <w:color w:val="000000"/>
                  </w:rPr>
                  <w:t>✔</w:t>
                </w:r>
              </w:sdtContent>
            </w:sdt>
          </w:p>
        </w:tc>
        <w:tc>
          <w:tcPr>
            <w:tcW w:w="1284" w:type="dxa"/>
            <w:tcBorders>
              <w:top w:val="single" w:sz="4" w:space="0" w:color="000000"/>
              <w:left w:val="nil"/>
              <w:bottom w:val="single" w:sz="4" w:space="0" w:color="000000"/>
              <w:right w:val="nil"/>
            </w:tcBorders>
            <w:vAlign w:val="center"/>
          </w:tcPr>
          <w:p w14:paraId="1CB4DEE0" w14:textId="77777777" w:rsidR="001A78F4" w:rsidRDefault="00000000">
            <w:pPr>
              <w:spacing w:after="0" w:line="240" w:lineRule="auto"/>
              <w:rPr>
                <w:color w:val="000000"/>
              </w:rPr>
            </w:pPr>
            <w:sdt>
              <w:sdtPr>
                <w:tag w:val="goog_rdk_15"/>
                <w:id w:val="-536546963"/>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61D6EF7F" w14:textId="77777777" w:rsidR="001A78F4" w:rsidRDefault="00000000">
            <w:pPr>
              <w:spacing w:after="0" w:line="240" w:lineRule="auto"/>
              <w:rPr>
                <w:color w:val="000000"/>
              </w:rPr>
            </w:pPr>
            <w:sdt>
              <w:sdtPr>
                <w:tag w:val="goog_rdk_16"/>
                <w:id w:val="-432738227"/>
              </w:sdtPr>
              <w:sdtContent>
                <w:r>
                  <w:rPr>
                    <w:rFonts w:ascii="Arial Unicode MS" w:eastAsia="Arial Unicode MS" w:hAnsi="Arial Unicode MS" w:cs="Arial Unicode MS"/>
                    <w:color w:val="000000"/>
                  </w:rPr>
                  <w:t>✘</w:t>
                </w:r>
              </w:sdtContent>
            </w:sdt>
          </w:p>
        </w:tc>
        <w:tc>
          <w:tcPr>
            <w:tcW w:w="1065" w:type="dxa"/>
            <w:tcBorders>
              <w:top w:val="single" w:sz="4" w:space="0" w:color="000000"/>
              <w:left w:val="nil"/>
              <w:bottom w:val="single" w:sz="4" w:space="0" w:color="000000"/>
              <w:right w:val="nil"/>
            </w:tcBorders>
            <w:vAlign w:val="center"/>
          </w:tcPr>
          <w:p w14:paraId="0DAEB6DA" w14:textId="77777777" w:rsidR="001A78F4" w:rsidRDefault="00000000">
            <w:pPr>
              <w:spacing w:after="0" w:line="240" w:lineRule="auto"/>
              <w:rPr>
                <w:color w:val="000000"/>
              </w:rPr>
            </w:pPr>
            <w:sdt>
              <w:sdtPr>
                <w:tag w:val="goog_rdk_17"/>
                <w:id w:val="-7861582"/>
              </w:sdtPr>
              <w:sdtContent>
                <w:r>
                  <w:rPr>
                    <w:rFonts w:ascii="Arial Unicode MS" w:eastAsia="Arial Unicode MS" w:hAnsi="Arial Unicode MS" w:cs="Arial Unicode MS"/>
                    <w:color w:val="000000"/>
                  </w:rPr>
                  <w:t>✔</w:t>
                </w:r>
              </w:sdtContent>
            </w:sdt>
          </w:p>
        </w:tc>
        <w:tc>
          <w:tcPr>
            <w:tcW w:w="2236" w:type="dxa"/>
            <w:tcBorders>
              <w:top w:val="single" w:sz="4" w:space="0" w:color="000000"/>
              <w:left w:val="nil"/>
              <w:bottom w:val="single" w:sz="4" w:space="0" w:color="000000"/>
              <w:right w:val="nil"/>
            </w:tcBorders>
            <w:vAlign w:val="center"/>
          </w:tcPr>
          <w:p w14:paraId="02A98943"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Digital service improves satisfaction</w:t>
            </w:r>
          </w:p>
        </w:tc>
      </w:tr>
      <w:tr w:rsidR="001A78F4" w14:paraId="0D23398D" w14:textId="77777777">
        <w:trPr>
          <w:trHeight w:val="576"/>
        </w:trPr>
        <w:tc>
          <w:tcPr>
            <w:tcW w:w="1278" w:type="dxa"/>
            <w:tcBorders>
              <w:top w:val="single" w:sz="4" w:space="0" w:color="000000"/>
              <w:left w:val="nil"/>
              <w:bottom w:val="single" w:sz="4" w:space="0" w:color="000000"/>
              <w:right w:val="nil"/>
            </w:tcBorders>
            <w:vAlign w:val="center"/>
          </w:tcPr>
          <w:p w14:paraId="4C7BE98E"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Zhou et al., 2022</w:t>
            </w:r>
          </w:p>
        </w:tc>
        <w:tc>
          <w:tcPr>
            <w:tcW w:w="918" w:type="dxa"/>
            <w:tcBorders>
              <w:top w:val="single" w:sz="4" w:space="0" w:color="000000"/>
              <w:left w:val="nil"/>
              <w:bottom w:val="single" w:sz="4" w:space="0" w:color="000000"/>
              <w:right w:val="nil"/>
            </w:tcBorders>
            <w:vAlign w:val="center"/>
          </w:tcPr>
          <w:p w14:paraId="48BBC407" w14:textId="77777777" w:rsidR="001A78F4" w:rsidRDefault="00000000">
            <w:pPr>
              <w:spacing w:after="0" w:line="240" w:lineRule="auto"/>
              <w:rPr>
                <w:color w:val="000000"/>
              </w:rPr>
            </w:pPr>
            <w:sdt>
              <w:sdtPr>
                <w:tag w:val="goog_rdk_18"/>
                <w:id w:val="-1692315803"/>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665C1968" w14:textId="77777777" w:rsidR="001A78F4" w:rsidRDefault="00000000">
            <w:pPr>
              <w:spacing w:after="0" w:line="240" w:lineRule="auto"/>
              <w:rPr>
                <w:color w:val="000000"/>
              </w:rPr>
            </w:pPr>
            <w:sdt>
              <w:sdtPr>
                <w:tag w:val="goog_rdk_19"/>
                <w:id w:val="305262330"/>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764794F4" w14:textId="77777777" w:rsidR="001A78F4" w:rsidRDefault="00000000">
            <w:pPr>
              <w:spacing w:after="0" w:line="240" w:lineRule="auto"/>
              <w:rPr>
                <w:color w:val="000000"/>
              </w:rPr>
            </w:pPr>
            <w:sdt>
              <w:sdtPr>
                <w:tag w:val="goog_rdk_20"/>
                <w:id w:val="1694999530"/>
              </w:sdtPr>
              <w:sdtContent>
                <w:r>
                  <w:rPr>
                    <w:rFonts w:ascii="Arial Unicode MS" w:eastAsia="Arial Unicode MS" w:hAnsi="Arial Unicode MS" w:cs="Arial Unicode MS"/>
                    <w:color w:val="000000"/>
                  </w:rPr>
                  <w:t>✔</w:t>
                </w:r>
              </w:sdtContent>
            </w:sdt>
          </w:p>
        </w:tc>
        <w:tc>
          <w:tcPr>
            <w:tcW w:w="1284" w:type="dxa"/>
            <w:tcBorders>
              <w:top w:val="single" w:sz="4" w:space="0" w:color="000000"/>
              <w:left w:val="nil"/>
              <w:bottom w:val="single" w:sz="4" w:space="0" w:color="000000"/>
              <w:right w:val="nil"/>
            </w:tcBorders>
            <w:vAlign w:val="center"/>
          </w:tcPr>
          <w:p w14:paraId="332A3D3E" w14:textId="77777777" w:rsidR="001A78F4" w:rsidRDefault="00000000">
            <w:pPr>
              <w:spacing w:after="0" w:line="240" w:lineRule="auto"/>
              <w:rPr>
                <w:color w:val="000000"/>
              </w:rPr>
            </w:pPr>
            <w:sdt>
              <w:sdtPr>
                <w:tag w:val="goog_rdk_21"/>
                <w:id w:val="-1673249654"/>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767C3CE0" w14:textId="77777777" w:rsidR="001A78F4" w:rsidRDefault="00000000">
            <w:pPr>
              <w:spacing w:after="0" w:line="240" w:lineRule="auto"/>
              <w:rPr>
                <w:color w:val="000000"/>
              </w:rPr>
            </w:pPr>
            <w:sdt>
              <w:sdtPr>
                <w:tag w:val="goog_rdk_22"/>
                <w:id w:val="-1385136529"/>
              </w:sdtPr>
              <w:sdtContent>
                <w:r>
                  <w:rPr>
                    <w:rFonts w:ascii="Arial Unicode MS" w:eastAsia="Arial Unicode MS" w:hAnsi="Arial Unicode MS" w:cs="Arial Unicode MS"/>
                    <w:color w:val="000000"/>
                  </w:rPr>
                  <w:t>✔</w:t>
                </w:r>
              </w:sdtContent>
            </w:sdt>
          </w:p>
        </w:tc>
        <w:tc>
          <w:tcPr>
            <w:tcW w:w="1065" w:type="dxa"/>
            <w:tcBorders>
              <w:top w:val="single" w:sz="4" w:space="0" w:color="000000"/>
              <w:left w:val="nil"/>
              <w:bottom w:val="single" w:sz="4" w:space="0" w:color="000000"/>
              <w:right w:val="nil"/>
            </w:tcBorders>
            <w:vAlign w:val="center"/>
          </w:tcPr>
          <w:p w14:paraId="173856E9" w14:textId="77777777" w:rsidR="001A78F4" w:rsidRDefault="00000000">
            <w:pPr>
              <w:spacing w:after="0" w:line="240" w:lineRule="auto"/>
              <w:rPr>
                <w:color w:val="000000"/>
              </w:rPr>
            </w:pPr>
            <w:sdt>
              <w:sdtPr>
                <w:tag w:val="goog_rdk_23"/>
                <w:id w:val="66627103"/>
              </w:sdtPr>
              <w:sdtContent>
                <w:r>
                  <w:rPr>
                    <w:rFonts w:ascii="Arial Unicode MS" w:eastAsia="Arial Unicode MS" w:hAnsi="Arial Unicode MS" w:cs="Arial Unicode MS"/>
                    <w:color w:val="000000"/>
                  </w:rPr>
                  <w:t>✔</w:t>
                </w:r>
              </w:sdtContent>
            </w:sdt>
          </w:p>
        </w:tc>
        <w:tc>
          <w:tcPr>
            <w:tcW w:w="2236" w:type="dxa"/>
            <w:tcBorders>
              <w:top w:val="single" w:sz="4" w:space="0" w:color="000000"/>
              <w:left w:val="nil"/>
              <w:bottom w:val="single" w:sz="4" w:space="0" w:color="000000"/>
              <w:right w:val="nil"/>
            </w:tcBorders>
            <w:vAlign w:val="center"/>
          </w:tcPr>
          <w:p w14:paraId="676AF418"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WOM affects revisit intention</w:t>
            </w:r>
          </w:p>
        </w:tc>
      </w:tr>
      <w:tr w:rsidR="001A78F4" w14:paraId="1572BAD1" w14:textId="77777777">
        <w:trPr>
          <w:trHeight w:val="552"/>
        </w:trPr>
        <w:tc>
          <w:tcPr>
            <w:tcW w:w="1278" w:type="dxa"/>
            <w:tcBorders>
              <w:top w:val="single" w:sz="4" w:space="0" w:color="000000"/>
              <w:left w:val="nil"/>
              <w:bottom w:val="single" w:sz="4" w:space="0" w:color="000000"/>
              <w:right w:val="nil"/>
            </w:tcBorders>
            <w:vAlign w:val="center"/>
          </w:tcPr>
          <w:p w14:paraId="1B63A13A"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Aza</w:t>
            </w:r>
            <w:r>
              <w:rPr>
                <w:rFonts w:ascii="Times New Roman" w:eastAsia="Times New Roman" w:hAnsi="Times New Roman" w:cs="Times New Roman"/>
                <w:color w:val="000000"/>
                <w:sz w:val="20"/>
                <w:szCs w:val="20"/>
              </w:rPr>
              <w:t>m</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et al., 2023</w:t>
            </w:r>
          </w:p>
        </w:tc>
        <w:tc>
          <w:tcPr>
            <w:tcW w:w="918" w:type="dxa"/>
            <w:tcBorders>
              <w:top w:val="single" w:sz="4" w:space="0" w:color="000000"/>
              <w:left w:val="nil"/>
              <w:bottom w:val="single" w:sz="4" w:space="0" w:color="000000"/>
              <w:right w:val="nil"/>
            </w:tcBorders>
            <w:vAlign w:val="center"/>
          </w:tcPr>
          <w:p w14:paraId="582D0117" w14:textId="77777777" w:rsidR="001A78F4" w:rsidRDefault="00000000">
            <w:pPr>
              <w:spacing w:after="0" w:line="240" w:lineRule="auto"/>
              <w:rPr>
                <w:color w:val="000000"/>
              </w:rPr>
            </w:pPr>
            <w:sdt>
              <w:sdtPr>
                <w:tag w:val="goog_rdk_24"/>
                <w:id w:val="50924181"/>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518FB316" w14:textId="77777777" w:rsidR="001A78F4" w:rsidRDefault="00000000">
            <w:pPr>
              <w:spacing w:after="0" w:line="240" w:lineRule="auto"/>
              <w:rPr>
                <w:color w:val="000000"/>
              </w:rPr>
            </w:pPr>
            <w:sdt>
              <w:sdtPr>
                <w:tag w:val="goog_rdk_25"/>
                <w:id w:val="1425106199"/>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10D623C5" w14:textId="77777777" w:rsidR="001A78F4" w:rsidRDefault="00000000">
            <w:pPr>
              <w:spacing w:after="0" w:line="240" w:lineRule="auto"/>
              <w:rPr>
                <w:color w:val="000000"/>
              </w:rPr>
            </w:pPr>
            <w:sdt>
              <w:sdtPr>
                <w:tag w:val="goog_rdk_26"/>
                <w:id w:val="1757097968"/>
              </w:sdtPr>
              <w:sdtContent>
                <w:r>
                  <w:rPr>
                    <w:rFonts w:ascii="Arial Unicode MS" w:eastAsia="Arial Unicode MS" w:hAnsi="Arial Unicode MS" w:cs="Arial Unicode MS"/>
                    <w:color w:val="000000"/>
                  </w:rPr>
                  <w:t>✘</w:t>
                </w:r>
              </w:sdtContent>
            </w:sdt>
          </w:p>
        </w:tc>
        <w:tc>
          <w:tcPr>
            <w:tcW w:w="1284" w:type="dxa"/>
            <w:tcBorders>
              <w:top w:val="single" w:sz="4" w:space="0" w:color="000000"/>
              <w:left w:val="nil"/>
              <w:bottom w:val="single" w:sz="4" w:space="0" w:color="000000"/>
              <w:right w:val="nil"/>
            </w:tcBorders>
            <w:vAlign w:val="center"/>
          </w:tcPr>
          <w:p w14:paraId="0226E8B4" w14:textId="77777777" w:rsidR="001A78F4" w:rsidRDefault="00000000">
            <w:pPr>
              <w:spacing w:after="0" w:line="240" w:lineRule="auto"/>
              <w:rPr>
                <w:color w:val="000000"/>
              </w:rPr>
            </w:pPr>
            <w:sdt>
              <w:sdtPr>
                <w:tag w:val="goog_rdk_27"/>
                <w:id w:val="-2109268"/>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29B9F458" w14:textId="77777777" w:rsidR="001A78F4" w:rsidRDefault="00000000">
            <w:pPr>
              <w:spacing w:after="0" w:line="240" w:lineRule="auto"/>
              <w:rPr>
                <w:color w:val="000000"/>
              </w:rPr>
            </w:pPr>
            <w:sdt>
              <w:sdtPr>
                <w:tag w:val="goog_rdk_28"/>
                <w:id w:val="-865792544"/>
              </w:sdtPr>
              <w:sdtContent>
                <w:r>
                  <w:rPr>
                    <w:rFonts w:ascii="Arial Unicode MS" w:eastAsia="Arial Unicode MS" w:hAnsi="Arial Unicode MS" w:cs="Arial Unicode MS"/>
                    <w:color w:val="000000"/>
                  </w:rPr>
                  <w:t>✔</w:t>
                </w:r>
              </w:sdtContent>
            </w:sdt>
          </w:p>
        </w:tc>
        <w:tc>
          <w:tcPr>
            <w:tcW w:w="1065" w:type="dxa"/>
            <w:tcBorders>
              <w:top w:val="single" w:sz="4" w:space="0" w:color="000000"/>
              <w:left w:val="nil"/>
              <w:bottom w:val="single" w:sz="4" w:space="0" w:color="000000"/>
              <w:right w:val="nil"/>
            </w:tcBorders>
            <w:vAlign w:val="center"/>
          </w:tcPr>
          <w:p w14:paraId="5DDF9B3A" w14:textId="77777777" w:rsidR="001A78F4" w:rsidRDefault="00000000">
            <w:pPr>
              <w:spacing w:after="0" w:line="240" w:lineRule="auto"/>
              <w:rPr>
                <w:color w:val="000000"/>
              </w:rPr>
            </w:pPr>
            <w:sdt>
              <w:sdtPr>
                <w:tag w:val="goog_rdk_29"/>
                <w:id w:val="1815551112"/>
              </w:sdtPr>
              <w:sdtContent>
                <w:r>
                  <w:rPr>
                    <w:rFonts w:ascii="Arial Unicode MS" w:eastAsia="Arial Unicode MS" w:hAnsi="Arial Unicode MS" w:cs="Arial Unicode MS"/>
                    <w:color w:val="000000"/>
                  </w:rPr>
                  <w:t>✔</w:t>
                </w:r>
              </w:sdtContent>
            </w:sdt>
          </w:p>
        </w:tc>
        <w:tc>
          <w:tcPr>
            <w:tcW w:w="2236" w:type="dxa"/>
            <w:tcBorders>
              <w:top w:val="single" w:sz="4" w:space="0" w:color="000000"/>
              <w:left w:val="nil"/>
              <w:bottom w:val="single" w:sz="4" w:space="0" w:color="000000"/>
              <w:right w:val="nil"/>
            </w:tcBorders>
            <w:vAlign w:val="center"/>
          </w:tcPr>
          <w:p w14:paraId="6652E6F2"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Technology affects patient decision</w:t>
            </w:r>
          </w:p>
        </w:tc>
      </w:tr>
      <w:tr w:rsidR="001A78F4" w14:paraId="092B25FD" w14:textId="77777777">
        <w:trPr>
          <w:trHeight w:val="540"/>
        </w:trPr>
        <w:tc>
          <w:tcPr>
            <w:tcW w:w="1278" w:type="dxa"/>
            <w:tcBorders>
              <w:top w:val="single" w:sz="4" w:space="0" w:color="000000"/>
              <w:left w:val="nil"/>
              <w:bottom w:val="single" w:sz="4" w:space="0" w:color="000000"/>
              <w:right w:val="nil"/>
            </w:tcBorders>
            <w:vAlign w:val="center"/>
          </w:tcPr>
          <w:p w14:paraId="6D75A2CA"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Tian et al., 2024</w:t>
            </w:r>
          </w:p>
        </w:tc>
        <w:tc>
          <w:tcPr>
            <w:tcW w:w="918" w:type="dxa"/>
            <w:tcBorders>
              <w:top w:val="single" w:sz="4" w:space="0" w:color="000000"/>
              <w:left w:val="nil"/>
              <w:bottom w:val="single" w:sz="4" w:space="0" w:color="000000"/>
              <w:right w:val="nil"/>
            </w:tcBorders>
            <w:vAlign w:val="center"/>
          </w:tcPr>
          <w:p w14:paraId="54F3086E" w14:textId="77777777" w:rsidR="001A78F4" w:rsidRDefault="00000000">
            <w:pPr>
              <w:spacing w:after="0" w:line="240" w:lineRule="auto"/>
              <w:rPr>
                <w:color w:val="000000"/>
              </w:rPr>
            </w:pPr>
            <w:sdt>
              <w:sdtPr>
                <w:tag w:val="goog_rdk_30"/>
                <w:id w:val="908033891"/>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0A975747" w14:textId="77777777" w:rsidR="001A78F4" w:rsidRDefault="00000000">
            <w:pPr>
              <w:spacing w:after="0" w:line="240" w:lineRule="auto"/>
              <w:rPr>
                <w:color w:val="000000"/>
              </w:rPr>
            </w:pPr>
            <w:sdt>
              <w:sdtPr>
                <w:tag w:val="goog_rdk_31"/>
                <w:id w:val="-1432517397"/>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6AFC072C" w14:textId="77777777" w:rsidR="001A78F4" w:rsidRDefault="00000000">
            <w:pPr>
              <w:spacing w:after="0" w:line="240" w:lineRule="auto"/>
              <w:rPr>
                <w:color w:val="000000"/>
              </w:rPr>
            </w:pPr>
            <w:sdt>
              <w:sdtPr>
                <w:tag w:val="goog_rdk_32"/>
                <w:id w:val="1842970384"/>
              </w:sdtPr>
              <w:sdtContent>
                <w:r>
                  <w:rPr>
                    <w:rFonts w:ascii="Arial Unicode MS" w:eastAsia="Arial Unicode MS" w:hAnsi="Arial Unicode MS" w:cs="Arial Unicode MS"/>
                    <w:color w:val="000000"/>
                  </w:rPr>
                  <w:t>✔</w:t>
                </w:r>
              </w:sdtContent>
            </w:sdt>
          </w:p>
        </w:tc>
        <w:tc>
          <w:tcPr>
            <w:tcW w:w="1284" w:type="dxa"/>
            <w:tcBorders>
              <w:top w:val="single" w:sz="4" w:space="0" w:color="000000"/>
              <w:left w:val="nil"/>
              <w:bottom w:val="single" w:sz="4" w:space="0" w:color="000000"/>
              <w:right w:val="nil"/>
            </w:tcBorders>
            <w:vAlign w:val="center"/>
          </w:tcPr>
          <w:p w14:paraId="61AC0EA8" w14:textId="77777777" w:rsidR="001A78F4" w:rsidRDefault="00000000">
            <w:pPr>
              <w:spacing w:after="0" w:line="240" w:lineRule="auto"/>
              <w:rPr>
                <w:color w:val="000000"/>
              </w:rPr>
            </w:pPr>
            <w:sdt>
              <w:sdtPr>
                <w:tag w:val="goog_rdk_33"/>
                <w:id w:val="1496213748"/>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single" w:sz="4" w:space="0" w:color="000000"/>
              <w:right w:val="nil"/>
            </w:tcBorders>
            <w:vAlign w:val="center"/>
          </w:tcPr>
          <w:p w14:paraId="20BB1D9F" w14:textId="77777777" w:rsidR="001A78F4" w:rsidRDefault="00000000">
            <w:pPr>
              <w:spacing w:after="0" w:line="240" w:lineRule="auto"/>
              <w:rPr>
                <w:color w:val="000000"/>
              </w:rPr>
            </w:pPr>
            <w:sdt>
              <w:sdtPr>
                <w:tag w:val="goog_rdk_34"/>
                <w:id w:val="1359518504"/>
              </w:sdtPr>
              <w:sdtContent>
                <w:r>
                  <w:rPr>
                    <w:rFonts w:ascii="Arial Unicode MS" w:eastAsia="Arial Unicode MS" w:hAnsi="Arial Unicode MS" w:cs="Arial Unicode MS"/>
                    <w:color w:val="000000"/>
                  </w:rPr>
                  <w:t>✘</w:t>
                </w:r>
              </w:sdtContent>
            </w:sdt>
          </w:p>
        </w:tc>
        <w:tc>
          <w:tcPr>
            <w:tcW w:w="1065" w:type="dxa"/>
            <w:tcBorders>
              <w:top w:val="single" w:sz="4" w:space="0" w:color="000000"/>
              <w:left w:val="nil"/>
              <w:bottom w:val="single" w:sz="4" w:space="0" w:color="000000"/>
              <w:right w:val="nil"/>
            </w:tcBorders>
            <w:vAlign w:val="center"/>
          </w:tcPr>
          <w:p w14:paraId="456C2764" w14:textId="77777777" w:rsidR="001A78F4" w:rsidRDefault="00000000">
            <w:pPr>
              <w:spacing w:after="0" w:line="240" w:lineRule="auto"/>
              <w:rPr>
                <w:color w:val="000000"/>
              </w:rPr>
            </w:pPr>
            <w:sdt>
              <w:sdtPr>
                <w:tag w:val="goog_rdk_35"/>
                <w:id w:val="1791236900"/>
              </w:sdtPr>
              <w:sdtContent>
                <w:r>
                  <w:rPr>
                    <w:rFonts w:ascii="Arial Unicode MS" w:eastAsia="Arial Unicode MS" w:hAnsi="Arial Unicode MS" w:cs="Arial Unicode MS"/>
                    <w:color w:val="000000"/>
                  </w:rPr>
                  <w:t>✔</w:t>
                </w:r>
              </w:sdtContent>
            </w:sdt>
          </w:p>
        </w:tc>
        <w:tc>
          <w:tcPr>
            <w:tcW w:w="2236" w:type="dxa"/>
            <w:tcBorders>
              <w:top w:val="single" w:sz="4" w:space="0" w:color="000000"/>
              <w:left w:val="nil"/>
              <w:bottom w:val="single" w:sz="4" w:space="0" w:color="000000"/>
              <w:right w:val="nil"/>
            </w:tcBorders>
            <w:vAlign w:val="center"/>
          </w:tcPr>
          <w:p w14:paraId="612FFDDE"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Modern facilities affect satisfaction</w:t>
            </w:r>
          </w:p>
        </w:tc>
      </w:tr>
      <w:tr w:rsidR="001A78F4" w14:paraId="7C244A59" w14:textId="77777777">
        <w:trPr>
          <w:trHeight w:val="612"/>
        </w:trPr>
        <w:tc>
          <w:tcPr>
            <w:tcW w:w="1278" w:type="dxa"/>
            <w:tcBorders>
              <w:top w:val="single" w:sz="4" w:space="0" w:color="000000"/>
              <w:left w:val="nil"/>
              <w:bottom w:val="nil"/>
              <w:right w:val="nil"/>
            </w:tcBorders>
            <w:vAlign w:val="center"/>
          </w:tcPr>
          <w:p w14:paraId="575D0372"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Present Study</w:t>
            </w:r>
          </w:p>
        </w:tc>
        <w:tc>
          <w:tcPr>
            <w:tcW w:w="918" w:type="dxa"/>
            <w:tcBorders>
              <w:top w:val="single" w:sz="4" w:space="0" w:color="000000"/>
              <w:left w:val="nil"/>
              <w:bottom w:val="nil"/>
              <w:right w:val="nil"/>
            </w:tcBorders>
            <w:vAlign w:val="center"/>
          </w:tcPr>
          <w:p w14:paraId="265A1085" w14:textId="77777777" w:rsidR="001A78F4" w:rsidRDefault="00000000">
            <w:pPr>
              <w:spacing w:after="0" w:line="240" w:lineRule="auto"/>
              <w:rPr>
                <w:color w:val="000000"/>
              </w:rPr>
            </w:pPr>
            <w:sdt>
              <w:sdtPr>
                <w:tag w:val="goog_rdk_36"/>
                <w:id w:val="730649072"/>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nil"/>
              <w:right w:val="nil"/>
            </w:tcBorders>
            <w:vAlign w:val="center"/>
          </w:tcPr>
          <w:p w14:paraId="68388B91" w14:textId="77777777" w:rsidR="001A78F4" w:rsidRDefault="00000000">
            <w:pPr>
              <w:spacing w:after="0" w:line="240" w:lineRule="auto"/>
              <w:rPr>
                <w:color w:val="000000"/>
              </w:rPr>
            </w:pPr>
            <w:sdt>
              <w:sdtPr>
                <w:tag w:val="goog_rdk_37"/>
                <w:id w:val="-1733793339"/>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nil"/>
              <w:right w:val="nil"/>
            </w:tcBorders>
            <w:vAlign w:val="center"/>
          </w:tcPr>
          <w:p w14:paraId="5C4F1DEE" w14:textId="77777777" w:rsidR="001A78F4" w:rsidRDefault="00000000">
            <w:pPr>
              <w:spacing w:after="0" w:line="240" w:lineRule="auto"/>
              <w:rPr>
                <w:color w:val="000000"/>
              </w:rPr>
            </w:pPr>
            <w:sdt>
              <w:sdtPr>
                <w:tag w:val="goog_rdk_38"/>
                <w:id w:val="266896734"/>
              </w:sdtPr>
              <w:sdtContent>
                <w:r>
                  <w:rPr>
                    <w:rFonts w:ascii="Arial Unicode MS" w:eastAsia="Arial Unicode MS" w:hAnsi="Arial Unicode MS" w:cs="Arial Unicode MS"/>
                    <w:color w:val="000000"/>
                  </w:rPr>
                  <w:t>✔</w:t>
                </w:r>
              </w:sdtContent>
            </w:sdt>
          </w:p>
        </w:tc>
        <w:tc>
          <w:tcPr>
            <w:tcW w:w="1284" w:type="dxa"/>
            <w:tcBorders>
              <w:top w:val="single" w:sz="4" w:space="0" w:color="000000"/>
              <w:left w:val="nil"/>
              <w:bottom w:val="nil"/>
              <w:right w:val="nil"/>
            </w:tcBorders>
            <w:vAlign w:val="center"/>
          </w:tcPr>
          <w:p w14:paraId="623C0EA6" w14:textId="77777777" w:rsidR="001A78F4" w:rsidRDefault="00000000">
            <w:pPr>
              <w:spacing w:after="0" w:line="240" w:lineRule="auto"/>
              <w:rPr>
                <w:color w:val="000000"/>
              </w:rPr>
            </w:pPr>
            <w:sdt>
              <w:sdtPr>
                <w:tag w:val="goog_rdk_39"/>
                <w:id w:val="-1367924137"/>
              </w:sdtPr>
              <w:sdtContent>
                <w:r>
                  <w:rPr>
                    <w:rFonts w:ascii="Arial Unicode MS" w:eastAsia="Arial Unicode MS" w:hAnsi="Arial Unicode MS" w:cs="Arial Unicode MS"/>
                    <w:color w:val="000000"/>
                  </w:rPr>
                  <w:t>✔</w:t>
                </w:r>
              </w:sdtContent>
            </w:sdt>
          </w:p>
        </w:tc>
        <w:tc>
          <w:tcPr>
            <w:tcW w:w="958" w:type="dxa"/>
            <w:tcBorders>
              <w:top w:val="single" w:sz="4" w:space="0" w:color="000000"/>
              <w:left w:val="nil"/>
              <w:bottom w:val="nil"/>
              <w:right w:val="nil"/>
            </w:tcBorders>
            <w:vAlign w:val="center"/>
          </w:tcPr>
          <w:p w14:paraId="350AD251" w14:textId="77777777" w:rsidR="001A78F4" w:rsidRDefault="00000000">
            <w:pPr>
              <w:spacing w:after="0" w:line="240" w:lineRule="auto"/>
              <w:rPr>
                <w:color w:val="000000"/>
              </w:rPr>
            </w:pPr>
            <w:sdt>
              <w:sdtPr>
                <w:tag w:val="goog_rdk_40"/>
                <w:id w:val="970154683"/>
              </w:sdtPr>
              <w:sdtContent>
                <w:r>
                  <w:rPr>
                    <w:rFonts w:ascii="Arial Unicode MS" w:eastAsia="Arial Unicode MS" w:hAnsi="Arial Unicode MS" w:cs="Arial Unicode MS"/>
                    <w:color w:val="000000"/>
                  </w:rPr>
                  <w:t>✔</w:t>
                </w:r>
              </w:sdtContent>
            </w:sdt>
          </w:p>
        </w:tc>
        <w:tc>
          <w:tcPr>
            <w:tcW w:w="1065" w:type="dxa"/>
            <w:tcBorders>
              <w:top w:val="single" w:sz="4" w:space="0" w:color="000000"/>
              <w:left w:val="nil"/>
              <w:bottom w:val="nil"/>
              <w:right w:val="nil"/>
            </w:tcBorders>
            <w:vAlign w:val="center"/>
          </w:tcPr>
          <w:p w14:paraId="7B33495C" w14:textId="77777777" w:rsidR="001A78F4" w:rsidRDefault="00000000">
            <w:pPr>
              <w:spacing w:after="0" w:line="240" w:lineRule="auto"/>
              <w:rPr>
                <w:color w:val="000000"/>
              </w:rPr>
            </w:pPr>
            <w:sdt>
              <w:sdtPr>
                <w:tag w:val="goog_rdk_41"/>
                <w:id w:val="-85060034"/>
              </w:sdtPr>
              <w:sdtContent>
                <w:r>
                  <w:rPr>
                    <w:rFonts w:ascii="Arial Unicode MS" w:eastAsia="Arial Unicode MS" w:hAnsi="Arial Unicode MS" w:cs="Arial Unicode MS"/>
                    <w:color w:val="000000"/>
                  </w:rPr>
                  <w:t>✔</w:t>
                </w:r>
              </w:sdtContent>
            </w:sdt>
          </w:p>
        </w:tc>
        <w:tc>
          <w:tcPr>
            <w:tcW w:w="2236" w:type="dxa"/>
            <w:tcBorders>
              <w:top w:val="single" w:sz="4" w:space="0" w:color="000000"/>
              <w:left w:val="nil"/>
              <w:bottom w:val="nil"/>
              <w:right w:val="nil"/>
            </w:tcBorders>
            <w:vAlign w:val="center"/>
          </w:tcPr>
          <w:p w14:paraId="799249C0" w14:textId="77777777" w:rsidR="001A78F4" w:rsidRDefault="0000000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All hypotheses supported </w:t>
            </w:r>
          </w:p>
        </w:tc>
      </w:tr>
    </w:tbl>
    <w:p w14:paraId="1745456D" w14:textId="77777777" w:rsidR="001A78F4" w:rsidRDefault="00000000">
      <w:pPr>
        <w:jc w:val="both"/>
      </w:pPr>
      <w:r>
        <w:rPr>
          <w:rFonts w:ascii="Times New Roman" w:eastAsia="Times New Roman" w:hAnsi="Times New Roman" w:cs="Times New Roman"/>
          <w:b/>
          <w:bCs/>
          <w:color w:val="000000"/>
          <w:sz w:val="24"/>
          <w:szCs w:val="24"/>
        </w:rPr>
        <w:t xml:space="preserve"> Table 7. Comparison of Key Variables and Findings in Previous Studies on Patient Revisit Intention in Healthcare</w:t>
      </w:r>
    </w:p>
    <w:p w14:paraId="57851B45" w14:textId="77777777" w:rsidR="001A78F4" w:rsidRDefault="001A78F4"/>
    <w:p w14:paraId="28741A82" w14:textId="77777777" w:rsidR="001A78F4" w:rsidRDefault="00000000">
      <w:pPr>
        <w:keepNext/>
        <w:pBdr>
          <w:top w:val="nil"/>
          <w:left w:val="nil"/>
          <w:bottom w:val="nil"/>
          <w:right w:val="nil"/>
          <w:between w:val="nil"/>
        </w:pBdr>
        <w:spacing w:after="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Table 8. Comparison of Significant Relationships and Mediation Mechanisms Reported in Previous Studies and the Present Study</w:t>
      </w:r>
    </w:p>
    <w:p w14:paraId="0929AB0C" w14:textId="77777777" w:rsidR="001A78F4" w:rsidRDefault="001A78F4"/>
    <w:tbl>
      <w:tblPr>
        <w:tblStyle w:val="ae"/>
        <w:tblpPr w:leftFromText="180" w:rightFromText="180" w:vertAnchor="text" w:tblpY="137"/>
        <w:tblW w:w="9700" w:type="dxa"/>
        <w:tblLayout w:type="fixed"/>
        <w:tblLook w:val="0400" w:firstRow="0" w:lastRow="0" w:firstColumn="0" w:lastColumn="0" w:noHBand="0" w:noVBand="1"/>
      </w:tblPr>
      <w:tblGrid>
        <w:gridCol w:w="1616"/>
        <w:gridCol w:w="1617"/>
        <w:gridCol w:w="1617"/>
        <w:gridCol w:w="1616"/>
        <w:gridCol w:w="1617"/>
        <w:gridCol w:w="1617"/>
      </w:tblGrid>
      <w:tr w:rsidR="001A78F4" w14:paraId="17651F90" w14:textId="77777777">
        <w:trPr>
          <w:trHeight w:val="450"/>
        </w:trPr>
        <w:tc>
          <w:tcPr>
            <w:tcW w:w="1616" w:type="dxa"/>
            <w:tcBorders>
              <w:top w:val="single" w:sz="8" w:space="0" w:color="000000"/>
              <w:left w:val="nil"/>
              <w:bottom w:val="single" w:sz="8" w:space="0" w:color="000000"/>
              <w:right w:val="nil"/>
            </w:tcBorders>
            <w:vAlign w:val="center"/>
          </w:tcPr>
          <w:p w14:paraId="1E939938" w14:textId="77777777" w:rsidR="001A78F4" w:rsidRDefault="00000000">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Study</w:t>
            </w:r>
          </w:p>
        </w:tc>
        <w:tc>
          <w:tcPr>
            <w:tcW w:w="1617" w:type="dxa"/>
            <w:tcBorders>
              <w:top w:val="single" w:sz="8" w:space="0" w:color="000000"/>
              <w:left w:val="nil"/>
              <w:bottom w:val="single" w:sz="8" w:space="0" w:color="000000"/>
              <w:right w:val="nil"/>
            </w:tcBorders>
            <w:vAlign w:val="center"/>
          </w:tcPr>
          <w:p w14:paraId="1F69B31E" w14:textId="77777777" w:rsidR="001A78F4" w:rsidRDefault="00000000">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Key Variables</w:t>
            </w:r>
          </w:p>
        </w:tc>
        <w:tc>
          <w:tcPr>
            <w:tcW w:w="1617" w:type="dxa"/>
            <w:tcBorders>
              <w:top w:val="single" w:sz="8" w:space="0" w:color="000000"/>
              <w:left w:val="nil"/>
              <w:bottom w:val="single" w:sz="8" w:space="0" w:color="000000"/>
              <w:right w:val="nil"/>
            </w:tcBorders>
            <w:vAlign w:val="center"/>
          </w:tcPr>
          <w:p w14:paraId="35093B19" w14:textId="77777777" w:rsidR="001A78F4" w:rsidRDefault="00000000">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Significant Paths</w:t>
            </w:r>
          </w:p>
        </w:tc>
        <w:tc>
          <w:tcPr>
            <w:tcW w:w="1616" w:type="dxa"/>
            <w:tcBorders>
              <w:top w:val="single" w:sz="8" w:space="0" w:color="000000"/>
              <w:left w:val="nil"/>
              <w:bottom w:val="single" w:sz="8" w:space="0" w:color="000000"/>
              <w:right w:val="nil"/>
            </w:tcBorders>
            <w:vAlign w:val="center"/>
          </w:tcPr>
          <w:p w14:paraId="3E2D0693" w14:textId="77777777" w:rsidR="001A78F4" w:rsidRDefault="00000000">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β range </w:t>
            </w:r>
          </w:p>
        </w:tc>
        <w:tc>
          <w:tcPr>
            <w:tcW w:w="1617" w:type="dxa"/>
            <w:tcBorders>
              <w:top w:val="single" w:sz="8" w:space="0" w:color="000000"/>
              <w:left w:val="nil"/>
              <w:bottom w:val="single" w:sz="8" w:space="0" w:color="000000"/>
              <w:right w:val="nil"/>
            </w:tcBorders>
            <w:vAlign w:val="center"/>
          </w:tcPr>
          <w:p w14:paraId="6061FCBC" w14:textId="77777777" w:rsidR="001A78F4" w:rsidRDefault="00000000">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Mediator</w:t>
            </w:r>
          </w:p>
        </w:tc>
        <w:tc>
          <w:tcPr>
            <w:tcW w:w="1617" w:type="dxa"/>
            <w:tcBorders>
              <w:top w:val="single" w:sz="8" w:space="0" w:color="000000"/>
              <w:left w:val="nil"/>
              <w:bottom w:val="single" w:sz="8" w:space="0" w:color="000000"/>
              <w:right w:val="nil"/>
            </w:tcBorders>
            <w:vAlign w:val="center"/>
          </w:tcPr>
          <w:p w14:paraId="2A298F24" w14:textId="77777777" w:rsidR="001A78F4" w:rsidRDefault="00000000">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Type of Mediation</w:t>
            </w:r>
          </w:p>
        </w:tc>
      </w:tr>
      <w:tr w:rsidR="001A78F4" w14:paraId="42244C86" w14:textId="77777777">
        <w:trPr>
          <w:trHeight w:val="450"/>
        </w:trPr>
        <w:tc>
          <w:tcPr>
            <w:tcW w:w="1616" w:type="dxa"/>
            <w:tcBorders>
              <w:top w:val="nil"/>
              <w:left w:val="nil"/>
              <w:bottom w:val="single" w:sz="8" w:space="0" w:color="000000"/>
              <w:right w:val="nil"/>
            </w:tcBorders>
            <w:vAlign w:val="center"/>
          </w:tcPr>
          <w:p w14:paraId="1D7895BB"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Jung et al., 2018</w:t>
            </w:r>
          </w:p>
        </w:tc>
        <w:tc>
          <w:tcPr>
            <w:tcW w:w="1617" w:type="dxa"/>
            <w:tcBorders>
              <w:top w:val="nil"/>
              <w:left w:val="nil"/>
              <w:bottom w:val="single" w:sz="8" w:space="0" w:color="000000"/>
              <w:right w:val="nil"/>
            </w:tcBorders>
            <w:vAlign w:val="center"/>
          </w:tcPr>
          <w:p w14:paraId="3614E62D"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SQ, Trust, SAT, RI</w:t>
            </w:r>
          </w:p>
        </w:tc>
        <w:tc>
          <w:tcPr>
            <w:tcW w:w="1617" w:type="dxa"/>
            <w:tcBorders>
              <w:top w:val="nil"/>
              <w:left w:val="nil"/>
              <w:bottom w:val="single" w:sz="8" w:space="0" w:color="000000"/>
              <w:right w:val="nil"/>
            </w:tcBorders>
            <w:vAlign w:val="center"/>
          </w:tcPr>
          <w:p w14:paraId="5ACF0B83" w14:textId="77777777" w:rsidR="001A78F4" w:rsidRDefault="00000000">
            <w:pPr>
              <w:spacing w:after="0" w:line="240" w:lineRule="auto"/>
              <w:jc w:val="both"/>
              <w:rPr>
                <w:rFonts w:ascii="Times New Roman" w:eastAsia="Times New Roman" w:hAnsi="Times New Roman" w:cs="Times New Roman"/>
                <w:color w:val="000000"/>
                <w:sz w:val="20"/>
                <w:szCs w:val="20"/>
              </w:rPr>
            </w:pPr>
            <w:sdt>
              <w:sdtPr>
                <w:tag w:val="goog_rdk_42"/>
                <w:id w:val="-180788213"/>
              </w:sdtPr>
              <w:sdtContent>
                <w:r>
                  <w:rPr>
                    <w:rFonts w:ascii="Cardo" w:eastAsia="Cardo" w:hAnsi="Cardo" w:cs="Cardo"/>
                    <w:color w:val="000000"/>
                    <w:sz w:val="20"/>
                    <w:szCs w:val="20"/>
                  </w:rPr>
                  <w:t>SQ → SAT, SAT → RI</w:t>
                </w:r>
              </w:sdtContent>
            </w:sdt>
          </w:p>
        </w:tc>
        <w:tc>
          <w:tcPr>
            <w:tcW w:w="1616" w:type="dxa"/>
            <w:tcBorders>
              <w:top w:val="nil"/>
              <w:left w:val="nil"/>
              <w:bottom w:val="single" w:sz="8" w:space="0" w:color="000000"/>
              <w:right w:val="nil"/>
            </w:tcBorders>
            <w:vAlign w:val="center"/>
          </w:tcPr>
          <w:p w14:paraId="53F97F26"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0.20–0.45</w:t>
            </w:r>
          </w:p>
        </w:tc>
        <w:tc>
          <w:tcPr>
            <w:tcW w:w="1617" w:type="dxa"/>
            <w:tcBorders>
              <w:top w:val="nil"/>
              <w:left w:val="nil"/>
              <w:bottom w:val="single" w:sz="8" w:space="0" w:color="000000"/>
              <w:right w:val="nil"/>
            </w:tcBorders>
            <w:vAlign w:val="center"/>
          </w:tcPr>
          <w:p w14:paraId="258FB77D"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Satisfaction</w:t>
            </w:r>
          </w:p>
        </w:tc>
        <w:tc>
          <w:tcPr>
            <w:tcW w:w="1617" w:type="dxa"/>
            <w:tcBorders>
              <w:top w:val="nil"/>
              <w:left w:val="nil"/>
              <w:bottom w:val="single" w:sz="8" w:space="0" w:color="000000"/>
              <w:right w:val="nil"/>
            </w:tcBorders>
            <w:vAlign w:val="center"/>
          </w:tcPr>
          <w:p w14:paraId="157EF25B"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Partial</w:t>
            </w:r>
          </w:p>
        </w:tc>
      </w:tr>
      <w:tr w:rsidR="001A78F4" w14:paraId="161FD358" w14:textId="77777777">
        <w:trPr>
          <w:trHeight w:val="450"/>
        </w:trPr>
        <w:tc>
          <w:tcPr>
            <w:tcW w:w="1616" w:type="dxa"/>
            <w:tcBorders>
              <w:top w:val="nil"/>
              <w:left w:val="nil"/>
              <w:bottom w:val="single" w:sz="8" w:space="0" w:color="000000"/>
              <w:right w:val="nil"/>
            </w:tcBorders>
            <w:vAlign w:val="center"/>
          </w:tcPr>
          <w:p w14:paraId="059884C1"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Ali et al., 2022</w:t>
            </w:r>
          </w:p>
        </w:tc>
        <w:tc>
          <w:tcPr>
            <w:tcW w:w="1617" w:type="dxa"/>
            <w:tcBorders>
              <w:top w:val="nil"/>
              <w:left w:val="nil"/>
              <w:bottom w:val="single" w:sz="8" w:space="0" w:color="000000"/>
              <w:right w:val="nil"/>
            </w:tcBorders>
            <w:vAlign w:val="center"/>
          </w:tcPr>
          <w:p w14:paraId="47298BF2"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SQ, Trust, SAT, RI</w:t>
            </w:r>
          </w:p>
        </w:tc>
        <w:tc>
          <w:tcPr>
            <w:tcW w:w="1617" w:type="dxa"/>
            <w:tcBorders>
              <w:top w:val="nil"/>
              <w:left w:val="nil"/>
              <w:bottom w:val="single" w:sz="8" w:space="0" w:color="000000"/>
              <w:right w:val="nil"/>
            </w:tcBorders>
            <w:vAlign w:val="center"/>
          </w:tcPr>
          <w:p w14:paraId="1FEAA6B9" w14:textId="77777777" w:rsidR="001A78F4" w:rsidRDefault="00000000">
            <w:pPr>
              <w:spacing w:after="0" w:line="240" w:lineRule="auto"/>
              <w:jc w:val="both"/>
              <w:rPr>
                <w:rFonts w:ascii="Times New Roman" w:eastAsia="Times New Roman" w:hAnsi="Times New Roman" w:cs="Times New Roman"/>
                <w:color w:val="000000"/>
                <w:sz w:val="20"/>
                <w:szCs w:val="20"/>
              </w:rPr>
            </w:pPr>
            <w:sdt>
              <w:sdtPr>
                <w:tag w:val="goog_rdk_43"/>
                <w:id w:val="572154826"/>
              </w:sdtPr>
              <w:sdtContent>
                <w:r>
                  <w:rPr>
                    <w:rFonts w:ascii="Cardo" w:eastAsia="Cardo" w:hAnsi="Cardo" w:cs="Cardo"/>
                    <w:color w:val="000000"/>
                    <w:sz w:val="20"/>
                    <w:szCs w:val="20"/>
                  </w:rPr>
                  <w:t>SQ → SAT → RI</w:t>
                </w:r>
              </w:sdtContent>
            </w:sdt>
          </w:p>
        </w:tc>
        <w:tc>
          <w:tcPr>
            <w:tcW w:w="1616" w:type="dxa"/>
            <w:tcBorders>
              <w:top w:val="nil"/>
              <w:left w:val="nil"/>
              <w:bottom w:val="single" w:sz="8" w:space="0" w:color="000000"/>
              <w:right w:val="nil"/>
            </w:tcBorders>
            <w:vAlign w:val="center"/>
          </w:tcPr>
          <w:p w14:paraId="080AB897"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0.25–0.50</w:t>
            </w:r>
          </w:p>
        </w:tc>
        <w:tc>
          <w:tcPr>
            <w:tcW w:w="1617" w:type="dxa"/>
            <w:tcBorders>
              <w:top w:val="nil"/>
              <w:left w:val="nil"/>
              <w:bottom w:val="single" w:sz="8" w:space="0" w:color="000000"/>
              <w:right w:val="nil"/>
            </w:tcBorders>
            <w:vAlign w:val="center"/>
          </w:tcPr>
          <w:p w14:paraId="1E5820DF"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Satisfaction</w:t>
            </w:r>
          </w:p>
        </w:tc>
        <w:tc>
          <w:tcPr>
            <w:tcW w:w="1617" w:type="dxa"/>
            <w:tcBorders>
              <w:top w:val="nil"/>
              <w:left w:val="nil"/>
              <w:bottom w:val="single" w:sz="8" w:space="0" w:color="000000"/>
              <w:right w:val="nil"/>
            </w:tcBorders>
            <w:vAlign w:val="center"/>
          </w:tcPr>
          <w:p w14:paraId="35F1BE57"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Partial</w:t>
            </w:r>
          </w:p>
        </w:tc>
      </w:tr>
      <w:tr w:rsidR="001A78F4" w14:paraId="7F8B1D62" w14:textId="77777777">
        <w:trPr>
          <w:trHeight w:val="450"/>
        </w:trPr>
        <w:tc>
          <w:tcPr>
            <w:tcW w:w="1616" w:type="dxa"/>
            <w:tcBorders>
              <w:top w:val="nil"/>
              <w:left w:val="nil"/>
              <w:bottom w:val="single" w:sz="8" w:space="0" w:color="000000"/>
              <w:right w:val="nil"/>
            </w:tcBorders>
            <w:vAlign w:val="center"/>
          </w:tcPr>
          <w:p w14:paraId="5DFB923C"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Kim et al., 2021</w:t>
            </w:r>
          </w:p>
        </w:tc>
        <w:tc>
          <w:tcPr>
            <w:tcW w:w="1617" w:type="dxa"/>
            <w:tcBorders>
              <w:top w:val="nil"/>
              <w:left w:val="nil"/>
              <w:bottom w:val="single" w:sz="8" w:space="0" w:color="000000"/>
              <w:right w:val="nil"/>
            </w:tcBorders>
            <w:vAlign w:val="center"/>
          </w:tcPr>
          <w:p w14:paraId="1725FBA4"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SQ, BI, SAT, RI</w:t>
            </w:r>
          </w:p>
        </w:tc>
        <w:tc>
          <w:tcPr>
            <w:tcW w:w="1617" w:type="dxa"/>
            <w:tcBorders>
              <w:top w:val="nil"/>
              <w:left w:val="nil"/>
              <w:bottom w:val="single" w:sz="8" w:space="0" w:color="000000"/>
              <w:right w:val="nil"/>
            </w:tcBorders>
            <w:vAlign w:val="center"/>
          </w:tcPr>
          <w:p w14:paraId="27336F03" w14:textId="77777777" w:rsidR="001A78F4" w:rsidRDefault="00000000">
            <w:pPr>
              <w:spacing w:after="0" w:line="240" w:lineRule="auto"/>
              <w:jc w:val="both"/>
              <w:rPr>
                <w:rFonts w:ascii="Times New Roman" w:eastAsia="Times New Roman" w:hAnsi="Times New Roman" w:cs="Times New Roman"/>
                <w:color w:val="000000"/>
                <w:sz w:val="20"/>
                <w:szCs w:val="20"/>
              </w:rPr>
            </w:pPr>
            <w:sdt>
              <w:sdtPr>
                <w:tag w:val="goog_rdk_44"/>
                <w:id w:val="-1322954307"/>
              </w:sdtPr>
              <w:sdtContent>
                <w:r>
                  <w:rPr>
                    <w:rFonts w:ascii="Cardo" w:eastAsia="Cardo" w:hAnsi="Cardo" w:cs="Cardo"/>
                    <w:color w:val="000000"/>
                    <w:sz w:val="20"/>
                    <w:szCs w:val="20"/>
                  </w:rPr>
                  <w:t>BI → SAT → RI</w:t>
                </w:r>
              </w:sdtContent>
            </w:sdt>
          </w:p>
        </w:tc>
        <w:tc>
          <w:tcPr>
            <w:tcW w:w="1616" w:type="dxa"/>
            <w:tcBorders>
              <w:top w:val="nil"/>
              <w:left w:val="nil"/>
              <w:bottom w:val="single" w:sz="8" w:space="0" w:color="000000"/>
              <w:right w:val="nil"/>
            </w:tcBorders>
            <w:vAlign w:val="center"/>
          </w:tcPr>
          <w:p w14:paraId="7B3694E9"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0.18–0.40</w:t>
            </w:r>
          </w:p>
        </w:tc>
        <w:tc>
          <w:tcPr>
            <w:tcW w:w="1617" w:type="dxa"/>
            <w:tcBorders>
              <w:top w:val="nil"/>
              <w:left w:val="nil"/>
              <w:bottom w:val="single" w:sz="8" w:space="0" w:color="000000"/>
              <w:right w:val="nil"/>
            </w:tcBorders>
            <w:vAlign w:val="center"/>
          </w:tcPr>
          <w:p w14:paraId="77FBB224"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Satisfaction</w:t>
            </w:r>
          </w:p>
        </w:tc>
        <w:tc>
          <w:tcPr>
            <w:tcW w:w="1617" w:type="dxa"/>
            <w:tcBorders>
              <w:top w:val="nil"/>
              <w:left w:val="nil"/>
              <w:bottom w:val="single" w:sz="8" w:space="0" w:color="000000"/>
              <w:right w:val="nil"/>
            </w:tcBorders>
            <w:vAlign w:val="center"/>
          </w:tcPr>
          <w:p w14:paraId="0DEE06E4"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Full / Partial</w:t>
            </w:r>
          </w:p>
        </w:tc>
      </w:tr>
      <w:tr w:rsidR="001A78F4" w14:paraId="48E6CA16" w14:textId="77777777">
        <w:trPr>
          <w:trHeight w:val="450"/>
        </w:trPr>
        <w:tc>
          <w:tcPr>
            <w:tcW w:w="1616" w:type="dxa"/>
            <w:tcBorders>
              <w:top w:val="nil"/>
              <w:left w:val="nil"/>
              <w:bottom w:val="single" w:sz="8" w:space="0" w:color="000000"/>
              <w:right w:val="nil"/>
            </w:tcBorders>
            <w:vAlign w:val="center"/>
          </w:tcPr>
          <w:p w14:paraId="16F34086"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Zhou et al., 2022</w:t>
            </w:r>
          </w:p>
        </w:tc>
        <w:tc>
          <w:tcPr>
            <w:tcW w:w="1617" w:type="dxa"/>
            <w:tcBorders>
              <w:top w:val="nil"/>
              <w:left w:val="nil"/>
              <w:bottom w:val="single" w:sz="8" w:space="0" w:color="000000"/>
              <w:right w:val="nil"/>
            </w:tcBorders>
            <w:vAlign w:val="center"/>
          </w:tcPr>
          <w:p w14:paraId="0CFF1B57"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SAT, WOM, RI</w:t>
            </w:r>
          </w:p>
        </w:tc>
        <w:tc>
          <w:tcPr>
            <w:tcW w:w="1617" w:type="dxa"/>
            <w:tcBorders>
              <w:top w:val="nil"/>
              <w:left w:val="nil"/>
              <w:bottom w:val="single" w:sz="8" w:space="0" w:color="000000"/>
              <w:right w:val="nil"/>
            </w:tcBorders>
            <w:vAlign w:val="center"/>
          </w:tcPr>
          <w:p w14:paraId="31C89719" w14:textId="77777777" w:rsidR="001A78F4" w:rsidRDefault="00000000">
            <w:pPr>
              <w:spacing w:after="0" w:line="240" w:lineRule="auto"/>
              <w:jc w:val="both"/>
              <w:rPr>
                <w:rFonts w:ascii="Times New Roman" w:eastAsia="Times New Roman" w:hAnsi="Times New Roman" w:cs="Times New Roman"/>
                <w:color w:val="000000"/>
                <w:sz w:val="20"/>
                <w:szCs w:val="20"/>
              </w:rPr>
            </w:pPr>
            <w:sdt>
              <w:sdtPr>
                <w:tag w:val="goog_rdk_45"/>
                <w:id w:val="2114652010"/>
              </w:sdtPr>
              <w:sdtContent>
                <w:r>
                  <w:rPr>
                    <w:rFonts w:ascii="Cardo" w:eastAsia="Cardo" w:hAnsi="Cardo" w:cs="Cardo"/>
                    <w:color w:val="000000"/>
                    <w:sz w:val="20"/>
                    <w:szCs w:val="20"/>
                  </w:rPr>
                  <w:t>SAT → WOM → RI</w:t>
                </w:r>
              </w:sdtContent>
            </w:sdt>
          </w:p>
        </w:tc>
        <w:tc>
          <w:tcPr>
            <w:tcW w:w="1616" w:type="dxa"/>
            <w:tcBorders>
              <w:top w:val="nil"/>
              <w:left w:val="nil"/>
              <w:bottom w:val="single" w:sz="8" w:space="0" w:color="000000"/>
              <w:right w:val="nil"/>
            </w:tcBorders>
            <w:vAlign w:val="center"/>
          </w:tcPr>
          <w:p w14:paraId="77596049"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0.15–0.35</w:t>
            </w:r>
          </w:p>
        </w:tc>
        <w:tc>
          <w:tcPr>
            <w:tcW w:w="1617" w:type="dxa"/>
            <w:tcBorders>
              <w:top w:val="nil"/>
              <w:left w:val="nil"/>
              <w:bottom w:val="single" w:sz="8" w:space="0" w:color="000000"/>
              <w:right w:val="nil"/>
            </w:tcBorders>
            <w:vAlign w:val="center"/>
          </w:tcPr>
          <w:p w14:paraId="3ACFD84A"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WOM</w:t>
            </w:r>
          </w:p>
        </w:tc>
        <w:tc>
          <w:tcPr>
            <w:tcW w:w="1617" w:type="dxa"/>
            <w:tcBorders>
              <w:top w:val="nil"/>
              <w:left w:val="nil"/>
              <w:bottom w:val="single" w:sz="8" w:space="0" w:color="000000"/>
              <w:right w:val="nil"/>
            </w:tcBorders>
            <w:vAlign w:val="center"/>
          </w:tcPr>
          <w:p w14:paraId="52A96DD1"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Partial</w:t>
            </w:r>
          </w:p>
        </w:tc>
      </w:tr>
      <w:tr w:rsidR="001A78F4" w14:paraId="22EFC307" w14:textId="77777777">
        <w:trPr>
          <w:trHeight w:val="450"/>
        </w:trPr>
        <w:tc>
          <w:tcPr>
            <w:tcW w:w="1616" w:type="dxa"/>
            <w:tcBorders>
              <w:top w:val="nil"/>
              <w:left w:val="nil"/>
              <w:bottom w:val="single" w:sz="8" w:space="0" w:color="000000"/>
              <w:right w:val="nil"/>
            </w:tcBorders>
            <w:vAlign w:val="center"/>
          </w:tcPr>
          <w:p w14:paraId="58E37BB1"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Aza</w:t>
            </w:r>
            <w:r>
              <w:rPr>
                <w:rFonts w:ascii="Times New Roman" w:eastAsia="Times New Roman" w:hAnsi="Times New Roman" w:cs="Times New Roman"/>
                <w:color w:val="000000"/>
                <w:sz w:val="20"/>
                <w:szCs w:val="20"/>
              </w:rPr>
              <w:t>m</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et al., 2023</w:t>
            </w:r>
          </w:p>
        </w:tc>
        <w:tc>
          <w:tcPr>
            <w:tcW w:w="1617" w:type="dxa"/>
            <w:tcBorders>
              <w:top w:val="nil"/>
              <w:left w:val="nil"/>
              <w:bottom w:val="single" w:sz="8" w:space="0" w:color="000000"/>
              <w:right w:val="nil"/>
            </w:tcBorders>
            <w:vAlign w:val="center"/>
          </w:tcPr>
          <w:p w14:paraId="2A0D1D01"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Tech, Trust, SAT, RI</w:t>
            </w:r>
          </w:p>
        </w:tc>
        <w:tc>
          <w:tcPr>
            <w:tcW w:w="1617" w:type="dxa"/>
            <w:tcBorders>
              <w:top w:val="nil"/>
              <w:left w:val="nil"/>
              <w:bottom w:val="single" w:sz="8" w:space="0" w:color="000000"/>
              <w:right w:val="nil"/>
            </w:tcBorders>
            <w:vAlign w:val="center"/>
          </w:tcPr>
          <w:p w14:paraId="541E71D3" w14:textId="77777777" w:rsidR="001A78F4" w:rsidRDefault="00000000">
            <w:pPr>
              <w:spacing w:after="0" w:line="240" w:lineRule="auto"/>
              <w:jc w:val="both"/>
              <w:rPr>
                <w:rFonts w:ascii="Times New Roman" w:eastAsia="Times New Roman" w:hAnsi="Times New Roman" w:cs="Times New Roman"/>
                <w:color w:val="000000"/>
                <w:sz w:val="20"/>
                <w:szCs w:val="20"/>
              </w:rPr>
            </w:pPr>
            <w:sdt>
              <w:sdtPr>
                <w:tag w:val="goog_rdk_46"/>
                <w:id w:val="-735550817"/>
              </w:sdtPr>
              <w:sdtContent>
                <w:r>
                  <w:rPr>
                    <w:rFonts w:ascii="Cardo" w:eastAsia="Cardo" w:hAnsi="Cardo" w:cs="Cardo"/>
                    <w:color w:val="000000"/>
                    <w:sz w:val="20"/>
                    <w:szCs w:val="20"/>
                  </w:rPr>
                  <w:t>Trust → SAT → RI</w:t>
                </w:r>
              </w:sdtContent>
            </w:sdt>
          </w:p>
        </w:tc>
        <w:tc>
          <w:tcPr>
            <w:tcW w:w="1616" w:type="dxa"/>
            <w:tcBorders>
              <w:top w:val="nil"/>
              <w:left w:val="nil"/>
              <w:bottom w:val="single" w:sz="8" w:space="0" w:color="000000"/>
              <w:right w:val="nil"/>
            </w:tcBorders>
            <w:vAlign w:val="center"/>
          </w:tcPr>
          <w:p w14:paraId="2F0189EA"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0.20–0.38</w:t>
            </w:r>
          </w:p>
        </w:tc>
        <w:tc>
          <w:tcPr>
            <w:tcW w:w="1617" w:type="dxa"/>
            <w:tcBorders>
              <w:top w:val="nil"/>
              <w:left w:val="nil"/>
              <w:bottom w:val="single" w:sz="8" w:space="0" w:color="000000"/>
              <w:right w:val="nil"/>
            </w:tcBorders>
            <w:vAlign w:val="center"/>
          </w:tcPr>
          <w:p w14:paraId="69149CD0"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Satisfaction</w:t>
            </w:r>
          </w:p>
        </w:tc>
        <w:tc>
          <w:tcPr>
            <w:tcW w:w="1617" w:type="dxa"/>
            <w:tcBorders>
              <w:top w:val="nil"/>
              <w:left w:val="nil"/>
              <w:bottom w:val="single" w:sz="8" w:space="0" w:color="000000"/>
              <w:right w:val="nil"/>
            </w:tcBorders>
            <w:vAlign w:val="center"/>
          </w:tcPr>
          <w:p w14:paraId="56D0CA5A"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Indirect effect</w:t>
            </w:r>
          </w:p>
        </w:tc>
      </w:tr>
      <w:tr w:rsidR="001A78F4" w14:paraId="739F28E0" w14:textId="77777777">
        <w:trPr>
          <w:trHeight w:val="450"/>
        </w:trPr>
        <w:tc>
          <w:tcPr>
            <w:tcW w:w="1616" w:type="dxa"/>
            <w:tcBorders>
              <w:top w:val="nil"/>
              <w:left w:val="nil"/>
              <w:bottom w:val="single" w:sz="8" w:space="0" w:color="000000"/>
              <w:right w:val="nil"/>
            </w:tcBorders>
            <w:vAlign w:val="center"/>
          </w:tcPr>
          <w:p w14:paraId="63199F55"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Tian et al., 2024</w:t>
            </w:r>
          </w:p>
        </w:tc>
        <w:tc>
          <w:tcPr>
            <w:tcW w:w="1617" w:type="dxa"/>
            <w:tcBorders>
              <w:top w:val="nil"/>
              <w:left w:val="nil"/>
              <w:bottom w:val="single" w:sz="8" w:space="0" w:color="000000"/>
              <w:right w:val="nil"/>
            </w:tcBorders>
            <w:vAlign w:val="center"/>
          </w:tcPr>
          <w:p w14:paraId="69027E22"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SQ, Facility, SAT, RI</w:t>
            </w:r>
          </w:p>
        </w:tc>
        <w:tc>
          <w:tcPr>
            <w:tcW w:w="1617" w:type="dxa"/>
            <w:tcBorders>
              <w:top w:val="nil"/>
              <w:left w:val="nil"/>
              <w:bottom w:val="single" w:sz="8" w:space="0" w:color="000000"/>
              <w:right w:val="nil"/>
            </w:tcBorders>
            <w:vAlign w:val="center"/>
          </w:tcPr>
          <w:p w14:paraId="1FADBAAA" w14:textId="77777777" w:rsidR="001A78F4" w:rsidRDefault="00000000">
            <w:pPr>
              <w:spacing w:after="0" w:line="240" w:lineRule="auto"/>
              <w:jc w:val="both"/>
              <w:rPr>
                <w:rFonts w:ascii="Times New Roman" w:eastAsia="Times New Roman" w:hAnsi="Times New Roman" w:cs="Times New Roman"/>
                <w:color w:val="000000"/>
                <w:sz w:val="20"/>
                <w:szCs w:val="20"/>
              </w:rPr>
            </w:pPr>
            <w:sdt>
              <w:sdtPr>
                <w:tag w:val="goog_rdk_47"/>
                <w:id w:val="-1758660502"/>
              </w:sdtPr>
              <w:sdtContent>
                <w:r>
                  <w:rPr>
                    <w:rFonts w:ascii="Cardo" w:eastAsia="Cardo" w:hAnsi="Cardo" w:cs="Cardo"/>
                    <w:color w:val="000000"/>
                    <w:sz w:val="20"/>
                    <w:szCs w:val="20"/>
                  </w:rPr>
                  <w:t>SQ → SAT → RI</w:t>
                </w:r>
              </w:sdtContent>
            </w:sdt>
          </w:p>
        </w:tc>
        <w:tc>
          <w:tcPr>
            <w:tcW w:w="1616" w:type="dxa"/>
            <w:tcBorders>
              <w:top w:val="nil"/>
              <w:left w:val="nil"/>
              <w:bottom w:val="single" w:sz="8" w:space="0" w:color="000000"/>
              <w:right w:val="nil"/>
            </w:tcBorders>
            <w:vAlign w:val="center"/>
          </w:tcPr>
          <w:p w14:paraId="66DEDD34"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0.30–0.55</w:t>
            </w:r>
          </w:p>
        </w:tc>
        <w:tc>
          <w:tcPr>
            <w:tcW w:w="1617" w:type="dxa"/>
            <w:tcBorders>
              <w:top w:val="nil"/>
              <w:left w:val="nil"/>
              <w:bottom w:val="single" w:sz="8" w:space="0" w:color="000000"/>
              <w:right w:val="nil"/>
            </w:tcBorders>
            <w:vAlign w:val="center"/>
          </w:tcPr>
          <w:p w14:paraId="0ED8FEBE"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Satisfaction</w:t>
            </w:r>
          </w:p>
        </w:tc>
        <w:tc>
          <w:tcPr>
            <w:tcW w:w="1617" w:type="dxa"/>
            <w:tcBorders>
              <w:top w:val="nil"/>
              <w:left w:val="nil"/>
              <w:bottom w:val="single" w:sz="8" w:space="0" w:color="000000"/>
              <w:right w:val="nil"/>
            </w:tcBorders>
            <w:vAlign w:val="center"/>
          </w:tcPr>
          <w:p w14:paraId="35B17340"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Partial</w:t>
            </w:r>
          </w:p>
        </w:tc>
      </w:tr>
      <w:tr w:rsidR="001A78F4" w14:paraId="75C703CE" w14:textId="77777777">
        <w:trPr>
          <w:trHeight w:val="450"/>
        </w:trPr>
        <w:tc>
          <w:tcPr>
            <w:tcW w:w="1616" w:type="dxa"/>
            <w:tcBorders>
              <w:top w:val="nil"/>
              <w:left w:val="nil"/>
              <w:bottom w:val="single" w:sz="8" w:space="0" w:color="000000"/>
              <w:right w:val="nil"/>
            </w:tcBorders>
            <w:vAlign w:val="center"/>
          </w:tcPr>
          <w:p w14:paraId="3BF01648"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Present Study</w:t>
            </w:r>
          </w:p>
        </w:tc>
        <w:tc>
          <w:tcPr>
            <w:tcW w:w="1617" w:type="dxa"/>
            <w:tcBorders>
              <w:top w:val="nil"/>
              <w:left w:val="nil"/>
              <w:bottom w:val="single" w:sz="8" w:space="0" w:color="000000"/>
              <w:right w:val="nil"/>
            </w:tcBorders>
            <w:vAlign w:val="center"/>
          </w:tcPr>
          <w:p w14:paraId="04939A35"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PSQ, Trust, BI, SAT, WOM, RI</w:t>
            </w:r>
          </w:p>
        </w:tc>
        <w:tc>
          <w:tcPr>
            <w:tcW w:w="1617" w:type="dxa"/>
            <w:tcBorders>
              <w:top w:val="nil"/>
              <w:left w:val="nil"/>
              <w:bottom w:val="single" w:sz="8" w:space="0" w:color="000000"/>
              <w:right w:val="nil"/>
            </w:tcBorders>
            <w:vAlign w:val="center"/>
          </w:tcPr>
          <w:p w14:paraId="2D8F92C3"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All paths significant</w:t>
            </w:r>
          </w:p>
        </w:tc>
        <w:tc>
          <w:tcPr>
            <w:tcW w:w="1616" w:type="dxa"/>
            <w:tcBorders>
              <w:top w:val="nil"/>
              <w:left w:val="nil"/>
              <w:bottom w:val="single" w:sz="8" w:space="0" w:color="000000"/>
              <w:right w:val="nil"/>
            </w:tcBorders>
            <w:vAlign w:val="center"/>
          </w:tcPr>
          <w:p w14:paraId="77FDFC75"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0.109–0.347</w:t>
            </w:r>
          </w:p>
        </w:tc>
        <w:tc>
          <w:tcPr>
            <w:tcW w:w="1617" w:type="dxa"/>
            <w:tcBorders>
              <w:top w:val="nil"/>
              <w:left w:val="nil"/>
              <w:bottom w:val="single" w:sz="8" w:space="0" w:color="000000"/>
              <w:right w:val="nil"/>
            </w:tcBorders>
            <w:vAlign w:val="center"/>
          </w:tcPr>
          <w:p w14:paraId="65CB087E"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SAT, WOM</w:t>
            </w:r>
          </w:p>
        </w:tc>
        <w:tc>
          <w:tcPr>
            <w:tcW w:w="1617" w:type="dxa"/>
            <w:tcBorders>
              <w:top w:val="nil"/>
              <w:left w:val="nil"/>
              <w:bottom w:val="single" w:sz="8" w:space="0" w:color="000000"/>
              <w:right w:val="nil"/>
            </w:tcBorders>
            <w:vAlign w:val="center"/>
          </w:tcPr>
          <w:p w14:paraId="3911AA82" w14:textId="77777777" w:rsidR="001A78F4"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Sequential mediation</w:t>
            </w:r>
          </w:p>
        </w:tc>
      </w:tr>
    </w:tbl>
    <w:p w14:paraId="6EE9FA15" w14:textId="77777777" w:rsidR="001A78F4" w:rsidRDefault="001A78F4"/>
    <w:p w14:paraId="212BE866" w14:textId="77777777" w:rsidR="001A78F4"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 Implications </w:t>
      </w:r>
    </w:p>
    <w:p w14:paraId="2C7F52C5" w14:textId="77777777" w:rsidR="001A78F4"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6.1 Practical implications </w:t>
      </w:r>
    </w:p>
    <w:p w14:paraId="2B970E82" w14:textId="77777777"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study’s findings provide a significant contribution to managerial practice by offering several actionable insights for hospital administrators and have the potential to impact marketing strategies. These findings suggest that high quality of service can reduce patient dissatisfaction, stress, and anxiety, especially for vulnerable and elderly patients, who need frequent hospital visits. Hospitals should provide a comfortable ambience, quick response, speedy service, and personalised, multisensory environments, which can create a psychological attachment to the hospital, enhancing feelings of satisfaction and found to impact revisit behaviour (Islam et al., 2024). Secondly, effective HR management is crucial for private hospitals in addressing staff and doctor shortage that contributes to expensive waiting time, particularly OPD departments where maximum elderly and chronic patients frequently visit for their check-up. Thirdly, higher patient retention can help reduce marketing and acquisition costs, support more stable service utilisation, and positive word-of-mouth. By investing in patient-focused improvements, hospitals may strengthen patient relationship bonding. Additionally, continuous feedback mechanism surveys can serve to monitor service gaps, identify customer requirements and support continuous quality improvement, which leads to enhancing patient trust and consistency in brand image. Fourthly, from an economic perspective, patient revisit intention and positive WOM are cost-effective promotional tools that also help in financial growth and for that, hospital management should provide patient-centred treatment, value their opinion and encourage them to revisit the hospital by a good communication strategy. Administration can arrange a training programme for staff to enrich their communication and coordination skills, which support more stable service utilisation and strengthen patient relationship bonding, particularly in Indian private hospitals where patient diversity is substantial. Lastly, as patients increasingly update themselves about hospital service and brand image through social media, hospitals should monitor social media and manage online reviews to gain knowledge about patients’ perceptions.</w:t>
      </w:r>
    </w:p>
    <w:p w14:paraId="5D145AE1" w14:textId="77777777" w:rsidR="001A78F4" w:rsidRDefault="001A78F4">
      <w:pPr>
        <w:spacing w:line="360" w:lineRule="auto"/>
        <w:jc w:val="both"/>
        <w:rPr>
          <w:rFonts w:ascii="Times New Roman" w:eastAsia="Times New Roman" w:hAnsi="Times New Roman" w:cs="Times New Roman"/>
          <w:sz w:val="24"/>
          <w:szCs w:val="24"/>
        </w:rPr>
      </w:pPr>
    </w:p>
    <w:p w14:paraId="70EF58C8" w14:textId="77777777" w:rsidR="001A78F4"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 Theoretical implications</w:t>
      </w:r>
    </w:p>
    <w:p w14:paraId="292DD1D7" w14:textId="02FBCCD2"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Private hospitals should focus on improving both clinical and nonclinical services, including skilled staff, empathetic patient care and clarity on communication. In India, where cultural and language barriers exist, private hospitals should adopt a CRM (Customer Relationship Management) system to track patient choices, service preferences and enable more </w:t>
      </w:r>
      <w:r>
        <w:rPr>
          <w:rFonts w:ascii="Times New Roman" w:eastAsia="Times New Roman" w:hAnsi="Times New Roman" w:cs="Times New Roman"/>
          <w:sz w:val="24"/>
          <w:szCs w:val="24"/>
        </w:rPr>
        <w:lastRenderedPageBreak/>
        <w:t xml:space="preserve">personalised service to build long-term relationships. After the post-COVID period, as patients are more aware of safety and hygiene, a flexible hybrid model service can enhance patient satisfaction and retain patients for the long. Additionally, treatment decisions are commonly made with the involvement of family members rather than by patients alone (Rasheed and Rasheed, 2024). Similarly, WOM plays as an influencing component for new patients during the time of selecting </w:t>
      </w:r>
      <w:r w:rsidR="002F4CFC">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hospital in initial treatment, where experiential and relational factors dominate in decision making (Martin,2017)</w:t>
      </w:r>
      <w:r w:rsidR="002F4CFC">
        <w:rPr>
          <w:rFonts w:ascii="Times New Roman" w:eastAsia="Times New Roman" w:hAnsi="Times New Roman" w:cs="Times New Roman"/>
          <w:sz w:val="24"/>
          <w:szCs w:val="24"/>
        </w:rPr>
        <w:t>. Therefore</w:t>
      </w:r>
      <w:r>
        <w:rPr>
          <w:rFonts w:ascii="Times New Roman" w:eastAsia="Times New Roman" w:hAnsi="Times New Roman" w:cs="Times New Roman"/>
          <w:sz w:val="24"/>
          <w:szCs w:val="24"/>
        </w:rPr>
        <w:t xml:space="preserve">, </w:t>
      </w:r>
      <w:r w:rsidR="002F4CFC">
        <w:rPr>
          <w:rFonts w:ascii="Times New Roman" w:eastAsia="Times New Roman" w:hAnsi="Times New Roman" w:cs="Times New Roman"/>
          <w:sz w:val="24"/>
          <w:szCs w:val="24"/>
        </w:rPr>
        <w:t>hospitals</w:t>
      </w:r>
      <w:r>
        <w:rPr>
          <w:rFonts w:ascii="Times New Roman" w:eastAsia="Times New Roman" w:hAnsi="Times New Roman" w:cs="Times New Roman"/>
          <w:sz w:val="24"/>
          <w:szCs w:val="24"/>
        </w:rPr>
        <w:t xml:space="preserve"> should use </w:t>
      </w:r>
      <w:r w:rsidR="002F4CFC">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suitable strategy to satisfy their patients, which can turn into positive WOM and attract new patients to secure their position as well as financial sustainability in today’s competitive market. The strong link between patient satisfaction, WOM, and revisit intention underscores the need for strategic planning by prioritising the overall care journey in this competitive Indian private healthcare context.</w:t>
      </w:r>
    </w:p>
    <w:p w14:paraId="5DD7EF35" w14:textId="77777777" w:rsidR="001A78F4"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Future Research Scopes</w:t>
      </w:r>
    </w:p>
    <w:p w14:paraId="4000B6BF" w14:textId="7E464EE0" w:rsidR="001A78F4" w:rsidRDefault="00000000" w:rsidP="00161C9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limitations have been identified in </w:t>
      </w:r>
      <w:r w:rsidR="002F4CF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present study that </w:t>
      </w:r>
      <w:r w:rsidR="002F4CFC">
        <w:rPr>
          <w:rFonts w:ascii="Times New Roman" w:eastAsia="Times New Roman" w:hAnsi="Times New Roman" w:cs="Times New Roman"/>
          <w:sz w:val="24"/>
          <w:szCs w:val="24"/>
        </w:rPr>
        <w:t>require further investigation</w:t>
      </w:r>
      <w:r>
        <w:rPr>
          <w:rFonts w:ascii="Times New Roman" w:eastAsia="Times New Roman" w:hAnsi="Times New Roman" w:cs="Times New Roman"/>
          <w:sz w:val="24"/>
          <w:szCs w:val="24"/>
        </w:rPr>
        <w:t xml:space="preserve"> for future research. It is recommended that future studies be conducted longitudinally to assess the changes in perceptions and revisit intention over time. Some respondents are unable to read the full questionnaire because of a language barrier; they were excluded, which may limit the respondents of sample. Self-administered questions may restrict the full expression of patients’ perception. Additionally, this study is </w:t>
      </w:r>
      <w:r w:rsidR="00161C96">
        <w:rPr>
          <w:rFonts w:ascii="Times New Roman" w:eastAsia="Times New Roman" w:hAnsi="Times New Roman" w:cs="Times New Roman"/>
          <w:sz w:val="24"/>
          <w:szCs w:val="24"/>
        </w:rPr>
        <w:t>focused on</w:t>
      </w:r>
      <w:r>
        <w:rPr>
          <w:rFonts w:ascii="Times New Roman" w:eastAsia="Times New Roman" w:hAnsi="Times New Roman" w:cs="Times New Roman"/>
          <w:sz w:val="24"/>
          <w:szCs w:val="24"/>
        </w:rPr>
        <w:t xml:space="preserve"> private hospitals across India, where the perception of demographic diversity across different regions can be different for their revisit intention. Future researchers </w:t>
      </w:r>
      <w:r w:rsidR="00161C96">
        <w:rPr>
          <w:rFonts w:ascii="Times New Roman" w:eastAsia="Times New Roman" w:hAnsi="Times New Roman" w:cs="Times New Roman"/>
          <w:sz w:val="24"/>
          <w:szCs w:val="24"/>
        </w:rPr>
        <w:t>can adopt</w:t>
      </w:r>
      <w:r>
        <w:rPr>
          <w:rFonts w:ascii="Times New Roman" w:eastAsia="Times New Roman" w:hAnsi="Times New Roman" w:cs="Times New Roman"/>
          <w:sz w:val="24"/>
          <w:szCs w:val="24"/>
        </w:rPr>
        <w:t xml:space="preserve"> a mixed-method approach to find out deeper insights into patients’ revisit intention, and also could </w:t>
      </w:r>
      <w:r w:rsidR="00161C96">
        <w:rPr>
          <w:rFonts w:ascii="Times New Roman" w:eastAsia="Times New Roman" w:hAnsi="Times New Roman" w:cs="Times New Roman"/>
          <w:sz w:val="24"/>
          <w:szCs w:val="24"/>
        </w:rPr>
        <w:t xml:space="preserve">examine </w:t>
      </w:r>
      <w:r>
        <w:rPr>
          <w:rFonts w:ascii="Times New Roman" w:eastAsia="Times New Roman" w:hAnsi="Times New Roman" w:cs="Times New Roman"/>
          <w:sz w:val="24"/>
          <w:szCs w:val="24"/>
        </w:rPr>
        <w:t xml:space="preserve">whether gender, age, or type of hospital </w:t>
      </w:r>
      <w:r w:rsidR="00161C96">
        <w:rPr>
          <w:rFonts w:ascii="Times New Roman" w:eastAsia="Times New Roman" w:hAnsi="Times New Roman" w:cs="Times New Roman"/>
          <w:sz w:val="24"/>
          <w:szCs w:val="24"/>
        </w:rPr>
        <w:t xml:space="preserve">visit </w:t>
      </w:r>
      <w:r w:rsidR="002F4CFC">
        <w:rPr>
          <w:rFonts w:ascii="Times New Roman" w:eastAsia="Times New Roman" w:hAnsi="Times New Roman" w:cs="Times New Roman"/>
          <w:sz w:val="24"/>
          <w:szCs w:val="24"/>
        </w:rPr>
        <w:t>is</w:t>
      </w:r>
      <w:r w:rsidR="00161C96">
        <w:rPr>
          <w:rFonts w:ascii="Times New Roman" w:eastAsia="Times New Roman" w:hAnsi="Times New Roman" w:cs="Times New Roman"/>
          <w:sz w:val="24"/>
          <w:szCs w:val="24"/>
        </w:rPr>
        <w:t xml:space="preserve"> a </w:t>
      </w:r>
      <w:r w:rsidR="002F4CFC">
        <w:rPr>
          <w:rFonts w:ascii="Times New Roman" w:eastAsia="Times New Roman" w:hAnsi="Times New Roman" w:cs="Times New Roman"/>
          <w:sz w:val="24"/>
          <w:szCs w:val="24"/>
        </w:rPr>
        <w:t>moderating</w:t>
      </w:r>
      <w:r w:rsidR="00161C96">
        <w:rPr>
          <w:rFonts w:ascii="Times New Roman" w:eastAsia="Times New Roman" w:hAnsi="Times New Roman" w:cs="Times New Roman"/>
          <w:sz w:val="24"/>
          <w:szCs w:val="24"/>
        </w:rPr>
        <w:t xml:space="preserve"> variable</w:t>
      </w:r>
      <w:r>
        <w:rPr>
          <w:rFonts w:ascii="Times New Roman" w:eastAsia="Times New Roman" w:hAnsi="Times New Roman" w:cs="Times New Roman"/>
          <w:sz w:val="24"/>
          <w:szCs w:val="24"/>
        </w:rPr>
        <w:t xml:space="preserve">. Such analyses could provide richer insights into patient heterogeneity and strengthen the practical contributions of the model. </w:t>
      </w:r>
    </w:p>
    <w:p w14:paraId="31481BAD" w14:textId="72FD168F" w:rsidR="004E0B77" w:rsidRPr="004E0B77" w:rsidRDefault="004E0B77">
      <w:pPr>
        <w:spacing w:line="360" w:lineRule="auto"/>
        <w:jc w:val="both"/>
        <w:rPr>
          <w:rFonts w:ascii="Times New Roman" w:eastAsia="Times New Roman" w:hAnsi="Times New Roman" w:cs="Times New Roman"/>
          <w:b/>
          <w:bCs/>
          <w:sz w:val="24"/>
          <w:szCs w:val="24"/>
        </w:rPr>
      </w:pPr>
      <w:r w:rsidRPr="004E0B77">
        <w:rPr>
          <w:rFonts w:ascii="Times New Roman" w:eastAsia="Times New Roman" w:hAnsi="Times New Roman" w:cs="Times New Roman"/>
          <w:b/>
          <w:bCs/>
          <w:sz w:val="24"/>
          <w:szCs w:val="24"/>
        </w:rPr>
        <w:t>Conclusion</w:t>
      </w:r>
    </w:p>
    <w:p w14:paraId="1F781EEF" w14:textId="7AEB22B7" w:rsidR="004E0B77" w:rsidRDefault="0076125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Outcomes of this study </w:t>
      </w:r>
      <w:r w:rsidR="002F4CFC">
        <w:rPr>
          <w:rFonts w:ascii="Times New Roman" w:eastAsia="Times New Roman" w:hAnsi="Times New Roman" w:cs="Times New Roman"/>
          <w:sz w:val="24"/>
          <w:szCs w:val="24"/>
        </w:rPr>
        <w:t>conclude</w:t>
      </w:r>
      <w:r w:rsidR="004E0B77" w:rsidRPr="004E0B77">
        <w:rPr>
          <w:rFonts w:ascii="Times New Roman" w:eastAsia="Times New Roman" w:hAnsi="Times New Roman" w:cs="Times New Roman"/>
          <w:sz w:val="24"/>
          <w:szCs w:val="24"/>
        </w:rPr>
        <w:t xml:space="preserve"> that the </w:t>
      </w:r>
      <w:r>
        <w:rPr>
          <w:rFonts w:ascii="Times New Roman" w:eastAsia="Times New Roman" w:hAnsi="Times New Roman" w:cs="Times New Roman"/>
          <w:sz w:val="24"/>
          <w:szCs w:val="24"/>
        </w:rPr>
        <w:t xml:space="preserve">revisit </w:t>
      </w:r>
      <w:r w:rsidR="004E0B77" w:rsidRPr="004E0B77">
        <w:rPr>
          <w:rFonts w:ascii="Times New Roman" w:eastAsia="Times New Roman" w:hAnsi="Times New Roman" w:cs="Times New Roman"/>
          <w:sz w:val="24"/>
          <w:szCs w:val="24"/>
        </w:rPr>
        <w:t xml:space="preserve">intention of patients to private hospitals in India is largely influenced by their perception of service quality, trust, and brand image, with satisfaction and word-of-mouth serving as crucial mediators. The results </w:t>
      </w:r>
      <w:r>
        <w:rPr>
          <w:rFonts w:ascii="Times New Roman" w:eastAsia="Times New Roman" w:hAnsi="Times New Roman" w:cs="Times New Roman"/>
          <w:sz w:val="24"/>
          <w:szCs w:val="24"/>
        </w:rPr>
        <w:t xml:space="preserve">show </w:t>
      </w:r>
      <w:r w:rsidR="004E0B77" w:rsidRPr="004E0B77">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clinical </w:t>
      </w:r>
      <w:r w:rsidR="004E0B77" w:rsidRPr="004E0B77">
        <w:rPr>
          <w:rFonts w:ascii="Times New Roman" w:eastAsia="Times New Roman" w:hAnsi="Times New Roman" w:cs="Times New Roman"/>
          <w:sz w:val="24"/>
          <w:szCs w:val="24"/>
        </w:rPr>
        <w:t xml:space="preserve">service quality is not enough; </w:t>
      </w:r>
      <w:r>
        <w:rPr>
          <w:rFonts w:ascii="Times New Roman" w:eastAsia="Times New Roman" w:hAnsi="Times New Roman" w:cs="Times New Roman"/>
          <w:sz w:val="24"/>
          <w:szCs w:val="24"/>
        </w:rPr>
        <w:t xml:space="preserve">positive </w:t>
      </w:r>
      <w:r w:rsidR="004E0B77" w:rsidRPr="004E0B77">
        <w:rPr>
          <w:rFonts w:ascii="Times New Roman" w:eastAsia="Times New Roman" w:hAnsi="Times New Roman" w:cs="Times New Roman"/>
          <w:sz w:val="24"/>
          <w:szCs w:val="24"/>
        </w:rPr>
        <w:t xml:space="preserve">patient </w:t>
      </w:r>
      <w:r>
        <w:rPr>
          <w:rFonts w:ascii="Times New Roman" w:eastAsia="Times New Roman" w:hAnsi="Times New Roman" w:cs="Times New Roman"/>
          <w:sz w:val="24"/>
          <w:szCs w:val="24"/>
        </w:rPr>
        <w:t>experience, clinical</w:t>
      </w:r>
      <w:r w:rsidR="004E0B77" w:rsidRPr="004E0B77">
        <w:rPr>
          <w:rFonts w:ascii="Times New Roman" w:eastAsia="Times New Roman" w:hAnsi="Times New Roman" w:cs="Times New Roman"/>
          <w:sz w:val="24"/>
          <w:szCs w:val="24"/>
        </w:rPr>
        <w:t xml:space="preserve"> excellence, reliability, and a strong brand imag</w:t>
      </w:r>
      <w:r>
        <w:rPr>
          <w:rFonts w:ascii="Times New Roman" w:eastAsia="Times New Roman" w:hAnsi="Times New Roman" w:cs="Times New Roman"/>
          <w:sz w:val="24"/>
          <w:szCs w:val="24"/>
        </w:rPr>
        <w:t xml:space="preserve">e have </w:t>
      </w:r>
      <w:r w:rsidR="002F4CFC">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 xml:space="preserve">influence on </w:t>
      </w:r>
      <w:r w:rsidRPr="004E0B77">
        <w:rPr>
          <w:rFonts w:ascii="Times New Roman" w:eastAsia="Times New Roman" w:hAnsi="Times New Roman" w:cs="Times New Roman"/>
          <w:sz w:val="24"/>
          <w:szCs w:val="24"/>
        </w:rPr>
        <w:t>satisfaction</w:t>
      </w:r>
      <w:r w:rsidR="004E0B77" w:rsidRPr="004E0B77">
        <w:rPr>
          <w:rFonts w:ascii="Times New Roman" w:eastAsia="Times New Roman" w:hAnsi="Times New Roman" w:cs="Times New Roman"/>
          <w:sz w:val="24"/>
          <w:szCs w:val="24"/>
        </w:rPr>
        <w:t>, which subsequently encourages positive word-of-mouth and repeat visits. This study contributes by presenting an integrated post-</w:t>
      </w:r>
      <w:r w:rsidR="004E0B77" w:rsidRPr="004E0B77">
        <w:rPr>
          <w:rFonts w:ascii="Times New Roman" w:eastAsia="Times New Roman" w:hAnsi="Times New Roman" w:cs="Times New Roman"/>
          <w:sz w:val="24"/>
          <w:szCs w:val="24"/>
        </w:rPr>
        <w:lastRenderedPageBreak/>
        <w:t xml:space="preserve">COVID framework and underscores the strategic importance of patient-focused care and digital interaction. For healthcare practitioners, enhancing satisfaction and </w:t>
      </w:r>
      <w:r w:rsidR="002F4CFC">
        <w:rPr>
          <w:rFonts w:ascii="Times New Roman" w:eastAsia="Times New Roman" w:hAnsi="Times New Roman" w:cs="Times New Roman"/>
          <w:sz w:val="24"/>
          <w:szCs w:val="24"/>
        </w:rPr>
        <w:t>utilising</w:t>
      </w:r>
      <w:r w:rsidR="004E0B77" w:rsidRPr="004E0B77">
        <w:rPr>
          <w:rFonts w:ascii="Times New Roman" w:eastAsia="Times New Roman" w:hAnsi="Times New Roman" w:cs="Times New Roman"/>
          <w:sz w:val="24"/>
          <w:szCs w:val="24"/>
        </w:rPr>
        <w:t xml:space="preserve"> word-of-mouth can be cost-effective strategies to improve patient retention and maintain competitiveness in the changing healthcare environment.</w:t>
      </w:r>
    </w:p>
    <w:p w14:paraId="766F85D7" w14:textId="77777777"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Ethics Statement</w:t>
      </w:r>
    </w:p>
    <w:p w14:paraId="2F6E7BBF" w14:textId="77777777"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adhered to institutional and national research guidelines. According to local standards, this study did not require ethical review or permission from institutional policies. </w:t>
      </w:r>
    </w:p>
    <w:p w14:paraId="3C8E24EE" w14:textId="77777777" w:rsidR="001A78F4"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Data Privacy Concern </w:t>
      </w:r>
    </w:p>
    <w:p w14:paraId="342B906F" w14:textId="77777777"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used only for this study's purposes, and institutional and national research guidelines and patients’ rights were fully protected throughout the process</w:t>
      </w:r>
    </w:p>
    <w:p w14:paraId="0650C13A" w14:textId="77777777" w:rsidR="001A78F4"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Author Conflicts</w:t>
      </w:r>
    </w:p>
    <w:p w14:paraId="63118BCF" w14:textId="77777777"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authors state that there are no commercial and financial ties or associations that could represent a conflict of interest.</w:t>
      </w:r>
    </w:p>
    <w:p w14:paraId="332D77D1" w14:textId="77777777"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Declaration of AI-Assisted Technologies </w:t>
      </w:r>
    </w:p>
    <w:p w14:paraId="725A4AD0" w14:textId="77777777" w:rsidR="001A78F4"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authors declare that the AI-assisted tool Grammarly was used solely to improve language quality, grammar, sentence structure, and overall readability of the manuscript. All ideas, analyses, and conclusions presented in the study are the full responsibility of the authors, who ensure the integrity, originality and accuracy of the research. </w:t>
      </w:r>
    </w:p>
    <w:p w14:paraId="4E3C70BB" w14:textId="77777777" w:rsidR="004E0B77" w:rsidRDefault="004E0B77">
      <w:pPr>
        <w:spacing w:line="360" w:lineRule="auto"/>
        <w:jc w:val="both"/>
        <w:rPr>
          <w:rFonts w:ascii="Times New Roman" w:eastAsia="Times New Roman" w:hAnsi="Times New Roman" w:cs="Times New Roman"/>
          <w:sz w:val="24"/>
          <w:szCs w:val="24"/>
        </w:rPr>
      </w:pPr>
    </w:p>
    <w:p w14:paraId="2444A77F" w14:textId="77777777" w:rsidR="004E0B77" w:rsidRDefault="004E0B77">
      <w:pPr>
        <w:spacing w:line="360" w:lineRule="auto"/>
        <w:jc w:val="both"/>
        <w:rPr>
          <w:rFonts w:ascii="Times New Roman" w:eastAsia="Times New Roman" w:hAnsi="Times New Roman" w:cs="Times New Roman"/>
          <w:sz w:val="24"/>
          <w:szCs w:val="24"/>
        </w:rPr>
      </w:pPr>
    </w:p>
    <w:p w14:paraId="0CF50F1E" w14:textId="77777777" w:rsidR="001A78F4" w:rsidRDefault="001A78F4">
      <w:pPr>
        <w:spacing w:line="360" w:lineRule="auto"/>
        <w:jc w:val="both"/>
        <w:rPr>
          <w:rFonts w:ascii="Times New Roman" w:eastAsia="Times New Roman" w:hAnsi="Times New Roman" w:cs="Times New Roman"/>
          <w:sz w:val="24"/>
          <w:szCs w:val="24"/>
        </w:rPr>
      </w:pPr>
    </w:p>
    <w:p w14:paraId="3051A7A0" w14:textId="77777777" w:rsidR="001A78F4" w:rsidRDefault="001A78F4">
      <w:pPr>
        <w:spacing w:line="360" w:lineRule="auto"/>
        <w:jc w:val="both"/>
        <w:rPr>
          <w:rFonts w:ascii="Times New Roman" w:eastAsia="Times New Roman" w:hAnsi="Times New Roman" w:cs="Times New Roman"/>
          <w:sz w:val="24"/>
          <w:szCs w:val="24"/>
        </w:rPr>
      </w:pPr>
    </w:p>
    <w:p w14:paraId="479861AB" w14:textId="77777777" w:rsidR="001A78F4" w:rsidRDefault="001A78F4">
      <w:pPr>
        <w:spacing w:line="360" w:lineRule="auto"/>
        <w:jc w:val="both"/>
        <w:rPr>
          <w:rFonts w:ascii="Times New Roman" w:eastAsia="Times New Roman" w:hAnsi="Times New Roman" w:cs="Times New Roman"/>
          <w:sz w:val="24"/>
          <w:szCs w:val="24"/>
        </w:rPr>
      </w:pPr>
    </w:p>
    <w:p w14:paraId="3BE7ADF8" w14:textId="77777777" w:rsidR="001A78F4" w:rsidRDefault="001A78F4">
      <w:pPr>
        <w:spacing w:line="360" w:lineRule="auto"/>
        <w:jc w:val="both"/>
        <w:rPr>
          <w:rFonts w:ascii="Times New Roman" w:eastAsia="Times New Roman" w:hAnsi="Times New Roman" w:cs="Times New Roman"/>
          <w:sz w:val="24"/>
          <w:szCs w:val="24"/>
        </w:rPr>
      </w:pPr>
    </w:p>
    <w:p w14:paraId="4209DC8F" w14:textId="77777777" w:rsidR="001A78F4" w:rsidRDefault="001A78F4">
      <w:pPr>
        <w:spacing w:line="360" w:lineRule="auto"/>
        <w:jc w:val="both"/>
        <w:rPr>
          <w:rFonts w:ascii="Times New Roman" w:eastAsia="Times New Roman" w:hAnsi="Times New Roman" w:cs="Times New Roman"/>
          <w:sz w:val="24"/>
          <w:szCs w:val="24"/>
        </w:rPr>
      </w:pPr>
    </w:p>
    <w:p w14:paraId="0F5F2F25" w14:textId="77777777" w:rsidR="001A78F4" w:rsidRDefault="001A78F4">
      <w:pPr>
        <w:spacing w:line="360" w:lineRule="auto"/>
        <w:jc w:val="both"/>
        <w:rPr>
          <w:rFonts w:ascii="Times New Roman" w:eastAsia="Times New Roman" w:hAnsi="Times New Roman" w:cs="Times New Roman"/>
          <w:sz w:val="24"/>
          <w:szCs w:val="24"/>
        </w:rPr>
      </w:pPr>
    </w:p>
    <w:p w14:paraId="79313F6E" w14:textId="77777777" w:rsidR="002F4CFC" w:rsidRDefault="002F4CFC">
      <w:pPr>
        <w:spacing w:line="360" w:lineRule="auto"/>
        <w:jc w:val="both"/>
        <w:rPr>
          <w:rFonts w:ascii="Times New Roman" w:eastAsia="Times New Roman" w:hAnsi="Times New Roman" w:cs="Times New Roman"/>
          <w:sz w:val="24"/>
          <w:szCs w:val="24"/>
        </w:rPr>
      </w:pPr>
    </w:p>
    <w:p w14:paraId="0F80D5F6" w14:textId="07C3AF85" w:rsidR="001A78F4"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References</w:t>
      </w:r>
    </w:p>
    <w:p w14:paraId="5C9D083F"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Alalwan</w:t>
      </w:r>
      <w:proofErr w:type="spellEnd"/>
      <w:r>
        <w:rPr>
          <w:rFonts w:ascii="Times New Roman" w:eastAsia="Times New Roman" w:hAnsi="Times New Roman" w:cs="Times New Roman"/>
          <w:color w:val="000000"/>
          <w:sz w:val="24"/>
          <w:szCs w:val="24"/>
        </w:rPr>
        <w:t>, A. A. (2022). Investigating the impact of social media advertising features on customer purchase intention. Journal of Retailing and Consumer Services, 65, 102866. https://doi.org/10.1016/j.jretconser.2021.102866</w:t>
      </w:r>
    </w:p>
    <w:p w14:paraId="0F52367A" w14:textId="77777777" w:rsidR="001A78F4"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Ali, N., Rehman, A., &amp; Khan, M. (2022). </w:t>
      </w:r>
      <w:r>
        <w:rPr>
          <w:rFonts w:ascii="Times New Roman" w:eastAsia="Times New Roman" w:hAnsi="Times New Roman" w:cs="Times New Roman"/>
          <w:color w:val="000000"/>
          <w:sz w:val="24"/>
          <w:szCs w:val="24"/>
        </w:rPr>
        <w:t>Impact of patient-centred care and nursing quality on patient satisfaction and revisit intention. Journal of Global Nursing and Allied Health Sciences, 3(2), 45–53.</w:t>
      </w:r>
    </w:p>
    <w:p w14:paraId="600094C6"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Alom, S., Patwary, A. K., &amp; Khan, M. M. H. (2019). Factors affecting the turnover intention of Bangladeshi migrants in the United Arab Emirates: An empirical study on the hotel industry. International Journal of Innovation, Creativity and Change, 8(3), 344-360.</w:t>
      </w:r>
    </w:p>
    <w:p w14:paraId="11586173"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AlOmari, F., &amp; A. Hamid, A. B. (2022). Strategies to improve patient loyalty and medication adherence in the Syrian healthcare setting: The mediating role of patient satisfaction.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one, 17(11), e0272057.</w:t>
      </w:r>
    </w:p>
    <w:p w14:paraId="069F3360"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Amanda, DPA (2022). The Influence Quality Service and Trust Regarding Interest in Visiting Repeat with Satisfaction Patient Clinic as Variables Mediator. Muhammadiyah University of Surakarta. </w:t>
      </w:r>
    </w:p>
    <w:p w14:paraId="24829F00"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Amankwah, O., Choong, W. W., &amp; Mohammed, A. H. (2019). Modelling the influence of healthcare facilities management service quality on patient’s satisfaction. Journal of Facilities Management, 17(3), 267–283. https://doi.org/10.1108/JFM-08-2018-0053</w:t>
      </w:r>
    </w:p>
    <w:p w14:paraId="421A9486"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Anwar, S., Min, L., &amp; Dastagir, G. (2019). </w:t>
      </w:r>
      <w:r>
        <w:rPr>
          <w:rFonts w:ascii="Times New Roman" w:eastAsia="Times New Roman" w:hAnsi="Times New Roman" w:cs="Times New Roman"/>
          <w:color w:val="000000"/>
          <w:sz w:val="24"/>
          <w:szCs w:val="24"/>
        </w:rPr>
        <w:t>Effect of service quality, brand image, perceived value on customer satisfaction and loyalty in the Chinese banking industry. International Journal of Business, Economics and Management Works, 6(3), 24–30.</w:t>
      </w:r>
    </w:p>
    <w:p w14:paraId="10C0A423"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Arjmandnia</w:t>
      </w:r>
      <w:proofErr w:type="spellEnd"/>
      <w:r>
        <w:rPr>
          <w:rFonts w:ascii="Times New Roman" w:eastAsia="Times New Roman" w:hAnsi="Times New Roman" w:cs="Times New Roman"/>
          <w:color w:val="000000"/>
          <w:sz w:val="24"/>
          <w:szCs w:val="24"/>
        </w:rPr>
        <w:t>, F., &amp; Alimohammadi, E. (2024). The value of machine learning technology and artificial intelligence to enhance patient safety in spine surgery: a review. Patient Safety in Surgery, 18(1), 11.</w:t>
      </w:r>
    </w:p>
    <w:p w14:paraId="496582D2"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Azam, P., Akhlaq, A., Niazi, M. M., &amp; Nawaz, S. (2023). Impact of outpatient quality services on patient satisfaction. National Journal of Health Sciences, 8(4), 162–167.</w:t>
      </w:r>
    </w:p>
    <w:p w14:paraId="56587D4B"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Bahari, Z., </w:t>
      </w:r>
      <w:proofErr w:type="spellStart"/>
      <w:r>
        <w:rPr>
          <w:rFonts w:ascii="Times New Roman" w:eastAsia="Times New Roman" w:hAnsi="Times New Roman" w:cs="Times New Roman"/>
          <w:color w:val="000000"/>
          <w:sz w:val="24"/>
          <w:szCs w:val="24"/>
        </w:rPr>
        <w:t>Vosoghi</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Ramazanzadeh</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Moshfeghi</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Aghamohammadi</w:t>
      </w:r>
      <w:proofErr w:type="spellEnd"/>
      <w:r>
        <w:rPr>
          <w:rFonts w:ascii="Times New Roman" w:eastAsia="Times New Roman" w:hAnsi="Times New Roman" w:cs="Times New Roman"/>
          <w:color w:val="000000"/>
          <w:sz w:val="24"/>
          <w:szCs w:val="24"/>
        </w:rPr>
        <w:t>, M. (2024). Patient trust in nurses: Exploring the relationship with care quality and communication skills in emergency departments. BMC Nursing, 23(1), 595.</w:t>
      </w:r>
    </w:p>
    <w:p w14:paraId="1BCB7945"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Bellio, E., &amp; </w:t>
      </w:r>
      <w:proofErr w:type="spellStart"/>
      <w:r>
        <w:rPr>
          <w:rFonts w:ascii="Times New Roman" w:eastAsia="Times New Roman" w:hAnsi="Times New Roman" w:cs="Times New Roman"/>
          <w:color w:val="000000"/>
          <w:sz w:val="24"/>
          <w:szCs w:val="24"/>
        </w:rPr>
        <w:t>Buccoliero</w:t>
      </w:r>
      <w:proofErr w:type="spellEnd"/>
      <w:r>
        <w:rPr>
          <w:rFonts w:ascii="Times New Roman" w:eastAsia="Times New Roman" w:hAnsi="Times New Roman" w:cs="Times New Roman"/>
          <w:color w:val="000000"/>
          <w:sz w:val="24"/>
          <w:szCs w:val="24"/>
        </w:rPr>
        <w:t xml:space="preserve">, L. (2021). Main factors affecting perceived quality in healthcare: A patient perspective approach. The TQM Journal, 33(7), 176–192. </w:t>
      </w:r>
      <w:hyperlink r:id="rId11">
        <w:r w:rsidR="001A78F4">
          <w:rPr>
            <w:rFonts w:ascii="Times New Roman" w:eastAsia="Times New Roman" w:hAnsi="Times New Roman" w:cs="Times New Roman"/>
            <w:color w:val="0563C1"/>
            <w:sz w:val="24"/>
            <w:szCs w:val="24"/>
            <w:u w:val="single"/>
          </w:rPr>
          <w:t>https://doi.org/10.1108/TQM-11-2020-0274</w:t>
        </w:r>
      </w:hyperlink>
      <w:r>
        <w:rPr>
          <w:rFonts w:ascii="Times New Roman" w:eastAsia="Times New Roman" w:hAnsi="Times New Roman" w:cs="Times New Roman"/>
          <w:color w:val="000000"/>
          <w:sz w:val="24"/>
          <w:szCs w:val="24"/>
        </w:rPr>
        <w:t>.</w:t>
      </w:r>
    </w:p>
    <w:p w14:paraId="67F8096E"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Bentler, P. M., &amp; Chou, C. P. (1987). Practical issues in structural </w:t>
      </w:r>
      <w:proofErr w:type="spellStart"/>
      <w:r>
        <w:rPr>
          <w:rFonts w:ascii="Times New Roman" w:eastAsia="Times New Roman" w:hAnsi="Times New Roman" w:cs="Times New Roman"/>
          <w:color w:val="000000"/>
          <w:sz w:val="24"/>
          <w:szCs w:val="24"/>
        </w:rPr>
        <w:t>modeling</w:t>
      </w:r>
      <w:proofErr w:type="spellEnd"/>
      <w:r>
        <w:rPr>
          <w:rFonts w:ascii="Times New Roman" w:eastAsia="Times New Roman" w:hAnsi="Times New Roman" w:cs="Times New Roman"/>
          <w:color w:val="000000"/>
          <w:sz w:val="24"/>
          <w:szCs w:val="24"/>
        </w:rPr>
        <w:t xml:space="preserve">. Sociological Methods &amp; Research, 16(1), 78–117. </w:t>
      </w:r>
      <w:hyperlink r:id="rId12">
        <w:r w:rsidR="001A78F4">
          <w:rPr>
            <w:rFonts w:ascii="Times New Roman" w:eastAsia="Times New Roman" w:hAnsi="Times New Roman" w:cs="Times New Roman"/>
            <w:color w:val="0563C1"/>
            <w:sz w:val="24"/>
            <w:szCs w:val="24"/>
            <w:u w:val="single"/>
          </w:rPr>
          <w:t>https://doi.org/10.1177/0049124187016001004</w:t>
        </w:r>
      </w:hyperlink>
    </w:p>
    <w:p w14:paraId="318EB819"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3" w:name="_heading=h.vcjxl0w0iqr6" w:colFirst="0" w:colLast="0"/>
      <w:bookmarkEnd w:id="3"/>
      <w:r>
        <w:rPr>
          <w:rFonts w:ascii="Times New Roman" w:eastAsia="Times New Roman" w:hAnsi="Times New Roman" w:cs="Times New Roman"/>
          <w:color w:val="000000"/>
          <w:sz w:val="24"/>
          <w:szCs w:val="24"/>
        </w:rPr>
        <w:t>Cadel, L. A., Parker, V., &amp; Jones, D. (2021). Patient engagement in the era of COVID-19. Journal of Healthcare Management, 66(4), 275–286.</w:t>
      </w:r>
    </w:p>
    <w:p w14:paraId="4B396994"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4" w:name="_heading=h.l0llgk5oor8y" w:colFirst="0" w:colLast="0"/>
      <w:bookmarkEnd w:id="4"/>
      <w:r>
        <w:rPr>
          <w:rFonts w:ascii="Times New Roman" w:eastAsia="Times New Roman" w:hAnsi="Times New Roman" w:cs="Times New Roman"/>
          <w:color w:val="000000"/>
          <w:sz w:val="24"/>
          <w:szCs w:val="24"/>
        </w:rPr>
        <w:t xml:space="preserve">Choi UK. The effects of perceived medical service quality on patient satisfaction, hospital’s reputation and loyalty. J Korea Soc </w:t>
      </w:r>
      <w:proofErr w:type="spellStart"/>
      <w:r>
        <w:rPr>
          <w:rFonts w:ascii="Times New Roman" w:eastAsia="Times New Roman" w:hAnsi="Times New Roman" w:cs="Times New Roman"/>
          <w:color w:val="000000"/>
          <w:sz w:val="24"/>
          <w:szCs w:val="24"/>
        </w:rPr>
        <w:t>Comput</w:t>
      </w:r>
      <w:proofErr w:type="spellEnd"/>
      <w:r>
        <w:rPr>
          <w:rFonts w:ascii="Times New Roman" w:eastAsia="Times New Roman" w:hAnsi="Times New Roman" w:cs="Times New Roman"/>
          <w:color w:val="000000"/>
          <w:sz w:val="24"/>
          <w:szCs w:val="24"/>
        </w:rPr>
        <w:t xml:space="preserve"> Inf. 2020; 25(1):177–85.</w:t>
      </w:r>
    </w:p>
    <w:p w14:paraId="74942C14"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Chuenyindee</w:t>
      </w:r>
      <w:proofErr w:type="spellEnd"/>
      <w:r>
        <w:rPr>
          <w:rFonts w:ascii="Times New Roman" w:eastAsia="Times New Roman" w:hAnsi="Times New Roman" w:cs="Times New Roman"/>
          <w:color w:val="000000"/>
          <w:sz w:val="24"/>
          <w:szCs w:val="24"/>
        </w:rPr>
        <w:t xml:space="preserve">, T., Ong, A. K. S., Ramos, J. P., </w:t>
      </w:r>
      <w:proofErr w:type="spellStart"/>
      <w:r>
        <w:rPr>
          <w:rFonts w:ascii="Times New Roman" w:eastAsia="Times New Roman" w:hAnsi="Times New Roman" w:cs="Times New Roman"/>
          <w:color w:val="000000"/>
          <w:sz w:val="24"/>
          <w:szCs w:val="24"/>
        </w:rPr>
        <w:t>Prasetyo</w:t>
      </w:r>
      <w:proofErr w:type="spellEnd"/>
      <w:r>
        <w:rPr>
          <w:rFonts w:ascii="Times New Roman" w:eastAsia="Times New Roman" w:hAnsi="Times New Roman" w:cs="Times New Roman"/>
          <w:color w:val="000000"/>
          <w:sz w:val="24"/>
          <w:szCs w:val="24"/>
        </w:rPr>
        <w:t xml:space="preserve">, Y. T., </w:t>
      </w:r>
      <w:proofErr w:type="spellStart"/>
      <w:r>
        <w:rPr>
          <w:rFonts w:ascii="Times New Roman" w:eastAsia="Times New Roman" w:hAnsi="Times New Roman" w:cs="Times New Roman"/>
          <w:color w:val="000000"/>
          <w:sz w:val="24"/>
          <w:szCs w:val="24"/>
        </w:rPr>
        <w:t>Nadlifatin</w:t>
      </w:r>
      <w:proofErr w:type="spellEnd"/>
      <w:r>
        <w:rPr>
          <w:rFonts w:ascii="Times New Roman" w:eastAsia="Times New Roman" w:hAnsi="Times New Roman" w:cs="Times New Roman"/>
          <w:color w:val="000000"/>
          <w:sz w:val="24"/>
          <w:szCs w:val="24"/>
        </w:rPr>
        <w:t xml:space="preserve">, R., Kurata, Y. B., &amp; </w:t>
      </w:r>
      <w:proofErr w:type="spellStart"/>
      <w:r>
        <w:rPr>
          <w:rFonts w:ascii="Times New Roman" w:eastAsia="Times New Roman" w:hAnsi="Times New Roman" w:cs="Times New Roman"/>
          <w:color w:val="000000"/>
          <w:sz w:val="24"/>
          <w:szCs w:val="24"/>
        </w:rPr>
        <w:t>Sittiwatethanasiri</w:t>
      </w:r>
      <w:proofErr w:type="spellEnd"/>
      <w:r>
        <w:rPr>
          <w:rFonts w:ascii="Times New Roman" w:eastAsia="Times New Roman" w:hAnsi="Times New Roman" w:cs="Times New Roman"/>
          <w:color w:val="000000"/>
          <w:sz w:val="24"/>
          <w:szCs w:val="24"/>
        </w:rPr>
        <w:t xml:space="preserve">, T. (2022). Public utility vehicle service quality and customer satisfaction in the Philippines during the COVID-19 pandemic. Utilities Policy, 75(January), 101336. </w:t>
      </w:r>
      <w:hyperlink r:id="rId13">
        <w:r w:rsidR="001A78F4">
          <w:rPr>
            <w:rFonts w:ascii="Times New Roman" w:eastAsia="Times New Roman" w:hAnsi="Times New Roman" w:cs="Times New Roman"/>
            <w:color w:val="000000"/>
            <w:sz w:val="24"/>
            <w:szCs w:val="24"/>
          </w:rPr>
          <w:t>https://doi.org/10.1016/j.jup.2022.101336</w:t>
        </w:r>
      </w:hyperlink>
    </w:p>
    <w:p w14:paraId="736BE8E2"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5" w:name="_heading=h.j6smr6czzzki" w:colFirst="0" w:colLast="0"/>
      <w:bookmarkEnd w:id="5"/>
      <w:r>
        <w:rPr>
          <w:rFonts w:ascii="Times New Roman" w:eastAsia="Times New Roman" w:hAnsi="Times New Roman" w:cs="Times New Roman"/>
          <w:color w:val="000000"/>
          <w:sz w:val="24"/>
          <w:szCs w:val="24"/>
        </w:rPr>
        <w:t xml:space="preserve">Darmawan, A., </w:t>
      </w:r>
      <w:proofErr w:type="spellStart"/>
      <w:r>
        <w:rPr>
          <w:rFonts w:ascii="Times New Roman" w:eastAsia="Times New Roman" w:hAnsi="Times New Roman" w:cs="Times New Roman"/>
          <w:color w:val="000000"/>
          <w:sz w:val="24"/>
          <w:szCs w:val="24"/>
        </w:rPr>
        <w:t>Pujikharisma</w:t>
      </w:r>
      <w:proofErr w:type="spellEnd"/>
      <w:r>
        <w:rPr>
          <w:rFonts w:ascii="Times New Roman" w:eastAsia="Times New Roman" w:hAnsi="Times New Roman" w:cs="Times New Roman"/>
          <w:color w:val="000000"/>
          <w:sz w:val="24"/>
          <w:szCs w:val="24"/>
        </w:rPr>
        <w:t>, A., &amp; Rapi, A. (2025). The Impact of Service Quality and Price on Customer Loyalty: The Role of Perceived Value as an Intervening Variable. </w:t>
      </w:r>
      <w:proofErr w:type="spellStart"/>
      <w:r>
        <w:rPr>
          <w:rFonts w:ascii="Times New Roman" w:eastAsia="Times New Roman" w:hAnsi="Times New Roman" w:cs="Times New Roman"/>
          <w:color w:val="000000"/>
          <w:sz w:val="24"/>
          <w:szCs w:val="24"/>
        </w:rPr>
        <w:t>Jurnal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Teknologi</w:t>
      </w:r>
      <w:proofErr w:type="spellEnd"/>
      <w:r>
        <w:rPr>
          <w:rFonts w:ascii="Times New Roman" w:eastAsia="Times New Roman" w:hAnsi="Times New Roman" w:cs="Times New Roman"/>
          <w:color w:val="000000"/>
          <w:sz w:val="24"/>
          <w:szCs w:val="24"/>
        </w:rPr>
        <w:t xml:space="preserve"> Dan Manajemen, 23(2), 9-17.</w:t>
      </w:r>
    </w:p>
    <w:p w14:paraId="0DD21C6B"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Faaghna</w:t>
      </w:r>
      <w:proofErr w:type="spellEnd"/>
      <w:r>
        <w:rPr>
          <w:rFonts w:ascii="Times New Roman" w:eastAsia="Times New Roman" w:hAnsi="Times New Roman" w:cs="Times New Roman"/>
          <w:color w:val="000000"/>
          <w:sz w:val="24"/>
          <w:szCs w:val="24"/>
        </w:rPr>
        <w:t xml:space="preserve">, L., Lita, R. P., &amp; </w:t>
      </w:r>
      <w:proofErr w:type="spellStart"/>
      <w:r>
        <w:rPr>
          <w:rFonts w:ascii="Times New Roman" w:eastAsia="Times New Roman" w:hAnsi="Times New Roman" w:cs="Times New Roman"/>
          <w:color w:val="000000"/>
          <w:sz w:val="24"/>
          <w:szCs w:val="24"/>
        </w:rPr>
        <w:t>Semiarty</w:t>
      </w:r>
      <w:proofErr w:type="spellEnd"/>
      <w:r>
        <w:rPr>
          <w:rFonts w:ascii="Times New Roman" w:eastAsia="Times New Roman" w:hAnsi="Times New Roman" w:cs="Times New Roman"/>
          <w:color w:val="000000"/>
          <w:sz w:val="24"/>
          <w:szCs w:val="24"/>
        </w:rPr>
        <w:t xml:space="preserve">, R. (2019). </w:t>
      </w:r>
      <w:r w:rsidRPr="00D400A4">
        <w:rPr>
          <w:rFonts w:ascii="Times New Roman" w:eastAsia="Times New Roman" w:hAnsi="Times New Roman" w:cs="Times New Roman"/>
          <w:color w:val="000000"/>
          <w:sz w:val="24"/>
          <w:szCs w:val="24"/>
          <w:lang w:val="de-DE"/>
        </w:rPr>
        <w:t xml:space="preserve">Analisis faktor yang mempengaruhi minat berkunjung ulang pasien ke poliklinik spesialis di RSI Ibnu Sina Padang. </w:t>
      </w:r>
      <w:proofErr w:type="spellStart"/>
      <w:r>
        <w:rPr>
          <w:rFonts w:ascii="Times New Roman" w:eastAsia="Times New Roman" w:hAnsi="Times New Roman" w:cs="Times New Roman"/>
          <w:color w:val="000000"/>
          <w:sz w:val="24"/>
          <w:szCs w:val="24"/>
        </w:rPr>
        <w:t>Jurnal</w:t>
      </w:r>
      <w:proofErr w:type="spellEnd"/>
      <w:r>
        <w:rPr>
          <w:rFonts w:ascii="Times New Roman" w:eastAsia="Times New Roman" w:hAnsi="Times New Roman" w:cs="Times New Roman"/>
          <w:color w:val="000000"/>
          <w:sz w:val="24"/>
          <w:szCs w:val="24"/>
        </w:rPr>
        <w:t xml:space="preserve"> Kesehatan Andalas, 8(2), 295–304. </w:t>
      </w:r>
      <w:hyperlink r:id="rId14">
        <w:r w:rsidR="001A78F4">
          <w:rPr>
            <w:rFonts w:ascii="Times New Roman" w:eastAsia="Times New Roman" w:hAnsi="Times New Roman" w:cs="Times New Roman"/>
            <w:color w:val="0563C1"/>
            <w:sz w:val="24"/>
            <w:szCs w:val="24"/>
            <w:u w:val="single"/>
          </w:rPr>
          <w:t>https://doi.org/10.25077/jka.v8i2.1005</w:t>
        </w:r>
      </w:hyperlink>
      <w:r>
        <w:rPr>
          <w:rFonts w:ascii="Times New Roman" w:eastAsia="Times New Roman" w:hAnsi="Times New Roman" w:cs="Times New Roman"/>
          <w:color w:val="000000"/>
          <w:sz w:val="24"/>
          <w:szCs w:val="24"/>
        </w:rPr>
        <w:t>.</w:t>
      </w:r>
    </w:p>
    <w:p w14:paraId="5098E127"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Financial Express. (2024, November 20). India’s healthcare infrastructure gets a post-pandemic boost: Report. </w:t>
      </w:r>
      <w:hyperlink r:id="rId15">
        <w:r w:rsidR="001A78F4">
          <w:rPr>
            <w:rFonts w:ascii="Times New Roman" w:eastAsia="Times New Roman" w:hAnsi="Times New Roman" w:cs="Times New Roman"/>
            <w:color w:val="0563C1"/>
            <w:sz w:val="24"/>
            <w:szCs w:val="24"/>
            <w:u w:val="single"/>
          </w:rPr>
          <w:t>https://www.financialexpress.com/business/healthcare-indias-healthcare-infrastructure-gets-a-post-pandemic-boost-report-3669318/</w:t>
        </w:r>
      </w:hyperlink>
    </w:p>
    <w:p w14:paraId="14027C6C"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Foroudi</w:t>
      </w:r>
      <w:proofErr w:type="spellEnd"/>
      <w:r>
        <w:rPr>
          <w:rFonts w:ascii="Times New Roman" w:eastAsia="Times New Roman" w:hAnsi="Times New Roman" w:cs="Times New Roman"/>
          <w:color w:val="000000"/>
          <w:sz w:val="24"/>
          <w:szCs w:val="24"/>
        </w:rPr>
        <w:t xml:space="preserve">, P., </w:t>
      </w:r>
      <w:proofErr w:type="spellStart"/>
      <w:r>
        <w:rPr>
          <w:rFonts w:ascii="Times New Roman" w:eastAsia="Times New Roman" w:hAnsi="Times New Roman" w:cs="Times New Roman"/>
          <w:color w:val="000000"/>
          <w:sz w:val="24"/>
          <w:szCs w:val="24"/>
        </w:rPr>
        <w:t>Foroudi</w:t>
      </w:r>
      <w:proofErr w:type="spellEnd"/>
      <w:r>
        <w:rPr>
          <w:rFonts w:ascii="Times New Roman" w:eastAsia="Times New Roman" w:hAnsi="Times New Roman" w:cs="Times New Roman"/>
          <w:color w:val="000000"/>
          <w:sz w:val="24"/>
          <w:szCs w:val="24"/>
        </w:rPr>
        <w:t xml:space="preserve">, M.M., Ageeva, E., 2021. Corporate Brand Website Design, Image, Identification, and Loyalty. Corporate Brand Design. Routledge, pp. 168–179. </w:t>
      </w:r>
    </w:p>
    <w:p w14:paraId="3E6BFA40"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Fortune India. (2025, March 7). Healing the world: India’s rise as a global medical hub. Fortune India. </w:t>
      </w:r>
      <w:hyperlink r:id="rId16">
        <w:r w:rsidR="001A78F4">
          <w:rPr>
            <w:rFonts w:ascii="Times New Roman" w:eastAsia="Times New Roman" w:hAnsi="Times New Roman" w:cs="Times New Roman"/>
            <w:color w:val="0563C1"/>
            <w:sz w:val="24"/>
            <w:szCs w:val="24"/>
            <w:u w:val="single"/>
          </w:rPr>
          <w:t>https://www.fortuneindia.com</w:t>
        </w:r>
      </w:hyperlink>
      <w:r>
        <w:rPr>
          <w:rFonts w:ascii="Times New Roman" w:eastAsia="Times New Roman" w:hAnsi="Times New Roman" w:cs="Times New Roman"/>
          <w:color w:val="000000"/>
          <w:sz w:val="24"/>
          <w:szCs w:val="24"/>
        </w:rPr>
        <w:t>.</w:t>
      </w:r>
    </w:p>
    <w:p w14:paraId="4F6C39DF"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Fukuti</w:t>
      </w:r>
      <w:proofErr w:type="spellEnd"/>
      <w:r>
        <w:rPr>
          <w:rFonts w:ascii="Times New Roman" w:eastAsia="Times New Roman" w:hAnsi="Times New Roman" w:cs="Times New Roman"/>
          <w:color w:val="000000"/>
          <w:sz w:val="24"/>
          <w:szCs w:val="24"/>
        </w:rPr>
        <w:t xml:space="preserve">, P., </w:t>
      </w:r>
      <w:proofErr w:type="spellStart"/>
      <w:r>
        <w:rPr>
          <w:rFonts w:ascii="Times New Roman" w:eastAsia="Times New Roman" w:hAnsi="Times New Roman" w:cs="Times New Roman"/>
          <w:color w:val="000000"/>
          <w:sz w:val="24"/>
          <w:szCs w:val="24"/>
        </w:rPr>
        <w:t>Uchôa</w:t>
      </w:r>
      <w:proofErr w:type="spellEnd"/>
      <w:r>
        <w:rPr>
          <w:rFonts w:ascii="Times New Roman" w:eastAsia="Times New Roman" w:hAnsi="Times New Roman" w:cs="Times New Roman"/>
          <w:color w:val="000000"/>
          <w:sz w:val="24"/>
          <w:szCs w:val="24"/>
        </w:rPr>
        <w:t xml:space="preserve">, C. L. M., Mazzoco, M. F., </w:t>
      </w:r>
      <w:proofErr w:type="spellStart"/>
      <w:r>
        <w:rPr>
          <w:rFonts w:ascii="Times New Roman" w:eastAsia="Times New Roman" w:hAnsi="Times New Roman" w:cs="Times New Roman"/>
          <w:color w:val="000000"/>
          <w:sz w:val="24"/>
          <w:szCs w:val="24"/>
        </w:rPr>
        <w:t>Corchs</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Kamitsuji</w:t>
      </w:r>
      <w:proofErr w:type="spellEnd"/>
      <w:r>
        <w:rPr>
          <w:rFonts w:ascii="Times New Roman" w:eastAsia="Times New Roman" w:hAnsi="Times New Roman" w:cs="Times New Roman"/>
          <w:color w:val="000000"/>
          <w:sz w:val="24"/>
          <w:szCs w:val="24"/>
        </w:rPr>
        <w:t xml:space="preserve">, C. S., Rossi, L., Rios, I. C., </w:t>
      </w:r>
      <w:proofErr w:type="spellStart"/>
      <w:r>
        <w:rPr>
          <w:rFonts w:ascii="Times New Roman" w:eastAsia="Times New Roman" w:hAnsi="Times New Roman" w:cs="Times New Roman"/>
          <w:color w:val="000000"/>
          <w:sz w:val="24"/>
          <w:szCs w:val="24"/>
        </w:rPr>
        <w:t>Lancman</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Bonfa</w:t>
      </w:r>
      <w:proofErr w:type="spellEnd"/>
      <w:r>
        <w:rPr>
          <w:rFonts w:ascii="Times New Roman" w:eastAsia="Times New Roman" w:hAnsi="Times New Roman" w:cs="Times New Roman"/>
          <w:color w:val="000000"/>
          <w:sz w:val="24"/>
          <w:szCs w:val="24"/>
        </w:rPr>
        <w:t>, E., Barros-Filho, T. E. P., &amp; Miguel, E. C. (2020). How institutions can protect the mental health and psychosocial well-being of their healthcare workers in the COVID-19 pandemic. Clinics (Sao Paulo), 75, e1963.</w:t>
      </w:r>
    </w:p>
    <w:p w14:paraId="05F50AF0"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Gilligan, T., Coyle, N., Frankel, R. M., Berry, D. L., Bohlke, K., Epstein, R. M., ... </w:t>
      </w:r>
      <w:r>
        <w:rPr>
          <w:rFonts w:ascii="Times New Roman" w:eastAsia="Times New Roman" w:hAnsi="Times New Roman" w:cs="Times New Roman"/>
          <w:color w:val="000000"/>
          <w:sz w:val="24"/>
          <w:szCs w:val="24"/>
        </w:rPr>
        <w:t>&amp; Baile, W. F. (2017). Patient-clinician communication: American Society of Clinical Oncology consensus guideline. Journal of Clinical Oncology, 35(31), 3618-3632.</w:t>
      </w:r>
    </w:p>
    <w:p w14:paraId="24B15462"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Global Growth Insights. (2025). Healthcare market size, share, growth, and industry analysis. Global Growth Insights.</w:t>
      </w:r>
    </w:p>
    <w:p w14:paraId="41FEFA1C"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Hair, J. F., Black, W. C., Babin, B. J., &amp; Anderson, R. E. (2010). Multivariate data analysis (7th ed.). Pearson.</w:t>
      </w:r>
    </w:p>
    <w:p w14:paraId="6DCDDB16"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Hasibuan</w:t>
      </w:r>
      <w:proofErr w:type="spellEnd"/>
      <w:r>
        <w:rPr>
          <w:rFonts w:ascii="Times New Roman" w:eastAsia="Times New Roman" w:hAnsi="Times New Roman" w:cs="Times New Roman"/>
          <w:color w:val="000000"/>
          <w:sz w:val="24"/>
          <w:szCs w:val="24"/>
        </w:rPr>
        <w:t xml:space="preserve">, R. R., &amp; </w:t>
      </w:r>
      <w:proofErr w:type="spellStart"/>
      <w:r>
        <w:rPr>
          <w:rFonts w:ascii="Times New Roman" w:eastAsia="Times New Roman" w:hAnsi="Times New Roman" w:cs="Times New Roman"/>
          <w:color w:val="000000"/>
          <w:sz w:val="24"/>
          <w:szCs w:val="24"/>
        </w:rPr>
        <w:t>Setyanugraha</w:t>
      </w:r>
      <w:proofErr w:type="spellEnd"/>
      <w:r>
        <w:rPr>
          <w:rFonts w:ascii="Times New Roman" w:eastAsia="Times New Roman" w:hAnsi="Times New Roman" w:cs="Times New Roman"/>
          <w:color w:val="000000"/>
          <w:sz w:val="24"/>
          <w:szCs w:val="24"/>
        </w:rPr>
        <w:t xml:space="preserve">, R. S. (2021). Impact of service quality dimensions on customer satisfaction at </w:t>
      </w:r>
      <w:proofErr w:type="spellStart"/>
      <w:r>
        <w:rPr>
          <w:rFonts w:ascii="Times New Roman" w:eastAsia="Times New Roman" w:hAnsi="Times New Roman" w:cs="Times New Roman"/>
          <w:color w:val="000000"/>
          <w:sz w:val="24"/>
          <w:szCs w:val="24"/>
        </w:rPr>
        <w:t>Imalez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Multy</w:t>
      </w:r>
      <w:proofErr w:type="spellEnd"/>
      <w:r>
        <w:rPr>
          <w:rFonts w:ascii="Times New Roman" w:eastAsia="Times New Roman" w:hAnsi="Times New Roman" w:cs="Times New Roman"/>
          <w:color w:val="000000"/>
          <w:sz w:val="24"/>
          <w:szCs w:val="24"/>
        </w:rPr>
        <w:t xml:space="preserve"> Corp Cooperative. Perwira International Journal of Economics &amp; Business, 1(1), 19–28.</w:t>
      </w:r>
    </w:p>
    <w:p w14:paraId="0D5ACFCF"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6" w:name="_heading=h.lcoxjzca6ord" w:colFirst="0" w:colLast="0"/>
      <w:bookmarkEnd w:id="6"/>
      <w:r>
        <w:rPr>
          <w:rFonts w:ascii="Times New Roman" w:eastAsia="Times New Roman" w:hAnsi="Times New Roman" w:cs="Times New Roman"/>
          <w:color w:val="000000"/>
          <w:sz w:val="24"/>
          <w:szCs w:val="24"/>
        </w:rPr>
        <w:t xml:space="preserve">Havana, T., Kuha, S., </w:t>
      </w:r>
      <w:proofErr w:type="spellStart"/>
      <w:r>
        <w:rPr>
          <w:rFonts w:ascii="Times New Roman" w:eastAsia="Times New Roman" w:hAnsi="Times New Roman" w:cs="Times New Roman"/>
          <w:color w:val="000000"/>
          <w:sz w:val="24"/>
          <w:szCs w:val="24"/>
        </w:rPr>
        <w:t>Laukka</w:t>
      </w:r>
      <w:proofErr w:type="spellEnd"/>
      <w:r>
        <w:rPr>
          <w:rFonts w:ascii="Times New Roman" w:eastAsia="Times New Roman" w:hAnsi="Times New Roman" w:cs="Times New Roman"/>
          <w:color w:val="000000"/>
          <w:sz w:val="24"/>
          <w:szCs w:val="24"/>
        </w:rPr>
        <w:t xml:space="preserve">, E., &amp; </w:t>
      </w:r>
      <w:proofErr w:type="spellStart"/>
      <w:r>
        <w:rPr>
          <w:rFonts w:ascii="Times New Roman" w:eastAsia="Times New Roman" w:hAnsi="Times New Roman" w:cs="Times New Roman"/>
          <w:color w:val="000000"/>
          <w:sz w:val="24"/>
          <w:szCs w:val="24"/>
        </w:rPr>
        <w:t>Kanste</w:t>
      </w:r>
      <w:proofErr w:type="spellEnd"/>
      <w:r>
        <w:rPr>
          <w:rFonts w:ascii="Times New Roman" w:eastAsia="Times New Roman" w:hAnsi="Times New Roman" w:cs="Times New Roman"/>
          <w:color w:val="000000"/>
          <w:sz w:val="24"/>
          <w:szCs w:val="24"/>
        </w:rPr>
        <w:t>, O. (2023). Patients' experiences of patient‐centred care in hospital settings: A systematic review of qualitative studies. Scandinavian Journal of Caring Sciences, 37(4), 1001–1015.</w:t>
      </w:r>
    </w:p>
    <w:p w14:paraId="6FE2F291"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Hidayat, R., </w:t>
      </w:r>
      <w:proofErr w:type="spellStart"/>
      <w:r>
        <w:rPr>
          <w:rFonts w:ascii="Times New Roman" w:eastAsia="Times New Roman" w:hAnsi="Times New Roman" w:cs="Times New Roman"/>
          <w:color w:val="000000"/>
          <w:sz w:val="24"/>
          <w:szCs w:val="24"/>
        </w:rPr>
        <w:t>Menhard</w:t>
      </w:r>
      <w:proofErr w:type="spellEnd"/>
      <w:r>
        <w:rPr>
          <w:rFonts w:ascii="Times New Roman" w:eastAsia="Times New Roman" w:hAnsi="Times New Roman" w:cs="Times New Roman"/>
          <w:color w:val="000000"/>
          <w:sz w:val="24"/>
          <w:szCs w:val="24"/>
        </w:rPr>
        <w:t xml:space="preserve">, M., Charli, C. O., </w:t>
      </w:r>
      <w:proofErr w:type="spellStart"/>
      <w:r>
        <w:rPr>
          <w:rFonts w:ascii="Times New Roman" w:eastAsia="Times New Roman" w:hAnsi="Times New Roman" w:cs="Times New Roman"/>
          <w:color w:val="000000"/>
          <w:sz w:val="24"/>
          <w:szCs w:val="24"/>
        </w:rPr>
        <w:t>Masnum</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Hartoyo</w:t>
      </w:r>
      <w:proofErr w:type="spellEnd"/>
      <w:r>
        <w:rPr>
          <w:rFonts w:ascii="Times New Roman" w:eastAsia="Times New Roman" w:hAnsi="Times New Roman" w:cs="Times New Roman"/>
          <w:color w:val="000000"/>
          <w:sz w:val="24"/>
          <w:szCs w:val="24"/>
        </w:rPr>
        <w:t>, B. (2023). Determination Purchase Intention and Purchase Decision: Brand Image and Promotion Analysis (Marketing Management Literature Review). Dinasti International Journal of Economics, Finance &amp; Accounting (DIJEFA), 4(1).</w:t>
      </w:r>
    </w:p>
    <w:p w14:paraId="7080919E"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Holmlund, M., Van Vaerenbergh, Y., </w:t>
      </w:r>
      <w:proofErr w:type="spellStart"/>
      <w:r>
        <w:rPr>
          <w:rFonts w:ascii="Times New Roman" w:eastAsia="Times New Roman" w:hAnsi="Times New Roman" w:cs="Times New Roman"/>
          <w:color w:val="000000"/>
          <w:sz w:val="24"/>
          <w:szCs w:val="24"/>
        </w:rPr>
        <w:t>Ciuchita</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Ravald</w:t>
      </w:r>
      <w:proofErr w:type="spellEnd"/>
      <w:r>
        <w:rPr>
          <w:rFonts w:ascii="Times New Roman" w:eastAsia="Times New Roman" w:hAnsi="Times New Roman" w:cs="Times New Roman"/>
          <w:color w:val="000000"/>
          <w:sz w:val="24"/>
          <w:szCs w:val="24"/>
        </w:rPr>
        <w:t>, A., Sarantopoulos, P., Ordenes, F. V., &amp; Zaki, M. (2020). Customer experience management in the age of big data analytics: A strategic framework. Journal of business research, 116, 356-365.</w:t>
      </w:r>
    </w:p>
    <w:p w14:paraId="0F5F5ECD"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Inaray</w:t>
      </w:r>
      <w:proofErr w:type="spellEnd"/>
      <w:r>
        <w:rPr>
          <w:rFonts w:ascii="Times New Roman" w:eastAsia="Times New Roman" w:hAnsi="Times New Roman" w:cs="Times New Roman"/>
          <w:color w:val="000000"/>
          <w:sz w:val="24"/>
          <w:szCs w:val="24"/>
        </w:rPr>
        <w:t xml:space="preserve">, A. C. P., Soewignyo, F., </w:t>
      </w:r>
      <w:proofErr w:type="spellStart"/>
      <w:r>
        <w:rPr>
          <w:rFonts w:ascii="Times New Roman" w:eastAsia="Times New Roman" w:hAnsi="Times New Roman" w:cs="Times New Roman"/>
          <w:color w:val="000000"/>
          <w:sz w:val="24"/>
          <w:szCs w:val="24"/>
        </w:rPr>
        <w:t>Sumanti</w:t>
      </w:r>
      <w:proofErr w:type="spellEnd"/>
      <w:r>
        <w:rPr>
          <w:rFonts w:ascii="Times New Roman" w:eastAsia="Times New Roman" w:hAnsi="Times New Roman" w:cs="Times New Roman"/>
          <w:color w:val="000000"/>
          <w:sz w:val="24"/>
          <w:szCs w:val="24"/>
        </w:rPr>
        <w:t xml:space="preserve">, E. R., &amp; </w:t>
      </w:r>
      <w:proofErr w:type="spellStart"/>
      <w:r>
        <w:rPr>
          <w:rFonts w:ascii="Times New Roman" w:eastAsia="Times New Roman" w:hAnsi="Times New Roman" w:cs="Times New Roman"/>
          <w:color w:val="000000"/>
          <w:sz w:val="24"/>
          <w:szCs w:val="24"/>
        </w:rPr>
        <w:t>Mandagi</w:t>
      </w:r>
      <w:proofErr w:type="spellEnd"/>
      <w:r>
        <w:rPr>
          <w:rFonts w:ascii="Times New Roman" w:eastAsia="Times New Roman" w:hAnsi="Times New Roman" w:cs="Times New Roman"/>
          <w:color w:val="000000"/>
          <w:sz w:val="24"/>
          <w:szCs w:val="24"/>
        </w:rPr>
        <w:t>, D. W. (2024). Exploring the nexus between service quality, patient satisfaction, and recommendation intentions in faith-based hospital settings. EKUITAS (</w:t>
      </w:r>
      <w:proofErr w:type="spellStart"/>
      <w:r>
        <w:rPr>
          <w:rFonts w:ascii="Times New Roman" w:eastAsia="Times New Roman" w:hAnsi="Times New Roman" w:cs="Times New Roman"/>
          <w:color w:val="000000"/>
          <w:sz w:val="24"/>
          <w:szCs w:val="24"/>
        </w:rPr>
        <w:t>Jurnal</w:t>
      </w:r>
      <w:proofErr w:type="spellEnd"/>
      <w:r>
        <w:rPr>
          <w:rFonts w:ascii="Times New Roman" w:eastAsia="Times New Roman" w:hAnsi="Times New Roman" w:cs="Times New Roman"/>
          <w:color w:val="000000"/>
          <w:sz w:val="24"/>
          <w:szCs w:val="24"/>
        </w:rPr>
        <w:t xml:space="preserve"> Ekonomi dan </w:t>
      </w:r>
      <w:proofErr w:type="spellStart"/>
      <w:r>
        <w:rPr>
          <w:rFonts w:ascii="Times New Roman" w:eastAsia="Times New Roman" w:hAnsi="Times New Roman" w:cs="Times New Roman"/>
          <w:color w:val="000000"/>
          <w:sz w:val="24"/>
          <w:szCs w:val="24"/>
        </w:rPr>
        <w:t>Keuangan</w:t>
      </w:r>
      <w:proofErr w:type="spellEnd"/>
      <w:r>
        <w:rPr>
          <w:rFonts w:ascii="Times New Roman" w:eastAsia="Times New Roman" w:hAnsi="Times New Roman" w:cs="Times New Roman"/>
          <w:color w:val="000000"/>
          <w:sz w:val="24"/>
          <w:szCs w:val="24"/>
        </w:rPr>
        <w:t>), 8(3), 398-417.</w:t>
      </w:r>
    </w:p>
    <w:p w14:paraId="58C49073"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India Brand Equity Foundation (IBEF). (2025). Healthcare industry in India.</w:t>
      </w:r>
      <w:r>
        <w:rPr>
          <w:rFonts w:ascii="Times New Roman" w:eastAsia="Times New Roman" w:hAnsi="Times New Roman" w:cs="Times New Roman"/>
          <w:color w:val="000000"/>
          <w:sz w:val="24"/>
          <w:szCs w:val="24"/>
        </w:rPr>
        <w:br/>
      </w:r>
      <w:hyperlink r:id="rId17">
        <w:r w:rsidR="001A78F4">
          <w:rPr>
            <w:rFonts w:ascii="Times New Roman" w:eastAsia="Times New Roman" w:hAnsi="Times New Roman" w:cs="Times New Roman"/>
            <w:color w:val="0563C1"/>
            <w:sz w:val="24"/>
            <w:szCs w:val="24"/>
            <w:u w:val="single"/>
          </w:rPr>
          <w:t>https://www.ibef.org/industry/healthcare-india</w:t>
        </w:r>
      </w:hyperlink>
    </w:p>
    <w:p w14:paraId="07E66B8A"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Irdan, I., </w:t>
      </w:r>
      <w:proofErr w:type="spellStart"/>
      <w:r>
        <w:rPr>
          <w:rFonts w:ascii="Times New Roman" w:eastAsia="Times New Roman" w:hAnsi="Times New Roman" w:cs="Times New Roman"/>
          <w:color w:val="000000"/>
          <w:sz w:val="24"/>
          <w:szCs w:val="24"/>
        </w:rPr>
        <w:t>Kusumapradja</w:t>
      </w:r>
      <w:proofErr w:type="spellEnd"/>
      <w:r>
        <w:rPr>
          <w:rFonts w:ascii="Times New Roman" w:eastAsia="Times New Roman" w:hAnsi="Times New Roman" w:cs="Times New Roman"/>
          <w:color w:val="000000"/>
          <w:sz w:val="24"/>
          <w:szCs w:val="24"/>
        </w:rPr>
        <w:t>, R., &amp; Ramadhan, Y. (2024). The effect of brand image and medical quality on intention of re-visit with word of mouth as a mediating variable among patients. International Journal of Nursing and Health Services, 7(4), 139–147.</w:t>
      </w:r>
    </w:p>
    <w:p w14:paraId="2DB845DB"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7" w:name="_heading=h.petwshdi26x" w:colFirst="0" w:colLast="0"/>
      <w:bookmarkEnd w:id="7"/>
      <w:r>
        <w:rPr>
          <w:rFonts w:ascii="Times New Roman" w:eastAsia="Times New Roman" w:hAnsi="Times New Roman" w:cs="Times New Roman"/>
          <w:color w:val="000000"/>
          <w:sz w:val="24"/>
          <w:szCs w:val="24"/>
        </w:rPr>
        <w:t xml:space="preserve">Islam, S. B., Bhat, S. A., Darzi, M. A., &amp; Khursheed, S. O. (2024). Investigating patient revisit intention in community health centres: a mediational study. International Journal of Pharmaceutical and Healthcare Marketing. </w:t>
      </w:r>
      <w:hyperlink r:id="rId18">
        <w:r w:rsidR="001A78F4">
          <w:rPr>
            <w:rFonts w:ascii="Times New Roman" w:eastAsia="Times New Roman" w:hAnsi="Times New Roman" w:cs="Times New Roman"/>
            <w:color w:val="0563C1"/>
            <w:sz w:val="24"/>
            <w:szCs w:val="24"/>
            <w:u w:val="single"/>
          </w:rPr>
          <w:t>https://doi.org/10.1108/IJPHM-11-2023-0102</w:t>
        </w:r>
      </w:hyperlink>
    </w:p>
    <w:p w14:paraId="115CA94B"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Izza, I., </w:t>
      </w:r>
      <w:proofErr w:type="spellStart"/>
      <w:r>
        <w:rPr>
          <w:rFonts w:ascii="Times New Roman" w:eastAsia="Times New Roman" w:hAnsi="Times New Roman" w:cs="Times New Roman"/>
          <w:color w:val="000000"/>
          <w:sz w:val="24"/>
          <w:szCs w:val="24"/>
        </w:rPr>
        <w:t>Setianto</w:t>
      </w:r>
      <w:proofErr w:type="spellEnd"/>
      <w:r>
        <w:rPr>
          <w:rFonts w:ascii="Times New Roman" w:eastAsia="Times New Roman" w:hAnsi="Times New Roman" w:cs="Times New Roman"/>
          <w:color w:val="000000"/>
          <w:sz w:val="24"/>
          <w:szCs w:val="24"/>
        </w:rPr>
        <w:t xml:space="preserve">, B., &amp; </w:t>
      </w:r>
      <w:proofErr w:type="spellStart"/>
      <w:r>
        <w:rPr>
          <w:rFonts w:ascii="Times New Roman" w:eastAsia="Times New Roman" w:hAnsi="Times New Roman" w:cs="Times New Roman"/>
          <w:color w:val="000000"/>
          <w:sz w:val="24"/>
          <w:szCs w:val="24"/>
        </w:rPr>
        <w:t>Dhamanti</w:t>
      </w:r>
      <w:proofErr w:type="spellEnd"/>
      <w:r>
        <w:rPr>
          <w:rFonts w:ascii="Times New Roman" w:eastAsia="Times New Roman" w:hAnsi="Times New Roman" w:cs="Times New Roman"/>
          <w:color w:val="000000"/>
          <w:sz w:val="24"/>
          <w:szCs w:val="24"/>
        </w:rPr>
        <w:t xml:space="preserve">, I. (2021). </w:t>
      </w:r>
      <w:proofErr w:type="spellStart"/>
      <w:r>
        <w:rPr>
          <w:rFonts w:ascii="Times New Roman" w:eastAsia="Times New Roman" w:hAnsi="Times New Roman" w:cs="Times New Roman"/>
          <w:color w:val="000000"/>
          <w:sz w:val="24"/>
          <w:szCs w:val="24"/>
        </w:rPr>
        <w:t>Pengaruh</w:t>
      </w:r>
      <w:proofErr w:type="spellEnd"/>
      <w:r>
        <w:rPr>
          <w:rFonts w:ascii="Times New Roman" w:eastAsia="Times New Roman" w:hAnsi="Times New Roman" w:cs="Times New Roman"/>
          <w:color w:val="000000"/>
          <w:sz w:val="24"/>
          <w:szCs w:val="24"/>
        </w:rPr>
        <w:t xml:space="preserve"> Internal Service Quality (INTQUAL)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Kepuasan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Karyawan</w:t>
      </w:r>
      <w:proofErr w:type="spellEnd"/>
      <w:r>
        <w:rPr>
          <w:rFonts w:ascii="Times New Roman" w:eastAsia="Times New Roman" w:hAnsi="Times New Roman" w:cs="Times New Roman"/>
          <w:color w:val="000000"/>
          <w:sz w:val="24"/>
          <w:szCs w:val="24"/>
        </w:rPr>
        <w:t xml:space="preserve"> di RS Islam Ahmad Yani Surabaya. </w:t>
      </w:r>
      <w:proofErr w:type="spellStart"/>
      <w:r>
        <w:rPr>
          <w:rFonts w:ascii="Times New Roman" w:eastAsia="Times New Roman" w:hAnsi="Times New Roman" w:cs="Times New Roman"/>
          <w:color w:val="000000"/>
          <w:sz w:val="24"/>
          <w:szCs w:val="24"/>
        </w:rPr>
        <w:t>Jurnal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Kesehatan Indonesia, 9(2), 78–86. https://doi.org/10.14710/jmki.9.2.2021.78-86</w:t>
      </w:r>
    </w:p>
    <w:p w14:paraId="2AD767B5"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Jiang, Q., &amp; Pan, J. (2020). The evolving hospital market in China after the 2009 healthcare reform. Inquiry: The Journal of Health Care Organisation, Provision, and Financing, 57, 0046958020968783. </w:t>
      </w:r>
      <w:hyperlink r:id="rId19">
        <w:r w:rsidR="001A78F4">
          <w:rPr>
            <w:rFonts w:ascii="Times New Roman" w:eastAsia="Times New Roman" w:hAnsi="Times New Roman" w:cs="Times New Roman"/>
            <w:color w:val="0563C1"/>
            <w:sz w:val="24"/>
            <w:szCs w:val="24"/>
            <w:u w:val="single"/>
          </w:rPr>
          <w:t>https://doi.org/10.1177/0046958020968783</w:t>
        </w:r>
      </w:hyperlink>
      <w:r>
        <w:rPr>
          <w:rFonts w:ascii="Times New Roman" w:eastAsia="Times New Roman" w:hAnsi="Times New Roman" w:cs="Times New Roman"/>
          <w:color w:val="000000"/>
          <w:sz w:val="24"/>
          <w:szCs w:val="24"/>
        </w:rPr>
        <w:t>.</w:t>
      </w:r>
    </w:p>
    <w:p w14:paraId="24B24CD8"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Jin, S. V. (2022). Influence of brand image on consumer behaviour in higher education. International Journal of Educational Management, 36(5), 987–1002. </w:t>
      </w:r>
      <w:hyperlink r:id="rId20">
        <w:r w:rsidR="001A78F4">
          <w:rPr>
            <w:rFonts w:ascii="Times New Roman" w:eastAsia="Times New Roman" w:hAnsi="Times New Roman" w:cs="Times New Roman"/>
            <w:color w:val="0563C1"/>
            <w:sz w:val="24"/>
            <w:szCs w:val="24"/>
            <w:u w:val="single"/>
          </w:rPr>
          <w:t>https://doi.org/10.1108/IJEM-09-2021-0375</w:t>
        </w:r>
      </w:hyperlink>
    </w:p>
    <w:p w14:paraId="673AB5E3"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Jung, Y. S., Yang, H. Y., Choi, Y. H., Kim, E. K., Jeong, S. H., &amp; Cho, M. J. (2018). Factors affecting the use of word-of-mouth by dental patients. International Dental Journal, 68(5), 314–319. </w:t>
      </w:r>
      <w:hyperlink r:id="rId21">
        <w:r w:rsidR="001A78F4">
          <w:rPr>
            <w:rFonts w:ascii="Times New Roman" w:eastAsia="Times New Roman" w:hAnsi="Times New Roman" w:cs="Times New Roman"/>
            <w:color w:val="0563C1"/>
            <w:sz w:val="24"/>
            <w:szCs w:val="24"/>
            <w:u w:val="single"/>
          </w:rPr>
          <w:t>https://doi.org/10.1111/idj.12387</w:t>
        </w:r>
      </w:hyperlink>
      <w:r>
        <w:rPr>
          <w:rFonts w:ascii="Times New Roman" w:eastAsia="Times New Roman" w:hAnsi="Times New Roman" w:cs="Times New Roman"/>
          <w:color w:val="000000"/>
          <w:sz w:val="24"/>
          <w:szCs w:val="24"/>
        </w:rPr>
        <w:t>.</w:t>
      </w:r>
    </w:p>
    <w:p w14:paraId="5260A0E0"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Kang, H., Kim, M., &amp; Kim, S. (2020). </w:t>
      </w:r>
      <w:r>
        <w:rPr>
          <w:rFonts w:ascii="Times New Roman" w:eastAsia="Times New Roman" w:hAnsi="Times New Roman" w:cs="Times New Roman"/>
          <w:color w:val="000000"/>
          <w:sz w:val="24"/>
          <w:szCs w:val="24"/>
        </w:rPr>
        <w:t>The role of patient engagement in improving patient satisfaction and loyalty. Health Care Management Review, 45(3), 250–260.</w:t>
      </w:r>
    </w:p>
    <w:p w14:paraId="6008A24A"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Khan, I., &amp; Fatma, M. (2023). Understanding the influence of CPE on brand image and brand commitment: The mediating role of brand identification. Sustainability, 15(3), 2291. </w:t>
      </w:r>
      <w:hyperlink r:id="rId22">
        <w:r w:rsidR="001A78F4">
          <w:rPr>
            <w:rFonts w:ascii="Times New Roman" w:eastAsia="Times New Roman" w:hAnsi="Times New Roman" w:cs="Times New Roman"/>
            <w:color w:val="0563C1"/>
            <w:sz w:val="24"/>
            <w:szCs w:val="24"/>
            <w:u w:val="single"/>
          </w:rPr>
          <w:t>https://doi.org/10.3390/su15032291</w:t>
        </w:r>
      </w:hyperlink>
      <w:r>
        <w:rPr>
          <w:rFonts w:ascii="Times New Roman" w:eastAsia="Times New Roman" w:hAnsi="Times New Roman" w:cs="Times New Roman"/>
          <w:color w:val="000000"/>
          <w:sz w:val="24"/>
          <w:szCs w:val="24"/>
        </w:rPr>
        <w:t>.</w:t>
      </w:r>
    </w:p>
    <w:p w14:paraId="4646E6D2"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Khasanah</w:t>
      </w:r>
      <w:proofErr w:type="spellEnd"/>
      <w:r>
        <w:rPr>
          <w:rFonts w:ascii="Times New Roman" w:eastAsia="Times New Roman" w:hAnsi="Times New Roman" w:cs="Times New Roman"/>
          <w:color w:val="000000"/>
          <w:sz w:val="24"/>
          <w:szCs w:val="24"/>
        </w:rPr>
        <w:t xml:space="preserve">, UU, &amp; Mahendri, W. (2023). The Influence of Quality Service and Price Perceptions on Patient Return Visit Intentions through Satisfaction at </w:t>
      </w:r>
      <w:proofErr w:type="spellStart"/>
      <w:r>
        <w:rPr>
          <w:rFonts w:ascii="Times New Roman" w:eastAsia="Times New Roman" w:hAnsi="Times New Roman" w:cs="Times New Roman"/>
          <w:color w:val="000000"/>
          <w:sz w:val="24"/>
          <w:szCs w:val="24"/>
        </w:rPr>
        <w:t>Ngimbang</w:t>
      </w:r>
      <w:proofErr w:type="spellEnd"/>
      <w:r>
        <w:rPr>
          <w:rFonts w:ascii="Times New Roman" w:eastAsia="Times New Roman" w:hAnsi="Times New Roman" w:cs="Times New Roman"/>
          <w:color w:val="000000"/>
          <w:sz w:val="24"/>
          <w:szCs w:val="24"/>
        </w:rPr>
        <w:t xml:space="preserve"> Public Health </w:t>
      </w:r>
      <w:proofErr w:type="spellStart"/>
      <w:r>
        <w:rPr>
          <w:rFonts w:ascii="Times New Roman" w:eastAsia="Times New Roman" w:hAnsi="Times New Roman" w:cs="Times New Roman"/>
          <w:color w:val="000000"/>
          <w:sz w:val="24"/>
          <w:szCs w:val="24"/>
        </w:rPr>
        <w:t>Center</w:t>
      </w:r>
      <w:proofErr w:type="spellEnd"/>
      <w:r>
        <w:rPr>
          <w:rFonts w:ascii="Times New Roman" w:eastAsia="Times New Roman" w:hAnsi="Times New Roman" w:cs="Times New Roman"/>
          <w:color w:val="000000"/>
          <w:sz w:val="24"/>
          <w:szCs w:val="24"/>
        </w:rPr>
        <w:t xml:space="preserve">. Focus Media Business Review Management and Accounting, 22 (1), 85–96. </w:t>
      </w:r>
      <w:hyperlink r:id="rId23">
        <w:r w:rsidR="001A78F4">
          <w:rPr>
            <w:rFonts w:ascii="Times New Roman" w:eastAsia="Times New Roman" w:hAnsi="Times New Roman" w:cs="Times New Roman"/>
            <w:color w:val="0563C1"/>
            <w:sz w:val="24"/>
            <w:szCs w:val="24"/>
            <w:u w:val="single"/>
          </w:rPr>
          <w:t>https://doi.org/10.32639/fokbis.v22i1.384</w:t>
        </w:r>
      </w:hyperlink>
    </w:p>
    <w:p w14:paraId="2911DC62"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Khoo, K. L. (2022). A study of service quality, corporate image, customer satisfaction, revisit intention and word-of-mouth: evidence from the KTV industry. PSU Research Review, 6(2), 105–119.https://doi.org/10.1108/PRR-08-2019-0029.</w:t>
      </w:r>
    </w:p>
    <w:p w14:paraId="2D406A21"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Kim, E.-J., Sim, G. S., &amp; Kim, D.-H. (2021). </w:t>
      </w:r>
      <w:r>
        <w:rPr>
          <w:rFonts w:ascii="Times New Roman" w:eastAsia="Times New Roman" w:hAnsi="Times New Roman" w:cs="Times New Roman"/>
          <w:color w:val="000000"/>
          <w:sz w:val="24"/>
          <w:szCs w:val="24"/>
        </w:rPr>
        <w:t>The Effect of Type of Communication by Physical Therapists on Patient Satisfaction and Revisit Intention. The Journal of Korean Physical Therapy, 33(5), 245–251. https://doi.org/10.18857/jkpt.2021.33.5.245</w:t>
      </w:r>
    </w:p>
    <w:p w14:paraId="1B343541"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Kim, R. B., &amp; Chao, Y. (2019). Effects of brand experience, brand image and brand trust on brand building process: The case of Chinese millennial consumers. Journal of International Studies, 12(3), 9–21.</w:t>
      </w:r>
    </w:p>
    <w:p w14:paraId="3CEBBA1B"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Kline, R. B. (2016). Principles and practice of structural equation modelling (4th ed.). Guilford.</w:t>
      </w:r>
    </w:p>
    <w:p w14:paraId="3A4F8031"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Kruse, C. S., Krowski, N., Rodriguez, B., Tran, L., Vela, J., &amp; Brooks, M. (2017). Telehealth and patient satisfaction: a systematic review and narrative analysis. BMJ open, 7(8), e016242.</w:t>
      </w:r>
    </w:p>
    <w:p w14:paraId="16F59E3C"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Kruse, C. S., Molina-Nava, A., Kapoor, Y., </w:t>
      </w:r>
      <w:proofErr w:type="spellStart"/>
      <w:r>
        <w:rPr>
          <w:rFonts w:ascii="Times New Roman" w:eastAsia="Times New Roman" w:hAnsi="Times New Roman" w:cs="Times New Roman"/>
          <w:color w:val="222222"/>
          <w:sz w:val="24"/>
          <w:szCs w:val="24"/>
          <w:highlight w:val="white"/>
        </w:rPr>
        <w:t>Anerobi</w:t>
      </w:r>
      <w:proofErr w:type="spellEnd"/>
      <w:r>
        <w:rPr>
          <w:rFonts w:ascii="Times New Roman" w:eastAsia="Times New Roman" w:hAnsi="Times New Roman" w:cs="Times New Roman"/>
          <w:color w:val="222222"/>
          <w:sz w:val="24"/>
          <w:szCs w:val="24"/>
          <w:highlight w:val="white"/>
        </w:rPr>
        <w:t xml:space="preserve">, C., &amp; Maddukuri, H. (2023). </w:t>
      </w:r>
      <w:proofErr w:type="spellStart"/>
      <w:r>
        <w:rPr>
          <w:rFonts w:ascii="Times New Roman" w:eastAsia="Times New Roman" w:hAnsi="Times New Roman" w:cs="Times New Roman"/>
          <w:color w:val="222222"/>
          <w:sz w:val="24"/>
          <w:szCs w:val="24"/>
          <w:highlight w:val="white"/>
        </w:rPr>
        <w:t>Analyzing</w:t>
      </w:r>
      <w:proofErr w:type="spellEnd"/>
      <w:r>
        <w:rPr>
          <w:rFonts w:ascii="Times New Roman" w:eastAsia="Times New Roman" w:hAnsi="Times New Roman" w:cs="Times New Roman"/>
          <w:color w:val="222222"/>
          <w:sz w:val="24"/>
          <w:szCs w:val="24"/>
          <w:highlight w:val="white"/>
        </w:rPr>
        <w:t xml:space="preserve"> the effect of telemedicine on domains of quality through facilitators and </w:t>
      </w:r>
      <w:r>
        <w:rPr>
          <w:rFonts w:ascii="Times New Roman" w:eastAsia="Times New Roman" w:hAnsi="Times New Roman" w:cs="Times New Roman"/>
          <w:color w:val="222222"/>
          <w:sz w:val="24"/>
          <w:szCs w:val="24"/>
          <w:highlight w:val="white"/>
        </w:rPr>
        <w:lastRenderedPageBreak/>
        <w:t>barriers to adoption: systematic review. Journal of Medical Internet Research, 25, e43601.</w:t>
      </w:r>
    </w:p>
    <w:p w14:paraId="67C433BE"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A. (2023) ‘The transformation of the Indian healthcare system’, </w:t>
      </w:r>
      <w:proofErr w:type="spellStart"/>
      <w:r>
        <w:rPr>
          <w:rFonts w:ascii="Times New Roman" w:eastAsia="Times New Roman" w:hAnsi="Times New Roman" w:cs="Times New Roman"/>
          <w:color w:val="000000"/>
          <w:sz w:val="24"/>
          <w:szCs w:val="24"/>
        </w:rPr>
        <w:t>Cureus</w:t>
      </w:r>
      <w:proofErr w:type="spellEnd"/>
      <w:r>
        <w:rPr>
          <w:rFonts w:ascii="Times New Roman" w:eastAsia="Times New Roman" w:hAnsi="Times New Roman" w:cs="Times New Roman"/>
          <w:color w:val="000000"/>
          <w:sz w:val="24"/>
          <w:szCs w:val="24"/>
        </w:rPr>
        <w:t xml:space="preserve">, 15(5), e39079. Available at: </w:t>
      </w:r>
      <w:hyperlink r:id="rId24">
        <w:r w:rsidR="001A78F4">
          <w:rPr>
            <w:rFonts w:ascii="Times New Roman" w:eastAsia="Times New Roman" w:hAnsi="Times New Roman" w:cs="Times New Roman"/>
            <w:color w:val="0563C1"/>
            <w:sz w:val="24"/>
            <w:szCs w:val="24"/>
            <w:u w:val="single"/>
          </w:rPr>
          <w:t>https://doi.org/10.7759/cureus.39079</w:t>
        </w:r>
      </w:hyperlink>
    </w:p>
    <w:p w14:paraId="6D01F8F5"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 K. P., Yuen, Y. Y., &amp; Chong, S. C. (2020). The effects of service quality and perceived price on revisit intention of patients: The Malaysian context. International Journal of Quality and Service Sciences, 12(4), 541–558.</w:t>
      </w:r>
    </w:p>
    <w:p w14:paraId="7FB8AF49"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Lee, C., &amp; Kim, S. (2020). Patient Fidelity to Medical Services: The Roles of Authenticity and Affective Trust. 11(11), 19–28.</w:t>
      </w:r>
    </w:p>
    <w:p w14:paraId="6B296D17"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8" w:name="_heading=h.nkuve3e5yuzx" w:colFirst="0" w:colLast="0"/>
      <w:bookmarkEnd w:id="8"/>
      <w:r>
        <w:rPr>
          <w:rFonts w:ascii="Times New Roman" w:eastAsia="Times New Roman" w:hAnsi="Times New Roman" w:cs="Times New Roman"/>
          <w:color w:val="000000"/>
          <w:sz w:val="24"/>
          <w:szCs w:val="24"/>
        </w:rPr>
        <w:t xml:space="preserve">Lestari, V. (2023). Strategic Approaches to Marketing Management in Contemporary Business Environments. Advances: </w:t>
      </w:r>
      <w:proofErr w:type="spellStart"/>
      <w:r>
        <w:rPr>
          <w:rFonts w:ascii="Times New Roman" w:eastAsia="Times New Roman" w:hAnsi="Times New Roman" w:cs="Times New Roman"/>
          <w:color w:val="000000"/>
          <w:sz w:val="24"/>
          <w:szCs w:val="24"/>
        </w:rPr>
        <w:t>Jurnal</w:t>
      </w:r>
      <w:proofErr w:type="spellEnd"/>
      <w:r>
        <w:rPr>
          <w:rFonts w:ascii="Times New Roman" w:eastAsia="Times New Roman" w:hAnsi="Times New Roman" w:cs="Times New Roman"/>
          <w:color w:val="000000"/>
          <w:sz w:val="24"/>
          <w:szCs w:val="24"/>
        </w:rPr>
        <w:t xml:space="preserve"> Ekonomi &amp; </w:t>
      </w:r>
      <w:proofErr w:type="spellStart"/>
      <w:r>
        <w:rPr>
          <w:rFonts w:ascii="Times New Roman" w:eastAsia="Times New Roman" w:hAnsi="Times New Roman" w:cs="Times New Roman"/>
          <w:color w:val="000000"/>
          <w:sz w:val="24"/>
          <w:szCs w:val="24"/>
        </w:rPr>
        <w:t>Bisnis</w:t>
      </w:r>
      <w:proofErr w:type="spellEnd"/>
      <w:r>
        <w:rPr>
          <w:rFonts w:ascii="Times New Roman" w:eastAsia="Times New Roman" w:hAnsi="Times New Roman" w:cs="Times New Roman"/>
          <w:color w:val="000000"/>
          <w:sz w:val="24"/>
          <w:szCs w:val="24"/>
        </w:rPr>
        <w:t>, 1(5), 255-268</w:t>
      </w:r>
    </w:p>
    <w:p w14:paraId="2F4B0903"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Mandagi</w:t>
      </w:r>
      <w:proofErr w:type="spellEnd"/>
      <w:r>
        <w:rPr>
          <w:rFonts w:ascii="Times New Roman" w:eastAsia="Times New Roman" w:hAnsi="Times New Roman" w:cs="Times New Roman"/>
          <w:color w:val="000000"/>
          <w:sz w:val="24"/>
          <w:szCs w:val="24"/>
        </w:rPr>
        <w:t xml:space="preserve">, D. W., </w:t>
      </w:r>
      <w:proofErr w:type="spellStart"/>
      <w:r>
        <w:rPr>
          <w:rFonts w:ascii="Times New Roman" w:eastAsia="Times New Roman" w:hAnsi="Times New Roman" w:cs="Times New Roman"/>
          <w:color w:val="000000"/>
          <w:sz w:val="24"/>
          <w:szCs w:val="24"/>
        </w:rPr>
        <w:t>Rampen</w:t>
      </w:r>
      <w:proofErr w:type="spellEnd"/>
      <w:r>
        <w:rPr>
          <w:rFonts w:ascii="Times New Roman" w:eastAsia="Times New Roman" w:hAnsi="Times New Roman" w:cs="Times New Roman"/>
          <w:color w:val="000000"/>
          <w:sz w:val="24"/>
          <w:szCs w:val="24"/>
        </w:rPr>
        <w:t xml:space="preserve">, D. C., </w:t>
      </w:r>
      <w:proofErr w:type="spellStart"/>
      <w:r>
        <w:rPr>
          <w:rFonts w:ascii="Times New Roman" w:eastAsia="Times New Roman" w:hAnsi="Times New Roman" w:cs="Times New Roman"/>
          <w:color w:val="000000"/>
          <w:sz w:val="24"/>
          <w:szCs w:val="24"/>
        </w:rPr>
        <w:t>Soewignyo</w:t>
      </w:r>
      <w:proofErr w:type="spellEnd"/>
      <w:r>
        <w:rPr>
          <w:rFonts w:ascii="Times New Roman" w:eastAsia="Times New Roman" w:hAnsi="Times New Roman" w:cs="Times New Roman"/>
          <w:color w:val="000000"/>
          <w:sz w:val="24"/>
          <w:szCs w:val="24"/>
        </w:rPr>
        <w:t xml:space="preserve">, T. I., &amp; </w:t>
      </w:r>
      <w:proofErr w:type="spellStart"/>
      <w:r>
        <w:rPr>
          <w:rFonts w:ascii="Times New Roman" w:eastAsia="Times New Roman" w:hAnsi="Times New Roman" w:cs="Times New Roman"/>
          <w:color w:val="000000"/>
          <w:sz w:val="24"/>
          <w:szCs w:val="24"/>
        </w:rPr>
        <w:t>Walean</w:t>
      </w:r>
      <w:proofErr w:type="spellEnd"/>
      <w:r>
        <w:rPr>
          <w:rFonts w:ascii="Times New Roman" w:eastAsia="Times New Roman" w:hAnsi="Times New Roman" w:cs="Times New Roman"/>
          <w:color w:val="000000"/>
          <w:sz w:val="24"/>
          <w:szCs w:val="24"/>
        </w:rPr>
        <w:t>, R. H. (2024). Empirical nexus of hospital brand gestalt, patient satisfaction, and revisit intention. International Journal of Pharmaceutical and Healthcare Marketing, 18(2), 215-236.</w:t>
      </w:r>
    </w:p>
    <w:p w14:paraId="6CA58317"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Mansoor, M., Paul, J., Khan, T. I., </w:t>
      </w:r>
      <w:proofErr w:type="spellStart"/>
      <w:r>
        <w:rPr>
          <w:rFonts w:ascii="Times New Roman" w:eastAsia="Times New Roman" w:hAnsi="Times New Roman" w:cs="Times New Roman"/>
          <w:color w:val="000000"/>
          <w:sz w:val="24"/>
          <w:szCs w:val="24"/>
        </w:rPr>
        <w:t>Abukhait</w:t>
      </w:r>
      <w:proofErr w:type="spellEnd"/>
      <w:r>
        <w:rPr>
          <w:rFonts w:ascii="Times New Roman" w:eastAsia="Times New Roman" w:hAnsi="Times New Roman" w:cs="Times New Roman"/>
          <w:color w:val="000000"/>
          <w:sz w:val="24"/>
          <w:szCs w:val="24"/>
        </w:rPr>
        <w:t>, R., &amp; Hussain, D. (2025). Customer evangelists: Elevating hospitality through digital competence, brand image, and corporate social responsibility. International Journal of Hospitality Management, 126, 104085.</w:t>
      </w:r>
    </w:p>
    <w:p w14:paraId="24A302BE"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Meesala</w:t>
      </w:r>
      <w:proofErr w:type="spellEnd"/>
      <w:r>
        <w:rPr>
          <w:rFonts w:ascii="Times New Roman" w:eastAsia="Times New Roman" w:hAnsi="Times New Roman" w:cs="Times New Roman"/>
          <w:color w:val="000000"/>
          <w:sz w:val="24"/>
          <w:szCs w:val="24"/>
        </w:rPr>
        <w:t>, A., &amp; Paul, J. (2018). Service quality, consumer satisfaction and loyalty in hospitals: Thinking for the future. Journal of Retailing and Consumer Services, 40, 261–269.</w:t>
      </w:r>
    </w:p>
    <w:p w14:paraId="1CACF064"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Melinda, R., &amp; Faried, A. I. (2019). Patient-centred care and hospital loyalty: Evidence from Indonesia. International Journal of Healthcare Management, 12(3), 177–184.</w:t>
      </w:r>
    </w:p>
    <w:p w14:paraId="318EFD1A"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Mir, T. A., &amp; Singh, M. (2022). </w:t>
      </w:r>
      <w:r>
        <w:rPr>
          <w:rFonts w:ascii="Times New Roman" w:eastAsia="Times New Roman" w:hAnsi="Times New Roman" w:cs="Times New Roman"/>
          <w:color w:val="000000"/>
          <w:sz w:val="24"/>
          <w:szCs w:val="24"/>
        </w:rPr>
        <w:t>The Indian healthcare sector and the Sustainable Development. Int J Cur Res Rev| Vol, 14(03), 43.</w:t>
      </w:r>
    </w:p>
    <w:p w14:paraId="5590A0F1"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Monfort, A., López-Vázquez, B., &amp; Sebastián-Morillas, A. (2025). Building trust in sustainable brands: revisiting perceived value, satisfaction, customer service, and brand image. Sustainable Technology and Entrepreneurship, 100105.</w:t>
      </w:r>
    </w:p>
    <w:p w14:paraId="287B16DE"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Morgan, R. M., &amp; Hunt, S. D. (1994). The commitment-trust theory of relationship marketing. Journal of Marketing, 58(3), 20–38. </w:t>
      </w:r>
    </w:p>
    <w:p w14:paraId="152909E8"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Morgeson, F. V., Hult, G. T. M., Mithas, S., Keiningham, T., &amp; Fornell, C. (2020). </w:t>
      </w:r>
      <w:r>
        <w:rPr>
          <w:rFonts w:ascii="Times New Roman" w:eastAsia="Times New Roman" w:hAnsi="Times New Roman" w:cs="Times New Roman"/>
          <w:color w:val="000000"/>
          <w:sz w:val="24"/>
          <w:szCs w:val="24"/>
        </w:rPr>
        <w:t xml:space="preserve">Turning complaining customers into loyal customers: Moderators of the complaint handling–customer loyalty relationship. Journal of Marketing, 84(6), 79–99. https://doi.org/10.1177/0022242920929029 </w:t>
      </w:r>
    </w:p>
    <w:p w14:paraId="626DD927"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Nahima, A., Smitha, N., &amp; Yogesh, P. P. (2024). A cross-sectional study on exploring the antecedents of patients’ revisit intention: Mediating role of trust in the hospital among patients in India. F1000Research, 12.</w:t>
      </w:r>
    </w:p>
    <w:p w14:paraId="2B309F23"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Negm, E. M., &amp; Ghazal, A. (2022). Commercial organisations’ use of social marketing to foster sustainable relations with consumers through the COVID-19 era. American Journal of Industrial and Business Management, 12(9), 1419–1438. </w:t>
      </w:r>
    </w:p>
    <w:p w14:paraId="0355BFC2"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Neupane, R., &amp; Devkota, M. (2017). Evaluation of the impacts of service quality dimensions on patient/customer satisfaction: A study of private hospitals in Nepal. International Journal of Social Sciences and Management, 4(3), 165–176. </w:t>
      </w:r>
      <w:hyperlink r:id="rId25">
        <w:r w:rsidR="001A78F4">
          <w:rPr>
            <w:rFonts w:ascii="Times New Roman" w:eastAsia="Times New Roman" w:hAnsi="Times New Roman" w:cs="Times New Roman"/>
            <w:color w:val="0563C1"/>
            <w:sz w:val="24"/>
            <w:szCs w:val="24"/>
            <w:u w:val="single"/>
          </w:rPr>
          <w:t>https://doi.org/10.3126/ijssm.v4i3.17520</w:t>
        </w:r>
      </w:hyperlink>
      <w:r>
        <w:rPr>
          <w:rFonts w:ascii="Times New Roman" w:eastAsia="Times New Roman" w:hAnsi="Times New Roman" w:cs="Times New Roman"/>
          <w:color w:val="000000"/>
          <w:sz w:val="24"/>
          <w:szCs w:val="24"/>
        </w:rPr>
        <w:t>.</w:t>
      </w:r>
    </w:p>
    <w:p w14:paraId="0BAA383E"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Nguyen, N. X., Tran, K., &amp; Nguyen, T. A. (2021). Impact of service quality on in-patients’ satisfaction, perceived value, and customer loyalty: A mixed-methods study from a developing country. Patient Preference and Adherence, 15, 2523–2538. </w:t>
      </w:r>
      <w:hyperlink r:id="rId26">
        <w:r w:rsidR="001A78F4">
          <w:rPr>
            <w:rFonts w:ascii="Times New Roman" w:eastAsia="Times New Roman" w:hAnsi="Times New Roman" w:cs="Times New Roman"/>
            <w:color w:val="0563C1"/>
            <w:sz w:val="24"/>
            <w:szCs w:val="24"/>
            <w:u w:val="single"/>
          </w:rPr>
          <w:t>https://doi.org/10.2147/PPA.S333586</w:t>
        </w:r>
      </w:hyperlink>
      <w:r>
        <w:rPr>
          <w:rFonts w:ascii="Times New Roman" w:eastAsia="Times New Roman" w:hAnsi="Times New Roman" w:cs="Times New Roman"/>
          <w:color w:val="000000"/>
          <w:sz w:val="24"/>
          <w:szCs w:val="24"/>
        </w:rPr>
        <w:t>.</w:t>
      </w:r>
    </w:p>
    <w:p w14:paraId="1C3C4FEF"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Noviyani</w:t>
      </w:r>
      <w:proofErr w:type="spellEnd"/>
      <w:r>
        <w:rPr>
          <w:rFonts w:ascii="Times New Roman" w:eastAsia="Times New Roman" w:hAnsi="Times New Roman" w:cs="Times New Roman"/>
          <w:color w:val="222222"/>
          <w:sz w:val="24"/>
          <w:szCs w:val="24"/>
          <w:highlight w:val="white"/>
        </w:rPr>
        <w:t xml:space="preserve">, A., &amp; </w:t>
      </w:r>
      <w:proofErr w:type="spellStart"/>
      <w:r>
        <w:rPr>
          <w:rFonts w:ascii="Times New Roman" w:eastAsia="Times New Roman" w:hAnsi="Times New Roman" w:cs="Times New Roman"/>
          <w:color w:val="222222"/>
          <w:sz w:val="24"/>
          <w:szCs w:val="24"/>
          <w:highlight w:val="white"/>
        </w:rPr>
        <w:t>Viwattanakulvanid</w:t>
      </w:r>
      <w:proofErr w:type="spellEnd"/>
      <w:r>
        <w:rPr>
          <w:rFonts w:ascii="Times New Roman" w:eastAsia="Times New Roman" w:hAnsi="Times New Roman" w:cs="Times New Roman"/>
          <w:color w:val="222222"/>
          <w:sz w:val="24"/>
          <w:szCs w:val="24"/>
          <w:highlight w:val="white"/>
        </w:rPr>
        <w:t>, P. (2025). Service quality as a driver of perceived value satisfaction and revisit intention in Indonesia. Scientific Reports.</w:t>
      </w:r>
    </w:p>
    <w:p w14:paraId="50D33A26"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Nurapni</w:t>
      </w:r>
      <w:proofErr w:type="spellEnd"/>
      <w:r>
        <w:rPr>
          <w:rFonts w:ascii="Times New Roman" w:eastAsia="Times New Roman" w:hAnsi="Times New Roman" w:cs="Times New Roman"/>
          <w:color w:val="000000"/>
          <w:sz w:val="24"/>
          <w:szCs w:val="24"/>
        </w:rPr>
        <w:t xml:space="preserve">, S., Ibrahim, S.S., Pratiwi, D., Munawar, M.R.K., 2024. The Influence of Environmental Awareness, Green Marketing, and Green Attributes Transparency on Purchase Intention Through Corporate Brand Image as a Mediating Variable: A Case Study on Unilever Consumers. Int. J. Bus., Law, Educ. 5 (1), 486–500. </w:t>
      </w:r>
    </w:p>
    <w:p w14:paraId="526A91BB"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O’Connor, P., </w:t>
      </w:r>
      <w:proofErr w:type="spellStart"/>
      <w:r>
        <w:rPr>
          <w:rFonts w:ascii="Times New Roman" w:eastAsia="Times New Roman" w:hAnsi="Times New Roman" w:cs="Times New Roman"/>
          <w:color w:val="000000"/>
          <w:sz w:val="24"/>
          <w:szCs w:val="24"/>
        </w:rPr>
        <w:t>Assaker</w:t>
      </w:r>
      <w:proofErr w:type="spellEnd"/>
      <w:r>
        <w:rPr>
          <w:rFonts w:ascii="Times New Roman" w:eastAsia="Times New Roman" w:hAnsi="Times New Roman" w:cs="Times New Roman"/>
          <w:color w:val="000000"/>
          <w:sz w:val="24"/>
          <w:szCs w:val="24"/>
        </w:rPr>
        <w:t xml:space="preserve">, G., 2022. Examining the antecedents and effects of hotel corporate reputation on customers’ loyalty and citizenship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xml:space="preserve">: an integrated framework. J. Hosp. Mark. Manag. 31 (5), 640–661. </w:t>
      </w:r>
    </w:p>
    <w:p w14:paraId="5D65892D"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Ole, H. C., Sakka, E. W., &amp; </w:t>
      </w:r>
      <w:proofErr w:type="spellStart"/>
      <w:r>
        <w:rPr>
          <w:rFonts w:ascii="Times New Roman" w:eastAsia="Times New Roman" w:hAnsi="Times New Roman" w:cs="Times New Roman"/>
          <w:color w:val="000000"/>
          <w:sz w:val="24"/>
          <w:szCs w:val="24"/>
        </w:rPr>
        <w:t>Mandagi</w:t>
      </w:r>
      <w:proofErr w:type="spellEnd"/>
      <w:r>
        <w:rPr>
          <w:rFonts w:ascii="Times New Roman" w:eastAsia="Times New Roman" w:hAnsi="Times New Roman" w:cs="Times New Roman"/>
          <w:color w:val="000000"/>
          <w:sz w:val="24"/>
          <w:szCs w:val="24"/>
        </w:rPr>
        <w:t xml:space="preserve">, D. W. (2025). Perceived Quality, Brand Trust, Image, and Loyalty as Key Drivers of </w:t>
      </w:r>
      <w:proofErr w:type="gramStart"/>
      <w:r>
        <w:rPr>
          <w:rFonts w:ascii="Times New Roman" w:eastAsia="Times New Roman" w:hAnsi="Times New Roman" w:cs="Times New Roman"/>
          <w:color w:val="000000"/>
          <w:sz w:val="24"/>
          <w:szCs w:val="24"/>
        </w:rPr>
        <w:t>Fast Food</w:t>
      </w:r>
      <w:proofErr w:type="gramEnd"/>
      <w:r>
        <w:rPr>
          <w:rFonts w:ascii="Times New Roman" w:eastAsia="Times New Roman" w:hAnsi="Times New Roman" w:cs="Times New Roman"/>
          <w:color w:val="000000"/>
          <w:sz w:val="24"/>
          <w:szCs w:val="24"/>
        </w:rPr>
        <w:t xml:space="preserve"> Brand Equity. Indonesian Journal of Islamic Economics and Finance, 5(1), 99-124.</w:t>
      </w:r>
    </w:p>
    <w:p w14:paraId="1B4C5FD0"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Ongkaruna, L. A. L., &amp; Kristaung, R. (2023). </w:t>
      </w:r>
      <w:r>
        <w:rPr>
          <w:rFonts w:ascii="Times New Roman" w:eastAsia="Times New Roman" w:hAnsi="Times New Roman" w:cs="Times New Roman"/>
          <w:color w:val="000000"/>
          <w:sz w:val="24"/>
          <w:szCs w:val="24"/>
        </w:rPr>
        <w:t xml:space="preserve">The influence of hospital service quality on patient revisit intention and word-of-mouth in class B private hospitals in Jakarta. American Journal of Open Research, 2(7), 581–593. </w:t>
      </w:r>
      <w:hyperlink r:id="rId27">
        <w:r w:rsidR="001A78F4">
          <w:rPr>
            <w:rFonts w:ascii="Times New Roman" w:eastAsia="Times New Roman" w:hAnsi="Times New Roman" w:cs="Times New Roman"/>
            <w:color w:val="0563C1"/>
            <w:sz w:val="24"/>
            <w:szCs w:val="24"/>
            <w:u w:val="single"/>
          </w:rPr>
          <w:t>https://doi.org/10.58811/opsearch.v2i7.66</w:t>
        </w:r>
      </w:hyperlink>
      <w:r>
        <w:rPr>
          <w:rFonts w:ascii="Times New Roman" w:eastAsia="Times New Roman" w:hAnsi="Times New Roman" w:cs="Times New Roman"/>
          <w:color w:val="000000"/>
          <w:sz w:val="24"/>
          <w:szCs w:val="24"/>
        </w:rPr>
        <w:t xml:space="preserve"> .</w:t>
      </w:r>
    </w:p>
    <w:p w14:paraId="5C046795"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Park, S., Kim, H. K., Choi, M., &amp; Lee, M. (2021). Factors affecting revisit intention for medical services at dental clinics. PLOS ONE, 16(5), e0250546. </w:t>
      </w:r>
    </w:p>
    <w:p w14:paraId="3006A1BC"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Podsakoff, P. M., MacKenzie, S. B., &amp; Podsakoff, N. P. (2012). </w:t>
      </w:r>
      <w:r>
        <w:rPr>
          <w:rFonts w:ascii="Times New Roman" w:eastAsia="Times New Roman" w:hAnsi="Times New Roman" w:cs="Times New Roman"/>
          <w:color w:val="000000"/>
          <w:sz w:val="24"/>
          <w:szCs w:val="24"/>
        </w:rPr>
        <w:t xml:space="preserve">Sources of method bias in social science research and recommendations on how to control it. Annual Review </w:t>
      </w:r>
      <w:r>
        <w:rPr>
          <w:rFonts w:ascii="Times New Roman" w:eastAsia="Times New Roman" w:hAnsi="Times New Roman" w:cs="Times New Roman"/>
          <w:color w:val="000000"/>
          <w:sz w:val="24"/>
          <w:szCs w:val="24"/>
        </w:rPr>
        <w:lastRenderedPageBreak/>
        <w:t xml:space="preserve">of Psychology, 63(1), 539–569. </w:t>
      </w:r>
      <w:hyperlink r:id="rId28">
        <w:r w:rsidR="001A78F4">
          <w:rPr>
            <w:rFonts w:ascii="Times New Roman" w:eastAsia="Times New Roman" w:hAnsi="Times New Roman" w:cs="Times New Roman"/>
            <w:color w:val="0563C1"/>
            <w:sz w:val="24"/>
            <w:szCs w:val="24"/>
            <w:u w:val="single"/>
          </w:rPr>
          <w:t>https://doi.org/10.1146/annurev-psych-120710-100452</w:t>
        </w:r>
      </w:hyperlink>
      <w:r>
        <w:rPr>
          <w:rFonts w:ascii="Times New Roman" w:eastAsia="Times New Roman" w:hAnsi="Times New Roman" w:cs="Times New Roman"/>
          <w:color w:val="000000"/>
          <w:sz w:val="24"/>
          <w:szCs w:val="24"/>
        </w:rPr>
        <w:t xml:space="preserve"> </w:t>
      </w:r>
    </w:p>
    <w:p w14:paraId="097784A3" w14:textId="77777777" w:rsidR="001A78F4"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Puspitasari</w:t>
      </w:r>
      <w:proofErr w:type="spellEnd"/>
      <w:r>
        <w:rPr>
          <w:rFonts w:ascii="Times New Roman" w:eastAsia="Times New Roman" w:hAnsi="Times New Roman" w:cs="Times New Roman"/>
          <w:color w:val="000000"/>
          <w:sz w:val="24"/>
          <w:szCs w:val="24"/>
        </w:rPr>
        <w:t xml:space="preserve">, K. C., &amp; </w:t>
      </w:r>
      <w:proofErr w:type="spellStart"/>
      <w:r>
        <w:rPr>
          <w:rFonts w:ascii="Times New Roman" w:eastAsia="Times New Roman" w:hAnsi="Times New Roman" w:cs="Times New Roman"/>
          <w:color w:val="000000"/>
          <w:sz w:val="24"/>
          <w:szCs w:val="24"/>
        </w:rPr>
        <w:t>Suhermin</w:t>
      </w:r>
      <w:proofErr w:type="spellEnd"/>
      <w:r>
        <w:rPr>
          <w:rFonts w:ascii="Times New Roman" w:eastAsia="Times New Roman" w:hAnsi="Times New Roman" w:cs="Times New Roman"/>
          <w:color w:val="000000"/>
          <w:sz w:val="24"/>
          <w:szCs w:val="24"/>
        </w:rPr>
        <w:t xml:space="preserve">, S. (2017). </w:t>
      </w:r>
      <w:proofErr w:type="spellStart"/>
      <w:r>
        <w:rPr>
          <w:rFonts w:ascii="Times New Roman" w:eastAsia="Times New Roman" w:hAnsi="Times New Roman" w:cs="Times New Roman"/>
          <w:color w:val="000000"/>
          <w:sz w:val="24"/>
          <w:szCs w:val="24"/>
        </w:rPr>
        <w:t>Pengaruh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layanan</w:t>
      </w:r>
      <w:proofErr w:type="spellEnd"/>
      <w:r>
        <w:rPr>
          <w:rFonts w:ascii="Times New Roman" w:eastAsia="Times New Roman" w:hAnsi="Times New Roman" w:cs="Times New Roman"/>
          <w:color w:val="000000"/>
          <w:sz w:val="24"/>
          <w:szCs w:val="24"/>
        </w:rPr>
        <w:t xml:space="preserve">, customer relationship marketing, dan brand image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kepuasan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pasien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Jurnal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Ilmu</w:t>
      </w:r>
      <w:proofErr w:type="spellEnd"/>
      <w:r>
        <w:rPr>
          <w:rFonts w:ascii="Times New Roman" w:eastAsia="Times New Roman" w:hAnsi="Times New Roman" w:cs="Times New Roman"/>
          <w:color w:val="000000"/>
          <w:sz w:val="24"/>
          <w:szCs w:val="24"/>
        </w:rPr>
        <w:t xml:space="preserve"> dan Riset Manajemen, 6(11), 1–15. </w:t>
      </w:r>
    </w:p>
    <w:p w14:paraId="492824CD"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9" w:name="_heading=h.objhtu1csn3p" w:colFirst="0" w:colLast="0"/>
      <w:bookmarkEnd w:id="9"/>
      <w:r>
        <w:rPr>
          <w:rFonts w:ascii="Times New Roman" w:eastAsia="Times New Roman" w:hAnsi="Times New Roman" w:cs="Times New Roman"/>
          <w:color w:val="000000"/>
          <w:sz w:val="24"/>
          <w:szCs w:val="24"/>
        </w:rPr>
        <w:t xml:space="preserve">Putra, T. D. M., </w:t>
      </w:r>
      <w:proofErr w:type="spellStart"/>
      <w:r>
        <w:rPr>
          <w:rFonts w:ascii="Times New Roman" w:eastAsia="Times New Roman" w:hAnsi="Times New Roman" w:cs="Times New Roman"/>
          <w:color w:val="000000"/>
          <w:sz w:val="24"/>
          <w:szCs w:val="24"/>
        </w:rPr>
        <w:t>Romadhona</w:t>
      </w:r>
      <w:proofErr w:type="spellEnd"/>
      <w:r>
        <w:rPr>
          <w:rFonts w:ascii="Times New Roman" w:eastAsia="Times New Roman" w:hAnsi="Times New Roman" w:cs="Times New Roman"/>
          <w:color w:val="000000"/>
          <w:sz w:val="24"/>
          <w:szCs w:val="24"/>
        </w:rPr>
        <w:t xml:space="preserve">, N. L., &amp; Abdullah, T. M. K. (2024). Enhancing patient revisit intention and positive word of mouth: An empirical study of medical tourism. </w:t>
      </w:r>
      <w:proofErr w:type="spellStart"/>
      <w:r>
        <w:rPr>
          <w:rFonts w:ascii="Times New Roman" w:eastAsia="Times New Roman" w:hAnsi="Times New Roman" w:cs="Times New Roman"/>
          <w:color w:val="000000"/>
          <w:sz w:val="24"/>
          <w:szCs w:val="24"/>
        </w:rPr>
        <w:t>Jurnal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Kewirausahaan</w:t>
      </w:r>
      <w:proofErr w:type="spellEnd"/>
      <w:r>
        <w:rPr>
          <w:rFonts w:ascii="Times New Roman" w:eastAsia="Times New Roman" w:hAnsi="Times New Roman" w:cs="Times New Roman"/>
          <w:color w:val="000000"/>
          <w:sz w:val="24"/>
          <w:szCs w:val="24"/>
        </w:rPr>
        <w:t xml:space="preserve">, 12(1), 100–109. </w:t>
      </w:r>
    </w:p>
    <w:p w14:paraId="2418A02B"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Rasheed, R., &amp; Rashid, A. (2024). Role of service quality factors in word of mouth through student satisfaction. </w:t>
      </w:r>
      <w:proofErr w:type="spellStart"/>
      <w:r>
        <w:rPr>
          <w:rFonts w:ascii="Times New Roman" w:eastAsia="Times New Roman" w:hAnsi="Times New Roman" w:cs="Times New Roman"/>
          <w:color w:val="000000"/>
          <w:sz w:val="24"/>
          <w:szCs w:val="24"/>
        </w:rPr>
        <w:t>Kybernetes</w:t>
      </w:r>
      <w:proofErr w:type="spellEnd"/>
      <w:r>
        <w:rPr>
          <w:rFonts w:ascii="Times New Roman" w:eastAsia="Times New Roman" w:hAnsi="Times New Roman" w:cs="Times New Roman"/>
          <w:color w:val="000000"/>
          <w:sz w:val="24"/>
          <w:szCs w:val="24"/>
        </w:rPr>
        <w:t xml:space="preserve">, 53(9), 2854-2870. Rasheed, R., &amp; Rashid, A. (2024). Role of service quality factors in word of mouth through student satisfaction. </w:t>
      </w:r>
      <w:proofErr w:type="spellStart"/>
      <w:r>
        <w:rPr>
          <w:rFonts w:ascii="Times New Roman" w:eastAsia="Times New Roman" w:hAnsi="Times New Roman" w:cs="Times New Roman"/>
          <w:color w:val="000000"/>
          <w:sz w:val="24"/>
          <w:szCs w:val="24"/>
        </w:rPr>
        <w:t>Kybernetes</w:t>
      </w:r>
      <w:proofErr w:type="spellEnd"/>
      <w:r>
        <w:rPr>
          <w:rFonts w:ascii="Times New Roman" w:eastAsia="Times New Roman" w:hAnsi="Times New Roman" w:cs="Times New Roman"/>
          <w:color w:val="000000"/>
          <w:sz w:val="24"/>
          <w:szCs w:val="24"/>
        </w:rPr>
        <w:t>, 53(</w:t>
      </w:r>
    </w:p>
    <w:p w14:paraId="5FC56756"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Ratasuk</w:t>
      </w:r>
      <w:proofErr w:type="spellEnd"/>
      <w:r>
        <w:rPr>
          <w:rFonts w:ascii="Times New Roman" w:eastAsia="Times New Roman" w:hAnsi="Times New Roman" w:cs="Times New Roman"/>
          <w:color w:val="000000"/>
          <w:sz w:val="24"/>
          <w:szCs w:val="24"/>
        </w:rPr>
        <w:t>, A. (2022). The impact of the no-plastic-bag campaign on customer repurchase intentions and its mechanism in modern trade in Bangkok. Asia Social Issues, 15(2), 251631.</w:t>
      </w:r>
    </w:p>
    <w:p w14:paraId="331A46A7" w14:textId="77777777" w:rsidR="001A78F4"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Ratasuk</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Buranasompob</w:t>
      </w:r>
      <w:proofErr w:type="spellEnd"/>
      <w:r>
        <w:rPr>
          <w:rFonts w:ascii="Times New Roman" w:eastAsia="Times New Roman" w:hAnsi="Times New Roman" w:cs="Times New Roman"/>
          <w:color w:val="000000"/>
          <w:sz w:val="24"/>
          <w:szCs w:val="24"/>
        </w:rPr>
        <w:t>, A. (2021). Contributions of marketing factors on customer repurchase intentions in convenience store coffee shops in Bangkok. Asian Administration &amp; Management Review, 4(2), 11–21.</w:t>
      </w:r>
    </w:p>
    <w:p w14:paraId="12154A8A"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Rehman, M. A., </w:t>
      </w:r>
      <w:proofErr w:type="spellStart"/>
      <w:r>
        <w:rPr>
          <w:rFonts w:ascii="Times New Roman" w:eastAsia="Times New Roman" w:hAnsi="Times New Roman" w:cs="Times New Roman"/>
          <w:color w:val="000000"/>
          <w:sz w:val="24"/>
          <w:szCs w:val="24"/>
        </w:rPr>
        <w:t>Woyo</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Akahome</w:t>
      </w:r>
      <w:proofErr w:type="spellEnd"/>
      <w:r>
        <w:rPr>
          <w:rFonts w:ascii="Times New Roman" w:eastAsia="Times New Roman" w:hAnsi="Times New Roman" w:cs="Times New Roman"/>
          <w:color w:val="000000"/>
          <w:sz w:val="24"/>
          <w:szCs w:val="24"/>
        </w:rPr>
        <w:t>, J. E., &amp; Sohail, M. D. (2022). The influence of course experience, satisfaction, and loyalty on students’ word-of-mouth and re-enrolment intentions. Journal of Marketing for Higher Education, 32(2), 259-277.</w:t>
      </w:r>
    </w:p>
    <w:p w14:paraId="55D949C0"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Rigo, L., Basso, K., Pauli, J., &amp; Portilio, M. (2022). Affect and cognition as antecedents of patients’ trust in the dentist. Brazilian Journal of Oral Sciences, 21, e227228. https:// doi.org/10.20396/</w:t>
      </w:r>
      <w:proofErr w:type="spellStart"/>
      <w:r>
        <w:rPr>
          <w:rFonts w:ascii="Times New Roman" w:eastAsia="Times New Roman" w:hAnsi="Times New Roman" w:cs="Times New Roman"/>
          <w:color w:val="000000"/>
          <w:sz w:val="24"/>
          <w:szCs w:val="24"/>
        </w:rPr>
        <w:t>bjos</w:t>
      </w:r>
      <w:proofErr w:type="spellEnd"/>
      <w:r>
        <w:rPr>
          <w:rFonts w:ascii="Times New Roman" w:eastAsia="Times New Roman" w:hAnsi="Times New Roman" w:cs="Times New Roman"/>
          <w:color w:val="000000"/>
          <w:sz w:val="24"/>
          <w:szCs w:val="24"/>
        </w:rPr>
        <w:t>. v21i00.8667228</w:t>
      </w:r>
    </w:p>
    <w:p w14:paraId="0BEF3EBE"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Ruswanti</w:t>
      </w:r>
      <w:proofErr w:type="spellEnd"/>
      <w:r>
        <w:rPr>
          <w:rFonts w:ascii="Times New Roman" w:eastAsia="Times New Roman" w:hAnsi="Times New Roman" w:cs="Times New Roman"/>
          <w:color w:val="000000"/>
          <w:sz w:val="24"/>
          <w:szCs w:val="24"/>
        </w:rPr>
        <w:t>, E., Eff, A., &amp;</w:t>
      </w:r>
      <w:proofErr w:type="spellStart"/>
      <w:r>
        <w:rPr>
          <w:rFonts w:ascii="Times New Roman" w:eastAsia="Times New Roman" w:hAnsi="Times New Roman" w:cs="Times New Roman"/>
          <w:color w:val="000000"/>
          <w:sz w:val="24"/>
          <w:szCs w:val="24"/>
        </w:rPr>
        <w:t>Kusumawati</w:t>
      </w:r>
      <w:proofErr w:type="spellEnd"/>
      <w:r>
        <w:rPr>
          <w:rFonts w:ascii="Times New Roman" w:eastAsia="Times New Roman" w:hAnsi="Times New Roman" w:cs="Times New Roman"/>
          <w:color w:val="000000"/>
          <w:sz w:val="24"/>
          <w:szCs w:val="24"/>
        </w:rPr>
        <w:t>, M. (2020). Word of mouth, trust, satisfaction, and the effect of repurchase intention on Batavia Hospital in West Jakarta, Indonesia. Management Science Letters, 10(2), 265-270.</w:t>
      </w:r>
    </w:p>
    <w:p w14:paraId="7446B964"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Sadiq, M., Adil, M., Paul, J., &amp; Bhutta, U. S. (2021). From consumer innovativeness to fashion involvement: Evidence from an emerging economy. Journal of Retailing and Consumer Services, 59, 102355. </w:t>
      </w:r>
      <w:hyperlink r:id="rId29">
        <w:r w:rsidR="001A78F4">
          <w:rPr>
            <w:rFonts w:ascii="Times New Roman" w:eastAsia="Times New Roman" w:hAnsi="Times New Roman" w:cs="Times New Roman"/>
            <w:color w:val="0563C1"/>
            <w:sz w:val="24"/>
            <w:szCs w:val="24"/>
            <w:u w:val="single"/>
          </w:rPr>
          <w:t>https://doi.org/10.1016/j.jretconser.2020.102355</w:t>
        </w:r>
      </w:hyperlink>
    </w:p>
    <w:p w14:paraId="58431E46"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Sihombing</w:t>
      </w:r>
      <w:proofErr w:type="spellEnd"/>
      <w:r>
        <w:rPr>
          <w:rFonts w:ascii="Times New Roman" w:eastAsia="Times New Roman" w:hAnsi="Times New Roman" w:cs="Times New Roman"/>
          <w:color w:val="000000"/>
          <w:sz w:val="24"/>
          <w:szCs w:val="24"/>
        </w:rPr>
        <w:t xml:space="preserve">, N. D., Ginting, C. N., &amp; </w:t>
      </w:r>
      <w:proofErr w:type="spellStart"/>
      <w:r>
        <w:rPr>
          <w:rFonts w:ascii="Times New Roman" w:eastAsia="Times New Roman" w:hAnsi="Times New Roman" w:cs="Times New Roman"/>
          <w:color w:val="000000"/>
          <w:sz w:val="24"/>
          <w:szCs w:val="24"/>
        </w:rPr>
        <w:t>Syahrian</w:t>
      </w:r>
      <w:proofErr w:type="spellEnd"/>
      <w:r>
        <w:rPr>
          <w:rFonts w:ascii="Times New Roman" w:eastAsia="Times New Roman" w:hAnsi="Times New Roman" w:cs="Times New Roman"/>
          <w:color w:val="000000"/>
          <w:sz w:val="24"/>
          <w:szCs w:val="24"/>
        </w:rPr>
        <w:t>, M. F. (2025). The Influence of E-</w:t>
      </w:r>
      <w:proofErr w:type="spellStart"/>
      <w:r>
        <w:rPr>
          <w:rFonts w:ascii="Times New Roman" w:eastAsia="Times New Roman" w:hAnsi="Times New Roman" w:cs="Times New Roman"/>
          <w:color w:val="000000"/>
          <w:sz w:val="24"/>
          <w:szCs w:val="24"/>
        </w:rPr>
        <w:t>Wom</w:t>
      </w:r>
      <w:proofErr w:type="spellEnd"/>
      <w:r>
        <w:rPr>
          <w:rFonts w:ascii="Times New Roman" w:eastAsia="Times New Roman" w:hAnsi="Times New Roman" w:cs="Times New Roman"/>
          <w:color w:val="000000"/>
          <w:sz w:val="24"/>
          <w:szCs w:val="24"/>
        </w:rPr>
        <w:t xml:space="preserve"> and Hospital Image on Patient Satisfaction and Loyalty at General Hospital Royal </w:t>
      </w:r>
      <w:r>
        <w:rPr>
          <w:rFonts w:ascii="Times New Roman" w:eastAsia="Times New Roman" w:hAnsi="Times New Roman" w:cs="Times New Roman"/>
          <w:color w:val="000000"/>
          <w:sz w:val="24"/>
          <w:szCs w:val="24"/>
        </w:rPr>
        <w:lastRenderedPageBreak/>
        <w:t>Prima Medan. International Journal of Islamic Education, Research and Multiculturalism (IJIERM), 7(1), 93-112.</w:t>
      </w:r>
    </w:p>
    <w:p w14:paraId="21ED4178"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Siripipatthanakul</w:t>
      </w:r>
      <w:proofErr w:type="spellEnd"/>
      <w:r>
        <w:rPr>
          <w:rFonts w:ascii="Times New Roman" w:eastAsia="Times New Roman" w:hAnsi="Times New Roman" w:cs="Times New Roman"/>
          <w:color w:val="000000"/>
          <w:sz w:val="24"/>
          <w:szCs w:val="24"/>
        </w:rPr>
        <w:t>, S. (2021). Service quality, patient satisfaction, word-of-Mouth, and revisit intention in a dental clinic, Thailand. International Journal of Trend in Scientific Research and Development (IJTSRD), 5(5), 832-841.</w:t>
      </w:r>
    </w:p>
    <w:p w14:paraId="25F54A7F"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Subrahmanyam, A., &amp; Raja Shekhar, B. (2017). Where do you find loyalty in the contemporary university </w:t>
      </w:r>
      <w:proofErr w:type="gramStart"/>
      <w:r>
        <w:rPr>
          <w:rFonts w:ascii="Times New Roman" w:eastAsia="Times New Roman" w:hAnsi="Times New Roman" w:cs="Times New Roman"/>
          <w:color w:val="000000"/>
          <w:sz w:val="24"/>
          <w:szCs w:val="24"/>
        </w:rPr>
        <w:t>scene?.</w:t>
      </w:r>
      <w:proofErr w:type="gramEnd"/>
      <w:r>
        <w:rPr>
          <w:rFonts w:ascii="Times New Roman" w:eastAsia="Times New Roman" w:hAnsi="Times New Roman" w:cs="Times New Roman"/>
          <w:color w:val="000000"/>
          <w:sz w:val="24"/>
          <w:szCs w:val="24"/>
        </w:rPr>
        <w:t xml:space="preserve"> Journal of Applied Research in Higher Education, 9(3), 378-393.</w:t>
      </w:r>
    </w:p>
    <w:p w14:paraId="4E37C2ED"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Sutanto, M., Putra, D., &amp; </w:t>
      </w:r>
      <w:proofErr w:type="spellStart"/>
      <w:r>
        <w:rPr>
          <w:rFonts w:ascii="Times New Roman" w:eastAsia="Times New Roman" w:hAnsi="Times New Roman" w:cs="Times New Roman"/>
          <w:color w:val="000000"/>
          <w:sz w:val="24"/>
          <w:szCs w:val="24"/>
        </w:rPr>
        <w:t>Handayani</w:t>
      </w:r>
      <w:proofErr w:type="spellEnd"/>
      <w:r>
        <w:rPr>
          <w:rFonts w:ascii="Times New Roman" w:eastAsia="Times New Roman" w:hAnsi="Times New Roman" w:cs="Times New Roman"/>
          <w:color w:val="000000"/>
          <w:sz w:val="24"/>
          <w:szCs w:val="24"/>
        </w:rPr>
        <w:t xml:space="preserve">, H. (2023). Brand perception, satisfaction, and revisit intention: Evidence from Indonesian private hospitals. International Journal of Pharmaceutical and Healthcare Marketing, 17(3), 377–392. </w:t>
      </w:r>
      <w:hyperlink r:id="rId30">
        <w:r w:rsidR="001A78F4">
          <w:rPr>
            <w:rFonts w:ascii="Times New Roman" w:eastAsia="Times New Roman" w:hAnsi="Times New Roman" w:cs="Times New Roman"/>
            <w:color w:val="0563C1"/>
            <w:sz w:val="24"/>
            <w:szCs w:val="24"/>
            <w:u w:val="single"/>
          </w:rPr>
          <w:t>https://doi.org/10.1108/IJPHM-04-2023-0030</w:t>
        </w:r>
      </w:hyperlink>
      <w:r>
        <w:rPr>
          <w:rFonts w:ascii="Times New Roman" w:eastAsia="Times New Roman" w:hAnsi="Times New Roman" w:cs="Times New Roman"/>
          <w:color w:val="000000"/>
          <w:sz w:val="24"/>
          <w:szCs w:val="24"/>
        </w:rPr>
        <w:t>.</w:t>
      </w:r>
    </w:p>
    <w:p w14:paraId="4C3DE14D" w14:textId="77777777" w:rsidR="001A78F4"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Suyanto, M. A., </w:t>
      </w:r>
      <w:proofErr w:type="spellStart"/>
      <w:r>
        <w:rPr>
          <w:rFonts w:ascii="Times New Roman" w:eastAsia="Times New Roman" w:hAnsi="Times New Roman" w:cs="Times New Roman"/>
          <w:color w:val="000000"/>
          <w:sz w:val="24"/>
          <w:szCs w:val="24"/>
        </w:rPr>
        <w:t>Usu</w:t>
      </w:r>
      <w:proofErr w:type="spellEnd"/>
      <w:r>
        <w:rPr>
          <w:rFonts w:ascii="Times New Roman" w:eastAsia="Times New Roman" w:hAnsi="Times New Roman" w:cs="Times New Roman"/>
          <w:color w:val="000000"/>
          <w:sz w:val="24"/>
          <w:szCs w:val="24"/>
        </w:rPr>
        <w:t xml:space="preserve">, I., &amp; </w:t>
      </w:r>
      <w:proofErr w:type="spellStart"/>
      <w:r>
        <w:rPr>
          <w:rFonts w:ascii="Times New Roman" w:eastAsia="Times New Roman" w:hAnsi="Times New Roman" w:cs="Times New Roman"/>
          <w:color w:val="000000"/>
          <w:sz w:val="24"/>
          <w:szCs w:val="24"/>
        </w:rPr>
        <w:t>Moodoeto</w:t>
      </w:r>
      <w:proofErr w:type="spellEnd"/>
      <w:r>
        <w:rPr>
          <w:rFonts w:ascii="Times New Roman" w:eastAsia="Times New Roman" w:hAnsi="Times New Roman" w:cs="Times New Roman"/>
          <w:color w:val="000000"/>
          <w:sz w:val="24"/>
          <w:szCs w:val="24"/>
        </w:rPr>
        <w:t>, M. J. (2019). The role of service quality on building student satisfaction. American Journal of Economics, 9(1), 17-20.</w:t>
      </w:r>
    </w:p>
    <w:p w14:paraId="7CF933B1"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 P. S. H., Choong, Y. O., &amp; Chen, I. C. (2022). The effect of service quality on behavioural intention: the mediating role of student satisfaction and switching barriers in private universities. Journal of Applied Research in Higher Education, 14(4), 1394-1413.</w:t>
      </w:r>
    </w:p>
    <w:p w14:paraId="7F40FCA4"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Tian, C. Y., Zhang, H., Li, X., Chen, L., &amp; Wang, Y. (2024). </w:t>
      </w:r>
      <w:r>
        <w:rPr>
          <w:rFonts w:ascii="Times New Roman" w:eastAsia="Times New Roman" w:hAnsi="Times New Roman" w:cs="Times New Roman"/>
          <w:color w:val="000000"/>
          <w:sz w:val="24"/>
          <w:szCs w:val="24"/>
        </w:rPr>
        <w:t xml:space="preserve">Patient experience and satisfaction with shared decision-making: The role of communication and trust. Patient Education and </w:t>
      </w:r>
      <w:proofErr w:type="spellStart"/>
      <w:r>
        <w:rPr>
          <w:rFonts w:ascii="Times New Roman" w:eastAsia="Times New Roman" w:hAnsi="Times New Roman" w:cs="Times New Roman"/>
          <w:color w:val="000000"/>
          <w:sz w:val="24"/>
          <w:szCs w:val="24"/>
        </w:rPr>
        <w:t>Counseling</w:t>
      </w:r>
      <w:proofErr w:type="spellEnd"/>
      <w:r>
        <w:rPr>
          <w:rFonts w:ascii="Times New Roman" w:eastAsia="Times New Roman" w:hAnsi="Times New Roman" w:cs="Times New Roman"/>
          <w:color w:val="000000"/>
          <w:sz w:val="24"/>
          <w:szCs w:val="24"/>
        </w:rPr>
        <w:t xml:space="preserve">. </w:t>
      </w:r>
    </w:p>
    <w:p w14:paraId="7B291CC8"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10" w:name="_heading=h.roitu5880da" w:colFirst="0" w:colLast="0"/>
      <w:bookmarkEnd w:id="10"/>
      <w:r w:rsidRPr="00D400A4">
        <w:rPr>
          <w:rFonts w:ascii="Times New Roman" w:eastAsia="Times New Roman" w:hAnsi="Times New Roman" w:cs="Times New Roman"/>
          <w:color w:val="000000"/>
          <w:sz w:val="24"/>
          <w:szCs w:val="24"/>
          <w:lang w:val="de-DE"/>
        </w:rPr>
        <w:t xml:space="preserve">Topuz, İ., Nal, M., Durmuş, V., &amp; Bektaş, G. (2025). </w:t>
      </w:r>
      <w:r>
        <w:rPr>
          <w:rFonts w:ascii="Times New Roman" w:eastAsia="Times New Roman" w:hAnsi="Times New Roman" w:cs="Times New Roman"/>
          <w:color w:val="000000"/>
          <w:sz w:val="24"/>
          <w:szCs w:val="24"/>
        </w:rPr>
        <w:t>Trust in the healthcare system as a predictor of patient satisfaction: a cross-sectional survey in Türkiye’s primary care setting. BMC Public Health, 25(1), 3887.</w:t>
      </w:r>
    </w:p>
    <w:p w14:paraId="73421293"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Ukus, FW, </w:t>
      </w:r>
      <w:proofErr w:type="spellStart"/>
      <w:r>
        <w:rPr>
          <w:rFonts w:ascii="Times New Roman" w:eastAsia="Times New Roman" w:hAnsi="Times New Roman" w:cs="Times New Roman"/>
          <w:color w:val="000000"/>
          <w:sz w:val="24"/>
          <w:szCs w:val="24"/>
        </w:rPr>
        <w:t>Sihombing</w:t>
      </w:r>
      <w:proofErr w:type="spellEnd"/>
      <w:r>
        <w:rPr>
          <w:rFonts w:ascii="Times New Roman" w:eastAsia="Times New Roman" w:hAnsi="Times New Roman" w:cs="Times New Roman"/>
          <w:color w:val="000000"/>
          <w:sz w:val="24"/>
          <w:szCs w:val="24"/>
        </w:rPr>
        <w:t xml:space="preserve">, IHH, Utama, IP, &amp; Arrey, M.-EV (2024). Influence of Service Quality on Word of Mouth Mediated by Tourist Satisfaction at the Budo Tourism Village Homestay. </w:t>
      </w:r>
      <w:proofErr w:type="spellStart"/>
      <w:r>
        <w:rPr>
          <w:rFonts w:ascii="Times New Roman" w:eastAsia="Times New Roman" w:hAnsi="Times New Roman" w:cs="Times New Roman"/>
          <w:color w:val="000000"/>
          <w:sz w:val="24"/>
          <w:szCs w:val="24"/>
        </w:rPr>
        <w:t>Mamangan</w:t>
      </w:r>
      <w:proofErr w:type="spellEnd"/>
      <w:r>
        <w:rPr>
          <w:rFonts w:ascii="Times New Roman" w:eastAsia="Times New Roman" w:hAnsi="Times New Roman" w:cs="Times New Roman"/>
          <w:color w:val="000000"/>
          <w:sz w:val="24"/>
          <w:szCs w:val="24"/>
        </w:rPr>
        <w:t xml:space="preserve"> Journal of Social Sciences, 13(1), 155–171. https://doi.org/10.22202/mamangan.v13i1.8201.</w:t>
      </w:r>
    </w:p>
    <w:p w14:paraId="48CF7D39"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Ulwiyah</w:t>
      </w:r>
      <w:proofErr w:type="spellEnd"/>
      <w:r>
        <w:rPr>
          <w:rFonts w:ascii="Times New Roman" w:eastAsia="Times New Roman" w:hAnsi="Times New Roman" w:cs="Times New Roman"/>
          <w:color w:val="000000"/>
          <w:sz w:val="24"/>
          <w:szCs w:val="24"/>
        </w:rPr>
        <w:t>, S. (2023). Strategies to maintain brand image in bakery businesses: A case study of UNKLAB Bakery. Journal of Marketing and Business, 7(1), 15–25.</w:t>
      </w:r>
    </w:p>
    <w:p w14:paraId="5B03DC3B"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bookmarkStart w:id="11" w:name="_heading=h.6ab5f4wdlxyg" w:colFirst="0" w:colLast="0"/>
      <w:bookmarkEnd w:id="11"/>
      <w:r w:rsidRPr="00D400A4">
        <w:rPr>
          <w:rFonts w:ascii="Times New Roman" w:eastAsia="Times New Roman" w:hAnsi="Times New Roman" w:cs="Times New Roman"/>
          <w:color w:val="222222"/>
          <w:sz w:val="24"/>
          <w:szCs w:val="24"/>
          <w:highlight w:val="white"/>
          <w:lang w:val="de-DE"/>
        </w:rPr>
        <w:t xml:space="preserve">Utama, B. W., &amp; Gunadi, W. (2023). </w:t>
      </w:r>
      <w:r>
        <w:rPr>
          <w:rFonts w:ascii="Times New Roman" w:eastAsia="Times New Roman" w:hAnsi="Times New Roman" w:cs="Times New Roman"/>
          <w:color w:val="222222"/>
          <w:sz w:val="24"/>
          <w:szCs w:val="24"/>
          <w:highlight w:val="white"/>
        </w:rPr>
        <w:t>Factors that Influence Revisit Intention of Japanese Culture Enthusiasts. European Journal of Business and Management Research, 8(6), 155-165.</w:t>
      </w:r>
    </w:p>
    <w:p w14:paraId="3E24AC2F"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Woo, H., &amp; Choi, J. (2021). Service quality, patient satisfaction, and revisit intention in public hub hospitals: Evidence from South Korea. </w:t>
      </w:r>
      <w:proofErr w:type="spellStart"/>
      <w:r>
        <w:rPr>
          <w:rFonts w:ascii="Times New Roman" w:eastAsia="Times New Roman" w:hAnsi="Times New Roman" w:cs="Times New Roman"/>
          <w:color w:val="000000"/>
          <w:sz w:val="24"/>
          <w:szCs w:val="24"/>
        </w:rPr>
        <w:t>PLoS</w:t>
      </w:r>
      <w:proofErr w:type="spellEnd"/>
      <w:r>
        <w:rPr>
          <w:rFonts w:ascii="Times New Roman" w:eastAsia="Times New Roman" w:hAnsi="Times New Roman" w:cs="Times New Roman"/>
          <w:color w:val="000000"/>
          <w:sz w:val="24"/>
          <w:szCs w:val="24"/>
        </w:rPr>
        <w:t xml:space="preserve"> ONE, 16(6), e0252241. https://doi.org/10.1371/journal.pone.0252241 Woo, H., &amp; Choi, J. (2021). Service quality, patient satisfaction, and revisit intention in public hub hospitals: Evidence from South Korea. PLOS ONE, 16(6), e0252241. </w:t>
      </w:r>
      <w:hyperlink r:id="rId31">
        <w:r w:rsidR="001A78F4">
          <w:rPr>
            <w:rFonts w:ascii="Times New Roman" w:eastAsia="Times New Roman" w:hAnsi="Times New Roman" w:cs="Times New Roman"/>
            <w:color w:val="0563C1"/>
            <w:sz w:val="24"/>
            <w:szCs w:val="24"/>
            <w:u w:val="single"/>
          </w:rPr>
          <w:t>https://doi.org/10.1371/journal.pone.0252241</w:t>
        </w:r>
      </w:hyperlink>
    </w:p>
    <w:p w14:paraId="1FEE5E5E"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 J., Dong, B., &amp; Lee, J. Y. (2017). The long-term impact of service empathy and responsiveness on customer satisfaction and profitability: a longitudinal investigation in a healthcare context. Marketing Letters, 28(4), 551–564. </w:t>
      </w:r>
      <w:hyperlink r:id="rId32">
        <w:r w:rsidR="001A78F4">
          <w:rPr>
            <w:rFonts w:ascii="Times New Roman" w:eastAsia="Times New Roman" w:hAnsi="Times New Roman" w:cs="Times New Roman"/>
            <w:color w:val="000000"/>
            <w:sz w:val="24"/>
            <w:szCs w:val="24"/>
          </w:rPr>
          <w:t>https://doi.org/10.1007/s11002-017-9429-2</w:t>
        </w:r>
      </w:hyperlink>
    </w:p>
    <w:p w14:paraId="16A70714"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Yuda, I G. H. W., &amp; </w:t>
      </w:r>
      <w:proofErr w:type="spellStart"/>
      <w:r>
        <w:rPr>
          <w:rFonts w:ascii="Times New Roman" w:eastAsia="Times New Roman" w:hAnsi="Times New Roman" w:cs="Times New Roman"/>
          <w:color w:val="000000"/>
          <w:sz w:val="24"/>
          <w:szCs w:val="24"/>
        </w:rPr>
        <w:t>Suartina</w:t>
      </w:r>
      <w:proofErr w:type="spellEnd"/>
      <w:r>
        <w:rPr>
          <w:rFonts w:ascii="Times New Roman" w:eastAsia="Times New Roman" w:hAnsi="Times New Roman" w:cs="Times New Roman"/>
          <w:color w:val="000000"/>
          <w:sz w:val="24"/>
          <w:szCs w:val="24"/>
        </w:rPr>
        <w:t xml:space="preserve">, I W. (2022). </w:t>
      </w:r>
      <w:proofErr w:type="spellStart"/>
      <w:r>
        <w:rPr>
          <w:rFonts w:ascii="Times New Roman" w:eastAsia="Times New Roman" w:hAnsi="Times New Roman" w:cs="Times New Roman"/>
          <w:color w:val="000000"/>
          <w:sz w:val="24"/>
          <w:szCs w:val="24"/>
        </w:rPr>
        <w:t>Pengaruh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Kepercayaan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Loyalitas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Pelanggan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melalui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Mediasi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Kepuasan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Pelanggan</w:t>
      </w:r>
      <w:proofErr w:type="spellEnd"/>
      <w:r>
        <w:rPr>
          <w:rFonts w:ascii="Times New Roman" w:eastAsia="Times New Roman" w:hAnsi="Times New Roman" w:cs="Times New Roman"/>
          <w:color w:val="000000"/>
          <w:sz w:val="24"/>
          <w:szCs w:val="24"/>
        </w:rPr>
        <w:t xml:space="preserve"> pada Perusahaan Dupa Bali Shanti di Gianyar. Widya </w:t>
      </w:r>
      <w:proofErr w:type="spellStart"/>
      <w:r>
        <w:rPr>
          <w:rFonts w:ascii="Times New Roman" w:eastAsia="Times New Roman" w:hAnsi="Times New Roman" w:cs="Times New Roman"/>
          <w:color w:val="000000"/>
          <w:sz w:val="24"/>
          <w:szCs w:val="24"/>
        </w:rPr>
        <w:t>Amarita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Jurnal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Manajemen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Kewirausahaan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Pariwisata</w:t>
      </w:r>
      <w:proofErr w:type="spellEnd"/>
      <w:r>
        <w:rPr>
          <w:rFonts w:ascii="Times New Roman" w:eastAsia="Times New Roman" w:hAnsi="Times New Roman" w:cs="Times New Roman"/>
          <w:color w:val="000000"/>
          <w:sz w:val="24"/>
          <w:szCs w:val="24"/>
        </w:rPr>
        <w:t>, 2(3), 697-706.</w:t>
      </w:r>
    </w:p>
    <w:p w14:paraId="20C75652"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Yun, M. H., Cha, H. O., Lee, E. H., Park, H. J., &amp; Kwon, O. H. (2022). The Effect of Hair Shop Servicescape on Customer Satisfaction: The Mediating Effect of Human Service. Journal of the Korean Society of Cosmetology, 28(3), 553-564.</w:t>
      </w:r>
    </w:p>
    <w:p w14:paraId="1A474947"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Yuniarti, Y., &amp; Hidayat, A. (2021). The analysis of patients’ revisit intention factors in a suburban hospital. International Journal of Research in Business and Social Science, 10(4), 420–429. </w:t>
      </w:r>
      <w:hyperlink r:id="rId33">
        <w:r w:rsidR="001A78F4">
          <w:rPr>
            <w:rFonts w:ascii="Times New Roman" w:eastAsia="Times New Roman" w:hAnsi="Times New Roman" w:cs="Times New Roman"/>
            <w:color w:val="0563C1"/>
            <w:sz w:val="24"/>
            <w:szCs w:val="24"/>
            <w:u w:val="single"/>
          </w:rPr>
          <w:t>https://doi.org/10.20525/ijrbs.v10i4.1232</w:t>
        </w:r>
      </w:hyperlink>
      <w:r>
        <w:rPr>
          <w:rFonts w:ascii="Times New Roman" w:eastAsia="Times New Roman" w:hAnsi="Times New Roman" w:cs="Times New Roman"/>
          <w:color w:val="000000"/>
          <w:sz w:val="24"/>
          <w:szCs w:val="24"/>
        </w:rPr>
        <w:t xml:space="preserve"> </w:t>
      </w:r>
    </w:p>
    <w:p w14:paraId="3BD2F931"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Zhang, R., Jun, M., &amp; Palacios, S. (2021). </w:t>
      </w:r>
      <w:r>
        <w:rPr>
          <w:rFonts w:ascii="Times New Roman" w:eastAsia="Times New Roman" w:hAnsi="Times New Roman" w:cs="Times New Roman"/>
          <w:color w:val="000000"/>
          <w:sz w:val="24"/>
          <w:szCs w:val="24"/>
        </w:rPr>
        <w:t xml:space="preserve">M-shopping service quality dimensions and their effects on customer trust and loyalty: An empirical study. International Journal of Quality &amp; Reliability Management, 40(1), 169–191. </w:t>
      </w:r>
      <w:hyperlink r:id="rId34">
        <w:r w:rsidR="001A78F4">
          <w:rPr>
            <w:rFonts w:ascii="Times New Roman" w:eastAsia="Times New Roman" w:hAnsi="Times New Roman" w:cs="Times New Roman"/>
            <w:color w:val="0563C1"/>
            <w:sz w:val="24"/>
            <w:szCs w:val="24"/>
            <w:u w:val="single"/>
          </w:rPr>
          <w:t>https://doi.org/10.1108/IJQRM-08-2020-0277</w:t>
        </w:r>
      </w:hyperlink>
    </w:p>
    <w:p w14:paraId="27AEA2D2" w14:textId="77777777" w:rsidR="001A78F4"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Zhao, C., Noman, A. H. M., &amp; Abedin, M. Z. (2025). </w:t>
      </w:r>
      <w:r>
        <w:rPr>
          <w:rFonts w:ascii="Times New Roman" w:eastAsia="Times New Roman" w:hAnsi="Times New Roman" w:cs="Times New Roman"/>
          <w:color w:val="000000"/>
          <w:sz w:val="24"/>
          <w:szCs w:val="24"/>
        </w:rPr>
        <w:t>Service failure and negative Word-of-Mouth in Chinese retail banking: a moderated-mediation approach. International Journal of Bank Marketing, 43(1), 82-105.</w:t>
      </w:r>
    </w:p>
    <w:p w14:paraId="71A919D8" w14:textId="77777777" w:rsidR="001A78F4" w:rsidRDefault="0000000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400A4">
        <w:rPr>
          <w:rFonts w:ascii="Times New Roman" w:eastAsia="Times New Roman" w:hAnsi="Times New Roman" w:cs="Times New Roman"/>
          <w:color w:val="000000"/>
          <w:sz w:val="24"/>
          <w:szCs w:val="24"/>
          <w:lang w:val="de-DE"/>
        </w:rPr>
        <w:t xml:space="preserve">Zhou, X., Chen, L., &amp; Wang, Y. (2022). </w:t>
      </w:r>
      <w:r>
        <w:rPr>
          <w:rFonts w:ascii="Times New Roman" w:eastAsia="Times New Roman" w:hAnsi="Times New Roman" w:cs="Times New Roman"/>
          <w:color w:val="000000"/>
          <w:sz w:val="24"/>
          <w:szCs w:val="24"/>
        </w:rPr>
        <w:t xml:space="preserve">Trust and revisit intention in Chinese medical tourism: The mediating role of perceived medical quality. International Journal of Environmental Research and Public Health, 19(18), 11645. </w:t>
      </w:r>
      <w:hyperlink r:id="rId35">
        <w:r w:rsidR="001A78F4">
          <w:rPr>
            <w:rFonts w:ascii="Times New Roman" w:eastAsia="Times New Roman" w:hAnsi="Times New Roman" w:cs="Times New Roman"/>
            <w:color w:val="0563C1"/>
            <w:sz w:val="24"/>
            <w:szCs w:val="24"/>
            <w:u w:val="single"/>
          </w:rPr>
          <w:t>https://doi.org/10.3390/ijerph191811645</w:t>
        </w:r>
      </w:hyperlink>
    </w:p>
    <w:sectPr w:rsidR="001A78F4">
      <w:footerReference w:type="default" r:id="rId3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3D650" w14:textId="77777777" w:rsidR="00583638" w:rsidRDefault="00583638">
      <w:pPr>
        <w:spacing w:after="0" w:line="240" w:lineRule="auto"/>
      </w:pPr>
      <w:r>
        <w:separator/>
      </w:r>
    </w:p>
  </w:endnote>
  <w:endnote w:type="continuationSeparator" w:id="0">
    <w:p w14:paraId="6F4CF880" w14:textId="77777777" w:rsidR="00583638" w:rsidRDefault="00583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B111958-E22E-43A4-AF91-A10842C90827}"/>
    <w:embedBold r:id="rId2" w:fontKey="{4139DC33-950A-4B0C-873D-F8140E352315}"/>
    <w:embedItalic r:id="rId3" w:fontKey="{B8F2A102-5C85-4950-A257-D8BB9D82105C}"/>
    <w:embedBoldItalic r:id="rId4" w:fontKey="{70168093-6550-4833-BCA9-ECA15F61C33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B939FDC0-76E7-4A75-8F70-6D5FB99D9AA1}"/>
  </w:font>
  <w:font w:name="Arial Unicode MS">
    <w:altName w:val="Arial"/>
    <w:panose1 w:val="020B0604020202020204"/>
    <w:charset w:val="00"/>
    <w:family w:val="auto"/>
    <w:pitch w:val="default"/>
  </w:font>
  <w:font w:name="Cardo">
    <w:charset w:val="00"/>
    <w:family w:val="auto"/>
    <w:pitch w:val="default"/>
    <w:embedRegular r:id="rId6" w:fontKey="{76B56636-56E2-4F27-A061-C625EB18B9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7032D" w14:textId="77777777" w:rsidR="001A78F4"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sidR="00D400A4">
      <w:rPr>
        <w:noProof/>
        <w:color w:val="000000"/>
      </w:rPr>
      <w:t>1</w:t>
    </w:r>
    <w:r>
      <w:rPr>
        <w:color w:val="000000"/>
      </w:rPr>
      <w:fldChar w:fldCharType="end"/>
    </w:r>
  </w:p>
  <w:p w14:paraId="79F1A9A4" w14:textId="77777777" w:rsidR="001A78F4" w:rsidRDefault="001A78F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798AE" w14:textId="77777777" w:rsidR="00583638" w:rsidRDefault="00583638">
      <w:pPr>
        <w:spacing w:after="0" w:line="240" w:lineRule="auto"/>
      </w:pPr>
      <w:r>
        <w:separator/>
      </w:r>
    </w:p>
  </w:footnote>
  <w:footnote w:type="continuationSeparator" w:id="0">
    <w:p w14:paraId="0249F830" w14:textId="77777777" w:rsidR="00583638" w:rsidRDefault="005836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993045"/>
    <w:multiLevelType w:val="multilevel"/>
    <w:tmpl w:val="18827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7090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8F4"/>
    <w:rsid w:val="00094303"/>
    <w:rsid w:val="000A3165"/>
    <w:rsid w:val="000F5207"/>
    <w:rsid w:val="00161C96"/>
    <w:rsid w:val="001A78F4"/>
    <w:rsid w:val="001F0630"/>
    <w:rsid w:val="002F4CFC"/>
    <w:rsid w:val="003E72CF"/>
    <w:rsid w:val="004E0B77"/>
    <w:rsid w:val="00583638"/>
    <w:rsid w:val="0076125B"/>
    <w:rsid w:val="00801B2C"/>
    <w:rsid w:val="00844DAA"/>
    <w:rsid w:val="00871443"/>
    <w:rsid w:val="008F2362"/>
    <w:rsid w:val="00A6615E"/>
    <w:rsid w:val="00B10729"/>
    <w:rsid w:val="00B4077E"/>
    <w:rsid w:val="00BD4A1D"/>
    <w:rsid w:val="00C25D1C"/>
    <w:rsid w:val="00D400A4"/>
    <w:rsid w:val="00F869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26393"/>
  <w15:docId w15:val="{6C7B26CD-C543-4DE2-BFC9-30112897F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D21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21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21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FD21E4"/>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FD21E4"/>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FD21E4"/>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FD21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21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2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2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2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21E4"/>
    <w:rPr>
      <w:rFonts w:eastAsiaTheme="majorEastAsia" w:cstheme="majorBidi"/>
      <w:color w:val="272727" w:themeColor="text1" w:themeTint="D8"/>
    </w:rPr>
  </w:style>
  <w:style w:type="character" w:customStyle="1" w:styleId="TitleChar">
    <w:name w:val="Title Char"/>
    <w:basedOn w:val="DefaultParagraphFont"/>
    <w:link w:val="Title"/>
    <w:uiPriority w:val="10"/>
    <w:rsid w:val="00FD21E4"/>
    <w:rPr>
      <w:rFonts w:asciiTheme="majorHAnsi" w:eastAsiaTheme="majorEastAsia" w:hAnsiTheme="majorHAnsi" w:cstheme="majorBidi"/>
      <w:spacing w:val="-10"/>
      <w:kern w:val="28"/>
      <w:sz w:val="56"/>
      <w:szCs w:val="71"/>
    </w:rPr>
  </w:style>
  <w:style w:type="character" w:customStyle="1" w:styleId="SubtitleChar">
    <w:name w:val="Subtitle Char"/>
    <w:basedOn w:val="DefaultParagraphFont"/>
    <w:link w:val="Subtitle"/>
    <w:uiPriority w:val="11"/>
    <w:rsid w:val="00FD21E4"/>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FD21E4"/>
    <w:pPr>
      <w:spacing w:before="160"/>
      <w:jc w:val="center"/>
    </w:pPr>
    <w:rPr>
      <w:i/>
      <w:iCs/>
      <w:color w:val="404040" w:themeColor="text1" w:themeTint="BF"/>
    </w:rPr>
  </w:style>
  <w:style w:type="character" w:customStyle="1" w:styleId="QuoteChar">
    <w:name w:val="Quote Char"/>
    <w:basedOn w:val="DefaultParagraphFont"/>
    <w:link w:val="Quote"/>
    <w:uiPriority w:val="29"/>
    <w:rsid w:val="00FD21E4"/>
    <w:rPr>
      <w:i/>
      <w:iCs/>
      <w:color w:val="404040" w:themeColor="text1" w:themeTint="BF"/>
    </w:rPr>
  </w:style>
  <w:style w:type="paragraph" w:styleId="ListParagraph">
    <w:name w:val="List Paragraph"/>
    <w:basedOn w:val="Normal"/>
    <w:uiPriority w:val="34"/>
    <w:qFormat/>
    <w:rsid w:val="00FD21E4"/>
    <w:pPr>
      <w:ind w:left="720"/>
      <w:contextualSpacing/>
    </w:pPr>
  </w:style>
  <w:style w:type="character" w:styleId="IntenseEmphasis">
    <w:name w:val="Intense Emphasis"/>
    <w:basedOn w:val="DefaultParagraphFont"/>
    <w:uiPriority w:val="21"/>
    <w:qFormat/>
    <w:rsid w:val="00FD21E4"/>
    <w:rPr>
      <w:i/>
      <w:iCs/>
      <w:color w:val="2F5496" w:themeColor="accent1" w:themeShade="BF"/>
    </w:rPr>
  </w:style>
  <w:style w:type="paragraph" w:styleId="IntenseQuote">
    <w:name w:val="Intense Quote"/>
    <w:basedOn w:val="Normal"/>
    <w:next w:val="Normal"/>
    <w:link w:val="IntenseQuoteChar"/>
    <w:uiPriority w:val="30"/>
    <w:qFormat/>
    <w:rsid w:val="00FD21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21E4"/>
    <w:rPr>
      <w:i/>
      <w:iCs/>
      <w:color w:val="2F5496" w:themeColor="accent1" w:themeShade="BF"/>
    </w:rPr>
  </w:style>
  <w:style w:type="character" w:styleId="IntenseReference">
    <w:name w:val="Intense Reference"/>
    <w:basedOn w:val="DefaultParagraphFont"/>
    <w:uiPriority w:val="32"/>
    <w:qFormat/>
    <w:rsid w:val="00FD21E4"/>
    <w:rPr>
      <w:b/>
      <w:bCs/>
      <w:smallCaps/>
      <w:color w:val="2F5496" w:themeColor="accent1" w:themeShade="BF"/>
      <w:spacing w:val="5"/>
    </w:rPr>
  </w:style>
  <w:style w:type="paragraph" w:styleId="NormalWeb">
    <w:name w:val="Normal (Web)"/>
    <w:basedOn w:val="Normal"/>
    <w:uiPriority w:val="99"/>
    <w:unhideWhenUsed/>
    <w:rsid w:val="00FD21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D21E4"/>
    <w:rPr>
      <w:b/>
      <w:bCs/>
    </w:rPr>
  </w:style>
  <w:style w:type="character" w:styleId="Emphasis">
    <w:name w:val="Emphasis"/>
    <w:basedOn w:val="DefaultParagraphFont"/>
    <w:uiPriority w:val="20"/>
    <w:qFormat/>
    <w:rsid w:val="00FD21E4"/>
    <w:rPr>
      <w:i/>
      <w:iCs/>
    </w:rPr>
  </w:style>
  <w:style w:type="table" w:styleId="TableGrid">
    <w:name w:val="Table Grid"/>
    <w:basedOn w:val="TableNormal"/>
    <w:uiPriority w:val="39"/>
    <w:rsid w:val="00AD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D6CE7"/>
    <w:pPr>
      <w:spacing w:after="200" w:line="240" w:lineRule="auto"/>
    </w:pPr>
    <w:rPr>
      <w:i/>
      <w:iCs/>
      <w:color w:val="44546A" w:themeColor="text2"/>
      <w:sz w:val="18"/>
    </w:rPr>
  </w:style>
  <w:style w:type="paragraph" w:customStyle="1" w:styleId="Default">
    <w:name w:val="Default"/>
    <w:rsid w:val="00AD6CE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A1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2D4"/>
  </w:style>
  <w:style w:type="paragraph" w:styleId="Footer">
    <w:name w:val="footer"/>
    <w:basedOn w:val="Normal"/>
    <w:link w:val="FooterChar"/>
    <w:uiPriority w:val="99"/>
    <w:unhideWhenUsed/>
    <w:rsid w:val="00BA1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2D4"/>
  </w:style>
  <w:style w:type="character" w:styleId="Hyperlink">
    <w:name w:val="Hyperlink"/>
    <w:basedOn w:val="DefaultParagraphFont"/>
    <w:uiPriority w:val="99"/>
    <w:unhideWhenUsed/>
    <w:rsid w:val="00F104DA"/>
    <w:rPr>
      <w:color w:val="0563C1" w:themeColor="hyperlink"/>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25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16/j.jup.2022.101336" TargetMode="External"/><Relationship Id="rId18" Type="http://schemas.openxmlformats.org/officeDocument/2006/relationships/hyperlink" Target="https://doi.org/10.1108/IJPHM-11-2023-0102" TargetMode="External"/><Relationship Id="rId26" Type="http://schemas.openxmlformats.org/officeDocument/2006/relationships/hyperlink" Target="https://doi.org/10.2147/PPA.S333586" TargetMode="External"/><Relationship Id="rId21" Type="http://schemas.openxmlformats.org/officeDocument/2006/relationships/hyperlink" Target="https://doi.org/10.1111/idj.12387" TargetMode="External"/><Relationship Id="rId34" Type="http://schemas.openxmlformats.org/officeDocument/2006/relationships/hyperlink" Target="https://doi.org/10.1108/IJQRM-08-2020-0277" TargetMode="External"/><Relationship Id="rId7" Type="http://schemas.openxmlformats.org/officeDocument/2006/relationships/endnotes" Target="endnotes.xml"/><Relationship Id="rId12" Type="http://schemas.openxmlformats.org/officeDocument/2006/relationships/hyperlink" Target="https://doi.org/10.1177/0049124187016001004" TargetMode="External"/><Relationship Id="rId17" Type="http://schemas.openxmlformats.org/officeDocument/2006/relationships/hyperlink" Target="https://www.ibef.org/industry/healthcare-india?utm_source=chatgpt.com" TargetMode="External"/><Relationship Id="rId25" Type="http://schemas.openxmlformats.org/officeDocument/2006/relationships/hyperlink" Target="https://doi.org/10.3126/ijssm.v4i3.17520" TargetMode="External"/><Relationship Id="rId33" Type="http://schemas.openxmlformats.org/officeDocument/2006/relationships/hyperlink" Target="https://doi.org/10.20525/ijrbs.v10i4.1232"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rtuneindia.com" TargetMode="External"/><Relationship Id="rId20" Type="http://schemas.openxmlformats.org/officeDocument/2006/relationships/hyperlink" Target="https://doi.org/10.1108/IJEM-09-2021-0375" TargetMode="External"/><Relationship Id="rId29" Type="http://schemas.openxmlformats.org/officeDocument/2006/relationships/hyperlink" Target="https://doi.org/10.1016/j.jretconser.2020.1023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8/TQM-11-2020-0274" TargetMode="External"/><Relationship Id="rId24" Type="http://schemas.openxmlformats.org/officeDocument/2006/relationships/hyperlink" Target="https://doi.org/10.7759/cureus.39079" TargetMode="External"/><Relationship Id="rId32" Type="http://schemas.openxmlformats.org/officeDocument/2006/relationships/hyperlink" Target="https://doi.org/10.1007/s11002-017-9429-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inancialexpress.com/business/healthcare-indias-healthcare-infrastructure-gets-a-post-pandemic-boost-report-3669318/" TargetMode="External"/><Relationship Id="rId23" Type="http://schemas.openxmlformats.org/officeDocument/2006/relationships/hyperlink" Target="https://doi.org/10.32639/fokbis.v22i1.384" TargetMode="External"/><Relationship Id="rId28" Type="http://schemas.openxmlformats.org/officeDocument/2006/relationships/hyperlink" Target="https://doi.org/10.1146/annurev-psych-120710-100452" TargetMode="External"/><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doi.org/10.1177/0046958020968783" TargetMode="External"/><Relationship Id="rId31" Type="http://schemas.openxmlformats.org/officeDocument/2006/relationships/hyperlink" Target="https://doi.org/10.1371/journal.pone.025224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25077/jka.v8i2.1005" TargetMode="External"/><Relationship Id="rId22" Type="http://schemas.openxmlformats.org/officeDocument/2006/relationships/hyperlink" Target="https://doi.org/10.3390/su15032291" TargetMode="External"/><Relationship Id="rId27" Type="http://schemas.openxmlformats.org/officeDocument/2006/relationships/hyperlink" Target="https://doi.org/10.58811/opsearch.v2i7.66" TargetMode="External"/><Relationship Id="rId30" Type="http://schemas.openxmlformats.org/officeDocument/2006/relationships/hyperlink" Target="https://doi.org/10.1108/IJPHM-04-2023-0030" TargetMode="External"/><Relationship Id="rId35" Type="http://schemas.openxmlformats.org/officeDocument/2006/relationships/hyperlink" Target="https://doi.org/10.3390/ijerph191811645" TargetMode="External"/><Relationship Id="rId8" Type="http://schemas.openxmlformats.org/officeDocument/2006/relationships/hyperlink" Target="mailto:bhadraarunika1@gmail.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FVMLBKkZFuPgBPAdrGxaP4Gw5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11451</Words>
  <Characters>65274</Characters>
  <Application>Microsoft Office Word</Application>
  <DocSecurity>0</DocSecurity>
  <Lines>543</Lines>
  <Paragraphs>153</Paragraphs>
  <ScaleCrop>false</ScaleCrop>
  <Company/>
  <LinksUpToDate>false</LinksUpToDate>
  <CharactersWithSpaces>76572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Arunika Bhadra</dc:creator>
  <cp:lastModifiedBy>Arunika Bhadra</cp:lastModifiedBy>
  <cp:revision>2</cp:revision>
  <dcterms:created xsi:type="dcterms:W3CDTF">2026-05-28T09:56:00Z</dcterms:created>
  <dcterms:modified xsi:type="dcterms:W3CDTF">2026-05-28T09:56:00Z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a01e1f20-7585-4335-8963-fc2ecc88df85</vt:lpwstr>
  </property>
</Properties>
</file>