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D0A7" w14:textId="3D829A84" w:rsidR="007B5320" w:rsidRPr="001C3D7D" w:rsidRDefault="007B160F" w:rsidP="00641190">
      <w:pPr>
        <w:jc w:val="center"/>
        <w:rPr>
          <w:rFonts w:cs="Times New Roman"/>
          <w:b/>
          <w:bCs/>
          <w:sz w:val="28"/>
          <w:szCs w:val="28"/>
        </w:rPr>
      </w:pPr>
      <w:r w:rsidRPr="001C3D7D">
        <w:rPr>
          <w:rFonts w:cs="Times New Roman"/>
          <w:b/>
          <w:bCs/>
          <w:sz w:val="28"/>
          <w:szCs w:val="28"/>
        </w:rPr>
        <w:t>“Beyond Profits to Planet: Exploring ESG, Waste, and Green Packaging Practices of MSME Food Processors</w:t>
      </w:r>
      <w:r w:rsidR="00F9440C" w:rsidRPr="001C3D7D">
        <w:rPr>
          <w:rFonts w:cs="Times New Roman"/>
          <w:b/>
          <w:bCs/>
          <w:sz w:val="28"/>
          <w:szCs w:val="28"/>
        </w:rPr>
        <w:t xml:space="preserve"> – A Study of Consumer Perception</w:t>
      </w:r>
      <w:r w:rsidRPr="001C3D7D">
        <w:rPr>
          <w:rFonts w:cs="Times New Roman"/>
          <w:b/>
          <w:bCs/>
          <w:sz w:val="28"/>
          <w:szCs w:val="28"/>
        </w:rPr>
        <w:t>”</w:t>
      </w:r>
    </w:p>
    <w:p w14:paraId="7ED9636B" w14:textId="3E39BE79" w:rsidR="007B160F" w:rsidRPr="001C3D7D" w:rsidRDefault="001F0DD2" w:rsidP="004164BC">
      <w:pPr>
        <w:spacing w:after="0" w:line="276" w:lineRule="auto"/>
        <w:jc w:val="center"/>
        <w:rPr>
          <w:rFonts w:cs="Times New Roman"/>
        </w:rPr>
      </w:pPr>
      <w:r w:rsidRPr="001C3D7D">
        <w:rPr>
          <w:rFonts w:cs="Times New Roman"/>
        </w:rPr>
        <w:t/>
      </w:r>
    </w:p>
    <w:p w14:paraId="553BCEEE" w14:textId="45AECA11" w:rsidR="001F0DD2" w:rsidRPr="001C3D7D" w:rsidRDefault="00FD2FCA" w:rsidP="004164BC">
      <w:pPr>
        <w:spacing w:after="0" w:line="276" w:lineRule="auto"/>
        <w:jc w:val="center"/>
        <w:rPr>
          <w:rFonts w:cs="Times New Roman"/>
        </w:rPr>
      </w:pPr>
      <w:r>
        <w:rPr>
          <w:rFonts w:cs="Times New Roman"/>
        </w:rPr>
        <w:t/>
      </w:r>
      <w:r w:rsidR="001F0DD2" w:rsidRPr="001C3D7D">
        <w:rPr>
          <w:rFonts w:cs="Times New Roman"/>
        </w:rPr>
        <w:t/>
      </w:r>
      <w:r>
        <w:rPr>
          <w:rFonts w:cs="Times New Roman"/>
        </w:rPr>
        <w:t/>
      </w:r>
    </w:p>
    <w:p w14:paraId="73BD3FED" w14:textId="77777777" w:rsidR="001F0DD2" w:rsidRPr="008E0C00" w:rsidRDefault="001F0DD2" w:rsidP="004164BC">
      <w:pPr>
        <w:spacing w:after="0" w:line="276" w:lineRule="auto"/>
        <w:jc w:val="center"/>
        <w:rPr>
          <w:rFonts w:cs="Times New Roman"/>
        </w:rPr>
      </w:pPr>
      <w:r w:rsidRPr="008E0C00">
        <w:rPr>
          <w:rFonts w:cs="Times New Roman"/>
        </w:rPr>
        <w:t/>
      </w:r>
    </w:p>
    <w:p w14:paraId="3151D985" w14:textId="58D80ED1" w:rsidR="001F0DD2" w:rsidRPr="008E0C00" w:rsidRDefault="001F0DD2" w:rsidP="004164BC">
      <w:pPr>
        <w:spacing w:after="0" w:line="276" w:lineRule="auto"/>
        <w:jc w:val="center"/>
        <w:rPr>
          <w:rFonts w:cs="Times New Roman"/>
        </w:rPr>
      </w:pPr>
      <w:r w:rsidRPr="008E0C00">
        <w:rPr>
          <w:rFonts w:cs="Times New Roman"/>
        </w:rPr>
        <w:t/>
      </w:r>
    </w:p>
    <w:p w14:paraId="0A3E4FD4" w14:textId="6388C15B" w:rsidR="006B3470" w:rsidRPr="008E0C00" w:rsidRDefault="00707D29" w:rsidP="004164BC">
      <w:pPr>
        <w:spacing w:after="0" w:line="276" w:lineRule="auto"/>
        <w:jc w:val="center"/>
        <w:rPr>
          <w:rFonts w:cs="Times New Roman"/>
        </w:rPr>
      </w:pPr>
      <w:r w:rsidRPr="008E0C00">
        <w:rPr>
          <w:rFonts w:cs="Times New Roman"/>
        </w:rPr>
        <w:t/>
      </w:r>
      <w:r w:rsidR="0003005F" w:rsidRPr="008E0C00">
        <w:rPr>
          <w:rFonts w:cs="Times New Roman"/>
        </w:rPr>
        <w:t xml:space="preserve"/>
      </w:r>
      <w:hyperlink r:id="rId6" w:history="1">
        <w:r w:rsidRPr="008E0C00">
          <w:rPr>
            <w:rStyle w:val="Hyperlink"/>
            <w:rFonts w:cs="Times New Roman"/>
          </w:rPr>
          <w:t/>
        </w:r>
      </w:hyperlink>
    </w:p>
    <w:p w14:paraId="4185D54A" w14:textId="3DEDE70A" w:rsidR="00707D29" w:rsidRPr="008E0C00" w:rsidRDefault="00707D29" w:rsidP="004164BC">
      <w:pPr>
        <w:spacing w:after="0" w:line="276" w:lineRule="auto"/>
        <w:jc w:val="center"/>
        <w:rPr>
          <w:rFonts w:cs="Times New Roman"/>
        </w:rPr>
      </w:pPr>
      <w:r w:rsidRPr="008E0C00">
        <w:rPr>
          <w:rFonts w:cs="Times New Roman"/>
        </w:rPr>
        <w:t xml:space="preserve"/>
      </w:r>
      <w:r w:rsidR="00613E09" w:rsidRPr="008E0C00">
        <w:rPr>
          <w:rFonts w:cs="Times New Roman"/>
        </w:rPr>
        <w:t xml:space="preserve"/>
      </w:r>
      <w:r w:rsidRPr="008E0C00">
        <w:rPr>
          <w:rFonts w:cs="Times New Roman"/>
        </w:rPr>
        <w:t/>
      </w:r>
    </w:p>
    <w:p w14:paraId="0689AC10" w14:textId="77777777" w:rsidR="004164BC" w:rsidRDefault="004164BC" w:rsidP="00E878E1">
      <w:pPr>
        <w:jc w:val="center"/>
        <w:rPr>
          <w:rFonts w:cs="Times New Roman"/>
        </w:rPr>
      </w:pPr>
    </w:p>
    <w:p w14:paraId="41FF4553" w14:textId="77777777" w:rsidR="00FD2FCA" w:rsidRPr="00FD2FCA" w:rsidRDefault="00FD2FCA" w:rsidP="00FD2FCA">
      <w:pPr>
        <w:spacing w:after="0"/>
        <w:jc w:val="center"/>
        <w:rPr>
          <w:rFonts w:cs="Times New Roman"/>
        </w:rPr>
      </w:pPr>
      <w:r w:rsidRPr="00FD2FCA">
        <w:rPr>
          <w:rFonts w:cs="Times New Roman"/>
        </w:rPr>
        <w:t/>
      </w:r>
    </w:p>
    <w:p w14:paraId="791366AD" w14:textId="77777777" w:rsidR="00FD2FCA" w:rsidRPr="00FD2FCA" w:rsidRDefault="00FD2FCA" w:rsidP="00FD2FCA">
      <w:pPr>
        <w:spacing w:after="0"/>
        <w:jc w:val="center"/>
        <w:rPr>
          <w:rFonts w:cs="Times New Roman"/>
        </w:rPr>
      </w:pPr>
      <w:r w:rsidRPr="00FD2FCA">
        <w:rPr>
          <w:rFonts w:cs="Times New Roman"/>
        </w:rPr>
        <w:t/>
      </w:r>
    </w:p>
    <w:p w14:paraId="4395C36E" w14:textId="77777777" w:rsidR="00FD2FCA" w:rsidRPr="008E0C00" w:rsidRDefault="00FD2FCA" w:rsidP="00FD2FCA">
      <w:pPr>
        <w:spacing w:after="0" w:line="276" w:lineRule="auto"/>
        <w:jc w:val="center"/>
        <w:rPr>
          <w:rFonts w:cs="Times New Roman"/>
        </w:rPr>
      </w:pPr>
      <w:r w:rsidRPr="008E0C00">
        <w:rPr>
          <w:rFonts w:cs="Times New Roman"/>
        </w:rPr>
        <w:t/>
      </w:r>
    </w:p>
    <w:p w14:paraId="637719EB" w14:textId="77777777" w:rsidR="00FD2FCA" w:rsidRPr="008E0C00" w:rsidRDefault="00FD2FCA" w:rsidP="00FD2FCA">
      <w:pPr>
        <w:spacing w:after="0" w:line="276" w:lineRule="auto"/>
        <w:jc w:val="center"/>
        <w:rPr>
          <w:rFonts w:cs="Times New Roman"/>
        </w:rPr>
      </w:pPr>
      <w:r w:rsidRPr="008E0C00">
        <w:rPr>
          <w:rFonts w:cs="Times New Roman"/>
        </w:rPr>
        <w:t/>
      </w:r>
    </w:p>
    <w:p w14:paraId="5BCB93D0" w14:textId="6DE68B58" w:rsidR="00FD2FCA" w:rsidRDefault="00FD2FCA" w:rsidP="00FD2FCA">
      <w:pPr>
        <w:jc w:val="center"/>
        <w:rPr>
          <w:rFonts w:cs="Times New Roman"/>
        </w:rPr>
      </w:pPr>
      <w:r>
        <w:rPr>
          <w:rFonts w:cs="Times New Roman"/>
        </w:rPr>
        <w:t xml:space="preserve"/>
      </w:r>
      <w:hyperlink r:id="rId7" w:history="1">
        <w:r w:rsidRPr="00F64BAF">
          <w:rPr>
            <w:rStyle w:val="Hyperlink"/>
            <w:rFonts w:cs="Times New Roman"/>
          </w:rPr>
          <w:t/>
        </w:r>
      </w:hyperlink>
    </w:p>
    <w:p w14:paraId="280C6E7C" w14:textId="77777777" w:rsidR="00FD2FCA" w:rsidRPr="008E0C00" w:rsidRDefault="00FD2FCA" w:rsidP="00FD2FCA">
      <w:pPr>
        <w:jc w:val="center"/>
        <w:rPr>
          <w:rFonts w:cs="Times New Roman"/>
        </w:rPr>
      </w:pPr>
    </w:p>
    <w:p w14:paraId="6B1E2B51" w14:textId="3ACA8629" w:rsidR="00E878E1" w:rsidRPr="008E0C00" w:rsidRDefault="00E878E1" w:rsidP="004164BC">
      <w:pPr>
        <w:spacing w:after="0"/>
        <w:jc w:val="center"/>
        <w:rPr>
          <w:rFonts w:cs="Times New Roman"/>
        </w:rPr>
      </w:pPr>
      <w:r w:rsidRPr="008E0C00">
        <w:rPr>
          <w:rFonts w:cs="Times New Roman"/>
        </w:rPr>
        <w:t xml:space="preserve"/>
      </w:r>
    </w:p>
    <w:p w14:paraId="04EB63F5" w14:textId="0C5D0845" w:rsidR="005D6648" w:rsidRPr="008E0C00" w:rsidRDefault="005D6648" w:rsidP="004164BC">
      <w:pPr>
        <w:spacing w:after="0"/>
        <w:jc w:val="center"/>
        <w:rPr>
          <w:rFonts w:cs="Times New Roman"/>
        </w:rPr>
      </w:pPr>
      <w:r w:rsidRPr="008E0C00">
        <w:rPr>
          <w:rFonts w:cs="Times New Roman"/>
        </w:rPr>
        <w:t/>
      </w:r>
      <w:r w:rsidR="001D4D1E">
        <w:rPr>
          <w:rFonts w:cs="Times New Roman"/>
        </w:rPr>
        <w:t xml:space="preserve"/>
      </w:r>
      <w:r w:rsidRPr="008E0C00">
        <w:rPr>
          <w:rFonts w:cs="Times New Roman"/>
        </w:rPr>
        <w:t/>
      </w:r>
      <w:r w:rsidR="001D4D1E">
        <w:rPr>
          <w:rFonts w:cs="Times New Roman"/>
        </w:rPr>
        <w:t/>
      </w:r>
      <w:r w:rsidRPr="008E0C00">
        <w:rPr>
          <w:rFonts w:cs="Times New Roman"/>
        </w:rPr>
        <w:t xml:space="preserve"/>
      </w:r>
    </w:p>
    <w:p w14:paraId="78E6CACA" w14:textId="1444AF4E" w:rsidR="005D6648" w:rsidRPr="008E0C00" w:rsidRDefault="005D6648" w:rsidP="004164BC">
      <w:pPr>
        <w:spacing w:after="0"/>
        <w:jc w:val="center"/>
        <w:rPr>
          <w:rFonts w:cs="Times New Roman"/>
        </w:rPr>
      </w:pPr>
      <w:r w:rsidRPr="008E0C00">
        <w:rPr>
          <w:rFonts w:cs="Times New Roman"/>
        </w:rPr>
        <w:t xml:space="preserve"/>
      </w:r>
      <w:r w:rsidR="00EC5390" w:rsidRPr="008E0C00">
        <w:rPr>
          <w:rFonts w:cs="Times New Roman"/>
        </w:rPr>
        <w:t/>
      </w:r>
    </w:p>
    <w:p w14:paraId="2FAFFFAB" w14:textId="14EE6A4F" w:rsidR="0003005F" w:rsidRPr="008E0C00" w:rsidRDefault="00EC5390" w:rsidP="004164BC">
      <w:pPr>
        <w:spacing w:after="0"/>
        <w:jc w:val="center"/>
        <w:rPr>
          <w:rFonts w:cs="Times New Roman"/>
        </w:rPr>
      </w:pPr>
      <w:r w:rsidRPr="008E0C00">
        <w:rPr>
          <w:rFonts w:cs="Times New Roman"/>
        </w:rPr>
        <w:t xml:space="preserve"/>
      </w:r>
    </w:p>
    <w:p w14:paraId="20E72C48" w14:textId="77777777" w:rsidR="00EC5390" w:rsidRPr="008E0C00" w:rsidRDefault="00EC5390" w:rsidP="00EC5390">
      <w:pPr>
        <w:jc w:val="center"/>
        <w:rPr>
          <w:rFonts w:cs="Times New Roman"/>
        </w:rPr>
      </w:pPr>
    </w:p>
    <w:p w14:paraId="220592BD" w14:textId="48F8B10C" w:rsidR="00B30F65" w:rsidRPr="001C3D7D" w:rsidRDefault="00B30F65" w:rsidP="00E424C5">
      <w:pPr>
        <w:jc w:val="center"/>
        <w:rPr>
          <w:rFonts w:cs="Times New Roman"/>
          <w:b/>
          <w:bCs/>
          <w:sz w:val="28"/>
          <w:szCs w:val="28"/>
          <w:u w:val="single"/>
        </w:rPr>
      </w:pPr>
      <w:r w:rsidRPr="001C3D7D">
        <w:rPr>
          <w:rFonts w:cs="Times New Roman"/>
          <w:b/>
          <w:bCs/>
          <w:sz w:val="28"/>
          <w:szCs w:val="28"/>
          <w:u w:val="single"/>
        </w:rPr>
        <w:t>Abstract</w:t>
      </w:r>
    </w:p>
    <w:p w14:paraId="377E2D3D" w14:textId="718CB647" w:rsidR="007B160F" w:rsidRPr="008E0C00" w:rsidRDefault="00B30F65" w:rsidP="0060483E">
      <w:pPr>
        <w:spacing w:line="360" w:lineRule="auto"/>
        <w:jc w:val="both"/>
        <w:rPr>
          <w:rFonts w:cs="Times New Roman"/>
        </w:rPr>
      </w:pPr>
      <w:r w:rsidRPr="008E0C00">
        <w:rPr>
          <w:rFonts w:cs="Times New Roman"/>
        </w:rPr>
        <w:t xml:space="preserve">Profit is the essence of every economic activity, but profit without a sustainable future is like a house without a family. We live in a society where every element has an important role to play; however, due to the selfishness of human actions, we are gradually eliminating vital components of our ecology. In today’s fast-moving world, modern business houses often exploit every available resource to maximize profitability. Yet, when profits are achieved at the cost of emissions and waste, we compromise the very future we depend upon. Climate change is one of the most significant outcomes of this unchecked pursuit of profitability. MSMEs, often regarded as the backbone of developing economies, play a crucial role in addressing fundamental growth challenges, from generating employment to fostering indigenous industrial development. Viewed through the lens of Gandhian philosophy, the MSME sector not only contributes to economic growth but also aspires toward holistic development of society, balancing profitability with sustainability. Against this backdrop, the present research seeks to examine how MSMEs </w:t>
      </w:r>
      <w:r w:rsidRPr="008E0C00">
        <w:rPr>
          <w:rFonts w:cs="Times New Roman"/>
        </w:rPr>
        <w:lastRenderedPageBreak/>
        <w:t>particularly those in the food processing sector are integrating sustainable practices and aligning with the Sustainable Development Goals (SDGs). The study adopts a combination of exploratory</w:t>
      </w:r>
      <w:r w:rsidR="00097B52" w:rsidRPr="008E0C00">
        <w:rPr>
          <w:rFonts w:cs="Times New Roman"/>
        </w:rPr>
        <w:t xml:space="preserve"> </w:t>
      </w:r>
      <w:r w:rsidRPr="008E0C00">
        <w:rPr>
          <w:rFonts w:cs="Times New Roman"/>
        </w:rPr>
        <w:t>and</w:t>
      </w:r>
      <w:r w:rsidR="00731D83">
        <w:rPr>
          <w:rFonts w:cs="Times New Roman"/>
        </w:rPr>
        <w:t xml:space="preserve"> analytical</w:t>
      </w:r>
      <w:r w:rsidRPr="008E0C00">
        <w:rPr>
          <w:rFonts w:cs="Times New Roman"/>
        </w:rPr>
        <w:t xml:space="preserve"> methodological frameworks, </w:t>
      </w:r>
      <w:r w:rsidR="00731D83">
        <w:rPr>
          <w:rFonts w:cs="Times New Roman"/>
        </w:rPr>
        <w:t xml:space="preserve">and for the purpose of </w:t>
      </w:r>
      <w:r w:rsidR="001C3D7D">
        <w:rPr>
          <w:rFonts w:cs="Times New Roman"/>
        </w:rPr>
        <w:t xml:space="preserve">analysis </w:t>
      </w:r>
      <w:r w:rsidR="001C3D7D" w:rsidRPr="008E0C00">
        <w:rPr>
          <w:rFonts w:cs="Times New Roman"/>
        </w:rPr>
        <w:t>primary</w:t>
      </w:r>
      <w:r w:rsidRPr="008E0C00">
        <w:rPr>
          <w:rFonts w:cs="Times New Roman"/>
        </w:rPr>
        <w:t xml:space="preserve"> data </w:t>
      </w:r>
      <w:r w:rsidR="00731D83">
        <w:rPr>
          <w:rFonts w:cs="Times New Roman"/>
        </w:rPr>
        <w:t>was</w:t>
      </w:r>
      <w:r w:rsidRPr="008E0C00">
        <w:rPr>
          <w:rFonts w:cs="Times New Roman"/>
        </w:rPr>
        <w:t xml:space="preserve"> collected mainly through </w:t>
      </w:r>
      <w:r w:rsidR="001C3D7D">
        <w:rPr>
          <w:rFonts w:cs="Times New Roman"/>
        </w:rPr>
        <w:t>non random snowball</w:t>
      </w:r>
      <w:r w:rsidRPr="008E0C00">
        <w:rPr>
          <w:rFonts w:cs="Times New Roman"/>
        </w:rPr>
        <w:t xml:space="preserve"> sampling</w:t>
      </w:r>
      <w:r w:rsidR="00731D83">
        <w:rPr>
          <w:rFonts w:cs="Times New Roman"/>
        </w:rPr>
        <w:t xml:space="preserve">. </w:t>
      </w:r>
    </w:p>
    <w:p w14:paraId="0D5326E7" w14:textId="2E1B17F1" w:rsidR="00B346A0" w:rsidRPr="008E0C00" w:rsidRDefault="00EC5390" w:rsidP="00E424C5">
      <w:pPr>
        <w:jc w:val="both"/>
        <w:rPr>
          <w:rFonts w:cs="Times New Roman"/>
        </w:rPr>
      </w:pPr>
      <w:r w:rsidRPr="008E0C00">
        <w:rPr>
          <w:rFonts w:cs="Times New Roman"/>
          <w:b/>
          <w:bCs/>
        </w:rPr>
        <w:t>Keywords</w:t>
      </w:r>
      <w:r w:rsidRPr="008E0C00">
        <w:rPr>
          <w:rFonts w:cs="Times New Roman"/>
        </w:rPr>
        <w:t xml:space="preserve">: </w:t>
      </w:r>
      <w:r w:rsidR="009B6BCF" w:rsidRPr="008E0C00">
        <w:rPr>
          <w:rFonts w:cs="Times New Roman"/>
        </w:rPr>
        <w:t>ESG</w:t>
      </w:r>
      <w:r w:rsidR="00510FB7" w:rsidRPr="008E0C00">
        <w:rPr>
          <w:rFonts w:cs="Times New Roman"/>
        </w:rPr>
        <w:t>, Green Packaging,</w:t>
      </w:r>
      <w:r w:rsidR="00B13EF4" w:rsidRPr="008E0C00">
        <w:rPr>
          <w:rFonts w:cs="Times New Roman"/>
        </w:rPr>
        <w:t xml:space="preserve"> and MSMEs.</w:t>
      </w:r>
    </w:p>
    <w:p w14:paraId="10831DC7" w14:textId="1E7E780D" w:rsidR="002E5334" w:rsidRPr="001C3D7D" w:rsidRDefault="002E5334" w:rsidP="0060483E">
      <w:pPr>
        <w:pStyle w:val="ListParagraph"/>
        <w:numPr>
          <w:ilvl w:val="0"/>
          <w:numId w:val="7"/>
        </w:numPr>
        <w:ind w:left="90"/>
        <w:jc w:val="both"/>
        <w:rPr>
          <w:rFonts w:cs="Times New Roman"/>
          <w:b/>
          <w:bCs/>
          <w:sz w:val="28"/>
          <w:szCs w:val="28"/>
        </w:rPr>
      </w:pPr>
      <w:r w:rsidRPr="001C3D7D">
        <w:rPr>
          <w:rFonts w:cs="Times New Roman"/>
          <w:b/>
          <w:bCs/>
          <w:sz w:val="28"/>
          <w:szCs w:val="28"/>
        </w:rPr>
        <w:t>INTRODUCTION</w:t>
      </w:r>
    </w:p>
    <w:p w14:paraId="73A44E53" w14:textId="47EDCD54" w:rsidR="002A4673" w:rsidRDefault="00576C62" w:rsidP="006F1EFF">
      <w:pPr>
        <w:spacing w:line="360" w:lineRule="auto"/>
        <w:jc w:val="both"/>
        <w:rPr>
          <w:rFonts w:eastAsia="Times New Roman" w:cs="Times New Roman"/>
          <w:kern w:val="0"/>
          <w:szCs w:val="24"/>
          <w:lang w:bidi="ar-SA"/>
          <w14:ligatures w14:val="none"/>
        </w:rPr>
      </w:pPr>
      <w:bookmarkStart w:id="0" w:name="_Hlk225682571"/>
      <w:r w:rsidRPr="00576C62">
        <w:rPr>
          <w:rFonts w:eastAsia="Times New Roman" w:cs="Times New Roman"/>
          <w:kern w:val="0"/>
          <w:szCs w:val="24"/>
          <w:lang w:bidi="ar-SA"/>
          <w14:ligatures w14:val="none"/>
        </w:rPr>
        <w:t>The famous idea of Charles Darwin suggested that - “</w:t>
      </w:r>
      <w:r w:rsidR="002A4673" w:rsidRPr="002A4673">
        <w:rPr>
          <w:rFonts w:eastAsia="Times New Roman" w:cs="Times New Roman"/>
          <w:kern w:val="0"/>
          <w:szCs w:val="24"/>
          <w:lang w:bidi="ar-SA"/>
          <w14:ligatures w14:val="none"/>
        </w:rPr>
        <w:t>It is not the strongest of the species that survive, nor the most intelligent, but the one most responsive to change</w:t>
      </w:r>
      <w:r w:rsidRPr="00576C62">
        <w:rPr>
          <w:rFonts w:eastAsia="Times New Roman" w:cs="Times New Roman"/>
          <w:kern w:val="0"/>
          <w:szCs w:val="24"/>
          <w:lang w:bidi="ar-SA"/>
          <w14:ligatures w14:val="none"/>
        </w:rPr>
        <w:t>”.</w:t>
      </w:r>
      <w:r w:rsidR="002A4673">
        <w:rPr>
          <w:rFonts w:eastAsia="Times New Roman" w:cs="Times New Roman"/>
          <w:kern w:val="0"/>
          <w:szCs w:val="24"/>
          <w:lang w:bidi="ar-SA"/>
          <w14:ligatures w14:val="none"/>
        </w:rPr>
        <w:t xml:space="preserve"> The scope of </w:t>
      </w:r>
      <w:r w:rsidR="002A4673" w:rsidRPr="00576C62">
        <w:rPr>
          <w:rFonts w:eastAsia="Times New Roman" w:cs="Times New Roman"/>
          <w:kern w:val="0"/>
          <w:szCs w:val="24"/>
          <w:lang w:bidi="ar-SA"/>
          <w14:ligatures w14:val="none"/>
        </w:rPr>
        <w:t>this</w:t>
      </w:r>
      <w:r w:rsidRPr="00576C62">
        <w:rPr>
          <w:rFonts w:eastAsia="Times New Roman" w:cs="Times New Roman"/>
          <w:kern w:val="0"/>
          <w:szCs w:val="24"/>
          <w:lang w:bidi="ar-SA"/>
          <w14:ligatures w14:val="none"/>
        </w:rPr>
        <w:t xml:space="preserve"> </w:t>
      </w:r>
      <w:r w:rsidR="002A4673">
        <w:rPr>
          <w:rFonts w:eastAsia="Times New Roman" w:cs="Times New Roman"/>
          <w:kern w:val="0"/>
          <w:szCs w:val="24"/>
          <w:lang w:bidi="ar-SA"/>
          <w14:ligatures w14:val="none"/>
        </w:rPr>
        <w:t>theory</w:t>
      </w:r>
      <w:r w:rsidRPr="00576C62">
        <w:rPr>
          <w:rFonts w:eastAsia="Times New Roman" w:cs="Times New Roman"/>
          <w:kern w:val="0"/>
          <w:szCs w:val="24"/>
          <w:lang w:bidi="ar-SA"/>
          <w14:ligatures w14:val="none"/>
        </w:rPr>
        <w:t xml:space="preserve"> of adaptability is not only limited to biological evolution is </w:t>
      </w:r>
      <w:r w:rsidR="002A4673">
        <w:rPr>
          <w:rFonts w:eastAsia="Times New Roman" w:cs="Times New Roman"/>
          <w:kern w:val="0"/>
          <w:szCs w:val="24"/>
          <w:lang w:bidi="ar-SA"/>
          <w14:ligatures w14:val="none"/>
        </w:rPr>
        <w:t>also</w:t>
      </w:r>
      <w:r w:rsidRPr="00576C62">
        <w:rPr>
          <w:rFonts w:eastAsia="Times New Roman" w:cs="Times New Roman"/>
          <w:kern w:val="0"/>
          <w:szCs w:val="24"/>
          <w:lang w:bidi="ar-SA"/>
          <w14:ligatures w14:val="none"/>
        </w:rPr>
        <w:t xml:space="preserve"> relevant to economic systems, industries, and societies. </w:t>
      </w:r>
      <w:r w:rsidR="002A4673">
        <w:rPr>
          <w:rFonts w:eastAsia="Times New Roman" w:cs="Times New Roman"/>
          <w:kern w:val="0"/>
          <w:szCs w:val="24"/>
          <w:lang w:bidi="ar-SA"/>
          <w14:ligatures w14:val="none"/>
        </w:rPr>
        <w:t xml:space="preserve">The world today is changing at a rapid pace and in this </w:t>
      </w:r>
      <w:r w:rsidRPr="00576C62">
        <w:rPr>
          <w:rFonts w:eastAsia="Times New Roman" w:cs="Times New Roman"/>
          <w:kern w:val="0"/>
          <w:szCs w:val="24"/>
          <w:lang w:bidi="ar-SA"/>
          <w14:ligatures w14:val="none"/>
        </w:rPr>
        <w:t xml:space="preserve">rapidly changing global landscape, the ability to adapt the environmental, social, and economic changes has become a </w:t>
      </w:r>
      <w:r w:rsidR="002A4673">
        <w:rPr>
          <w:rFonts w:eastAsia="Times New Roman" w:cs="Times New Roman"/>
          <w:kern w:val="0"/>
          <w:szCs w:val="24"/>
          <w:lang w:bidi="ar-SA"/>
          <w14:ligatures w14:val="none"/>
        </w:rPr>
        <w:t xml:space="preserve">one of the </w:t>
      </w:r>
      <w:r w:rsidRPr="00576C62">
        <w:rPr>
          <w:rFonts w:eastAsia="Times New Roman" w:cs="Times New Roman"/>
          <w:kern w:val="0"/>
          <w:szCs w:val="24"/>
          <w:lang w:bidi="ar-SA"/>
          <w14:ligatures w14:val="none"/>
        </w:rPr>
        <w:t xml:space="preserve">defining </w:t>
      </w:r>
      <w:r w:rsidR="002A4673" w:rsidRPr="00576C62">
        <w:rPr>
          <w:rFonts w:eastAsia="Times New Roman" w:cs="Times New Roman"/>
          <w:kern w:val="0"/>
          <w:szCs w:val="24"/>
          <w:lang w:bidi="ar-SA"/>
          <w14:ligatures w14:val="none"/>
        </w:rPr>
        <w:t>factors</w:t>
      </w:r>
      <w:r w:rsidRPr="00576C62">
        <w:rPr>
          <w:rFonts w:eastAsia="Times New Roman" w:cs="Times New Roman"/>
          <w:kern w:val="0"/>
          <w:szCs w:val="24"/>
          <w:lang w:bidi="ar-SA"/>
          <w14:ligatures w14:val="none"/>
        </w:rPr>
        <w:t xml:space="preserve"> for sustainable growth and </w:t>
      </w:r>
      <w:r w:rsidR="002A4673" w:rsidRPr="00576C62">
        <w:rPr>
          <w:rFonts w:eastAsia="Times New Roman" w:cs="Times New Roman"/>
          <w:kern w:val="0"/>
          <w:szCs w:val="24"/>
          <w:lang w:bidi="ar-SA"/>
          <w14:ligatures w14:val="none"/>
        </w:rPr>
        <w:t>long</w:t>
      </w:r>
      <w:r w:rsidR="002A4673">
        <w:rPr>
          <w:rFonts w:eastAsia="Times New Roman" w:cs="Times New Roman"/>
          <w:kern w:val="0"/>
          <w:szCs w:val="24"/>
          <w:lang w:bidi="ar-SA"/>
          <w14:ligatures w14:val="none"/>
        </w:rPr>
        <w:t>-term</w:t>
      </w:r>
      <w:r w:rsidRPr="00576C62">
        <w:rPr>
          <w:rFonts w:eastAsia="Times New Roman" w:cs="Times New Roman"/>
          <w:kern w:val="0"/>
          <w:szCs w:val="24"/>
          <w:lang w:bidi="ar-SA"/>
          <w14:ligatures w14:val="none"/>
        </w:rPr>
        <w:t xml:space="preserve"> survival.</w:t>
      </w:r>
    </w:p>
    <w:p w14:paraId="40E81AA5" w14:textId="37CA2C00" w:rsidR="00576C62" w:rsidRDefault="00576C62" w:rsidP="006F1EFF">
      <w:pPr>
        <w:spacing w:line="360" w:lineRule="auto"/>
        <w:jc w:val="both"/>
        <w:rPr>
          <w:rFonts w:eastAsia="Times New Roman" w:cs="Times New Roman"/>
          <w:kern w:val="0"/>
          <w:szCs w:val="24"/>
          <w:lang w:bidi="ar-SA"/>
          <w14:ligatures w14:val="none"/>
        </w:rPr>
      </w:pPr>
      <w:r w:rsidRPr="00576C62">
        <w:rPr>
          <w:rFonts w:eastAsia="Times New Roman" w:cs="Times New Roman"/>
          <w:kern w:val="0"/>
          <w:szCs w:val="24"/>
          <w:lang w:bidi="ar-SA"/>
          <w14:ligatures w14:val="none"/>
        </w:rPr>
        <w:t xml:space="preserve">Historically, economies across the world focused upon industrial expansion particularly during the 19th and early 20th centuries. However, over time, </w:t>
      </w:r>
      <w:r w:rsidR="00144CDF">
        <w:rPr>
          <w:rFonts w:eastAsia="Times New Roman" w:cs="Times New Roman"/>
          <w:kern w:val="0"/>
          <w:szCs w:val="24"/>
          <w:lang w:bidi="ar-SA"/>
          <w14:ligatures w14:val="none"/>
        </w:rPr>
        <w:t>we can observe a shift in this approach, “</w:t>
      </w:r>
      <w:r w:rsidR="00144CDF" w:rsidRPr="00144CDF">
        <w:rPr>
          <w:rFonts w:eastAsia="Times New Roman" w:cs="Times New Roman"/>
          <w:i/>
          <w:iCs/>
          <w:kern w:val="0"/>
          <w:szCs w:val="24"/>
          <w:lang w:bidi="ar-SA"/>
          <w14:ligatures w14:val="none"/>
        </w:rPr>
        <w:t>Industry 5.0</w:t>
      </w:r>
      <w:r w:rsidR="00144CDF">
        <w:rPr>
          <w:rFonts w:eastAsia="Times New Roman" w:cs="Times New Roman"/>
          <w:i/>
          <w:iCs/>
          <w:kern w:val="0"/>
          <w:szCs w:val="24"/>
          <w:lang w:bidi="ar-SA"/>
          <w14:ligatures w14:val="none"/>
        </w:rPr>
        <w:t>”</w:t>
      </w:r>
      <w:r w:rsidR="00144CDF">
        <w:rPr>
          <w:rFonts w:eastAsia="Times New Roman" w:cs="Times New Roman"/>
          <w:kern w:val="0"/>
          <w:szCs w:val="24"/>
          <w:lang w:bidi="ar-SA"/>
          <w14:ligatures w14:val="none"/>
        </w:rPr>
        <w:t xml:space="preserve"> as per </w:t>
      </w:r>
      <w:sdt>
        <w:sdtPr>
          <w:rPr>
            <w:rFonts w:eastAsia="Times New Roman" w:cs="Times New Roman"/>
            <w:kern w:val="0"/>
            <w:szCs w:val="24"/>
            <w:lang w:bidi="ar-SA"/>
            <w14:ligatures w14:val="none"/>
          </w:rPr>
          <w:id w:val="374359617"/>
          <w:citation/>
        </w:sdtPr>
        <w:sdtContent>
          <w:r w:rsidR="00144CDF">
            <w:rPr>
              <w:rFonts w:eastAsia="Times New Roman" w:cs="Times New Roman"/>
              <w:kern w:val="0"/>
              <w:szCs w:val="24"/>
              <w:lang w:bidi="ar-SA"/>
              <w14:ligatures w14:val="none"/>
            </w:rPr>
            <w:fldChar w:fldCharType="begin"/>
          </w:r>
          <w:r w:rsidR="00144CDF">
            <w:rPr>
              <w:rFonts w:eastAsia="Times New Roman" w:cs="Times New Roman"/>
              <w:kern w:val="0"/>
              <w:szCs w:val="24"/>
              <w:lang w:bidi="ar-SA"/>
              <w14:ligatures w14:val="none"/>
            </w:rPr>
            <w:instrText xml:space="preserve"> CITATION Ver24 \l 1033 </w:instrText>
          </w:r>
          <w:r w:rsidR="00144CDF">
            <w:rPr>
              <w:rFonts w:eastAsia="Times New Roman" w:cs="Times New Roman"/>
              <w:kern w:val="0"/>
              <w:szCs w:val="24"/>
              <w:lang w:bidi="ar-SA"/>
              <w14:ligatures w14:val="none"/>
            </w:rPr>
            <w:fldChar w:fldCharType="separate"/>
          </w:r>
          <w:r w:rsidR="00144CDF" w:rsidRPr="00144CDF">
            <w:rPr>
              <w:rFonts w:eastAsia="Times New Roman" w:cs="Times New Roman"/>
              <w:noProof/>
              <w:kern w:val="0"/>
              <w:szCs w:val="24"/>
              <w:lang w:bidi="ar-SA"/>
              <w14:ligatures w14:val="none"/>
            </w:rPr>
            <w:t>(Verma, 2024)</w:t>
          </w:r>
          <w:r w:rsidR="00144CDF">
            <w:rPr>
              <w:rFonts w:eastAsia="Times New Roman" w:cs="Times New Roman"/>
              <w:kern w:val="0"/>
              <w:szCs w:val="24"/>
              <w:lang w:bidi="ar-SA"/>
              <w14:ligatures w14:val="none"/>
            </w:rPr>
            <w:fldChar w:fldCharType="end"/>
          </w:r>
        </w:sdtContent>
      </w:sdt>
      <w:r w:rsidRPr="00576C62">
        <w:rPr>
          <w:rFonts w:eastAsia="Times New Roman" w:cs="Times New Roman"/>
          <w:kern w:val="0"/>
          <w:szCs w:val="24"/>
          <w:lang w:bidi="ar-SA"/>
          <w14:ligatures w14:val="none"/>
        </w:rPr>
        <w:t xml:space="preserve"> </w:t>
      </w:r>
      <w:r w:rsidR="005468E1">
        <w:rPr>
          <w:rFonts w:eastAsia="Times New Roman" w:cs="Times New Roman"/>
          <w:kern w:val="0"/>
          <w:szCs w:val="24"/>
          <w:lang w:bidi="ar-SA"/>
          <w14:ligatures w14:val="none"/>
        </w:rPr>
        <w:t>is one</w:t>
      </w:r>
      <w:r w:rsidR="00144CDF">
        <w:rPr>
          <w:rFonts w:eastAsia="Times New Roman" w:cs="Times New Roman"/>
          <w:kern w:val="0"/>
          <w:szCs w:val="24"/>
          <w:lang w:bidi="ar-SA"/>
          <w14:ligatures w14:val="none"/>
        </w:rPr>
        <w:t xml:space="preserve"> of the new approach of Industries where the focus is not only limited to r</w:t>
      </w:r>
      <w:r w:rsidRPr="00576C62">
        <w:rPr>
          <w:rFonts w:eastAsia="Times New Roman" w:cs="Times New Roman"/>
          <w:kern w:val="0"/>
          <w:szCs w:val="24"/>
          <w:lang w:bidi="ar-SA"/>
          <w14:ligatures w14:val="none"/>
        </w:rPr>
        <w:t xml:space="preserve">esource exploitation </w:t>
      </w:r>
      <w:r w:rsidR="00144CDF">
        <w:rPr>
          <w:rFonts w:eastAsia="Times New Roman" w:cs="Times New Roman"/>
          <w:kern w:val="0"/>
          <w:szCs w:val="24"/>
          <w:lang w:bidi="ar-SA"/>
          <w14:ligatures w14:val="none"/>
        </w:rPr>
        <w:t>but is towards enhancing sustainability resilience and human well</w:t>
      </w:r>
      <w:r w:rsidR="00CB765E">
        <w:rPr>
          <w:rFonts w:eastAsia="Times New Roman" w:cs="Times New Roman"/>
          <w:kern w:val="0"/>
          <w:szCs w:val="24"/>
          <w:lang w:bidi="ar-SA"/>
          <w14:ligatures w14:val="none"/>
        </w:rPr>
        <w:t xml:space="preserve"> -</w:t>
      </w:r>
      <w:r w:rsidR="00144CDF">
        <w:rPr>
          <w:rFonts w:eastAsia="Times New Roman" w:cs="Times New Roman"/>
          <w:kern w:val="0"/>
          <w:szCs w:val="24"/>
          <w:lang w:bidi="ar-SA"/>
          <w14:ligatures w14:val="none"/>
        </w:rPr>
        <w:t xml:space="preserve"> being</w:t>
      </w:r>
      <w:r w:rsidRPr="00576C62">
        <w:rPr>
          <w:rFonts w:eastAsia="Times New Roman" w:cs="Times New Roman"/>
          <w:kern w:val="0"/>
          <w:szCs w:val="24"/>
          <w:lang w:bidi="ar-SA"/>
          <w14:ligatures w14:val="none"/>
        </w:rPr>
        <w:t xml:space="preserve">. </w:t>
      </w:r>
      <w:r w:rsidR="005468E1">
        <w:rPr>
          <w:rFonts w:eastAsia="Times New Roman" w:cs="Times New Roman"/>
          <w:kern w:val="0"/>
          <w:szCs w:val="24"/>
          <w:lang w:bidi="ar-SA"/>
          <w14:ligatures w14:val="none"/>
        </w:rPr>
        <w:t>Worldwide this</w:t>
      </w:r>
      <w:r w:rsidRPr="00576C62">
        <w:rPr>
          <w:rFonts w:eastAsia="Times New Roman" w:cs="Times New Roman"/>
          <w:kern w:val="0"/>
          <w:szCs w:val="24"/>
          <w:lang w:bidi="ar-SA"/>
          <w14:ligatures w14:val="none"/>
        </w:rPr>
        <w:t xml:space="preserve"> transformation gained momentum </w:t>
      </w:r>
      <w:r w:rsidR="005468E1">
        <w:rPr>
          <w:rFonts w:eastAsia="Times New Roman" w:cs="Times New Roman"/>
          <w:kern w:val="0"/>
          <w:szCs w:val="24"/>
          <w:lang w:bidi="ar-SA"/>
          <w14:ligatures w14:val="none"/>
        </w:rPr>
        <w:t xml:space="preserve">when we encountered </w:t>
      </w:r>
      <w:r w:rsidRPr="00576C62">
        <w:rPr>
          <w:rFonts w:eastAsia="Times New Roman" w:cs="Times New Roman"/>
          <w:kern w:val="0"/>
          <w:szCs w:val="24"/>
          <w:lang w:bidi="ar-SA"/>
          <w14:ligatures w14:val="none"/>
        </w:rPr>
        <w:t>challenges such as ozone depletion, which led to collective action through agreements like the Montreal Protocol</w:t>
      </w:r>
      <w:r w:rsidR="005468E1">
        <w:rPr>
          <w:rFonts w:eastAsia="Times New Roman" w:cs="Times New Roman"/>
          <w:kern w:val="0"/>
          <w:szCs w:val="24"/>
          <w:lang w:bidi="ar-SA"/>
          <w14:ligatures w14:val="none"/>
        </w:rPr>
        <w:t xml:space="preserve">, which till the date is recognized </w:t>
      </w:r>
      <w:r w:rsidR="005468E1" w:rsidRPr="00576C62">
        <w:rPr>
          <w:rFonts w:eastAsia="Times New Roman" w:cs="Times New Roman"/>
          <w:kern w:val="0"/>
          <w:szCs w:val="24"/>
          <w:lang w:bidi="ar-SA"/>
          <w14:ligatures w14:val="none"/>
        </w:rPr>
        <w:t>as</w:t>
      </w:r>
      <w:r w:rsidRPr="00576C62">
        <w:rPr>
          <w:rFonts w:eastAsia="Times New Roman" w:cs="Times New Roman"/>
          <w:kern w:val="0"/>
          <w:szCs w:val="24"/>
          <w:lang w:bidi="ar-SA"/>
          <w14:ligatures w14:val="none"/>
        </w:rPr>
        <w:t xml:space="preserve"> one of the most successful environmental treaties.</w:t>
      </w:r>
    </w:p>
    <w:p w14:paraId="230262B7" w14:textId="1066F52E" w:rsidR="002A1E0B" w:rsidRPr="002A1E0B" w:rsidRDefault="002A1E0B" w:rsidP="002A1E0B">
      <w:pPr>
        <w:spacing w:line="360" w:lineRule="auto"/>
        <w:jc w:val="both"/>
        <w:rPr>
          <w:rFonts w:eastAsia="Times New Roman" w:cs="Times New Roman"/>
          <w:kern w:val="0"/>
          <w:szCs w:val="24"/>
          <w:lang w:bidi="ar-SA"/>
          <w14:ligatures w14:val="none"/>
        </w:rPr>
      </w:pPr>
      <w:r w:rsidRPr="002A1E0B">
        <w:rPr>
          <w:rFonts w:eastAsia="Times New Roman" w:cs="Times New Roman"/>
          <w:kern w:val="0"/>
          <w:szCs w:val="24"/>
          <w:lang w:bidi="ar-SA"/>
          <w14:ligatures w14:val="none"/>
        </w:rPr>
        <w:t xml:space="preserve">The </w:t>
      </w:r>
      <w:r>
        <w:rPr>
          <w:rFonts w:eastAsia="Times New Roman" w:cs="Times New Roman"/>
          <w:kern w:val="0"/>
          <w:szCs w:val="24"/>
          <w:lang w:bidi="ar-SA"/>
          <w14:ligatures w14:val="none"/>
        </w:rPr>
        <w:t>Brundtland report “</w:t>
      </w:r>
      <w:r w:rsidRPr="002A1E0B">
        <w:rPr>
          <w:rFonts w:eastAsia="Times New Roman" w:cs="Times New Roman"/>
          <w:kern w:val="0"/>
          <w:szCs w:val="24"/>
          <w:lang w:bidi="ar-SA"/>
          <w14:ligatures w14:val="none"/>
        </w:rPr>
        <w:t>Our Common Future</w:t>
      </w:r>
      <w:r>
        <w:rPr>
          <w:rFonts w:eastAsia="Times New Roman" w:cs="Times New Roman"/>
          <w:kern w:val="0"/>
          <w:szCs w:val="24"/>
          <w:lang w:bidi="ar-SA"/>
          <w14:ligatures w14:val="none"/>
        </w:rPr>
        <w:t>”</w:t>
      </w:r>
      <w:r w:rsidRPr="002A1E0B">
        <w:rPr>
          <w:rFonts w:eastAsia="Times New Roman" w:cs="Times New Roman"/>
          <w:kern w:val="0"/>
          <w:szCs w:val="24"/>
          <w:lang w:bidi="ar-SA"/>
          <w14:ligatures w14:val="none"/>
        </w:rPr>
        <w:t xml:space="preserve">, published by the World Commission on Environment and Development, was one of the first international reports to introduce the idea of sustainable development. </w:t>
      </w:r>
      <w:r w:rsidR="005468E1">
        <w:rPr>
          <w:rFonts w:eastAsia="Times New Roman" w:cs="Times New Roman"/>
          <w:kern w:val="0"/>
          <w:szCs w:val="24"/>
          <w:lang w:bidi="ar-SA"/>
          <w14:ligatures w14:val="none"/>
        </w:rPr>
        <w:t xml:space="preserve">The idea was </w:t>
      </w:r>
      <w:r w:rsidRPr="002A1E0B">
        <w:rPr>
          <w:rFonts w:eastAsia="Times New Roman" w:cs="Times New Roman"/>
          <w:kern w:val="0"/>
          <w:szCs w:val="24"/>
          <w:lang w:bidi="ar-SA"/>
          <w14:ligatures w14:val="none"/>
        </w:rPr>
        <w:t xml:space="preserve">to balance present needs without compromising </w:t>
      </w:r>
      <w:r>
        <w:rPr>
          <w:rFonts w:eastAsia="Times New Roman" w:cs="Times New Roman"/>
          <w:kern w:val="0"/>
          <w:szCs w:val="24"/>
          <w:lang w:bidi="ar-SA"/>
          <w14:ligatures w14:val="none"/>
        </w:rPr>
        <w:t xml:space="preserve">the need of </w:t>
      </w:r>
      <w:r w:rsidRPr="002A1E0B">
        <w:rPr>
          <w:rFonts w:eastAsia="Times New Roman" w:cs="Times New Roman"/>
          <w:kern w:val="0"/>
          <w:szCs w:val="24"/>
          <w:lang w:bidi="ar-SA"/>
          <w14:ligatures w14:val="none"/>
        </w:rPr>
        <w:t>future generations.</w:t>
      </w:r>
      <w:r>
        <w:rPr>
          <w:rFonts w:eastAsia="Times New Roman" w:cs="Times New Roman"/>
          <w:kern w:val="0"/>
          <w:szCs w:val="24"/>
          <w:lang w:bidi="ar-SA"/>
          <w14:ligatures w14:val="none"/>
        </w:rPr>
        <w:t xml:space="preserve"> </w:t>
      </w:r>
      <w:r w:rsidRPr="002A1E0B">
        <w:rPr>
          <w:rFonts w:eastAsia="Times New Roman" w:cs="Times New Roman"/>
          <w:kern w:val="0"/>
          <w:szCs w:val="24"/>
          <w:lang w:bidi="ar-SA"/>
          <w14:ligatures w14:val="none"/>
        </w:rPr>
        <w:t>Over time, the idea of sustainability has developed into a broader framework based on three main pillars: environmental responsibility, social equity, and governance (ESG). These pillars focus on ensuring that economic activities are carried out in a way that supports environmental balance and social well-being over the long term.</w:t>
      </w:r>
    </w:p>
    <w:p w14:paraId="023D9C0F" w14:textId="7AE7A366" w:rsidR="00576C62" w:rsidRDefault="005468E1" w:rsidP="006F1EFF">
      <w:pPr>
        <w:spacing w:line="360" w:lineRule="auto"/>
        <w:jc w:val="both"/>
        <w:rPr>
          <w:rFonts w:eastAsia="Times New Roman" w:cs="Times New Roman"/>
          <w:kern w:val="0"/>
          <w:szCs w:val="24"/>
          <w:lang w:bidi="ar-SA"/>
          <w14:ligatures w14:val="none"/>
        </w:rPr>
      </w:pPr>
      <w:r>
        <w:rPr>
          <w:rFonts w:eastAsia="Times New Roman" w:cs="Times New Roman"/>
          <w:kern w:val="0"/>
          <w:szCs w:val="24"/>
          <w:lang w:bidi="ar-SA"/>
          <w14:ligatures w14:val="none"/>
        </w:rPr>
        <w:t>India i</w:t>
      </w:r>
      <w:r w:rsidR="002F0755">
        <w:rPr>
          <w:rFonts w:eastAsia="Times New Roman" w:cs="Times New Roman"/>
          <w:kern w:val="0"/>
          <w:szCs w:val="24"/>
          <w:lang w:bidi="ar-SA"/>
          <w14:ligatures w14:val="none"/>
        </w:rPr>
        <w:t xml:space="preserve">s the fourth largest economy of the world, and the country believe in the concept of holistic development, </w:t>
      </w:r>
      <w:r w:rsidR="00576C62" w:rsidRPr="00576C62">
        <w:rPr>
          <w:rFonts w:eastAsia="Times New Roman" w:cs="Times New Roman"/>
          <w:kern w:val="0"/>
          <w:szCs w:val="24"/>
          <w:lang w:bidi="ar-SA"/>
          <w14:ligatures w14:val="none"/>
        </w:rPr>
        <w:t xml:space="preserve">sustainability </w:t>
      </w:r>
      <w:r w:rsidR="002F0755">
        <w:rPr>
          <w:rFonts w:eastAsia="Times New Roman" w:cs="Times New Roman"/>
          <w:kern w:val="0"/>
          <w:szCs w:val="24"/>
          <w:lang w:bidi="ar-SA"/>
          <w14:ligatures w14:val="none"/>
        </w:rPr>
        <w:t xml:space="preserve">is </w:t>
      </w:r>
      <w:r w:rsidR="00576C62" w:rsidRPr="00576C62">
        <w:rPr>
          <w:rFonts w:eastAsia="Times New Roman" w:cs="Times New Roman"/>
          <w:kern w:val="0"/>
          <w:szCs w:val="24"/>
          <w:lang w:bidi="ar-SA"/>
          <w14:ligatures w14:val="none"/>
        </w:rPr>
        <w:t xml:space="preserve">an integral part of </w:t>
      </w:r>
      <w:r w:rsidR="002F0755">
        <w:rPr>
          <w:rFonts w:eastAsia="Times New Roman" w:cs="Times New Roman"/>
          <w:kern w:val="0"/>
          <w:szCs w:val="24"/>
          <w:lang w:bidi="ar-SA"/>
          <w14:ligatures w14:val="none"/>
        </w:rPr>
        <w:t xml:space="preserve">the country’s </w:t>
      </w:r>
      <w:r w:rsidR="00576C62" w:rsidRPr="00576C62">
        <w:rPr>
          <w:rFonts w:eastAsia="Times New Roman" w:cs="Times New Roman"/>
          <w:kern w:val="0"/>
          <w:szCs w:val="24"/>
          <w:lang w:bidi="ar-SA"/>
          <w14:ligatures w14:val="none"/>
        </w:rPr>
        <w:t xml:space="preserve">policy frameworks and development </w:t>
      </w:r>
      <w:r w:rsidR="00576C62" w:rsidRPr="00576C62">
        <w:rPr>
          <w:rFonts w:eastAsia="Times New Roman" w:cs="Times New Roman"/>
          <w:kern w:val="0"/>
          <w:szCs w:val="24"/>
          <w:lang w:bidi="ar-SA"/>
          <w14:ligatures w14:val="none"/>
        </w:rPr>
        <w:lastRenderedPageBreak/>
        <w:t>strategies</w:t>
      </w:r>
      <w:r w:rsidR="002F0755">
        <w:rPr>
          <w:rFonts w:eastAsia="Times New Roman" w:cs="Times New Roman"/>
          <w:kern w:val="0"/>
          <w:szCs w:val="24"/>
          <w:lang w:bidi="ar-SA"/>
          <w14:ligatures w14:val="none"/>
        </w:rPr>
        <w:t xml:space="preserve">. </w:t>
      </w:r>
      <w:r w:rsidR="00DD7936">
        <w:rPr>
          <w:rFonts w:eastAsia="Times New Roman" w:cs="Times New Roman"/>
          <w:kern w:val="0"/>
          <w:szCs w:val="24"/>
          <w:lang w:bidi="ar-SA"/>
          <w14:ligatures w14:val="none"/>
        </w:rPr>
        <w:t>Some g</w:t>
      </w:r>
      <w:r w:rsidR="002F0755">
        <w:rPr>
          <w:rFonts w:eastAsia="Times New Roman" w:cs="Times New Roman"/>
          <w:kern w:val="0"/>
          <w:szCs w:val="24"/>
          <w:lang w:bidi="ar-SA"/>
          <w14:ligatures w14:val="none"/>
        </w:rPr>
        <w:t xml:space="preserve">overnment initiative like Net Zero 2070 goal, green credit program, PM Surya Ghar Muft Bijli Yojna, </w:t>
      </w:r>
      <w:r w:rsidR="00DD7936">
        <w:rPr>
          <w:rFonts w:eastAsia="Times New Roman" w:cs="Times New Roman"/>
          <w:kern w:val="0"/>
          <w:szCs w:val="24"/>
          <w:lang w:bidi="ar-SA"/>
          <w14:ligatures w14:val="none"/>
        </w:rPr>
        <w:t>reflects the country’s commitment towards the sustainable development goals.</w:t>
      </w:r>
      <w:r w:rsidR="002F0755">
        <w:rPr>
          <w:rFonts w:eastAsia="Times New Roman" w:cs="Times New Roman"/>
          <w:kern w:val="0"/>
          <w:szCs w:val="24"/>
          <w:lang w:bidi="ar-SA"/>
          <w14:ligatures w14:val="none"/>
        </w:rPr>
        <w:t xml:space="preserve">  </w:t>
      </w:r>
    </w:p>
    <w:p w14:paraId="59B04FB2" w14:textId="7ACA4DB6" w:rsidR="00804B43" w:rsidRDefault="00804B43" w:rsidP="006F1EFF">
      <w:pPr>
        <w:spacing w:line="360" w:lineRule="auto"/>
        <w:jc w:val="both"/>
        <w:rPr>
          <w:rFonts w:eastAsia="Times New Roman" w:cs="Times New Roman"/>
          <w:kern w:val="0"/>
          <w:szCs w:val="24"/>
          <w:lang w:bidi="ar-SA"/>
          <w14:ligatures w14:val="none"/>
        </w:rPr>
      </w:pPr>
      <w:r w:rsidRPr="00804B43">
        <w:rPr>
          <w:rFonts w:eastAsia="Times New Roman" w:cs="Times New Roman"/>
          <w:kern w:val="0"/>
          <w:szCs w:val="24"/>
          <w:lang w:bidi="ar-SA"/>
          <w14:ligatures w14:val="none"/>
        </w:rPr>
        <w:t xml:space="preserve">Micro Small Medium Enterprise (MSME’s) is the backbone of Indian Economy as approx. 1.7 million people is dependent upon the sector for employment, the sector plays a vital role not only in terms of employment generation but also in industrial output, and regional development. Within the MSME sector, food processing industries holds a strategic importance due to their direct role with daily consumption patterns, supply chains, and agricultural linkages. The recent reports of </w:t>
      </w:r>
      <w:sdt>
        <w:sdtPr>
          <w:rPr>
            <w:rFonts w:eastAsia="Times New Roman" w:cs="Times New Roman"/>
            <w:kern w:val="0"/>
            <w:szCs w:val="24"/>
            <w:lang w:bidi="ar-SA"/>
            <w14:ligatures w14:val="none"/>
          </w:rPr>
          <w:id w:val="1248856558"/>
          <w:citation/>
        </w:sdtPr>
        <w:sdtContent>
          <w:r>
            <w:rPr>
              <w:rFonts w:eastAsia="Times New Roman" w:cs="Times New Roman"/>
              <w:kern w:val="0"/>
              <w:szCs w:val="24"/>
              <w:lang w:bidi="ar-SA"/>
              <w14:ligatures w14:val="none"/>
            </w:rPr>
            <w:fldChar w:fldCharType="begin"/>
          </w:r>
          <w:r>
            <w:rPr>
              <w:rFonts w:eastAsia="Times New Roman" w:cs="Times New Roman"/>
              <w:kern w:val="0"/>
              <w:szCs w:val="24"/>
              <w:lang w:bidi="ar-SA"/>
              <w14:ligatures w14:val="none"/>
            </w:rPr>
            <w:instrText xml:space="preserve"> CITATION Min26 \l 1033 </w:instrText>
          </w:r>
          <w:r>
            <w:rPr>
              <w:rFonts w:eastAsia="Times New Roman" w:cs="Times New Roman"/>
              <w:kern w:val="0"/>
              <w:szCs w:val="24"/>
              <w:lang w:bidi="ar-SA"/>
              <w14:ligatures w14:val="none"/>
            </w:rPr>
            <w:fldChar w:fldCharType="separate"/>
          </w:r>
          <w:r w:rsidRPr="00804B43">
            <w:rPr>
              <w:rFonts w:eastAsia="Times New Roman" w:cs="Times New Roman"/>
              <w:noProof/>
              <w:kern w:val="0"/>
              <w:szCs w:val="24"/>
              <w:lang w:bidi="ar-SA"/>
              <w14:ligatures w14:val="none"/>
            </w:rPr>
            <w:t>(Ministry of MSME, 2026)</w:t>
          </w:r>
          <w:r>
            <w:rPr>
              <w:rFonts w:eastAsia="Times New Roman" w:cs="Times New Roman"/>
              <w:kern w:val="0"/>
              <w:szCs w:val="24"/>
              <w:lang w:bidi="ar-SA"/>
              <w14:ligatures w14:val="none"/>
            </w:rPr>
            <w:fldChar w:fldCharType="end"/>
          </w:r>
        </w:sdtContent>
      </w:sdt>
      <w:r>
        <w:rPr>
          <w:rFonts w:eastAsia="Times New Roman" w:cs="Times New Roman"/>
          <w:kern w:val="0"/>
          <w:szCs w:val="24"/>
          <w:lang w:bidi="ar-SA"/>
          <w14:ligatures w14:val="none"/>
        </w:rPr>
        <w:t xml:space="preserve"> </w:t>
      </w:r>
      <w:r w:rsidRPr="00804B43">
        <w:rPr>
          <w:rFonts w:eastAsia="Times New Roman" w:cs="Times New Roman"/>
          <w:kern w:val="0"/>
          <w:szCs w:val="24"/>
          <w:lang w:bidi="ar-SA"/>
          <w14:ligatures w14:val="none"/>
        </w:rPr>
        <w:t>suggests that in India over 70% of food processing units operate under the category of MSME which makes the sector a critical area for assessing the adoption of sustainable practices.</w:t>
      </w:r>
    </w:p>
    <w:p w14:paraId="7DB7DFF3" w14:textId="7DF92293" w:rsidR="00576C62" w:rsidRDefault="00DF515E" w:rsidP="006F1EFF">
      <w:pPr>
        <w:spacing w:line="360" w:lineRule="auto"/>
        <w:jc w:val="both"/>
        <w:rPr>
          <w:rFonts w:eastAsia="Times New Roman" w:cs="Times New Roman"/>
          <w:kern w:val="0"/>
          <w:szCs w:val="24"/>
          <w:lang w:bidi="ar-SA"/>
          <w14:ligatures w14:val="none"/>
        </w:rPr>
      </w:pPr>
      <w:r>
        <w:rPr>
          <w:rFonts w:eastAsia="Times New Roman" w:cs="Times New Roman"/>
          <w:kern w:val="0"/>
          <w:szCs w:val="24"/>
          <w:lang w:bidi="ar-SA"/>
          <w14:ligatures w14:val="none"/>
        </w:rPr>
        <w:t>In the Past few year</w:t>
      </w:r>
      <w:r w:rsidR="00804B43">
        <w:rPr>
          <w:rFonts w:eastAsia="Times New Roman" w:cs="Times New Roman"/>
          <w:kern w:val="0"/>
          <w:szCs w:val="24"/>
          <w:lang w:bidi="ar-SA"/>
          <w14:ligatures w14:val="none"/>
        </w:rPr>
        <w:t>s,</w:t>
      </w:r>
      <w:r>
        <w:rPr>
          <w:rFonts w:eastAsia="Times New Roman" w:cs="Times New Roman"/>
          <w:kern w:val="0"/>
          <w:szCs w:val="24"/>
          <w:lang w:bidi="ar-SA"/>
          <w14:ligatures w14:val="none"/>
        </w:rPr>
        <w:t xml:space="preserve"> the world is noticing a shift in the industrial ecosystem </w:t>
      </w:r>
      <w:r w:rsidR="00294B3C">
        <w:rPr>
          <w:rFonts w:eastAsia="Times New Roman" w:cs="Times New Roman"/>
          <w:kern w:val="0"/>
          <w:szCs w:val="24"/>
          <w:lang w:bidi="ar-SA"/>
          <w14:ligatures w14:val="none"/>
        </w:rPr>
        <w:t>where industries and businesses are shifting from traditional profit centered approach toward modern sustainable approach where the prime focus is profitability with</w:t>
      </w:r>
      <w:r w:rsidR="00576C62" w:rsidRPr="00576C62">
        <w:rPr>
          <w:rFonts w:eastAsia="Times New Roman" w:cs="Times New Roman"/>
          <w:kern w:val="0"/>
          <w:szCs w:val="24"/>
          <w:lang w:bidi="ar-SA"/>
          <w14:ligatures w14:val="none"/>
        </w:rPr>
        <w:t xml:space="preserve"> environmental sustainability, waste management, and green packaging practices. However, the effectiveness of these initiatives is closely linked to consumer awareness, perception, and acceptance.</w:t>
      </w:r>
    </w:p>
    <w:p w14:paraId="73A71F6E" w14:textId="212BE004" w:rsidR="002E5334" w:rsidRDefault="00650E9C" w:rsidP="006F1EFF">
      <w:pPr>
        <w:spacing w:line="360" w:lineRule="auto"/>
        <w:jc w:val="both"/>
        <w:rPr>
          <w:rFonts w:eastAsia="Times New Roman" w:cs="Times New Roman"/>
          <w:kern w:val="0"/>
          <w:szCs w:val="24"/>
          <w:lang w:bidi="ar-SA"/>
          <w14:ligatures w14:val="none"/>
        </w:rPr>
      </w:pPr>
      <w:r>
        <w:rPr>
          <w:rFonts w:eastAsia="Times New Roman" w:cs="Times New Roman"/>
          <w:kern w:val="0"/>
          <w:szCs w:val="24"/>
          <w:lang w:bidi="ar-SA"/>
          <w14:ligatures w14:val="none"/>
        </w:rPr>
        <w:t xml:space="preserve">The current research work is an attempt to explore how the consumer perceive the efforts of food processing industries under the MSME in regard to the sustainable development and also to explore how the affordability drives the consumer while making purchase decision for product that offer ESG compliance, </w:t>
      </w:r>
      <w:r w:rsidR="00E1318D">
        <w:rPr>
          <w:rFonts w:eastAsia="Times New Roman" w:cs="Times New Roman"/>
          <w:kern w:val="0"/>
          <w:szCs w:val="24"/>
          <w:lang w:bidi="ar-SA"/>
          <w14:ligatures w14:val="none"/>
        </w:rPr>
        <w:t xml:space="preserve">further the research work compare the expectation of consumer to the adaptation of ESG practice under the food processing industry, </w:t>
      </w:r>
      <w:r>
        <w:rPr>
          <w:rFonts w:eastAsia="Times New Roman" w:cs="Times New Roman"/>
          <w:kern w:val="0"/>
          <w:szCs w:val="24"/>
          <w:lang w:bidi="ar-SA"/>
          <w14:ligatures w14:val="none"/>
        </w:rPr>
        <w:t>and at last the research work aims to understand how far consumer preferences are motivating business to move beyond profit maximization towards sustainable production</w:t>
      </w:r>
      <w:r w:rsidR="00E1318D">
        <w:rPr>
          <w:rFonts w:eastAsia="Times New Roman" w:cs="Times New Roman"/>
          <w:kern w:val="0"/>
          <w:szCs w:val="24"/>
          <w:lang w:bidi="ar-SA"/>
          <w14:ligatures w14:val="none"/>
        </w:rPr>
        <w:t>.</w:t>
      </w:r>
    </w:p>
    <w:p w14:paraId="44588F2B" w14:textId="128B8B44" w:rsidR="00DD7936" w:rsidRPr="001C3D7D" w:rsidRDefault="00DD7936" w:rsidP="0060483E">
      <w:pPr>
        <w:pStyle w:val="ListParagraph"/>
        <w:numPr>
          <w:ilvl w:val="0"/>
          <w:numId w:val="7"/>
        </w:numPr>
        <w:spacing w:line="360" w:lineRule="auto"/>
        <w:ind w:left="0"/>
        <w:jc w:val="both"/>
        <w:rPr>
          <w:rFonts w:eastAsia="Times New Roman" w:cs="Times New Roman"/>
          <w:b/>
          <w:bCs/>
          <w:kern w:val="0"/>
          <w:sz w:val="28"/>
          <w:szCs w:val="28"/>
          <w:lang w:bidi="ar-SA"/>
          <w14:ligatures w14:val="none"/>
        </w:rPr>
      </w:pPr>
      <w:r w:rsidRPr="001C3D7D">
        <w:rPr>
          <w:rFonts w:eastAsia="Times New Roman" w:cs="Times New Roman"/>
          <w:b/>
          <w:bCs/>
          <w:kern w:val="0"/>
          <w:sz w:val="28"/>
          <w:szCs w:val="28"/>
          <w:lang w:bidi="ar-SA"/>
          <w14:ligatures w14:val="none"/>
        </w:rPr>
        <w:t>LITERATURE REVIEW</w:t>
      </w:r>
    </w:p>
    <w:p w14:paraId="23C0516F" w14:textId="0C81F165" w:rsidR="00C02B83" w:rsidRDefault="00000000" w:rsidP="006F1EFF">
      <w:pPr>
        <w:spacing w:line="360" w:lineRule="auto"/>
        <w:jc w:val="both"/>
        <w:rPr>
          <w:rFonts w:cs="Times New Roman"/>
        </w:rPr>
      </w:pPr>
      <w:sdt>
        <w:sdtPr>
          <w:rPr>
            <w:rFonts w:cs="Times New Roman"/>
            <w:b/>
            <w:bCs/>
          </w:rPr>
          <w:id w:val="-1202548813"/>
          <w:citation/>
        </w:sdtPr>
        <w:sdtContent>
          <w:r w:rsidR="00C02B83" w:rsidRPr="0060483E">
            <w:rPr>
              <w:rFonts w:cs="Times New Roman"/>
              <w:b/>
              <w:bCs/>
            </w:rPr>
            <w:fldChar w:fldCharType="begin"/>
          </w:r>
          <w:r w:rsidR="00C02B83" w:rsidRPr="0060483E">
            <w:rPr>
              <w:rFonts w:cs="Times New Roman"/>
              <w:b/>
              <w:bCs/>
            </w:rPr>
            <w:instrText xml:space="preserve"> CITATION Ste24 \l 1033 </w:instrText>
          </w:r>
          <w:r w:rsidR="00C02B83" w:rsidRPr="0060483E">
            <w:rPr>
              <w:rFonts w:cs="Times New Roman"/>
              <w:b/>
              <w:bCs/>
            </w:rPr>
            <w:fldChar w:fldCharType="separate"/>
          </w:r>
          <w:r w:rsidR="00C02B83" w:rsidRPr="0060483E">
            <w:rPr>
              <w:rFonts w:cs="Times New Roman"/>
              <w:b/>
              <w:bCs/>
              <w:noProof/>
            </w:rPr>
            <w:t>(Vacher, 2024)</w:t>
          </w:r>
          <w:r w:rsidR="00C02B83" w:rsidRPr="0060483E">
            <w:rPr>
              <w:rFonts w:cs="Times New Roman"/>
              <w:b/>
              <w:bCs/>
            </w:rPr>
            <w:fldChar w:fldCharType="end"/>
          </w:r>
        </w:sdtContent>
      </w:sdt>
      <w:r w:rsidR="00C02B83" w:rsidRPr="0060483E">
        <w:rPr>
          <w:rFonts w:cs="Times New Roman"/>
          <w:b/>
          <w:bCs/>
        </w:rPr>
        <w:t xml:space="preserve"> </w:t>
      </w:r>
      <w:r w:rsidR="003F5E2D">
        <w:rPr>
          <w:rFonts w:cs="Times New Roman"/>
        </w:rPr>
        <w:t xml:space="preserve">Business around the world work upon a common motive of profit maximization but apart from profit maximization today every type of business has a genuine commitment in corporate responsibility as highlighted by </w:t>
      </w:r>
      <w:r w:rsidR="0060483E">
        <w:rPr>
          <w:rFonts w:cs="Times New Roman"/>
        </w:rPr>
        <w:t>the researcher</w:t>
      </w:r>
      <w:r w:rsidR="003F5E2D">
        <w:rPr>
          <w:rFonts w:cs="Times New Roman"/>
        </w:rPr>
        <w:t xml:space="preserve"> in the book core values and decision making </w:t>
      </w:r>
      <w:r w:rsidR="006F6F63">
        <w:rPr>
          <w:rFonts w:cs="Times New Roman"/>
        </w:rPr>
        <w:t xml:space="preserve">for sustainable business the research work is based upon a hybrid approach of descriptive and qualitative methodology, where the focus of research work is to describe how strategic and </w:t>
      </w:r>
      <w:r w:rsidR="006F6F63">
        <w:rPr>
          <w:rFonts w:cs="Times New Roman"/>
        </w:rPr>
        <w:lastRenderedPageBreak/>
        <w:t xml:space="preserve">ethical values held by the managers can enhance the CSR commitment while maintaining its balance with  growth of the small scale industries, the research work is based upon </w:t>
      </w:r>
      <w:r w:rsidR="00C15124">
        <w:rPr>
          <w:rFonts w:cs="Times New Roman"/>
        </w:rPr>
        <w:t>a mix of secondary and primary</w:t>
      </w:r>
      <w:r w:rsidR="006F6F63">
        <w:rPr>
          <w:rFonts w:cs="Times New Roman"/>
        </w:rPr>
        <w:t xml:space="preserve"> data </w:t>
      </w:r>
      <w:r w:rsidR="00C15124">
        <w:rPr>
          <w:rFonts w:cs="Times New Roman"/>
        </w:rPr>
        <w:t>where data related French companies response to CSR commitment was taken from a survey of 2019 and further t</w:t>
      </w:r>
      <w:r w:rsidR="006F6F63">
        <w:rPr>
          <w:rFonts w:cs="Times New Roman"/>
        </w:rPr>
        <w:t xml:space="preserve">hrough </w:t>
      </w:r>
      <w:r w:rsidR="00C15124">
        <w:rPr>
          <w:rFonts w:cs="Times New Roman"/>
        </w:rPr>
        <w:t>an</w:t>
      </w:r>
      <w:r w:rsidR="006F6F63">
        <w:rPr>
          <w:rFonts w:cs="Times New Roman"/>
        </w:rPr>
        <w:t xml:space="preserve"> open survey of </w:t>
      </w:r>
      <w:r w:rsidR="00C15124">
        <w:rPr>
          <w:rFonts w:cs="Times New Roman"/>
        </w:rPr>
        <w:t xml:space="preserve">response of </w:t>
      </w:r>
      <w:r w:rsidR="006F6F63">
        <w:rPr>
          <w:rFonts w:cs="Times New Roman"/>
        </w:rPr>
        <w:t xml:space="preserve">10 </w:t>
      </w:r>
      <w:r w:rsidR="00C15124">
        <w:rPr>
          <w:rFonts w:cs="Times New Roman"/>
        </w:rPr>
        <w:t>SME manager was taken to explore the criteria that influence their CSR engagement the overall analysis reveals that the CSR actions of the firms are strongly influenced by the strategic goals and values of the management.</w:t>
      </w:r>
    </w:p>
    <w:p w14:paraId="1747E93C" w14:textId="57FD4160" w:rsidR="000428D6" w:rsidRDefault="00000000" w:rsidP="006F1EFF">
      <w:pPr>
        <w:spacing w:line="360" w:lineRule="auto"/>
        <w:jc w:val="both"/>
        <w:rPr>
          <w:rFonts w:cs="Times New Roman"/>
        </w:rPr>
      </w:pPr>
      <w:sdt>
        <w:sdtPr>
          <w:rPr>
            <w:rFonts w:cs="Times New Roman"/>
            <w:b/>
            <w:bCs/>
          </w:rPr>
          <w:id w:val="-1822575859"/>
          <w:citation/>
        </w:sdtPr>
        <w:sdtEndPr>
          <w:rPr>
            <w:b w:val="0"/>
            <w:bCs w:val="0"/>
          </w:rPr>
        </w:sdtEndPr>
        <w:sdtContent>
          <w:r w:rsidR="000428D6" w:rsidRPr="0060483E">
            <w:rPr>
              <w:rFonts w:cs="Times New Roman"/>
              <w:b/>
              <w:bCs/>
            </w:rPr>
            <w:fldChar w:fldCharType="begin"/>
          </w:r>
          <w:r w:rsidR="000428D6" w:rsidRPr="0060483E">
            <w:rPr>
              <w:rFonts w:cs="Times New Roman"/>
              <w:b/>
              <w:bCs/>
            </w:rPr>
            <w:instrText xml:space="preserve"> CITATION Meh24 \l 1033 </w:instrText>
          </w:r>
          <w:r w:rsidR="000428D6" w:rsidRPr="0060483E">
            <w:rPr>
              <w:rFonts w:cs="Times New Roman"/>
              <w:b/>
              <w:bCs/>
            </w:rPr>
            <w:fldChar w:fldCharType="separate"/>
          </w:r>
          <w:r w:rsidR="000428D6" w:rsidRPr="0060483E">
            <w:rPr>
              <w:rFonts w:cs="Times New Roman"/>
              <w:b/>
              <w:bCs/>
              <w:noProof/>
            </w:rPr>
            <w:t>(Mehta &amp; Chatterjee, 2024)</w:t>
          </w:r>
          <w:r w:rsidR="000428D6" w:rsidRPr="0060483E">
            <w:rPr>
              <w:rFonts w:cs="Times New Roman"/>
              <w:b/>
              <w:bCs/>
            </w:rPr>
            <w:fldChar w:fldCharType="end"/>
          </w:r>
        </w:sdtContent>
      </w:sdt>
      <w:r w:rsidR="004210AE">
        <w:rPr>
          <w:rFonts w:cs="Times New Roman"/>
        </w:rPr>
        <w:t xml:space="preserve"> The research work highlights that in the recent few years there is a growing trend of adaptation of sustainable practices within the MSME sector, and this trend can be next big factor offering positive differentiation to the Indian MSME as a addition to their low </w:t>
      </w:r>
      <w:r w:rsidR="005C7B69">
        <w:rPr>
          <w:rFonts w:cs="Times New Roman"/>
        </w:rPr>
        <w:t>labor</w:t>
      </w:r>
      <w:r w:rsidR="004210AE">
        <w:rPr>
          <w:rFonts w:cs="Times New Roman"/>
        </w:rPr>
        <w:t xml:space="preserve"> cost and demographic advantage, </w:t>
      </w:r>
      <w:r w:rsidR="00EF5961">
        <w:rPr>
          <w:rFonts w:cs="Times New Roman"/>
        </w:rPr>
        <w:t xml:space="preserve">the research work points out a gap in the </w:t>
      </w:r>
      <w:r w:rsidR="005C7B69">
        <w:rPr>
          <w:rFonts w:cs="Times New Roman"/>
        </w:rPr>
        <w:t>existing</w:t>
      </w:r>
      <w:r w:rsidR="00EF5961">
        <w:rPr>
          <w:rFonts w:cs="Times New Roman"/>
        </w:rPr>
        <w:t xml:space="preserve"> literature in regarding the factors that influences the adaptation of sustainable practices, the research work elaborates a conceptual where performance benefit, effort assessment, enabling condition, social pressure, were said as to be the key influencing factors that influences sustainable business practices, to test the model primary data was collected through interview method conducted with a sample size of 41 MSMEs owner representing different sector and different regions of India and</w:t>
      </w:r>
      <w:r w:rsidR="005C7B69">
        <w:rPr>
          <w:rFonts w:cs="Times New Roman"/>
        </w:rPr>
        <w:t xml:space="preserve"> to test the results correlation and regression analysis has been used the result concludes performance benefit is one of the key driver for sustainability adoption amongst the MSME, further the paper points that ease of adaptation is one of the underinvested factor.</w:t>
      </w:r>
    </w:p>
    <w:p w14:paraId="0F1D1863" w14:textId="1606EDFD" w:rsidR="005C7B69" w:rsidRDefault="00000000" w:rsidP="006F1EFF">
      <w:pPr>
        <w:spacing w:line="360" w:lineRule="auto"/>
        <w:jc w:val="both"/>
        <w:rPr>
          <w:rFonts w:cs="Times New Roman"/>
        </w:rPr>
      </w:pPr>
      <w:sdt>
        <w:sdtPr>
          <w:rPr>
            <w:rFonts w:cs="Times New Roman"/>
          </w:rPr>
          <w:id w:val="-1816707362"/>
          <w:citation/>
        </w:sdtPr>
        <w:sdtEndPr>
          <w:rPr>
            <w:b/>
            <w:bCs/>
          </w:rPr>
        </w:sdtEndPr>
        <w:sdtContent>
          <w:r w:rsidR="005C7B69" w:rsidRPr="0060483E">
            <w:rPr>
              <w:rFonts w:cs="Times New Roman"/>
              <w:b/>
              <w:bCs/>
            </w:rPr>
            <w:fldChar w:fldCharType="begin"/>
          </w:r>
          <w:r w:rsidR="005C7B69" w:rsidRPr="0060483E">
            <w:rPr>
              <w:rFonts w:cs="Times New Roman"/>
              <w:b/>
              <w:bCs/>
            </w:rPr>
            <w:instrText xml:space="preserve"> CITATION Yad25 \l 1033 </w:instrText>
          </w:r>
          <w:r w:rsidR="005C7B69" w:rsidRPr="0060483E">
            <w:rPr>
              <w:rFonts w:cs="Times New Roman"/>
              <w:b/>
              <w:bCs/>
            </w:rPr>
            <w:fldChar w:fldCharType="separate"/>
          </w:r>
          <w:r w:rsidR="005C7B69" w:rsidRPr="0060483E">
            <w:rPr>
              <w:rFonts w:cs="Times New Roman"/>
              <w:b/>
              <w:bCs/>
              <w:noProof/>
            </w:rPr>
            <w:t>(Yadav, Yadav, Ghosal, Yadav, &amp; Verma, 2025)</w:t>
          </w:r>
          <w:r w:rsidR="005C7B69" w:rsidRPr="0060483E">
            <w:rPr>
              <w:rFonts w:cs="Times New Roman"/>
              <w:b/>
              <w:bCs/>
            </w:rPr>
            <w:fldChar w:fldCharType="end"/>
          </w:r>
        </w:sdtContent>
      </w:sdt>
      <w:r w:rsidR="005C7B69" w:rsidRPr="0060483E">
        <w:rPr>
          <w:rFonts w:cs="Times New Roman"/>
          <w:b/>
          <w:bCs/>
        </w:rPr>
        <w:t xml:space="preserve"> </w:t>
      </w:r>
      <w:r w:rsidR="00EE2694">
        <w:rPr>
          <w:rFonts w:cs="Times New Roman"/>
        </w:rPr>
        <w:t xml:space="preserve">under the research work the research has used an exploratory research methodology and cross sectional methodology with a motive to examine how sustainable management affected the sustainable financial performance and environmental, social and governance performance of handcraft industry and </w:t>
      </w:r>
      <w:r w:rsidR="005F55E7">
        <w:rPr>
          <w:rFonts w:cs="Times New Roman"/>
        </w:rPr>
        <w:t xml:space="preserve">agricultural </w:t>
      </w:r>
      <w:r w:rsidR="00DF7EAB">
        <w:rPr>
          <w:rFonts w:cs="Times New Roman"/>
        </w:rPr>
        <w:t>organizations</w:t>
      </w:r>
      <w:r w:rsidR="005F55E7">
        <w:rPr>
          <w:rFonts w:cs="Times New Roman"/>
        </w:rPr>
        <w:t xml:space="preserve"> in in India, the research work is based upon the primary data collected through structured questionnaire with a sample size of 112 </w:t>
      </w:r>
      <w:r w:rsidR="00DF7EAB">
        <w:rPr>
          <w:rFonts w:cs="Times New Roman"/>
        </w:rPr>
        <w:t>for the purpose of analysis the researcher uses correlation and regression with ANOVA  the research work concludes that separation of duties has a role in determining how successful India’s SACCO operate in the state of Uttar Pradesh.</w:t>
      </w:r>
    </w:p>
    <w:p w14:paraId="6111B939" w14:textId="7DCC1394" w:rsidR="00487187" w:rsidRDefault="00000000" w:rsidP="006F1EFF">
      <w:pPr>
        <w:spacing w:line="360" w:lineRule="auto"/>
        <w:jc w:val="both"/>
        <w:rPr>
          <w:rFonts w:cs="Times New Roman"/>
        </w:rPr>
      </w:pPr>
      <w:sdt>
        <w:sdtPr>
          <w:rPr>
            <w:rFonts w:cs="Times New Roman"/>
            <w:b/>
            <w:bCs/>
          </w:rPr>
          <w:id w:val="1873574363"/>
          <w:citation/>
        </w:sdtPr>
        <w:sdtEndPr>
          <w:rPr>
            <w:b w:val="0"/>
            <w:bCs w:val="0"/>
          </w:rPr>
        </w:sdtEndPr>
        <w:sdtContent>
          <w:r w:rsidR="00DF7EAB" w:rsidRPr="0060483E">
            <w:rPr>
              <w:rFonts w:cs="Times New Roman"/>
              <w:b/>
              <w:bCs/>
            </w:rPr>
            <w:fldChar w:fldCharType="begin"/>
          </w:r>
          <w:r w:rsidR="00DF7EAB" w:rsidRPr="0060483E">
            <w:rPr>
              <w:rFonts w:cs="Times New Roman"/>
              <w:b/>
              <w:bCs/>
            </w:rPr>
            <w:instrText xml:space="preserve">CITATION DrD24 \l 1033 </w:instrText>
          </w:r>
          <w:r w:rsidR="00DF7EAB" w:rsidRPr="0060483E">
            <w:rPr>
              <w:rFonts w:cs="Times New Roman"/>
              <w:b/>
              <w:bCs/>
            </w:rPr>
            <w:fldChar w:fldCharType="separate"/>
          </w:r>
          <w:r w:rsidR="00DF7EAB" w:rsidRPr="0060483E">
            <w:rPr>
              <w:rFonts w:cs="Times New Roman"/>
              <w:b/>
              <w:bCs/>
              <w:noProof/>
            </w:rPr>
            <w:t>(Baghel, 2024)</w:t>
          </w:r>
          <w:r w:rsidR="00DF7EAB" w:rsidRPr="0060483E">
            <w:rPr>
              <w:rFonts w:cs="Times New Roman"/>
              <w:b/>
              <w:bCs/>
            </w:rPr>
            <w:fldChar w:fldCharType="end"/>
          </w:r>
        </w:sdtContent>
      </w:sdt>
      <w:r w:rsidR="00DF7EAB">
        <w:rPr>
          <w:rFonts w:cs="Times New Roman"/>
        </w:rPr>
        <w:t xml:space="preserve"> </w:t>
      </w:r>
      <w:r w:rsidR="000F48E8">
        <w:rPr>
          <w:rFonts w:cs="Times New Roman"/>
        </w:rPr>
        <w:t xml:space="preserve">The research work is an attempt to highlight the emerging trends under the SME sector in regards to sustainability for the same a bibliometric review approach has been used where a total of 3449 research work published between the period 1991 to 2023 were taken onto </w:t>
      </w:r>
      <w:r w:rsidR="000F48E8">
        <w:rPr>
          <w:rFonts w:cs="Times New Roman"/>
        </w:rPr>
        <w:lastRenderedPageBreak/>
        <w:t xml:space="preserve">consideration, for the purpose of visualization VOS viewer was utilized, the research work highlight some patterns of publication on SME as during the first era the primary focus was investing in sustainability without fully understanding the requirement for </w:t>
      </w:r>
      <w:r w:rsidR="00487187">
        <w:rPr>
          <w:rFonts w:cs="Times New Roman"/>
        </w:rPr>
        <w:t>sustainable</w:t>
      </w:r>
      <w:r w:rsidR="000F48E8">
        <w:rPr>
          <w:rFonts w:cs="Times New Roman"/>
        </w:rPr>
        <w:t xml:space="preserve"> development, </w:t>
      </w:r>
      <w:r w:rsidR="00487187">
        <w:rPr>
          <w:rFonts w:cs="Times New Roman"/>
        </w:rPr>
        <w:t>afterwards the focus shifted to associating corporate social responsibility as a responsibility of industries, after 2000 a the focus shifted towards understanding various aspects (dimension) of sustainability. The paper highlights that though the concept of sustainable development has a long history but the discussion on ESG factors has been started recently.</w:t>
      </w:r>
    </w:p>
    <w:p w14:paraId="71795BCF" w14:textId="77777777" w:rsidR="00650853" w:rsidRDefault="00000000" w:rsidP="006F1EFF">
      <w:pPr>
        <w:spacing w:line="360" w:lineRule="auto"/>
        <w:jc w:val="both"/>
        <w:rPr>
          <w:rFonts w:cs="Times New Roman"/>
        </w:rPr>
      </w:pPr>
      <w:sdt>
        <w:sdtPr>
          <w:rPr>
            <w:rFonts w:cs="Times New Roman"/>
          </w:rPr>
          <w:id w:val="1268734637"/>
          <w:citation/>
        </w:sdtPr>
        <w:sdtContent>
          <w:r w:rsidR="004826A8" w:rsidRPr="0060483E">
            <w:rPr>
              <w:rFonts w:cs="Times New Roman"/>
              <w:b/>
              <w:bCs/>
            </w:rPr>
            <w:fldChar w:fldCharType="begin"/>
          </w:r>
          <w:r w:rsidR="004826A8" w:rsidRPr="0060483E">
            <w:rPr>
              <w:rFonts w:cs="Times New Roman"/>
              <w:b/>
              <w:bCs/>
            </w:rPr>
            <w:instrText xml:space="preserve"> CITATION Vat25 \l 1033 </w:instrText>
          </w:r>
          <w:r w:rsidR="004826A8" w:rsidRPr="0060483E">
            <w:rPr>
              <w:rFonts w:cs="Times New Roman"/>
              <w:b/>
              <w:bCs/>
            </w:rPr>
            <w:fldChar w:fldCharType="separate"/>
          </w:r>
          <w:r w:rsidR="004826A8" w:rsidRPr="0060483E">
            <w:rPr>
              <w:rFonts w:cs="Times New Roman"/>
              <w:b/>
              <w:bCs/>
              <w:noProof/>
            </w:rPr>
            <w:t>(Vats, Lata, &amp; Sharma, 2025)</w:t>
          </w:r>
          <w:r w:rsidR="004826A8" w:rsidRPr="0060483E">
            <w:rPr>
              <w:rFonts w:cs="Times New Roman"/>
              <w:b/>
              <w:bCs/>
            </w:rPr>
            <w:fldChar w:fldCharType="end"/>
          </w:r>
        </w:sdtContent>
      </w:sdt>
      <w:r w:rsidR="00487187">
        <w:rPr>
          <w:rFonts w:cs="Times New Roman"/>
        </w:rPr>
        <w:t xml:space="preserve"> </w:t>
      </w:r>
      <w:r w:rsidR="0027334B">
        <w:rPr>
          <w:rFonts w:cs="Times New Roman"/>
        </w:rPr>
        <w:t xml:space="preserve">under the paper the researcher has used a case study approach to evaluate the role of ESG practices as a facilitator of resilient and inclusive economic growth of Indian economy, for the purpose of research work secondary data has been collected mainly by the annual reports, the research work is focused upon the major Indian policies that binds the firm to adopt CSR practices including the CSR Mandate, BRSR, Board Diversity Norms, Green Finance guidelines, </w:t>
      </w:r>
      <w:r w:rsidR="00650853">
        <w:rPr>
          <w:rFonts w:cs="Times New Roman"/>
        </w:rPr>
        <w:t>for case study mainly 5 major company has been selected including Infosys, Wipro, TCS, Tech Mahindra, Reliance, the result of the research work highlights the today ESG practice is not only a ethical necessity but also a strategic value, the paper further highlights that integrating ESG practices has financial advantages in form of foreign capital flow, high employee retention, improved investor sentiment and access to green finance.</w:t>
      </w:r>
    </w:p>
    <w:p w14:paraId="6909242F" w14:textId="30748158" w:rsidR="00DF7EAB" w:rsidRDefault="00000000" w:rsidP="006F1EFF">
      <w:pPr>
        <w:spacing w:line="360" w:lineRule="auto"/>
        <w:jc w:val="both"/>
        <w:rPr>
          <w:rFonts w:cs="Times New Roman"/>
        </w:rPr>
      </w:pPr>
      <w:sdt>
        <w:sdtPr>
          <w:rPr>
            <w:rFonts w:cs="Times New Roman"/>
          </w:rPr>
          <w:id w:val="-746184823"/>
          <w:citation/>
        </w:sdtPr>
        <w:sdtEndPr>
          <w:rPr>
            <w:b/>
            <w:bCs/>
          </w:rPr>
        </w:sdtEndPr>
        <w:sdtContent>
          <w:r w:rsidR="00650853" w:rsidRPr="0060483E">
            <w:rPr>
              <w:rFonts w:cs="Times New Roman"/>
              <w:b/>
              <w:bCs/>
            </w:rPr>
            <w:fldChar w:fldCharType="begin"/>
          </w:r>
          <w:r w:rsidR="00650853" w:rsidRPr="0060483E">
            <w:rPr>
              <w:rFonts w:cs="Times New Roman"/>
              <w:b/>
              <w:bCs/>
            </w:rPr>
            <w:instrText xml:space="preserve"> CITATION Ari25 \l 1033 </w:instrText>
          </w:r>
          <w:r w:rsidR="00650853" w:rsidRPr="0060483E">
            <w:rPr>
              <w:rFonts w:cs="Times New Roman"/>
              <w:b/>
              <w:bCs/>
            </w:rPr>
            <w:fldChar w:fldCharType="separate"/>
          </w:r>
          <w:r w:rsidR="00650853" w:rsidRPr="0060483E">
            <w:rPr>
              <w:rFonts w:cs="Times New Roman"/>
              <w:b/>
              <w:bCs/>
              <w:noProof/>
            </w:rPr>
            <w:t>(Arindra &amp; latief, 2025)</w:t>
          </w:r>
          <w:r w:rsidR="00650853" w:rsidRPr="0060483E">
            <w:rPr>
              <w:rFonts w:cs="Times New Roman"/>
              <w:b/>
              <w:bCs/>
            </w:rPr>
            <w:fldChar w:fldCharType="end"/>
          </w:r>
        </w:sdtContent>
      </w:sdt>
      <w:r w:rsidR="00650853">
        <w:rPr>
          <w:rFonts w:cs="Times New Roman"/>
        </w:rPr>
        <w:t xml:space="preserve"> Under the paper the </w:t>
      </w:r>
      <w:r w:rsidR="00200ED3">
        <w:rPr>
          <w:rFonts w:cs="Times New Roman"/>
        </w:rPr>
        <w:t xml:space="preserve">researcher has used an exploratory approach that aims to explore the integration of environmental orientation in SMEs innovation strategies and its impact upon organizational innovation, the paper adopts a systematic review method of literature and sorts out 67 article at initial stage and at the final stage sorts 42 articles, the analysis reveals that the success of sustainable organizational innovation in case of MSME majorly depends upon integrating environmental issue into the core business strategies. Four major pattern identified that influence the adaptation of ESG practices in MSME operations are environmental responsiveness, learning based adaptation, navigation of resource constraints, and alignment of strategies with sustainable goals. </w:t>
      </w:r>
      <w:r w:rsidR="0027334B">
        <w:rPr>
          <w:rFonts w:cs="Times New Roman"/>
        </w:rPr>
        <w:t xml:space="preserve"> </w:t>
      </w:r>
    </w:p>
    <w:p w14:paraId="1CD8D9F4" w14:textId="167E61D7" w:rsidR="00200ED3" w:rsidRDefault="00000000" w:rsidP="006F1EFF">
      <w:pPr>
        <w:spacing w:line="360" w:lineRule="auto"/>
        <w:jc w:val="both"/>
        <w:rPr>
          <w:rFonts w:cs="Times New Roman"/>
        </w:rPr>
      </w:pPr>
      <w:sdt>
        <w:sdtPr>
          <w:rPr>
            <w:rFonts w:cs="Times New Roman"/>
            <w:b/>
            <w:bCs/>
          </w:rPr>
          <w:id w:val="-348336013"/>
          <w:citation/>
        </w:sdtPr>
        <w:sdtContent>
          <w:r w:rsidR="00200ED3" w:rsidRPr="0060483E">
            <w:rPr>
              <w:rFonts w:cs="Times New Roman"/>
              <w:b/>
              <w:bCs/>
            </w:rPr>
            <w:fldChar w:fldCharType="begin"/>
          </w:r>
          <w:r w:rsidR="00200ED3" w:rsidRPr="0060483E">
            <w:rPr>
              <w:rFonts w:cs="Times New Roman"/>
              <w:b/>
              <w:bCs/>
            </w:rPr>
            <w:instrText xml:space="preserve"> CITATION Sri25 \l 1033 </w:instrText>
          </w:r>
          <w:r w:rsidR="00200ED3" w:rsidRPr="0060483E">
            <w:rPr>
              <w:rFonts w:cs="Times New Roman"/>
              <w:b/>
              <w:bCs/>
            </w:rPr>
            <w:fldChar w:fldCharType="separate"/>
          </w:r>
          <w:r w:rsidR="00200ED3" w:rsidRPr="0060483E">
            <w:rPr>
              <w:rFonts w:cs="Times New Roman"/>
              <w:b/>
              <w:bCs/>
              <w:noProof/>
            </w:rPr>
            <w:t>(Sridar, Kumar, R.S., &amp; Patro, 2025)</w:t>
          </w:r>
          <w:r w:rsidR="00200ED3" w:rsidRPr="0060483E">
            <w:rPr>
              <w:rFonts w:cs="Times New Roman"/>
              <w:b/>
              <w:bCs/>
            </w:rPr>
            <w:fldChar w:fldCharType="end"/>
          </w:r>
        </w:sdtContent>
      </w:sdt>
      <w:r w:rsidR="00200ED3">
        <w:rPr>
          <w:rFonts w:cs="Times New Roman"/>
        </w:rPr>
        <w:t xml:space="preserve"> The Research work is based upon </w:t>
      </w:r>
      <w:r w:rsidR="00775081">
        <w:rPr>
          <w:rFonts w:cs="Times New Roman"/>
        </w:rPr>
        <w:t xml:space="preserve">dual approach of bibliometric analysis &amp; </w:t>
      </w:r>
      <w:r w:rsidR="00200ED3">
        <w:rPr>
          <w:rFonts w:cs="Times New Roman"/>
        </w:rPr>
        <w:t>sy</w:t>
      </w:r>
      <w:r w:rsidR="00775081">
        <w:rPr>
          <w:rFonts w:cs="Times New Roman"/>
        </w:rPr>
        <w:t xml:space="preserve">stematic literature review, the research work aims to explore the key barriers that limits sustainable innovation, how can Indian SME adopt sustainability practices to overcome barrier and align with global practices, what are some strategies that can foster </w:t>
      </w:r>
      <w:r w:rsidR="00775081">
        <w:rPr>
          <w:rFonts w:cs="Times New Roman"/>
        </w:rPr>
        <w:lastRenderedPageBreak/>
        <w:t>sustainable innovation</w:t>
      </w:r>
      <w:r w:rsidR="00246039">
        <w:rPr>
          <w:rFonts w:cs="Times New Roman"/>
        </w:rPr>
        <w:t xml:space="preserve"> the result of the study frame-out a conceptual model that is proposed to guide Indian MSME in achieving sustainable performance across ESG dimensions.</w:t>
      </w:r>
    </w:p>
    <w:p w14:paraId="057F1D2B" w14:textId="77777777" w:rsidR="001D0BB5" w:rsidRDefault="00000000" w:rsidP="006F1EFF">
      <w:pPr>
        <w:spacing w:line="360" w:lineRule="auto"/>
        <w:jc w:val="both"/>
        <w:rPr>
          <w:rFonts w:cs="Times New Roman"/>
        </w:rPr>
      </w:pPr>
      <w:sdt>
        <w:sdtPr>
          <w:rPr>
            <w:rFonts w:cs="Times New Roman"/>
          </w:rPr>
          <w:id w:val="-1638247387"/>
          <w:citation/>
        </w:sdtPr>
        <w:sdtContent>
          <w:r w:rsidR="00B03BC4" w:rsidRPr="0060483E">
            <w:rPr>
              <w:rFonts w:cs="Times New Roman"/>
              <w:b/>
              <w:bCs/>
            </w:rPr>
            <w:fldChar w:fldCharType="begin"/>
          </w:r>
          <w:r w:rsidR="00B03BC4" w:rsidRPr="0060483E">
            <w:rPr>
              <w:rFonts w:cs="Times New Roman"/>
              <w:b/>
              <w:bCs/>
            </w:rPr>
            <w:instrText xml:space="preserve"> CITATION Lin25 \l 1033 </w:instrText>
          </w:r>
          <w:r w:rsidR="00B03BC4" w:rsidRPr="0060483E">
            <w:rPr>
              <w:rFonts w:cs="Times New Roman"/>
              <w:b/>
              <w:bCs/>
            </w:rPr>
            <w:fldChar w:fldCharType="separate"/>
          </w:r>
          <w:r w:rsidR="00B03BC4" w:rsidRPr="0060483E">
            <w:rPr>
              <w:rFonts w:cs="Times New Roman"/>
              <w:b/>
              <w:bCs/>
              <w:noProof/>
            </w:rPr>
            <w:t>(Lin, Jaiswal, &amp; Jaiswal, 2025)</w:t>
          </w:r>
          <w:r w:rsidR="00B03BC4" w:rsidRPr="0060483E">
            <w:rPr>
              <w:rFonts w:cs="Times New Roman"/>
              <w:b/>
              <w:bCs/>
            </w:rPr>
            <w:fldChar w:fldCharType="end"/>
          </w:r>
        </w:sdtContent>
      </w:sdt>
      <w:r w:rsidR="00B03BC4">
        <w:rPr>
          <w:rFonts w:cs="Times New Roman"/>
        </w:rPr>
        <w:t xml:space="preserve">: The Research work is based upon systematic literature review approach in which is classified in some major themes including understanding sustainable packaging; </w:t>
      </w:r>
      <w:r w:rsidR="001D0BB5">
        <w:rPr>
          <w:rFonts w:cs="Times New Roman"/>
        </w:rPr>
        <w:t>packaging material and their impact on environment, application of bioplastic in packaging, types of biodegradable plastic, limitation of biodegradable plastic, and consumer perception upon bio plastic, the analysis reveals in case of consumer perception that various survey highlight that consumer holds a positive perception for bioplastic however their still has a lack of awareness in consumer about the bioplastic.</w:t>
      </w:r>
    </w:p>
    <w:p w14:paraId="1E51EF8B" w14:textId="77777777" w:rsidR="006678E0" w:rsidRDefault="00000000" w:rsidP="006F1EFF">
      <w:pPr>
        <w:spacing w:line="360" w:lineRule="auto"/>
        <w:jc w:val="both"/>
        <w:rPr>
          <w:rFonts w:cs="Times New Roman"/>
        </w:rPr>
      </w:pPr>
      <w:sdt>
        <w:sdtPr>
          <w:rPr>
            <w:rFonts w:cs="Times New Roman"/>
            <w:b/>
            <w:bCs/>
          </w:rPr>
          <w:id w:val="1869016609"/>
          <w:citation/>
        </w:sdtPr>
        <w:sdtEndPr>
          <w:rPr>
            <w:b w:val="0"/>
            <w:bCs w:val="0"/>
          </w:rPr>
        </w:sdtEndPr>
        <w:sdtContent>
          <w:r w:rsidR="001D0BB5" w:rsidRPr="0060483E">
            <w:rPr>
              <w:rFonts w:cs="Times New Roman"/>
              <w:b/>
              <w:bCs/>
            </w:rPr>
            <w:fldChar w:fldCharType="begin"/>
          </w:r>
          <w:r w:rsidR="001D0BB5" w:rsidRPr="0060483E">
            <w:rPr>
              <w:rFonts w:cs="Times New Roman"/>
              <w:b/>
              <w:bCs/>
            </w:rPr>
            <w:instrText xml:space="preserve"> CITATION Kha22 \l 1033 </w:instrText>
          </w:r>
          <w:r w:rsidR="001D0BB5" w:rsidRPr="0060483E">
            <w:rPr>
              <w:rFonts w:cs="Times New Roman"/>
              <w:b/>
              <w:bCs/>
            </w:rPr>
            <w:fldChar w:fldCharType="separate"/>
          </w:r>
          <w:r w:rsidR="001D0BB5" w:rsidRPr="0060483E">
            <w:rPr>
              <w:rFonts w:cs="Times New Roman"/>
              <w:b/>
              <w:bCs/>
              <w:noProof/>
            </w:rPr>
            <w:t>(Khandelwal, Kulkarni, &amp; Sinha, 2022)</w:t>
          </w:r>
          <w:r w:rsidR="001D0BB5" w:rsidRPr="0060483E">
            <w:rPr>
              <w:rFonts w:cs="Times New Roman"/>
              <w:b/>
              <w:bCs/>
            </w:rPr>
            <w:fldChar w:fldCharType="end"/>
          </w:r>
        </w:sdtContent>
      </w:sdt>
      <w:r w:rsidR="001D0BB5">
        <w:rPr>
          <w:rFonts w:cs="Times New Roman"/>
        </w:rPr>
        <w:t xml:space="preserve">: </w:t>
      </w:r>
      <w:r w:rsidR="00302F5F">
        <w:rPr>
          <w:rFonts w:cs="Times New Roman"/>
        </w:rPr>
        <w:t xml:space="preserve">under the paper the researcher has used a descriptive research approach to describe  consumer perception in regards to green value on quick service restaurant and home delivery services, the study is based upon primary data collected through structured questionnaire collected mainly from 219 respondent the, for the purpose of analysis a combination of </w:t>
      </w:r>
      <w:r w:rsidR="006678E0">
        <w:rPr>
          <w:rFonts w:cs="Times New Roman"/>
        </w:rPr>
        <w:t>descriptive</w:t>
      </w:r>
      <w:r w:rsidR="00302F5F">
        <w:rPr>
          <w:rFonts w:cs="Times New Roman"/>
        </w:rPr>
        <w:t xml:space="preserve"> and inferential approach has been used t test has been applied to test the accuracy of the result the overall result of the research work highlights </w:t>
      </w:r>
      <w:r w:rsidR="006678E0">
        <w:rPr>
          <w:rFonts w:cs="Times New Roman"/>
        </w:rPr>
        <w:t>in case of maintaining sustainability consumer expressed a strong desire but in practice this desire doesn’t hold true.</w:t>
      </w:r>
    </w:p>
    <w:p w14:paraId="0309370B" w14:textId="1D958708" w:rsidR="006678E0" w:rsidRPr="0060483E" w:rsidRDefault="006678E0" w:rsidP="006F1EFF">
      <w:pPr>
        <w:spacing w:line="360" w:lineRule="auto"/>
        <w:jc w:val="both"/>
        <w:rPr>
          <w:rFonts w:cs="Times New Roman"/>
          <w:b/>
          <w:bCs/>
        </w:rPr>
      </w:pPr>
      <w:r w:rsidRPr="0060483E">
        <w:rPr>
          <w:rFonts w:cs="Times New Roman"/>
          <w:b/>
          <w:bCs/>
        </w:rPr>
        <w:t>Synthesized Analysis</w:t>
      </w:r>
    </w:p>
    <w:p w14:paraId="59DFD70B" w14:textId="322AAD8F" w:rsidR="009365EB" w:rsidRPr="009365EB" w:rsidRDefault="00000000" w:rsidP="009365EB">
      <w:pPr>
        <w:pStyle w:val="ListParagraph"/>
        <w:spacing w:line="360" w:lineRule="auto"/>
        <w:ind w:left="0"/>
        <w:jc w:val="both"/>
        <w:rPr>
          <w:rFonts w:cs="Times New Roman"/>
          <w:sz w:val="28"/>
          <w:szCs w:val="28"/>
        </w:rPr>
      </w:pPr>
      <w:sdt>
        <w:sdtPr>
          <w:rPr>
            <w:rFonts w:cs="Times New Roman"/>
          </w:rPr>
          <w:id w:val="-1848704350"/>
          <w:citation/>
        </w:sdtPr>
        <w:sdtContent>
          <w:r w:rsidR="009365EB">
            <w:rPr>
              <w:rFonts w:cs="Times New Roman"/>
            </w:rPr>
            <w:fldChar w:fldCharType="begin"/>
          </w:r>
          <w:r w:rsidR="009365EB">
            <w:rPr>
              <w:rFonts w:cs="Times New Roman"/>
            </w:rPr>
            <w:instrText xml:space="preserve"> CITATION Ste24 \l 1033 </w:instrText>
          </w:r>
          <w:r w:rsidR="009365EB">
            <w:rPr>
              <w:rFonts w:cs="Times New Roman"/>
            </w:rPr>
            <w:fldChar w:fldCharType="separate"/>
          </w:r>
          <w:r w:rsidR="009365EB" w:rsidRPr="009365EB">
            <w:rPr>
              <w:rFonts w:cs="Times New Roman"/>
              <w:noProof/>
            </w:rPr>
            <w:t>(Vacher, 2024)</w:t>
          </w:r>
          <w:r w:rsidR="009365EB">
            <w:rPr>
              <w:rFonts w:cs="Times New Roman"/>
            </w:rPr>
            <w:fldChar w:fldCharType="end"/>
          </w:r>
        </w:sdtContent>
      </w:sdt>
      <w:r w:rsidR="009365EB" w:rsidRPr="009365EB">
        <w:rPr>
          <w:rFonts w:cs="Times New Roman"/>
        </w:rPr>
        <w:t xml:space="preserve"> in his work highlights that although businesses traditionally operate with a motive of profit maximization, but in the recent few years a commitment towards corporate social responsibility is observable, where CSR actions of firms are strongly influenced by the strategic goals and values of the management. Extending this view </w:t>
      </w:r>
      <w:sdt>
        <w:sdtPr>
          <w:rPr>
            <w:rFonts w:cs="Times New Roman"/>
          </w:rPr>
          <w:id w:val="-1021707777"/>
          <w:citation/>
        </w:sdtPr>
        <w:sdtContent>
          <w:r w:rsidR="009365EB">
            <w:rPr>
              <w:rFonts w:cs="Times New Roman"/>
            </w:rPr>
            <w:fldChar w:fldCharType="begin"/>
          </w:r>
          <w:r w:rsidR="009365EB">
            <w:rPr>
              <w:rFonts w:cs="Times New Roman"/>
            </w:rPr>
            <w:instrText xml:space="preserve"> CITATION Meh24 \l 1033 </w:instrText>
          </w:r>
          <w:r w:rsidR="009365EB">
            <w:rPr>
              <w:rFonts w:cs="Times New Roman"/>
            </w:rPr>
            <w:fldChar w:fldCharType="separate"/>
          </w:r>
          <w:r w:rsidR="009365EB" w:rsidRPr="009365EB">
            <w:rPr>
              <w:rFonts w:cs="Times New Roman"/>
              <w:noProof/>
            </w:rPr>
            <w:t>(Mehta &amp; Chatterjee, 2024)</w:t>
          </w:r>
          <w:r w:rsidR="009365EB">
            <w:rPr>
              <w:rFonts w:cs="Times New Roman"/>
            </w:rPr>
            <w:fldChar w:fldCharType="end"/>
          </w:r>
        </w:sdtContent>
      </w:sdt>
      <w:r w:rsidR="009365EB" w:rsidRPr="009365EB">
        <w:rPr>
          <w:rFonts w:cs="Times New Roman"/>
        </w:rPr>
        <w:t xml:space="preserve"> point out that there is a growing trend of adaptation of sustainable practices within the MSME sector where performance benefit acts as a key driver while ease of adaptation remains an underinvested factor influencing sustainability adoption. Similarly, the study of </w:t>
      </w:r>
      <w:sdt>
        <w:sdtPr>
          <w:rPr>
            <w:rFonts w:cs="Times New Roman"/>
          </w:rPr>
          <w:id w:val="352692925"/>
          <w:citation/>
        </w:sdtPr>
        <w:sdtContent>
          <w:r w:rsidR="009365EB">
            <w:rPr>
              <w:rFonts w:cs="Times New Roman"/>
            </w:rPr>
            <w:fldChar w:fldCharType="begin"/>
          </w:r>
          <w:r w:rsidR="009365EB">
            <w:rPr>
              <w:rFonts w:cs="Times New Roman"/>
            </w:rPr>
            <w:instrText xml:space="preserve"> CITATION Yad25 \l 1033 </w:instrText>
          </w:r>
          <w:r w:rsidR="009365EB">
            <w:rPr>
              <w:rFonts w:cs="Times New Roman"/>
            </w:rPr>
            <w:fldChar w:fldCharType="separate"/>
          </w:r>
          <w:r w:rsidR="009365EB" w:rsidRPr="009365EB">
            <w:rPr>
              <w:rFonts w:cs="Times New Roman"/>
              <w:noProof/>
            </w:rPr>
            <w:t>(Yadav, Yadav, Ghosal, Yadav, &amp; Verma, 2025)</w:t>
          </w:r>
          <w:r w:rsidR="009365EB">
            <w:rPr>
              <w:rFonts w:cs="Times New Roman"/>
            </w:rPr>
            <w:fldChar w:fldCharType="end"/>
          </w:r>
        </w:sdtContent>
      </w:sdt>
      <w:r w:rsidR="009365EB" w:rsidRPr="009365EB">
        <w:rPr>
          <w:rFonts w:cs="Times New Roman"/>
        </w:rPr>
        <w:t xml:space="preserve"> explores that sustainable management has an important role in determining sustainable financial and ESG performance, this indicates growing importance of structured governance practices. Supporting the view on evolution of sustainability discourse the study of </w:t>
      </w:r>
      <w:sdt>
        <w:sdtPr>
          <w:rPr>
            <w:rFonts w:cs="Times New Roman"/>
          </w:rPr>
          <w:id w:val="-77289310"/>
          <w:citation/>
        </w:sdtPr>
        <w:sdtContent>
          <w:r w:rsidR="009365EB">
            <w:rPr>
              <w:rFonts w:cs="Times New Roman"/>
            </w:rPr>
            <w:fldChar w:fldCharType="begin"/>
          </w:r>
          <w:r w:rsidR="009365EB">
            <w:rPr>
              <w:rFonts w:cs="Times New Roman"/>
            </w:rPr>
            <w:instrText xml:space="preserve"> CITATION DrD24 \l 1033 </w:instrText>
          </w:r>
          <w:r w:rsidR="009365EB">
            <w:rPr>
              <w:rFonts w:cs="Times New Roman"/>
            </w:rPr>
            <w:fldChar w:fldCharType="separate"/>
          </w:r>
          <w:r w:rsidR="009365EB" w:rsidRPr="009365EB">
            <w:rPr>
              <w:rFonts w:cs="Times New Roman"/>
              <w:noProof/>
            </w:rPr>
            <w:t>(Baghel, 2024)</w:t>
          </w:r>
          <w:r w:rsidR="009365EB">
            <w:rPr>
              <w:rFonts w:cs="Times New Roman"/>
            </w:rPr>
            <w:fldChar w:fldCharType="end"/>
          </w:r>
        </w:sdtContent>
      </w:sdt>
      <w:r w:rsidR="009365EB" w:rsidRPr="009365EB">
        <w:rPr>
          <w:rFonts w:cs="Times New Roman"/>
        </w:rPr>
        <w:t xml:space="preserve"> highlights that today the focus of research has shifted from general sustainability to CSR and more recently towards ESG dimensions, indicating that ESG is a relatively a recent but rapidly growing area of study. </w:t>
      </w:r>
      <w:r w:rsidR="001D4D1E" w:rsidRPr="009365EB">
        <w:rPr>
          <w:rFonts w:cs="Times New Roman"/>
        </w:rPr>
        <w:t>Similarly,</w:t>
      </w:r>
      <w:r w:rsidR="009365EB" w:rsidRPr="009365EB">
        <w:rPr>
          <w:rFonts w:cs="Times New Roman"/>
        </w:rPr>
        <w:t xml:space="preserve"> the study of, </w:t>
      </w:r>
      <w:sdt>
        <w:sdtPr>
          <w:rPr>
            <w:rFonts w:cs="Times New Roman"/>
          </w:rPr>
          <w:id w:val="317545546"/>
          <w:citation/>
        </w:sdtPr>
        <w:sdtContent>
          <w:r w:rsidR="009365EB">
            <w:rPr>
              <w:rFonts w:cs="Times New Roman"/>
            </w:rPr>
            <w:fldChar w:fldCharType="begin"/>
          </w:r>
          <w:r w:rsidR="009365EB">
            <w:rPr>
              <w:rFonts w:cs="Times New Roman"/>
            </w:rPr>
            <w:instrText xml:space="preserve"> CITATION Vat25 \l 1033 </w:instrText>
          </w:r>
          <w:r w:rsidR="009365EB">
            <w:rPr>
              <w:rFonts w:cs="Times New Roman"/>
            </w:rPr>
            <w:fldChar w:fldCharType="separate"/>
          </w:r>
          <w:r w:rsidR="009365EB" w:rsidRPr="009365EB">
            <w:rPr>
              <w:rFonts w:cs="Times New Roman"/>
              <w:noProof/>
            </w:rPr>
            <w:t>(Vats, Lata, &amp; Sharma, 2025)</w:t>
          </w:r>
          <w:r w:rsidR="009365EB">
            <w:rPr>
              <w:rFonts w:cs="Times New Roman"/>
            </w:rPr>
            <w:fldChar w:fldCharType="end"/>
          </w:r>
        </w:sdtContent>
      </w:sdt>
      <w:r w:rsidR="009365EB" w:rsidRPr="009365EB">
        <w:rPr>
          <w:rFonts w:cs="Times New Roman"/>
        </w:rPr>
        <w:t xml:space="preserve">emphasize </w:t>
      </w:r>
      <w:r w:rsidR="009365EB" w:rsidRPr="009365EB">
        <w:rPr>
          <w:rFonts w:cs="Times New Roman"/>
        </w:rPr>
        <w:lastRenderedPageBreak/>
        <w:t xml:space="preserve">that in current day scenario ESG practices are not only an ethical necessity, but it is also a strategic and financial advantage that can improve investor sentiment and can be a medium to access to green finance. </w:t>
      </w:r>
      <w:r w:rsidR="001D4D1E" w:rsidRPr="009365EB">
        <w:rPr>
          <w:rFonts w:cs="Times New Roman"/>
        </w:rPr>
        <w:t>Further</w:t>
      </w:r>
      <w:r w:rsidR="009365EB" w:rsidRPr="009365EB">
        <w:rPr>
          <w:rFonts w:cs="Times New Roman"/>
        </w:rPr>
        <w:t xml:space="preserve">, the study of </w:t>
      </w:r>
      <w:sdt>
        <w:sdtPr>
          <w:rPr>
            <w:rFonts w:cs="Times New Roman"/>
          </w:rPr>
          <w:id w:val="-854416824"/>
          <w:citation/>
        </w:sdtPr>
        <w:sdtContent>
          <w:r w:rsidR="009365EB">
            <w:rPr>
              <w:rFonts w:cs="Times New Roman"/>
            </w:rPr>
            <w:fldChar w:fldCharType="begin"/>
          </w:r>
          <w:r w:rsidR="009365EB">
            <w:rPr>
              <w:rFonts w:cs="Times New Roman"/>
            </w:rPr>
            <w:instrText xml:space="preserve"> CITATION Ari25 \l 1033 </w:instrText>
          </w:r>
          <w:r w:rsidR="009365EB">
            <w:rPr>
              <w:rFonts w:cs="Times New Roman"/>
            </w:rPr>
            <w:fldChar w:fldCharType="separate"/>
          </w:r>
          <w:r w:rsidR="009365EB" w:rsidRPr="009365EB">
            <w:rPr>
              <w:rFonts w:cs="Times New Roman"/>
              <w:noProof/>
            </w:rPr>
            <w:t>(Arindra &amp; latief, 2025)</w:t>
          </w:r>
          <w:r w:rsidR="009365EB">
            <w:rPr>
              <w:rFonts w:cs="Times New Roman"/>
            </w:rPr>
            <w:fldChar w:fldCharType="end"/>
          </w:r>
        </w:sdtContent>
      </w:sdt>
      <w:r w:rsidR="009365EB" w:rsidRPr="009365EB">
        <w:rPr>
          <w:rFonts w:cs="Times New Roman"/>
        </w:rPr>
        <w:t xml:space="preserve"> highlight that the successful adoption of ESG practices in MSMEs is majorly dependent upon integrating environmental concerns into core business strategies along with certain factors such as environmental responsiveness and resource management. This is further supported in the research work of </w:t>
      </w:r>
      <w:sdt>
        <w:sdtPr>
          <w:rPr>
            <w:rFonts w:cs="Times New Roman"/>
          </w:rPr>
          <w:id w:val="1704049323"/>
          <w:citation/>
        </w:sdtPr>
        <w:sdtContent>
          <w:r w:rsidR="009365EB">
            <w:rPr>
              <w:rFonts w:cs="Times New Roman"/>
            </w:rPr>
            <w:fldChar w:fldCharType="begin"/>
          </w:r>
          <w:r w:rsidR="009365EB">
            <w:rPr>
              <w:rFonts w:cs="Times New Roman"/>
            </w:rPr>
            <w:instrText xml:space="preserve"> CITATION Sri25 \l 1033 </w:instrText>
          </w:r>
          <w:r w:rsidR="009365EB">
            <w:rPr>
              <w:rFonts w:cs="Times New Roman"/>
            </w:rPr>
            <w:fldChar w:fldCharType="separate"/>
          </w:r>
          <w:r w:rsidR="009365EB" w:rsidRPr="009365EB">
            <w:rPr>
              <w:rFonts w:cs="Times New Roman"/>
              <w:noProof/>
            </w:rPr>
            <w:t>(Sridar, Kumar, R.S., &amp; Patro, 2025)</w:t>
          </w:r>
          <w:r w:rsidR="009365EB">
            <w:rPr>
              <w:rFonts w:cs="Times New Roman"/>
            </w:rPr>
            <w:fldChar w:fldCharType="end"/>
          </w:r>
        </w:sdtContent>
      </w:sdt>
      <w:r w:rsidR="009365EB" w:rsidRPr="009365EB">
        <w:rPr>
          <w:rFonts w:cs="Times New Roman"/>
        </w:rPr>
        <w:t xml:space="preserve">, who identified several key barriers and propose strategic frameworks for MSMEs to balance sustainability practices. In addition to organizational perspective the research work of </w:t>
      </w:r>
      <w:sdt>
        <w:sdtPr>
          <w:rPr>
            <w:rFonts w:cs="Times New Roman"/>
          </w:rPr>
          <w:id w:val="297042670"/>
          <w:citation/>
        </w:sdtPr>
        <w:sdtContent>
          <w:r w:rsidR="009365EB">
            <w:rPr>
              <w:rFonts w:cs="Times New Roman"/>
            </w:rPr>
            <w:fldChar w:fldCharType="begin"/>
          </w:r>
          <w:r w:rsidR="009365EB">
            <w:rPr>
              <w:rFonts w:cs="Times New Roman"/>
            </w:rPr>
            <w:instrText xml:space="preserve"> CITATION Lin25 \l 1033 </w:instrText>
          </w:r>
          <w:r w:rsidR="009365EB">
            <w:rPr>
              <w:rFonts w:cs="Times New Roman"/>
            </w:rPr>
            <w:fldChar w:fldCharType="separate"/>
          </w:r>
          <w:r w:rsidR="009365EB" w:rsidRPr="009365EB">
            <w:rPr>
              <w:rFonts w:cs="Times New Roman"/>
              <w:noProof/>
            </w:rPr>
            <w:t>(Lin, Jaiswal, &amp; Jaiswal, 2025)</w:t>
          </w:r>
          <w:r w:rsidR="009365EB">
            <w:rPr>
              <w:rFonts w:cs="Times New Roman"/>
            </w:rPr>
            <w:fldChar w:fldCharType="end"/>
          </w:r>
        </w:sdtContent>
      </w:sdt>
      <w:r w:rsidR="009365EB" w:rsidRPr="009365EB">
        <w:rPr>
          <w:rFonts w:cs="Times New Roman"/>
        </w:rPr>
        <w:t xml:space="preserve"> focuses upon sustainable packaging and highlight that although consumers currently hold a positive perception towards bioplastics but there exists a lack of awareness amongst them. </w:t>
      </w:r>
      <w:r w:rsidR="001D4D1E" w:rsidRPr="009365EB">
        <w:rPr>
          <w:rFonts w:cs="Times New Roman"/>
        </w:rPr>
        <w:t>Similarly,</w:t>
      </w:r>
      <w:r w:rsidR="009365EB" w:rsidRPr="009365EB">
        <w:rPr>
          <w:rFonts w:cs="Times New Roman"/>
        </w:rPr>
        <w:t xml:space="preserve"> </w:t>
      </w:r>
      <w:sdt>
        <w:sdtPr>
          <w:rPr>
            <w:rFonts w:cs="Times New Roman"/>
          </w:rPr>
          <w:id w:val="-657305870"/>
          <w:citation/>
        </w:sdtPr>
        <w:sdtContent>
          <w:r w:rsidR="009365EB">
            <w:rPr>
              <w:rFonts w:cs="Times New Roman"/>
            </w:rPr>
            <w:fldChar w:fldCharType="begin"/>
          </w:r>
          <w:r w:rsidR="009365EB">
            <w:rPr>
              <w:rFonts w:cs="Times New Roman"/>
            </w:rPr>
            <w:instrText xml:space="preserve"> CITATION Kha22 \l 1033 </w:instrText>
          </w:r>
          <w:r w:rsidR="009365EB">
            <w:rPr>
              <w:rFonts w:cs="Times New Roman"/>
            </w:rPr>
            <w:fldChar w:fldCharType="separate"/>
          </w:r>
          <w:r w:rsidR="009365EB" w:rsidRPr="009365EB">
            <w:rPr>
              <w:rFonts w:cs="Times New Roman"/>
              <w:noProof/>
            </w:rPr>
            <w:t>(Khandelwal, Kulkarni, &amp; Sinha, 2022)</w:t>
          </w:r>
          <w:r w:rsidR="009365EB">
            <w:rPr>
              <w:rFonts w:cs="Times New Roman"/>
            </w:rPr>
            <w:fldChar w:fldCharType="end"/>
          </w:r>
        </w:sdtContent>
      </w:sdt>
      <w:r w:rsidR="009365EB" w:rsidRPr="009365EB">
        <w:rPr>
          <w:rFonts w:cs="Times New Roman"/>
        </w:rPr>
        <w:t xml:space="preserve"> observe in their study that while consumers express a strong desire towards sustainability this intention does not always translate into actual behavior. </w:t>
      </w:r>
      <w:r w:rsidR="001D4D1E" w:rsidRPr="009365EB">
        <w:rPr>
          <w:rFonts w:cs="Times New Roman"/>
        </w:rPr>
        <w:t>Overall,</w:t>
      </w:r>
      <w:r w:rsidR="009365EB" w:rsidRPr="009365EB">
        <w:rPr>
          <w:rFonts w:cs="Times New Roman"/>
        </w:rPr>
        <w:t xml:space="preserve"> the synthesis of current literature </w:t>
      </w:r>
      <w:r w:rsidR="001D4D1E" w:rsidRPr="009365EB">
        <w:rPr>
          <w:rFonts w:cs="Times New Roman"/>
        </w:rPr>
        <w:t>suggests</w:t>
      </w:r>
      <w:r w:rsidR="009365EB" w:rsidRPr="009365EB">
        <w:rPr>
          <w:rFonts w:cs="Times New Roman"/>
        </w:rPr>
        <w:t xml:space="preserve"> that although there is a awareness both amongst the consumer and MSMEs but implementation of ESG practices still lags due to the factors like ease of implementation</w:t>
      </w:r>
    </w:p>
    <w:p w14:paraId="0703CFDA" w14:textId="42FC0886" w:rsidR="00E1318D" w:rsidRPr="001C3D7D" w:rsidRDefault="00E1318D" w:rsidP="0060483E">
      <w:pPr>
        <w:pStyle w:val="ListParagraph"/>
        <w:numPr>
          <w:ilvl w:val="0"/>
          <w:numId w:val="7"/>
        </w:numPr>
        <w:spacing w:line="360" w:lineRule="auto"/>
        <w:ind w:left="0"/>
        <w:jc w:val="both"/>
        <w:rPr>
          <w:rFonts w:cs="Times New Roman"/>
          <w:b/>
          <w:bCs/>
          <w:sz w:val="28"/>
          <w:szCs w:val="28"/>
        </w:rPr>
      </w:pPr>
      <w:r w:rsidRPr="001C3D7D">
        <w:rPr>
          <w:rFonts w:cs="Times New Roman"/>
          <w:b/>
          <w:bCs/>
          <w:sz w:val="28"/>
          <w:szCs w:val="28"/>
        </w:rPr>
        <w:t>RESEARCH DESIGN</w:t>
      </w:r>
    </w:p>
    <w:p w14:paraId="52AB4DB1" w14:textId="4986B157" w:rsidR="00E1318D" w:rsidRPr="0060483E" w:rsidRDefault="00E1318D" w:rsidP="0060483E">
      <w:pPr>
        <w:pStyle w:val="ListParagraph"/>
        <w:numPr>
          <w:ilvl w:val="0"/>
          <w:numId w:val="8"/>
        </w:numPr>
        <w:spacing w:line="360" w:lineRule="auto"/>
        <w:jc w:val="both"/>
        <w:rPr>
          <w:rFonts w:cs="Times New Roman"/>
          <w:b/>
          <w:bCs/>
        </w:rPr>
      </w:pPr>
      <w:r w:rsidRPr="0060483E">
        <w:rPr>
          <w:rFonts w:cs="Times New Roman"/>
          <w:b/>
          <w:bCs/>
        </w:rPr>
        <w:t>Research Gap:</w:t>
      </w:r>
    </w:p>
    <w:p w14:paraId="6CCFD802" w14:textId="77777777" w:rsidR="002D7368" w:rsidRDefault="00E1318D" w:rsidP="001D4D1E">
      <w:pPr>
        <w:spacing w:line="360" w:lineRule="auto"/>
        <w:ind w:left="720"/>
        <w:jc w:val="both"/>
        <w:rPr>
          <w:rFonts w:cs="Times New Roman"/>
        </w:rPr>
      </w:pPr>
      <w:r>
        <w:rPr>
          <w:rFonts w:cs="Times New Roman"/>
        </w:rPr>
        <w:t xml:space="preserve">All though the existing literature are covering various aspects of sustainability in MSME though there still exists a significant gap in understanding the consumer perception in regards to all ESG indicator under the food processing industry and comparing it with </w:t>
      </w:r>
      <w:r w:rsidR="00731D83">
        <w:rPr>
          <w:rFonts w:cs="Times New Roman"/>
        </w:rPr>
        <w:t>actual ESG</w:t>
      </w:r>
      <w:r>
        <w:rPr>
          <w:rFonts w:cs="Times New Roman"/>
        </w:rPr>
        <w:t xml:space="preserve"> Practices of food processing industry, the current research work is an attempt to fulfill this gap by comparing consumer expectation with actual adaptation of ESG practice</w:t>
      </w:r>
    </w:p>
    <w:p w14:paraId="3898BCDD" w14:textId="77777777" w:rsidR="002D7368" w:rsidRPr="0060483E" w:rsidRDefault="002D7368" w:rsidP="0060483E">
      <w:pPr>
        <w:pStyle w:val="ListParagraph"/>
        <w:numPr>
          <w:ilvl w:val="0"/>
          <w:numId w:val="8"/>
        </w:numPr>
        <w:spacing w:line="360" w:lineRule="auto"/>
        <w:jc w:val="both"/>
        <w:rPr>
          <w:rFonts w:cs="Times New Roman"/>
          <w:b/>
          <w:bCs/>
        </w:rPr>
      </w:pPr>
      <w:r w:rsidRPr="0060483E">
        <w:rPr>
          <w:rFonts w:cs="Times New Roman"/>
          <w:b/>
          <w:bCs/>
        </w:rPr>
        <w:t>Research Objectives:</w:t>
      </w:r>
    </w:p>
    <w:p w14:paraId="074D3B23" w14:textId="77777777" w:rsidR="002D7368" w:rsidRDefault="002D7368" w:rsidP="001D4D1E">
      <w:pPr>
        <w:spacing w:line="360" w:lineRule="auto"/>
        <w:ind w:left="720"/>
        <w:jc w:val="both"/>
        <w:rPr>
          <w:rFonts w:cs="Times New Roman"/>
        </w:rPr>
      </w:pPr>
      <w:r>
        <w:rPr>
          <w:rFonts w:cs="Times New Roman"/>
        </w:rPr>
        <w:t>Following points in brief summarizes the research objective:</w:t>
      </w:r>
    </w:p>
    <w:p w14:paraId="497D2D1B" w14:textId="72290592" w:rsidR="009B319A" w:rsidRDefault="009B319A" w:rsidP="001D4D1E">
      <w:pPr>
        <w:pStyle w:val="ListParagraph"/>
        <w:numPr>
          <w:ilvl w:val="0"/>
          <w:numId w:val="6"/>
        </w:numPr>
        <w:spacing w:line="360" w:lineRule="auto"/>
        <w:ind w:left="1440"/>
        <w:jc w:val="both"/>
        <w:rPr>
          <w:rFonts w:cs="Times New Roman"/>
        </w:rPr>
      </w:pPr>
      <w:r>
        <w:rPr>
          <w:rFonts w:cs="Times New Roman"/>
        </w:rPr>
        <w:t xml:space="preserve">To </w:t>
      </w:r>
      <w:r w:rsidR="001D4D1E">
        <w:rPr>
          <w:rFonts w:cs="Times New Roman"/>
        </w:rPr>
        <w:t>e</w:t>
      </w:r>
      <w:r>
        <w:rPr>
          <w:rFonts w:cs="Times New Roman"/>
        </w:rPr>
        <w:t>x</w:t>
      </w:r>
      <w:r w:rsidR="00BF678C">
        <w:rPr>
          <w:rFonts w:cs="Times New Roman"/>
        </w:rPr>
        <w:t>plore</w:t>
      </w:r>
      <w:r>
        <w:rPr>
          <w:rFonts w:cs="Times New Roman"/>
        </w:rPr>
        <w:t xml:space="preserve"> consumer expectation regarding ESG practices in MSME food processing </w:t>
      </w:r>
      <w:r w:rsidR="001D4D1E">
        <w:rPr>
          <w:rFonts w:cs="Times New Roman"/>
        </w:rPr>
        <w:t>i</w:t>
      </w:r>
      <w:r>
        <w:rPr>
          <w:rFonts w:cs="Times New Roman"/>
        </w:rPr>
        <w:t>ndustries.</w:t>
      </w:r>
    </w:p>
    <w:p w14:paraId="058E5820" w14:textId="2BDF80E6" w:rsidR="00E1318D" w:rsidRDefault="00E1318D" w:rsidP="001D4D1E">
      <w:pPr>
        <w:pStyle w:val="ListParagraph"/>
        <w:numPr>
          <w:ilvl w:val="0"/>
          <w:numId w:val="6"/>
        </w:numPr>
        <w:spacing w:line="360" w:lineRule="auto"/>
        <w:ind w:left="1440"/>
        <w:jc w:val="both"/>
        <w:rPr>
          <w:rFonts w:cs="Times New Roman"/>
        </w:rPr>
      </w:pPr>
      <w:r w:rsidRPr="002D7368">
        <w:rPr>
          <w:rFonts w:cs="Times New Roman"/>
        </w:rPr>
        <w:t xml:space="preserve"> </w:t>
      </w:r>
      <w:r w:rsidR="009B319A">
        <w:rPr>
          <w:rFonts w:cs="Times New Roman"/>
        </w:rPr>
        <w:t xml:space="preserve">To </w:t>
      </w:r>
      <w:r w:rsidR="001D4D1E">
        <w:rPr>
          <w:rFonts w:cs="Times New Roman"/>
        </w:rPr>
        <w:t>analyze</w:t>
      </w:r>
      <w:r w:rsidR="009B319A">
        <w:rPr>
          <w:rFonts w:cs="Times New Roman"/>
        </w:rPr>
        <w:t xml:space="preserve"> </w:t>
      </w:r>
      <w:r w:rsidR="001D4D1E">
        <w:rPr>
          <w:rFonts w:cs="Times New Roman"/>
        </w:rPr>
        <w:t xml:space="preserve">the </w:t>
      </w:r>
      <w:r w:rsidR="009B319A">
        <w:rPr>
          <w:rFonts w:cs="Times New Roman"/>
        </w:rPr>
        <w:t xml:space="preserve">price </w:t>
      </w:r>
      <w:r w:rsidR="00BF678C">
        <w:rPr>
          <w:rFonts w:cs="Times New Roman"/>
        </w:rPr>
        <w:t>sensitivity of consumer while supporting sustainable practices in the food sector.</w:t>
      </w:r>
    </w:p>
    <w:p w14:paraId="109F89E8" w14:textId="67A4EAC2" w:rsidR="00BF678C" w:rsidRDefault="00BF678C" w:rsidP="001D4D1E">
      <w:pPr>
        <w:pStyle w:val="ListParagraph"/>
        <w:numPr>
          <w:ilvl w:val="0"/>
          <w:numId w:val="6"/>
        </w:numPr>
        <w:spacing w:line="360" w:lineRule="auto"/>
        <w:ind w:left="1440"/>
        <w:jc w:val="both"/>
        <w:rPr>
          <w:rFonts w:cs="Times New Roman"/>
        </w:rPr>
      </w:pPr>
      <w:r>
        <w:rPr>
          <w:rFonts w:cs="Times New Roman"/>
        </w:rPr>
        <w:lastRenderedPageBreak/>
        <w:t xml:space="preserve">To </w:t>
      </w:r>
      <w:r w:rsidR="001D4D1E">
        <w:rPr>
          <w:rFonts w:cs="Times New Roman"/>
        </w:rPr>
        <w:t>find out</w:t>
      </w:r>
      <w:r>
        <w:rPr>
          <w:rFonts w:cs="Times New Roman"/>
        </w:rPr>
        <w:t xml:space="preserve"> the </w:t>
      </w:r>
      <w:r w:rsidR="001D4D1E">
        <w:rPr>
          <w:rFonts w:cs="Times New Roman"/>
        </w:rPr>
        <w:t>g</w:t>
      </w:r>
      <w:r>
        <w:rPr>
          <w:rFonts w:cs="Times New Roman"/>
        </w:rPr>
        <w:t xml:space="preserve">ap </w:t>
      </w:r>
      <w:r w:rsidR="001D4D1E">
        <w:rPr>
          <w:rFonts w:cs="Times New Roman"/>
        </w:rPr>
        <w:t xml:space="preserve">between consumer expectation and perceived adoption of sustainable practices in </w:t>
      </w:r>
      <w:r>
        <w:rPr>
          <w:rFonts w:cs="Times New Roman"/>
        </w:rPr>
        <w:t xml:space="preserve">MSME food </w:t>
      </w:r>
      <w:r w:rsidR="001D4D1E">
        <w:rPr>
          <w:rFonts w:cs="Times New Roman"/>
        </w:rPr>
        <w:t>i</w:t>
      </w:r>
      <w:r>
        <w:rPr>
          <w:rFonts w:cs="Times New Roman"/>
        </w:rPr>
        <w:t>ndustry of Uttar Pradesh.</w:t>
      </w:r>
    </w:p>
    <w:p w14:paraId="650E3DE4" w14:textId="77777777" w:rsidR="00BF678C" w:rsidRPr="0060483E" w:rsidRDefault="00BF678C" w:rsidP="0060483E">
      <w:pPr>
        <w:pStyle w:val="ListParagraph"/>
        <w:numPr>
          <w:ilvl w:val="0"/>
          <w:numId w:val="8"/>
        </w:numPr>
        <w:spacing w:line="360" w:lineRule="auto"/>
        <w:jc w:val="both"/>
        <w:rPr>
          <w:rFonts w:cs="Times New Roman"/>
          <w:b/>
          <w:bCs/>
        </w:rPr>
      </w:pPr>
      <w:r w:rsidRPr="0060483E">
        <w:rPr>
          <w:rFonts w:cs="Times New Roman"/>
          <w:b/>
          <w:bCs/>
        </w:rPr>
        <w:t>Research Hypothesis</w:t>
      </w:r>
    </w:p>
    <w:p w14:paraId="6B9FF31E" w14:textId="723EA761" w:rsidR="00BF678C" w:rsidRDefault="00BF678C" w:rsidP="001D4D1E">
      <w:pPr>
        <w:spacing w:line="360" w:lineRule="auto"/>
        <w:ind w:left="720"/>
        <w:jc w:val="both"/>
        <w:rPr>
          <w:rFonts w:cs="Times New Roman"/>
        </w:rPr>
      </w:pPr>
      <w:r>
        <w:rPr>
          <w:rFonts w:cs="Times New Roman"/>
        </w:rPr>
        <w:t>In context of exploratory objectives of the research work there is no specific need hypothesis however in case of the third objective of research following hypothesis has been framed up:</w:t>
      </w:r>
    </w:p>
    <w:p w14:paraId="66E3794F" w14:textId="5F56ED64" w:rsidR="00BF678C" w:rsidRPr="00D30213" w:rsidRDefault="00BF678C" w:rsidP="001D4D1E">
      <w:pPr>
        <w:pStyle w:val="ListParagraph"/>
        <w:numPr>
          <w:ilvl w:val="0"/>
          <w:numId w:val="6"/>
        </w:numPr>
        <w:spacing w:line="360" w:lineRule="auto"/>
        <w:ind w:left="1440"/>
        <w:jc w:val="both"/>
        <w:rPr>
          <w:rFonts w:cs="Times New Roman"/>
        </w:rPr>
      </w:pPr>
      <w:r w:rsidRPr="00D30213">
        <w:rPr>
          <w:rFonts w:cs="Times New Roman"/>
        </w:rPr>
        <w:t>H</w:t>
      </w:r>
      <w:r w:rsidRPr="00D30213">
        <w:rPr>
          <w:rFonts w:cs="Times New Roman"/>
          <w:vertAlign w:val="subscript"/>
        </w:rPr>
        <w:t>0</w:t>
      </w:r>
      <w:r w:rsidR="00D30213">
        <w:rPr>
          <w:rFonts w:cs="Times New Roman"/>
          <w:vertAlign w:val="subscript"/>
        </w:rPr>
        <w:t xml:space="preserve"> </w:t>
      </w:r>
      <w:r w:rsidR="00D30213">
        <w:rPr>
          <w:rFonts w:cs="Times New Roman"/>
        </w:rPr>
        <w:t>(Null)</w:t>
      </w:r>
      <w:r w:rsidRPr="00D30213">
        <w:rPr>
          <w:rFonts w:cs="Times New Roman"/>
        </w:rPr>
        <w:t xml:space="preserve">: </w:t>
      </w:r>
      <w:r w:rsidRPr="00D30213">
        <w:rPr>
          <w:rFonts w:cs="Times New Roman"/>
          <w:i/>
          <w:iCs/>
        </w:rPr>
        <w:t xml:space="preserve">There </w:t>
      </w:r>
      <w:r w:rsidR="001D4D1E" w:rsidRPr="00D30213">
        <w:rPr>
          <w:rFonts w:cs="Times New Roman"/>
          <w:i/>
          <w:iCs/>
        </w:rPr>
        <w:t xml:space="preserve">is no significant gap between the consumer expectation and perceived adaptation of </w:t>
      </w:r>
      <w:r w:rsidRPr="00D30213">
        <w:rPr>
          <w:rFonts w:cs="Times New Roman"/>
          <w:i/>
          <w:iCs/>
        </w:rPr>
        <w:t xml:space="preserve">ESG </w:t>
      </w:r>
      <w:r w:rsidR="001D4D1E" w:rsidRPr="00D30213">
        <w:rPr>
          <w:rFonts w:cs="Times New Roman"/>
          <w:i/>
          <w:iCs/>
        </w:rPr>
        <w:t xml:space="preserve">practices in the food sector </w:t>
      </w:r>
      <w:r w:rsidRPr="00D30213">
        <w:rPr>
          <w:rFonts w:cs="Times New Roman"/>
          <w:i/>
          <w:iCs/>
        </w:rPr>
        <w:t>MSME</w:t>
      </w:r>
      <w:r w:rsidR="00D30213" w:rsidRPr="00D30213">
        <w:rPr>
          <w:rFonts w:cs="Times New Roman"/>
          <w:i/>
          <w:iCs/>
        </w:rPr>
        <w:t>s</w:t>
      </w:r>
      <w:r w:rsidRPr="00D30213">
        <w:rPr>
          <w:rFonts w:cs="Times New Roman"/>
          <w:i/>
          <w:iCs/>
        </w:rPr>
        <w:t xml:space="preserve"> of Uttar Pradesh.</w:t>
      </w:r>
    </w:p>
    <w:p w14:paraId="6C5DBB82" w14:textId="5C2DA933" w:rsidR="001D4D1E" w:rsidRPr="00D30213" w:rsidRDefault="00BF678C" w:rsidP="001D4D1E">
      <w:pPr>
        <w:pStyle w:val="ListParagraph"/>
        <w:numPr>
          <w:ilvl w:val="0"/>
          <w:numId w:val="6"/>
        </w:numPr>
        <w:spacing w:line="360" w:lineRule="auto"/>
        <w:ind w:left="1440"/>
        <w:jc w:val="both"/>
        <w:rPr>
          <w:rFonts w:cs="Times New Roman"/>
        </w:rPr>
      </w:pPr>
      <w:r w:rsidRPr="001D4D1E">
        <w:rPr>
          <w:rFonts w:cs="Times New Roman"/>
        </w:rPr>
        <w:t>H</w:t>
      </w:r>
      <w:r w:rsidRPr="001D4D1E">
        <w:rPr>
          <w:rFonts w:cs="Times New Roman"/>
          <w:vertAlign w:val="subscript"/>
        </w:rPr>
        <w:t>1</w:t>
      </w:r>
      <w:r w:rsidR="00D30213" w:rsidRPr="001D4D1E">
        <w:rPr>
          <w:rFonts w:cs="Times New Roman"/>
          <w:vertAlign w:val="subscript"/>
        </w:rPr>
        <w:t xml:space="preserve"> </w:t>
      </w:r>
      <w:r w:rsidR="00D30213" w:rsidRPr="001D4D1E">
        <w:rPr>
          <w:rFonts w:cs="Times New Roman"/>
        </w:rPr>
        <w:t>(Alter):</w:t>
      </w:r>
      <w:r w:rsidRPr="001D4D1E">
        <w:rPr>
          <w:rFonts w:cs="Times New Roman"/>
        </w:rPr>
        <w:t xml:space="preserve"> </w:t>
      </w:r>
      <w:r w:rsidR="001D4D1E" w:rsidRPr="00D30213">
        <w:rPr>
          <w:rFonts w:cs="Times New Roman"/>
          <w:i/>
          <w:iCs/>
        </w:rPr>
        <w:t xml:space="preserve">There is </w:t>
      </w:r>
      <w:r w:rsidR="001D4D1E">
        <w:rPr>
          <w:rFonts w:cs="Times New Roman"/>
          <w:i/>
          <w:iCs/>
        </w:rPr>
        <w:t>a</w:t>
      </w:r>
      <w:r w:rsidR="001D4D1E" w:rsidRPr="00D30213">
        <w:rPr>
          <w:rFonts w:cs="Times New Roman"/>
          <w:i/>
          <w:iCs/>
        </w:rPr>
        <w:t xml:space="preserve"> significant gap between the consumer expectation and perceived adaptation of ESG practices in the food sector MSMEs of Uttar Pradesh.</w:t>
      </w:r>
    </w:p>
    <w:p w14:paraId="7C9244EB" w14:textId="62EF4962" w:rsidR="00E1318D" w:rsidRPr="001D4D1E" w:rsidRDefault="00E1318D" w:rsidP="00457F84">
      <w:pPr>
        <w:pStyle w:val="ListParagraph"/>
        <w:numPr>
          <w:ilvl w:val="0"/>
          <w:numId w:val="8"/>
        </w:numPr>
        <w:spacing w:line="360" w:lineRule="auto"/>
        <w:jc w:val="both"/>
        <w:rPr>
          <w:rFonts w:cs="Times New Roman"/>
          <w:b/>
          <w:bCs/>
        </w:rPr>
      </w:pPr>
      <w:r w:rsidRPr="001D4D1E">
        <w:rPr>
          <w:rFonts w:cs="Times New Roman"/>
          <w:b/>
          <w:bCs/>
        </w:rPr>
        <w:t>Research Methodology</w:t>
      </w:r>
    </w:p>
    <w:p w14:paraId="4793B6BC" w14:textId="77777777" w:rsidR="00731D83" w:rsidRDefault="00731D83" w:rsidP="001D4D1E">
      <w:pPr>
        <w:spacing w:line="360" w:lineRule="auto"/>
        <w:ind w:left="720"/>
        <w:jc w:val="both"/>
        <w:rPr>
          <w:rFonts w:cs="Times New Roman"/>
        </w:rPr>
      </w:pPr>
      <w:r>
        <w:rPr>
          <w:rFonts w:cs="Times New Roman"/>
        </w:rPr>
        <w:t>The current research work is based upon a combination of exploratory and analytical approach where for the purpose of analysis mainly primary data has been collected through the use of non-probability snow ball sampling.</w:t>
      </w:r>
    </w:p>
    <w:p w14:paraId="7D31A6B2" w14:textId="77777777" w:rsidR="00731D83" w:rsidRPr="0060483E" w:rsidRDefault="00731D83" w:rsidP="0060483E">
      <w:pPr>
        <w:pStyle w:val="ListParagraph"/>
        <w:numPr>
          <w:ilvl w:val="0"/>
          <w:numId w:val="8"/>
        </w:numPr>
        <w:spacing w:line="360" w:lineRule="auto"/>
        <w:jc w:val="both"/>
        <w:rPr>
          <w:rFonts w:cs="Times New Roman"/>
          <w:b/>
          <w:bCs/>
        </w:rPr>
      </w:pPr>
      <w:r w:rsidRPr="0060483E">
        <w:rPr>
          <w:rFonts w:cs="Times New Roman"/>
          <w:b/>
          <w:bCs/>
        </w:rPr>
        <w:t>Sample Design</w:t>
      </w:r>
    </w:p>
    <w:p w14:paraId="365F421B" w14:textId="77777777" w:rsidR="00595055" w:rsidRDefault="00731D83" w:rsidP="006F1EFF">
      <w:pPr>
        <w:pStyle w:val="ListParagraph"/>
        <w:numPr>
          <w:ilvl w:val="1"/>
          <w:numId w:val="6"/>
        </w:numPr>
        <w:spacing w:line="360" w:lineRule="auto"/>
        <w:jc w:val="both"/>
        <w:rPr>
          <w:rFonts w:cs="Times New Roman"/>
        </w:rPr>
      </w:pPr>
      <w:r w:rsidRPr="0060483E">
        <w:rPr>
          <w:rFonts w:cs="Times New Roman"/>
          <w:b/>
          <w:bCs/>
        </w:rPr>
        <w:t>Population of the Study</w:t>
      </w:r>
      <w:r w:rsidRPr="0060483E">
        <w:rPr>
          <w:rFonts w:cs="Times New Roman"/>
        </w:rPr>
        <w:t xml:space="preserve">: The scope of research work is centered upon the population of Uttar- Pradesh which is approx. </w:t>
      </w:r>
      <w:r w:rsidR="00500376" w:rsidRPr="0060483E">
        <w:rPr>
          <w:rFonts w:cs="Times New Roman"/>
        </w:rPr>
        <w:t>24.35 crore</w:t>
      </w:r>
      <w:r w:rsidRPr="0060483E">
        <w:rPr>
          <w:rFonts w:cs="Times New Roman"/>
        </w:rPr>
        <w:t>.</w:t>
      </w:r>
    </w:p>
    <w:p w14:paraId="3113B1D1" w14:textId="77777777" w:rsidR="00595055" w:rsidRDefault="00731D83" w:rsidP="006F1EFF">
      <w:pPr>
        <w:pStyle w:val="ListParagraph"/>
        <w:numPr>
          <w:ilvl w:val="1"/>
          <w:numId w:val="6"/>
        </w:numPr>
        <w:spacing w:line="360" w:lineRule="auto"/>
        <w:jc w:val="both"/>
        <w:rPr>
          <w:rFonts w:cs="Times New Roman"/>
        </w:rPr>
      </w:pPr>
      <w:r w:rsidRPr="00595055">
        <w:rPr>
          <w:rFonts w:cs="Times New Roman"/>
          <w:b/>
          <w:bCs/>
        </w:rPr>
        <w:t>Sampling Method:</w:t>
      </w:r>
      <w:r w:rsidRPr="00595055">
        <w:rPr>
          <w:rFonts w:cs="Times New Roman"/>
        </w:rPr>
        <w:t xml:space="preserve"> For the purpose of current research work Non probability “Snowball Sampling” method has been used. </w:t>
      </w:r>
    </w:p>
    <w:p w14:paraId="00D00036" w14:textId="77777777" w:rsidR="00595055" w:rsidRPr="00595055" w:rsidRDefault="00731D83" w:rsidP="006F1EFF">
      <w:pPr>
        <w:pStyle w:val="ListParagraph"/>
        <w:numPr>
          <w:ilvl w:val="1"/>
          <w:numId w:val="6"/>
        </w:numPr>
        <w:spacing w:line="360" w:lineRule="auto"/>
        <w:jc w:val="both"/>
        <w:rPr>
          <w:rFonts w:cs="Times New Roman"/>
        </w:rPr>
      </w:pPr>
      <w:r w:rsidRPr="00595055">
        <w:rPr>
          <w:rFonts w:cs="Times New Roman"/>
          <w:b/>
          <w:bCs/>
        </w:rPr>
        <w:t>Sample Size</w:t>
      </w:r>
    </w:p>
    <w:p w14:paraId="21BC37C7" w14:textId="19CDA217" w:rsidR="00500376" w:rsidRPr="00595055" w:rsidRDefault="00500376" w:rsidP="00595055">
      <w:pPr>
        <w:pStyle w:val="ListParagraph"/>
        <w:spacing w:line="360" w:lineRule="auto"/>
        <w:ind w:left="1440"/>
        <w:jc w:val="both"/>
        <w:rPr>
          <w:rFonts w:cs="Times New Roman"/>
        </w:rPr>
      </w:pPr>
      <w:r w:rsidRPr="00595055">
        <w:rPr>
          <w:rFonts w:cs="Times New Roman"/>
          <w:b/>
          <w:bCs/>
        </w:rPr>
        <w:t>Estimated Sample Size:</w:t>
      </w:r>
      <w:r w:rsidRPr="00595055">
        <w:rPr>
          <w:rFonts w:cs="Times New Roman"/>
        </w:rPr>
        <w:t xml:space="preserve"> Based upon Cochran’s formula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*p*</m:t>
        </m:r>
        <m:f>
          <m:fPr>
            <m:ctrlPr>
              <w:rPr>
                <w:rFonts w:ascii="Cambria Math" w:hAnsi="Cambria Math" w:cs="Times New Roman"/>
                <w:i/>
              </w:rPr>
            </m:ctrlPr>
          </m:fPr>
          <m:num>
            <m:r>
              <w:rPr>
                <w:rFonts w:ascii="Cambria Math" w:hAnsi="Cambria Math" w:cs="Times New Roman"/>
              </w:rPr>
              <m:t>(1-p)</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w:r w:rsidRPr="00595055">
        <w:rPr>
          <w:rFonts w:cs="Times New Roman"/>
        </w:rPr>
        <w:t xml:space="preserve"> the ideal sample size for the population of 24.35 is 384.</w:t>
      </w:r>
    </w:p>
    <w:p w14:paraId="45ACC3D8" w14:textId="77777777" w:rsidR="00595055" w:rsidRDefault="00D30213" w:rsidP="006F1EFF">
      <w:pPr>
        <w:spacing w:line="360" w:lineRule="auto"/>
        <w:jc w:val="both"/>
        <w:rPr>
          <w:rFonts w:cs="Times New Roman"/>
        </w:rPr>
      </w:pPr>
      <w:r w:rsidRPr="000E428F">
        <w:rPr>
          <w:rFonts w:cs="Times New Roman"/>
          <w:b/>
          <w:bCs/>
          <w:noProof/>
        </w:rPr>
        <w:drawing>
          <wp:inline distT="0" distB="0" distL="0" distR="0" wp14:anchorId="6AE6275F" wp14:editId="561B1F9B">
            <wp:extent cx="3019846" cy="628738"/>
            <wp:effectExtent l="0" t="0" r="0" b="0"/>
            <wp:docPr id="1117884039" name="Picture 1" descr="A number and line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84039" name="Picture 1" descr="A number and line with numbers&#10;&#10;AI-generated content may be incorrect."/>
                    <pic:cNvPicPr/>
                  </pic:nvPicPr>
                  <pic:blipFill>
                    <a:blip r:embed="rId8"/>
                    <a:stretch>
                      <a:fillRect/>
                    </a:stretch>
                  </pic:blipFill>
                  <pic:spPr>
                    <a:xfrm>
                      <a:off x="0" y="0"/>
                      <a:ext cx="3019846" cy="628738"/>
                    </a:xfrm>
                    <a:prstGeom prst="rect">
                      <a:avLst/>
                    </a:prstGeom>
                  </pic:spPr>
                </pic:pic>
              </a:graphicData>
            </a:graphic>
          </wp:inline>
        </w:drawing>
      </w:r>
    </w:p>
    <w:p w14:paraId="5CA7B457" w14:textId="27A6D100" w:rsidR="006968F7" w:rsidRPr="00595055" w:rsidRDefault="00500376" w:rsidP="00595055">
      <w:pPr>
        <w:pStyle w:val="ListParagraph"/>
        <w:numPr>
          <w:ilvl w:val="0"/>
          <w:numId w:val="9"/>
        </w:numPr>
        <w:spacing w:line="360" w:lineRule="auto"/>
        <w:ind w:left="1350" w:hanging="270"/>
        <w:jc w:val="both"/>
        <w:rPr>
          <w:rFonts w:cs="Times New Roman"/>
        </w:rPr>
      </w:pPr>
      <w:r w:rsidRPr="00595055">
        <w:rPr>
          <w:rFonts w:cs="Times New Roman"/>
          <w:b/>
          <w:bCs/>
        </w:rPr>
        <w:t>Actual Sample:</w:t>
      </w:r>
      <w:r w:rsidRPr="00595055">
        <w:rPr>
          <w:rFonts w:cs="Times New Roman"/>
        </w:rPr>
        <w:t xml:space="preserve"> The ideal size of sample is though 384 however for the purpose of current research work a </w:t>
      </w:r>
      <w:r w:rsidR="006968F7" w:rsidRPr="00595055">
        <w:rPr>
          <w:rFonts w:cs="Times New Roman"/>
        </w:rPr>
        <w:t xml:space="preserve">222 samples has been collected, the reason of discrepancies in idea sample size and actual sample size is under the current research work more emphasis is placed upon selecting respondent that are most relevant to the research </w:t>
      </w:r>
      <w:r w:rsidR="006968F7" w:rsidRPr="00595055">
        <w:rPr>
          <w:rFonts w:cs="Times New Roman"/>
        </w:rPr>
        <w:lastRenderedPageBreak/>
        <w:t>work, the sample has been collected mainly from 4 major district of Uttar Pradesh i.e. Raebareli, Lucknow, Prayagraj, Kanpur and some other parts of Uttar Pradesh.</w:t>
      </w:r>
    </w:p>
    <w:p w14:paraId="24ABC039" w14:textId="77777777" w:rsidR="00595055" w:rsidRDefault="006968F7" w:rsidP="00595055">
      <w:pPr>
        <w:pStyle w:val="ListParagraph"/>
        <w:numPr>
          <w:ilvl w:val="0"/>
          <w:numId w:val="8"/>
        </w:numPr>
        <w:spacing w:line="360" w:lineRule="auto"/>
        <w:jc w:val="both"/>
        <w:rPr>
          <w:rFonts w:cs="Times New Roman"/>
        </w:rPr>
      </w:pPr>
      <w:r w:rsidRPr="00595055">
        <w:rPr>
          <w:rFonts w:cs="Times New Roman"/>
          <w:b/>
          <w:bCs/>
        </w:rPr>
        <w:t>Method of Data Collection:</w:t>
      </w:r>
      <w:r w:rsidRPr="00595055">
        <w:rPr>
          <w:rFonts w:cs="Times New Roman"/>
        </w:rPr>
        <w:t xml:space="preserve"> </w:t>
      </w:r>
    </w:p>
    <w:p w14:paraId="7D420F75" w14:textId="6028BAD5" w:rsidR="006968F7" w:rsidRPr="00595055" w:rsidRDefault="006968F7" w:rsidP="00595055">
      <w:pPr>
        <w:pStyle w:val="ListParagraph"/>
        <w:spacing w:line="360" w:lineRule="auto"/>
        <w:jc w:val="both"/>
        <w:rPr>
          <w:rFonts w:cs="Times New Roman"/>
        </w:rPr>
      </w:pPr>
      <w:r w:rsidRPr="00595055">
        <w:rPr>
          <w:rFonts w:cs="Times New Roman"/>
        </w:rPr>
        <w:t>The Current research work uses structured questionnaire shared via google form to collect the respective responses.</w:t>
      </w:r>
      <w:r w:rsidR="002D7368" w:rsidRPr="00595055">
        <w:rPr>
          <w:rFonts w:cs="Times New Roman"/>
        </w:rPr>
        <w:t xml:space="preserve"> The research questionnaire was structured using a combination of dichotomous questions and Likert Scale Questions Dichotomous questions were used to clear, observation of adaptation of ESG practices under food processing MSME, while Likert scale questions were used to capture the intensity of </w:t>
      </w:r>
      <w:r w:rsidR="001D4D1E" w:rsidRPr="00595055">
        <w:rPr>
          <w:rFonts w:cs="Times New Roman"/>
        </w:rPr>
        <w:t>respondent’s</w:t>
      </w:r>
      <w:r w:rsidR="002D7368" w:rsidRPr="00595055">
        <w:rPr>
          <w:rFonts w:cs="Times New Roman"/>
        </w:rPr>
        <w:t xml:space="preserve"> expectation upon ESG practices under food processing industry.</w:t>
      </w:r>
    </w:p>
    <w:p w14:paraId="6C24F924" w14:textId="001D9D8D" w:rsidR="006968F7" w:rsidRPr="00595055" w:rsidRDefault="006968F7" w:rsidP="00595055">
      <w:pPr>
        <w:pStyle w:val="ListParagraph"/>
        <w:numPr>
          <w:ilvl w:val="0"/>
          <w:numId w:val="8"/>
        </w:numPr>
        <w:spacing w:line="360" w:lineRule="auto"/>
        <w:jc w:val="both"/>
        <w:rPr>
          <w:rFonts w:cs="Times New Roman"/>
          <w:b/>
          <w:bCs/>
        </w:rPr>
      </w:pPr>
      <w:r w:rsidRPr="00595055">
        <w:rPr>
          <w:rFonts w:cs="Times New Roman"/>
          <w:b/>
          <w:bCs/>
        </w:rPr>
        <w:t>Method of Data Analysis</w:t>
      </w:r>
    </w:p>
    <w:p w14:paraId="10C5E939" w14:textId="77777777" w:rsidR="007C49A8" w:rsidRDefault="006968F7" w:rsidP="001D4D1E">
      <w:pPr>
        <w:spacing w:line="360" w:lineRule="auto"/>
        <w:ind w:left="720"/>
        <w:jc w:val="both"/>
        <w:rPr>
          <w:rFonts w:cs="Times New Roman"/>
        </w:rPr>
      </w:pPr>
      <w:r>
        <w:rPr>
          <w:rFonts w:cs="Times New Roman"/>
        </w:rPr>
        <w:t xml:space="preserve">The research work is based upon the combination of descriptive and inferential method of data analysis where at the descriptive stage moment analysis methods have been used, and at the inferential stage we have used Indexation to convert the raw responses into two testable index </w:t>
      </w:r>
      <w:r w:rsidR="007C49A8">
        <w:rPr>
          <w:rFonts w:cs="Times New Roman"/>
        </w:rPr>
        <w:t>i.e. Consumer Expectation Index, and Perceived ESG Adaptation Index</w:t>
      </w:r>
      <w:r>
        <w:rPr>
          <w:rFonts w:cs="Times New Roman"/>
        </w:rPr>
        <w:t xml:space="preserve"> </w:t>
      </w:r>
      <w:r w:rsidR="007C49A8">
        <w:rPr>
          <w:rFonts w:cs="Times New Roman"/>
        </w:rPr>
        <w:t>the overall Indexed are compared using paired t test, the comparison was made on 5 distinct dimension and 1 overall inclusive dimension.</w:t>
      </w:r>
    </w:p>
    <w:p w14:paraId="182D38C4" w14:textId="711443FD" w:rsidR="00D30213" w:rsidRPr="00595055" w:rsidRDefault="00D30213" w:rsidP="00595055">
      <w:pPr>
        <w:pStyle w:val="ListParagraph"/>
        <w:numPr>
          <w:ilvl w:val="0"/>
          <w:numId w:val="8"/>
        </w:numPr>
        <w:spacing w:line="360" w:lineRule="auto"/>
        <w:jc w:val="both"/>
        <w:rPr>
          <w:rFonts w:cs="Times New Roman"/>
          <w:b/>
          <w:bCs/>
        </w:rPr>
      </w:pPr>
      <w:r w:rsidRPr="00595055">
        <w:rPr>
          <w:rFonts w:cs="Times New Roman"/>
          <w:b/>
          <w:bCs/>
        </w:rPr>
        <w:t>Limitation of the Study:</w:t>
      </w:r>
    </w:p>
    <w:p w14:paraId="3BC30D4B" w14:textId="073EB717" w:rsidR="002D7368" w:rsidRDefault="00D30213" w:rsidP="001D4D1E">
      <w:pPr>
        <w:spacing w:line="360" w:lineRule="auto"/>
        <w:ind w:left="720"/>
        <w:jc w:val="both"/>
        <w:rPr>
          <w:rFonts w:cs="Times New Roman"/>
        </w:rPr>
      </w:pPr>
      <w:r>
        <w:rPr>
          <w:rFonts w:cs="Times New Roman"/>
        </w:rPr>
        <w:t>Following points in brief summarizes the major limitation of the current research work:</w:t>
      </w:r>
    </w:p>
    <w:p w14:paraId="5DBE0795" w14:textId="39B70312" w:rsidR="00D30213" w:rsidRDefault="00D30213" w:rsidP="001D4D1E">
      <w:pPr>
        <w:pStyle w:val="ListParagraph"/>
        <w:numPr>
          <w:ilvl w:val="0"/>
          <w:numId w:val="6"/>
        </w:numPr>
        <w:spacing w:line="360" w:lineRule="auto"/>
        <w:ind w:left="1440"/>
        <w:jc w:val="both"/>
        <w:rPr>
          <w:rFonts w:cs="Times New Roman"/>
        </w:rPr>
      </w:pPr>
      <w:r>
        <w:rPr>
          <w:rFonts w:cs="Times New Roman"/>
        </w:rPr>
        <w:t>In context of Sampling more accurate result could be derived if a random sampling approach has been used instead of non-random sampling approach.</w:t>
      </w:r>
    </w:p>
    <w:p w14:paraId="41EDF9C5" w14:textId="68D37905" w:rsidR="00D30213" w:rsidRPr="00D30213" w:rsidRDefault="00D30213" w:rsidP="001D4D1E">
      <w:pPr>
        <w:pStyle w:val="ListParagraph"/>
        <w:numPr>
          <w:ilvl w:val="0"/>
          <w:numId w:val="6"/>
        </w:numPr>
        <w:spacing w:line="360" w:lineRule="auto"/>
        <w:ind w:left="1440"/>
        <w:jc w:val="both"/>
        <w:rPr>
          <w:rFonts w:cs="Times New Roman"/>
        </w:rPr>
      </w:pPr>
      <w:r>
        <w:rPr>
          <w:rFonts w:cs="Times New Roman"/>
        </w:rPr>
        <w:t>There was a lack of resources that binds to bring a clearer picture of consumer perception.</w:t>
      </w:r>
    </w:p>
    <w:bookmarkEnd w:id="0"/>
    <w:p w14:paraId="6E25373F" w14:textId="0D9DC1A1" w:rsidR="008040AC" w:rsidRPr="001C3D7D" w:rsidRDefault="00D30213" w:rsidP="0060483E">
      <w:pPr>
        <w:pStyle w:val="ListParagraph"/>
        <w:numPr>
          <w:ilvl w:val="0"/>
          <w:numId w:val="7"/>
        </w:numPr>
        <w:ind w:left="0"/>
        <w:jc w:val="both"/>
        <w:rPr>
          <w:rFonts w:cs="Times New Roman"/>
          <w:b/>
          <w:bCs/>
          <w:sz w:val="28"/>
          <w:szCs w:val="28"/>
        </w:rPr>
      </w:pPr>
      <w:r w:rsidRPr="001C3D7D">
        <w:rPr>
          <w:rFonts w:cs="Times New Roman"/>
          <w:b/>
          <w:bCs/>
          <w:sz w:val="28"/>
          <w:szCs w:val="28"/>
        </w:rPr>
        <w:t xml:space="preserve">DATA ANALYSIS </w:t>
      </w:r>
    </w:p>
    <w:p w14:paraId="4A7F97D8" w14:textId="07E70F78" w:rsidR="00D30213" w:rsidRPr="00D30213" w:rsidRDefault="00D30213" w:rsidP="00D30213">
      <w:pPr>
        <w:jc w:val="both"/>
        <w:rPr>
          <w:rFonts w:cs="Times New Roman"/>
          <w:b/>
          <w:bCs/>
        </w:rPr>
      </w:pPr>
      <w:r>
        <w:rPr>
          <w:rFonts w:cs="Times New Roman"/>
          <w:b/>
          <w:bCs/>
        </w:rPr>
        <w:t>Pre Analysis Stage: (</w:t>
      </w:r>
      <w:r w:rsidRPr="00D30213">
        <w:rPr>
          <w:rFonts w:cs="Times New Roman"/>
          <w:b/>
          <w:bCs/>
        </w:rPr>
        <w:t>Questionnaire Analysis</w:t>
      </w:r>
      <w:r>
        <w:rPr>
          <w:rFonts w:cs="Times New Roman"/>
          <w:b/>
          <w:bCs/>
        </w:rPr>
        <w:t>)</w:t>
      </w:r>
    </w:p>
    <w:p w14:paraId="5EFB1FE9" w14:textId="02ECA211" w:rsidR="00D30213" w:rsidRDefault="00D30213" w:rsidP="004D312C">
      <w:pPr>
        <w:spacing w:line="360" w:lineRule="auto"/>
        <w:jc w:val="both"/>
        <w:rPr>
          <w:rFonts w:cs="Times New Roman"/>
        </w:rPr>
      </w:pPr>
      <w:r>
        <w:rPr>
          <w:rFonts w:cs="Times New Roman"/>
        </w:rPr>
        <w:t xml:space="preserve">Table </w:t>
      </w:r>
      <w:r w:rsidR="000C59F7">
        <w:rPr>
          <w:rFonts w:cs="Times New Roman"/>
        </w:rPr>
        <w:t>4.</w:t>
      </w:r>
      <w:r>
        <w:rPr>
          <w:rFonts w:cs="Times New Roman"/>
        </w:rPr>
        <w:t xml:space="preserve">1 in briefly summarizes the result of Corbach’s Alpha score of framed </w:t>
      </w:r>
      <w:r w:rsidR="00FA47A1">
        <w:rPr>
          <w:rFonts w:cs="Times New Roman"/>
        </w:rPr>
        <w:t>questionnaires</w:t>
      </w:r>
      <w:r w:rsidR="00A87C3B">
        <w:rPr>
          <w:rFonts w:cs="Times New Roman"/>
        </w:rPr>
        <w:t xml:space="preserve">, table </w:t>
      </w:r>
      <w:r w:rsidR="000C59F7">
        <w:rPr>
          <w:rFonts w:cs="Times New Roman"/>
        </w:rPr>
        <w:t>4.</w:t>
      </w:r>
      <w:r w:rsidR="00A87C3B">
        <w:rPr>
          <w:rFonts w:cs="Times New Roman"/>
        </w:rPr>
        <w:t>2 reveals different level of score of Alpha values</w:t>
      </w: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1"/>
        <w:gridCol w:w="1968"/>
        <w:gridCol w:w="2144"/>
        <w:gridCol w:w="1619"/>
        <w:gridCol w:w="1575"/>
      </w:tblGrid>
      <w:tr w:rsidR="002640E7" w:rsidRPr="002640E7" w14:paraId="7D26709A" w14:textId="77777777" w:rsidTr="001C3D7D">
        <w:trPr>
          <w:trHeight w:val="696"/>
          <w:tblHeader/>
        </w:trPr>
        <w:tc>
          <w:tcPr>
            <w:tcW w:w="0" w:type="auto"/>
            <w:gridSpan w:val="5"/>
            <w:tcMar>
              <w:top w:w="90" w:type="dxa"/>
              <w:left w:w="0" w:type="dxa"/>
              <w:bottom w:w="90" w:type="dxa"/>
              <w:right w:w="150" w:type="dxa"/>
            </w:tcMar>
            <w:vAlign w:val="center"/>
            <w:hideMark/>
          </w:tcPr>
          <w:p w14:paraId="0AE48DF4" w14:textId="73DDBBC6" w:rsidR="002640E7" w:rsidRPr="002640E7" w:rsidRDefault="002640E7" w:rsidP="004D312C">
            <w:pPr>
              <w:jc w:val="center"/>
              <w:rPr>
                <w:rFonts w:cs="Times New Roman"/>
              </w:rPr>
            </w:pPr>
            <w:r w:rsidRPr="002640E7">
              <w:rPr>
                <w:rFonts w:cs="Times New Roman"/>
                <w:i/>
                <w:iCs/>
              </w:rPr>
              <w:lastRenderedPageBreak/>
              <w:t>Frequentist Scale Reliability Statistics</w:t>
            </w:r>
          </w:p>
        </w:tc>
      </w:tr>
      <w:tr w:rsidR="002640E7" w:rsidRPr="002640E7" w14:paraId="3AA1AB32" w14:textId="77777777" w:rsidTr="001C3D7D">
        <w:trPr>
          <w:trHeight w:val="696"/>
          <w:tblHeader/>
        </w:trPr>
        <w:tc>
          <w:tcPr>
            <w:tcW w:w="0" w:type="auto"/>
            <w:gridSpan w:val="3"/>
            <w:tcMar>
              <w:top w:w="45" w:type="dxa"/>
              <w:left w:w="180" w:type="dxa"/>
              <w:bottom w:w="45" w:type="dxa"/>
              <w:right w:w="180" w:type="dxa"/>
            </w:tcMar>
            <w:vAlign w:val="center"/>
            <w:hideMark/>
          </w:tcPr>
          <w:p w14:paraId="46BAAF2B" w14:textId="77777777" w:rsidR="002640E7" w:rsidRPr="002640E7" w:rsidRDefault="002640E7" w:rsidP="002640E7">
            <w:pPr>
              <w:jc w:val="both"/>
              <w:rPr>
                <w:rFonts w:cs="Times New Roman"/>
              </w:rPr>
            </w:pPr>
          </w:p>
        </w:tc>
        <w:tc>
          <w:tcPr>
            <w:tcW w:w="0" w:type="auto"/>
            <w:gridSpan w:val="2"/>
            <w:tcMar>
              <w:top w:w="45" w:type="dxa"/>
              <w:left w:w="180" w:type="dxa"/>
              <w:bottom w:w="45" w:type="dxa"/>
              <w:right w:w="180" w:type="dxa"/>
            </w:tcMar>
            <w:vAlign w:val="center"/>
            <w:hideMark/>
          </w:tcPr>
          <w:p w14:paraId="02DEDBC4" w14:textId="77777777" w:rsidR="002640E7" w:rsidRPr="002640E7" w:rsidRDefault="002640E7" w:rsidP="004D312C">
            <w:pPr>
              <w:jc w:val="center"/>
              <w:rPr>
                <w:rFonts w:cs="Times New Roman"/>
              </w:rPr>
            </w:pPr>
            <w:r w:rsidRPr="002640E7">
              <w:rPr>
                <w:rFonts w:cs="Times New Roman"/>
              </w:rPr>
              <w:t>95% CI</w:t>
            </w:r>
          </w:p>
        </w:tc>
      </w:tr>
      <w:tr w:rsidR="002640E7" w:rsidRPr="002640E7" w14:paraId="3F19A011" w14:textId="77777777" w:rsidTr="001C3D7D">
        <w:trPr>
          <w:trHeight w:val="696"/>
          <w:tblHeader/>
        </w:trPr>
        <w:tc>
          <w:tcPr>
            <w:tcW w:w="0" w:type="auto"/>
            <w:tcMar>
              <w:top w:w="45" w:type="dxa"/>
              <w:left w:w="180" w:type="dxa"/>
              <w:bottom w:w="45" w:type="dxa"/>
              <w:right w:w="180" w:type="dxa"/>
            </w:tcMar>
            <w:vAlign w:val="center"/>
            <w:hideMark/>
          </w:tcPr>
          <w:p w14:paraId="67317175" w14:textId="77777777" w:rsidR="002640E7" w:rsidRPr="002640E7" w:rsidRDefault="002640E7" w:rsidP="004D312C">
            <w:pPr>
              <w:jc w:val="center"/>
              <w:rPr>
                <w:rFonts w:cs="Times New Roman"/>
              </w:rPr>
            </w:pPr>
            <w:r w:rsidRPr="002640E7">
              <w:rPr>
                <w:rFonts w:cs="Times New Roman"/>
              </w:rPr>
              <w:t>Coefficient</w:t>
            </w:r>
          </w:p>
        </w:tc>
        <w:tc>
          <w:tcPr>
            <w:tcW w:w="0" w:type="auto"/>
            <w:tcMar>
              <w:top w:w="45" w:type="dxa"/>
              <w:left w:w="180" w:type="dxa"/>
              <w:bottom w:w="45" w:type="dxa"/>
              <w:right w:w="180" w:type="dxa"/>
            </w:tcMar>
            <w:vAlign w:val="center"/>
            <w:hideMark/>
          </w:tcPr>
          <w:p w14:paraId="6EDA939B" w14:textId="77777777" w:rsidR="002640E7" w:rsidRPr="002640E7" w:rsidRDefault="002640E7" w:rsidP="004D312C">
            <w:pPr>
              <w:jc w:val="center"/>
              <w:rPr>
                <w:rFonts w:cs="Times New Roman"/>
              </w:rPr>
            </w:pPr>
            <w:r w:rsidRPr="002640E7">
              <w:rPr>
                <w:rFonts w:cs="Times New Roman"/>
              </w:rPr>
              <w:t>Estimate</w:t>
            </w:r>
          </w:p>
        </w:tc>
        <w:tc>
          <w:tcPr>
            <w:tcW w:w="0" w:type="auto"/>
            <w:tcMar>
              <w:top w:w="45" w:type="dxa"/>
              <w:left w:w="180" w:type="dxa"/>
              <w:bottom w:w="45" w:type="dxa"/>
              <w:right w:w="180" w:type="dxa"/>
            </w:tcMar>
            <w:vAlign w:val="center"/>
            <w:hideMark/>
          </w:tcPr>
          <w:p w14:paraId="525D960C" w14:textId="77777777" w:rsidR="002640E7" w:rsidRPr="002640E7" w:rsidRDefault="002640E7" w:rsidP="004D312C">
            <w:pPr>
              <w:jc w:val="center"/>
              <w:rPr>
                <w:rFonts w:cs="Times New Roman"/>
              </w:rPr>
            </w:pPr>
            <w:r w:rsidRPr="002640E7">
              <w:rPr>
                <w:rFonts w:cs="Times New Roman"/>
              </w:rPr>
              <w:t>Std. Error</w:t>
            </w:r>
          </w:p>
        </w:tc>
        <w:tc>
          <w:tcPr>
            <w:tcW w:w="0" w:type="auto"/>
            <w:tcMar>
              <w:top w:w="45" w:type="dxa"/>
              <w:left w:w="180" w:type="dxa"/>
              <w:bottom w:w="45" w:type="dxa"/>
              <w:right w:w="180" w:type="dxa"/>
            </w:tcMar>
            <w:vAlign w:val="center"/>
            <w:hideMark/>
          </w:tcPr>
          <w:p w14:paraId="6B522432" w14:textId="77777777" w:rsidR="002640E7" w:rsidRPr="002640E7" w:rsidRDefault="002640E7" w:rsidP="004D312C">
            <w:pPr>
              <w:jc w:val="center"/>
              <w:rPr>
                <w:rFonts w:cs="Times New Roman"/>
              </w:rPr>
            </w:pPr>
            <w:r w:rsidRPr="002640E7">
              <w:rPr>
                <w:rFonts w:cs="Times New Roman"/>
              </w:rPr>
              <w:t>Lower</w:t>
            </w:r>
          </w:p>
        </w:tc>
        <w:tc>
          <w:tcPr>
            <w:tcW w:w="0" w:type="auto"/>
            <w:tcMar>
              <w:top w:w="45" w:type="dxa"/>
              <w:left w:w="180" w:type="dxa"/>
              <w:bottom w:w="45" w:type="dxa"/>
              <w:right w:w="180" w:type="dxa"/>
            </w:tcMar>
            <w:vAlign w:val="center"/>
            <w:hideMark/>
          </w:tcPr>
          <w:p w14:paraId="49438A33" w14:textId="77777777" w:rsidR="002640E7" w:rsidRPr="002640E7" w:rsidRDefault="002640E7" w:rsidP="004D312C">
            <w:pPr>
              <w:jc w:val="center"/>
              <w:rPr>
                <w:rFonts w:cs="Times New Roman"/>
              </w:rPr>
            </w:pPr>
            <w:r w:rsidRPr="002640E7">
              <w:rPr>
                <w:rFonts w:cs="Times New Roman"/>
              </w:rPr>
              <w:t>Upper</w:t>
            </w:r>
          </w:p>
        </w:tc>
      </w:tr>
      <w:tr w:rsidR="002640E7" w:rsidRPr="002640E7" w14:paraId="742310CE" w14:textId="77777777" w:rsidTr="001C3D7D">
        <w:trPr>
          <w:trHeight w:val="696"/>
        </w:trPr>
        <w:tc>
          <w:tcPr>
            <w:tcW w:w="0" w:type="auto"/>
            <w:tcMar>
              <w:top w:w="162" w:type="dxa"/>
              <w:left w:w="180" w:type="dxa"/>
              <w:bottom w:w="45" w:type="dxa"/>
              <w:right w:w="180" w:type="dxa"/>
            </w:tcMar>
            <w:vAlign w:val="center"/>
            <w:hideMark/>
          </w:tcPr>
          <w:p w14:paraId="551E8856" w14:textId="77777777" w:rsidR="002640E7" w:rsidRPr="002640E7" w:rsidRDefault="002640E7" w:rsidP="004D312C">
            <w:pPr>
              <w:jc w:val="center"/>
              <w:rPr>
                <w:rFonts w:cs="Times New Roman"/>
              </w:rPr>
            </w:pPr>
            <w:r w:rsidRPr="002640E7">
              <w:rPr>
                <w:rFonts w:cs="Times New Roman"/>
              </w:rPr>
              <w:t>Cronbach's α</w:t>
            </w:r>
          </w:p>
        </w:tc>
        <w:tc>
          <w:tcPr>
            <w:tcW w:w="0" w:type="auto"/>
            <w:tcMar>
              <w:top w:w="162" w:type="dxa"/>
              <w:left w:w="180" w:type="dxa"/>
              <w:bottom w:w="45" w:type="dxa"/>
              <w:right w:w="180" w:type="dxa"/>
            </w:tcMar>
            <w:vAlign w:val="center"/>
            <w:hideMark/>
          </w:tcPr>
          <w:p w14:paraId="0F61351F" w14:textId="77777777" w:rsidR="002640E7" w:rsidRPr="002640E7" w:rsidRDefault="002640E7" w:rsidP="004D312C">
            <w:pPr>
              <w:jc w:val="center"/>
              <w:rPr>
                <w:rFonts w:cs="Times New Roman"/>
              </w:rPr>
            </w:pPr>
            <w:r w:rsidRPr="002640E7">
              <w:rPr>
                <w:rFonts w:cs="Times New Roman"/>
              </w:rPr>
              <w:t>0.861</w:t>
            </w:r>
          </w:p>
        </w:tc>
        <w:tc>
          <w:tcPr>
            <w:tcW w:w="0" w:type="auto"/>
            <w:tcMar>
              <w:top w:w="162" w:type="dxa"/>
              <w:left w:w="180" w:type="dxa"/>
              <w:bottom w:w="45" w:type="dxa"/>
              <w:right w:w="180" w:type="dxa"/>
            </w:tcMar>
            <w:vAlign w:val="center"/>
            <w:hideMark/>
          </w:tcPr>
          <w:p w14:paraId="1F3F8CA1" w14:textId="77777777" w:rsidR="002640E7" w:rsidRPr="002640E7" w:rsidRDefault="002640E7" w:rsidP="004D312C">
            <w:pPr>
              <w:jc w:val="center"/>
              <w:rPr>
                <w:rFonts w:cs="Times New Roman"/>
              </w:rPr>
            </w:pPr>
            <w:r w:rsidRPr="002640E7">
              <w:rPr>
                <w:rFonts w:cs="Times New Roman"/>
              </w:rPr>
              <w:t>0.018</w:t>
            </w:r>
          </w:p>
        </w:tc>
        <w:tc>
          <w:tcPr>
            <w:tcW w:w="0" w:type="auto"/>
            <w:tcMar>
              <w:top w:w="162" w:type="dxa"/>
              <w:left w:w="180" w:type="dxa"/>
              <w:bottom w:w="45" w:type="dxa"/>
              <w:right w:w="180" w:type="dxa"/>
            </w:tcMar>
            <w:vAlign w:val="center"/>
            <w:hideMark/>
          </w:tcPr>
          <w:p w14:paraId="6402AFF6" w14:textId="77777777" w:rsidR="002640E7" w:rsidRPr="002640E7" w:rsidRDefault="002640E7" w:rsidP="004D312C">
            <w:pPr>
              <w:jc w:val="center"/>
              <w:rPr>
                <w:rFonts w:cs="Times New Roman"/>
              </w:rPr>
            </w:pPr>
            <w:r w:rsidRPr="002640E7">
              <w:rPr>
                <w:rFonts w:cs="Times New Roman"/>
              </w:rPr>
              <w:t>0.826</w:t>
            </w:r>
          </w:p>
        </w:tc>
        <w:tc>
          <w:tcPr>
            <w:tcW w:w="0" w:type="auto"/>
            <w:tcMar>
              <w:top w:w="162" w:type="dxa"/>
              <w:left w:w="180" w:type="dxa"/>
              <w:bottom w:w="45" w:type="dxa"/>
              <w:right w:w="180" w:type="dxa"/>
            </w:tcMar>
            <w:vAlign w:val="center"/>
            <w:hideMark/>
          </w:tcPr>
          <w:p w14:paraId="56256867" w14:textId="77777777" w:rsidR="002640E7" w:rsidRPr="002640E7" w:rsidRDefault="002640E7" w:rsidP="004D312C">
            <w:pPr>
              <w:jc w:val="center"/>
              <w:rPr>
                <w:rFonts w:cs="Times New Roman"/>
              </w:rPr>
            </w:pPr>
            <w:r w:rsidRPr="002640E7">
              <w:rPr>
                <w:rFonts w:cs="Times New Roman"/>
              </w:rPr>
              <w:t>0.897</w:t>
            </w:r>
          </w:p>
        </w:tc>
      </w:tr>
    </w:tbl>
    <w:p w14:paraId="634829ED" w14:textId="15A8C42C" w:rsidR="00A87C3B" w:rsidRPr="002640E7" w:rsidRDefault="002640E7" w:rsidP="002640E7">
      <w:pPr>
        <w:pStyle w:val="Caption"/>
        <w:jc w:val="center"/>
        <w:rPr>
          <w:rFonts w:cs="Times New Roman"/>
        </w:rPr>
      </w:pPr>
      <w:r w:rsidRPr="002640E7">
        <w:rPr>
          <w:rFonts w:cs="Times New Roman"/>
        </w:rPr>
        <w:t xml:space="preserve">Table </w:t>
      </w:r>
      <w:r w:rsidRPr="002640E7">
        <w:rPr>
          <w:rFonts w:cs="Times New Roman"/>
        </w:rPr>
        <w:fldChar w:fldCharType="begin"/>
      </w:r>
      <w:r w:rsidRPr="002640E7">
        <w:rPr>
          <w:rFonts w:cs="Times New Roman"/>
        </w:rPr>
        <w:instrText xml:space="preserve"> SEQ Table \* ARABIC </w:instrText>
      </w:r>
      <w:r w:rsidRPr="002640E7">
        <w:rPr>
          <w:rFonts w:cs="Times New Roman"/>
        </w:rPr>
        <w:fldChar w:fldCharType="separate"/>
      </w:r>
      <w:r w:rsidR="00595055">
        <w:rPr>
          <w:rFonts w:cs="Times New Roman"/>
          <w:noProof/>
        </w:rPr>
        <w:t>1</w:t>
      </w:r>
      <w:r w:rsidRPr="002640E7">
        <w:rPr>
          <w:rFonts w:cs="Times New Roman"/>
        </w:rPr>
        <w:fldChar w:fldCharType="end"/>
      </w:r>
      <w:r w:rsidRPr="002640E7">
        <w:rPr>
          <w:rFonts w:cs="Times New Roman"/>
        </w:rPr>
        <w:t>: Generated Through JASP</w:t>
      </w:r>
    </w:p>
    <w:p w14:paraId="20EDC895" w14:textId="77777777" w:rsidR="002640E7" w:rsidRPr="002640E7" w:rsidRDefault="002640E7" w:rsidP="002640E7"/>
    <w:tbl>
      <w:tblPr>
        <w:tblStyle w:val="TableGrid"/>
        <w:tblW w:w="9528" w:type="dxa"/>
        <w:tblLook w:val="04A0" w:firstRow="1" w:lastRow="0" w:firstColumn="1" w:lastColumn="0" w:noHBand="0" w:noVBand="1"/>
      </w:tblPr>
      <w:tblGrid>
        <w:gridCol w:w="5131"/>
        <w:gridCol w:w="4397"/>
      </w:tblGrid>
      <w:tr w:rsidR="00A87C3B" w:rsidRPr="006429CA" w14:paraId="10F6F891" w14:textId="77777777" w:rsidTr="001C3D7D">
        <w:trPr>
          <w:trHeight w:val="293"/>
        </w:trPr>
        <w:tc>
          <w:tcPr>
            <w:tcW w:w="5131" w:type="dxa"/>
          </w:tcPr>
          <w:p w14:paraId="2B795531" w14:textId="77777777" w:rsidR="00A87C3B" w:rsidRPr="00A87C3B" w:rsidRDefault="00A87C3B" w:rsidP="006A6C93">
            <w:pPr>
              <w:pStyle w:val="FootnoteText"/>
              <w:spacing w:line="276" w:lineRule="auto"/>
              <w:jc w:val="center"/>
              <w:rPr>
                <w:rFonts w:cs="Times New Roman"/>
                <w:b/>
                <w:bCs/>
                <w:sz w:val="24"/>
                <w:szCs w:val="24"/>
              </w:rPr>
            </w:pPr>
            <w:r w:rsidRPr="00A87C3B">
              <w:rPr>
                <w:rFonts w:cs="Times New Roman"/>
                <w:b/>
                <w:bCs/>
                <w:sz w:val="24"/>
                <w:szCs w:val="24"/>
              </w:rPr>
              <w:t>Cronbach’s Alpha (</w:t>
            </w:r>
            <w:r w:rsidRPr="00A87C3B">
              <w:rPr>
                <w:rFonts w:ascii="Cambria Math" w:hAnsi="Cambria Math" w:cs="Cambria Math"/>
                <w:b/>
                <w:bCs/>
                <w:sz w:val="24"/>
                <w:szCs w:val="24"/>
              </w:rPr>
              <w:t>𝛼</w:t>
            </w:r>
            <w:r w:rsidRPr="00A87C3B">
              <w:rPr>
                <w:rFonts w:cs="Times New Roman"/>
                <w:b/>
                <w:bCs/>
                <w:sz w:val="24"/>
                <w:szCs w:val="24"/>
              </w:rPr>
              <w:t>)</w:t>
            </w:r>
          </w:p>
        </w:tc>
        <w:tc>
          <w:tcPr>
            <w:tcW w:w="4397" w:type="dxa"/>
          </w:tcPr>
          <w:p w14:paraId="68C60D3E" w14:textId="77777777" w:rsidR="00A87C3B" w:rsidRPr="00A87C3B" w:rsidRDefault="00A87C3B" w:rsidP="006A6C93">
            <w:pPr>
              <w:pStyle w:val="FootnoteText"/>
              <w:spacing w:line="276" w:lineRule="auto"/>
              <w:jc w:val="center"/>
              <w:rPr>
                <w:rFonts w:cs="Times New Roman"/>
                <w:b/>
                <w:bCs/>
                <w:sz w:val="24"/>
                <w:szCs w:val="24"/>
              </w:rPr>
            </w:pPr>
            <w:r w:rsidRPr="00A87C3B">
              <w:rPr>
                <w:rFonts w:cs="Times New Roman"/>
                <w:b/>
                <w:bCs/>
                <w:sz w:val="24"/>
                <w:szCs w:val="24"/>
              </w:rPr>
              <w:t>Interpretation</w:t>
            </w:r>
          </w:p>
        </w:tc>
      </w:tr>
      <w:tr w:rsidR="00A87C3B" w:rsidRPr="006429CA" w14:paraId="04CCF006" w14:textId="77777777" w:rsidTr="001C3D7D">
        <w:trPr>
          <w:trHeight w:val="293"/>
        </w:trPr>
        <w:tc>
          <w:tcPr>
            <w:tcW w:w="5131" w:type="dxa"/>
          </w:tcPr>
          <w:p w14:paraId="6DAA7B82" w14:textId="77777777" w:rsidR="00A87C3B" w:rsidRPr="006429CA" w:rsidRDefault="00A87C3B" w:rsidP="006A6C93">
            <w:pPr>
              <w:pStyle w:val="FootnoteText"/>
              <w:spacing w:line="276" w:lineRule="auto"/>
              <w:jc w:val="center"/>
              <w:rPr>
                <w:rFonts w:cs="Times New Roman"/>
                <w:sz w:val="24"/>
                <w:szCs w:val="24"/>
              </w:rPr>
            </w:pPr>
            <w:r w:rsidRPr="006429CA">
              <w:rPr>
                <w:rFonts w:cs="Times New Roman"/>
                <w:sz w:val="24"/>
                <w:szCs w:val="24"/>
              </w:rPr>
              <w:t>&gt; 0.90</w:t>
            </w:r>
          </w:p>
        </w:tc>
        <w:tc>
          <w:tcPr>
            <w:tcW w:w="4397" w:type="dxa"/>
          </w:tcPr>
          <w:p w14:paraId="40512A34" w14:textId="77777777" w:rsidR="00A87C3B" w:rsidRPr="006429CA" w:rsidRDefault="00A87C3B" w:rsidP="006A6C93">
            <w:pPr>
              <w:pStyle w:val="FootnoteText"/>
              <w:spacing w:line="276" w:lineRule="auto"/>
              <w:jc w:val="center"/>
              <w:rPr>
                <w:rFonts w:cs="Times New Roman"/>
                <w:sz w:val="24"/>
                <w:szCs w:val="24"/>
              </w:rPr>
            </w:pPr>
            <w:r w:rsidRPr="006429CA">
              <w:rPr>
                <w:rFonts w:cs="Times New Roman"/>
                <w:sz w:val="24"/>
                <w:szCs w:val="24"/>
              </w:rPr>
              <w:t>Excellent reliability</w:t>
            </w:r>
          </w:p>
        </w:tc>
      </w:tr>
      <w:tr w:rsidR="00A87C3B" w:rsidRPr="006429CA" w14:paraId="0B87AE66" w14:textId="77777777" w:rsidTr="001C3D7D">
        <w:trPr>
          <w:trHeight w:val="293"/>
        </w:trPr>
        <w:tc>
          <w:tcPr>
            <w:tcW w:w="5131" w:type="dxa"/>
          </w:tcPr>
          <w:p w14:paraId="4520D592" w14:textId="77777777" w:rsidR="00A87C3B" w:rsidRPr="006429CA" w:rsidRDefault="00A87C3B" w:rsidP="006A6C93">
            <w:pPr>
              <w:pStyle w:val="FootnoteText"/>
              <w:spacing w:line="276" w:lineRule="auto"/>
              <w:jc w:val="center"/>
              <w:rPr>
                <w:rFonts w:cs="Times New Roman"/>
                <w:sz w:val="24"/>
                <w:szCs w:val="24"/>
              </w:rPr>
            </w:pPr>
            <w:r w:rsidRPr="006429CA">
              <w:rPr>
                <w:rFonts w:cs="Times New Roman"/>
                <w:sz w:val="24"/>
                <w:szCs w:val="24"/>
              </w:rPr>
              <w:t>0.80 – 0.89</w:t>
            </w:r>
          </w:p>
        </w:tc>
        <w:tc>
          <w:tcPr>
            <w:tcW w:w="4397" w:type="dxa"/>
          </w:tcPr>
          <w:p w14:paraId="17AE0F25" w14:textId="77777777" w:rsidR="00A87C3B" w:rsidRPr="006429CA" w:rsidRDefault="00A87C3B" w:rsidP="006A6C93">
            <w:pPr>
              <w:pStyle w:val="FootnoteText"/>
              <w:spacing w:line="276" w:lineRule="auto"/>
              <w:jc w:val="center"/>
              <w:rPr>
                <w:rFonts w:cs="Times New Roman"/>
                <w:sz w:val="24"/>
                <w:szCs w:val="24"/>
              </w:rPr>
            </w:pPr>
            <w:r w:rsidRPr="006429CA">
              <w:rPr>
                <w:rFonts w:cs="Times New Roman"/>
                <w:sz w:val="24"/>
                <w:szCs w:val="24"/>
              </w:rPr>
              <w:t>Good reliability</w:t>
            </w:r>
          </w:p>
        </w:tc>
      </w:tr>
      <w:tr w:rsidR="00A87C3B" w:rsidRPr="006429CA" w14:paraId="208193D0" w14:textId="77777777" w:rsidTr="001C3D7D">
        <w:trPr>
          <w:trHeight w:val="293"/>
        </w:trPr>
        <w:tc>
          <w:tcPr>
            <w:tcW w:w="5131" w:type="dxa"/>
          </w:tcPr>
          <w:p w14:paraId="6F3A3C1E" w14:textId="77777777" w:rsidR="00A87C3B" w:rsidRPr="006429CA" w:rsidRDefault="00A87C3B" w:rsidP="006A6C93">
            <w:pPr>
              <w:pStyle w:val="FootnoteText"/>
              <w:spacing w:line="276" w:lineRule="auto"/>
              <w:jc w:val="center"/>
              <w:rPr>
                <w:rFonts w:cs="Times New Roman"/>
                <w:sz w:val="24"/>
                <w:szCs w:val="24"/>
              </w:rPr>
            </w:pPr>
            <w:r w:rsidRPr="006429CA">
              <w:rPr>
                <w:rFonts w:cs="Times New Roman"/>
                <w:sz w:val="24"/>
                <w:szCs w:val="24"/>
              </w:rPr>
              <w:t>0.70 – 0.79</w:t>
            </w:r>
          </w:p>
        </w:tc>
        <w:tc>
          <w:tcPr>
            <w:tcW w:w="4397" w:type="dxa"/>
          </w:tcPr>
          <w:p w14:paraId="28214C87" w14:textId="77777777" w:rsidR="00A87C3B" w:rsidRPr="006429CA" w:rsidRDefault="00A87C3B" w:rsidP="006A6C93">
            <w:pPr>
              <w:pStyle w:val="FootnoteText"/>
              <w:spacing w:line="276" w:lineRule="auto"/>
              <w:jc w:val="center"/>
              <w:rPr>
                <w:rFonts w:cs="Times New Roman"/>
                <w:sz w:val="24"/>
                <w:szCs w:val="24"/>
              </w:rPr>
            </w:pPr>
            <w:r w:rsidRPr="006429CA">
              <w:rPr>
                <w:rFonts w:cs="Times New Roman"/>
                <w:sz w:val="24"/>
                <w:szCs w:val="24"/>
              </w:rPr>
              <w:t>Acceptable reliability</w:t>
            </w:r>
          </w:p>
        </w:tc>
      </w:tr>
      <w:tr w:rsidR="00A87C3B" w:rsidRPr="006429CA" w14:paraId="2D82B158" w14:textId="77777777" w:rsidTr="001C3D7D">
        <w:trPr>
          <w:trHeight w:val="293"/>
        </w:trPr>
        <w:tc>
          <w:tcPr>
            <w:tcW w:w="5131" w:type="dxa"/>
          </w:tcPr>
          <w:p w14:paraId="261051F4" w14:textId="77777777" w:rsidR="00A87C3B" w:rsidRPr="006429CA" w:rsidRDefault="00A87C3B" w:rsidP="006A6C93">
            <w:pPr>
              <w:pStyle w:val="FootnoteText"/>
              <w:spacing w:line="276" w:lineRule="auto"/>
              <w:jc w:val="center"/>
              <w:rPr>
                <w:rFonts w:cs="Times New Roman"/>
                <w:sz w:val="24"/>
                <w:szCs w:val="24"/>
              </w:rPr>
            </w:pPr>
            <w:r w:rsidRPr="006429CA">
              <w:rPr>
                <w:rFonts w:cs="Times New Roman"/>
                <w:sz w:val="24"/>
                <w:szCs w:val="24"/>
              </w:rPr>
              <w:t>0.60 – 0.69</w:t>
            </w:r>
          </w:p>
        </w:tc>
        <w:tc>
          <w:tcPr>
            <w:tcW w:w="4397" w:type="dxa"/>
          </w:tcPr>
          <w:p w14:paraId="5B24CABE" w14:textId="77777777" w:rsidR="00A87C3B" w:rsidRPr="006429CA" w:rsidRDefault="00A87C3B" w:rsidP="006A6C93">
            <w:pPr>
              <w:pStyle w:val="FootnoteText"/>
              <w:spacing w:line="276" w:lineRule="auto"/>
              <w:jc w:val="center"/>
              <w:rPr>
                <w:rFonts w:cs="Times New Roman"/>
                <w:sz w:val="24"/>
                <w:szCs w:val="24"/>
              </w:rPr>
            </w:pPr>
            <w:r w:rsidRPr="006429CA">
              <w:rPr>
                <w:rFonts w:cs="Times New Roman"/>
                <w:sz w:val="24"/>
                <w:szCs w:val="24"/>
              </w:rPr>
              <w:t>Questionable reliability</w:t>
            </w:r>
          </w:p>
        </w:tc>
      </w:tr>
      <w:tr w:rsidR="00A87C3B" w:rsidRPr="006429CA" w14:paraId="2A2BB263" w14:textId="77777777" w:rsidTr="001C3D7D">
        <w:trPr>
          <w:trHeight w:val="279"/>
        </w:trPr>
        <w:tc>
          <w:tcPr>
            <w:tcW w:w="5131" w:type="dxa"/>
          </w:tcPr>
          <w:p w14:paraId="09DA3A0A" w14:textId="77777777" w:rsidR="00A87C3B" w:rsidRPr="006429CA" w:rsidRDefault="00A87C3B" w:rsidP="006A6C93">
            <w:pPr>
              <w:pStyle w:val="FootnoteText"/>
              <w:spacing w:line="276" w:lineRule="auto"/>
              <w:jc w:val="center"/>
              <w:rPr>
                <w:rFonts w:cs="Times New Roman"/>
                <w:sz w:val="24"/>
                <w:szCs w:val="24"/>
              </w:rPr>
            </w:pPr>
            <w:r w:rsidRPr="006429CA">
              <w:rPr>
                <w:rFonts w:cs="Times New Roman"/>
                <w:sz w:val="24"/>
                <w:szCs w:val="24"/>
              </w:rPr>
              <w:t>0.50 – 0.59</w:t>
            </w:r>
          </w:p>
        </w:tc>
        <w:tc>
          <w:tcPr>
            <w:tcW w:w="4397" w:type="dxa"/>
          </w:tcPr>
          <w:p w14:paraId="13F14689" w14:textId="77777777" w:rsidR="00A87C3B" w:rsidRPr="006429CA" w:rsidRDefault="00A87C3B" w:rsidP="006A6C93">
            <w:pPr>
              <w:pStyle w:val="FootnoteText"/>
              <w:spacing w:line="276" w:lineRule="auto"/>
              <w:jc w:val="center"/>
              <w:rPr>
                <w:rFonts w:cs="Times New Roman"/>
                <w:sz w:val="24"/>
                <w:szCs w:val="24"/>
              </w:rPr>
            </w:pPr>
            <w:r w:rsidRPr="006429CA">
              <w:rPr>
                <w:rFonts w:cs="Times New Roman"/>
                <w:sz w:val="24"/>
                <w:szCs w:val="24"/>
              </w:rPr>
              <w:t>Poor reliability</w:t>
            </w:r>
          </w:p>
        </w:tc>
      </w:tr>
      <w:tr w:rsidR="00A87C3B" w:rsidRPr="006429CA" w14:paraId="4A8BFA91" w14:textId="77777777" w:rsidTr="001C3D7D">
        <w:trPr>
          <w:trHeight w:val="293"/>
        </w:trPr>
        <w:tc>
          <w:tcPr>
            <w:tcW w:w="5131" w:type="dxa"/>
          </w:tcPr>
          <w:p w14:paraId="696757C7" w14:textId="77777777" w:rsidR="00A87C3B" w:rsidRPr="006429CA" w:rsidRDefault="00A87C3B" w:rsidP="006A6C93">
            <w:pPr>
              <w:pStyle w:val="FootnoteText"/>
              <w:spacing w:line="276" w:lineRule="auto"/>
              <w:jc w:val="center"/>
              <w:rPr>
                <w:rFonts w:cs="Times New Roman"/>
                <w:sz w:val="24"/>
                <w:szCs w:val="24"/>
              </w:rPr>
            </w:pPr>
            <w:r w:rsidRPr="006429CA">
              <w:rPr>
                <w:rFonts w:cs="Times New Roman"/>
                <w:sz w:val="24"/>
                <w:szCs w:val="24"/>
              </w:rPr>
              <w:t>&lt; 0.50</w:t>
            </w:r>
          </w:p>
        </w:tc>
        <w:tc>
          <w:tcPr>
            <w:tcW w:w="4397" w:type="dxa"/>
          </w:tcPr>
          <w:p w14:paraId="3C9F6900" w14:textId="77777777" w:rsidR="00A87C3B" w:rsidRPr="006429CA" w:rsidRDefault="00A87C3B" w:rsidP="006A6C93">
            <w:pPr>
              <w:pStyle w:val="FootnoteText"/>
              <w:spacing w:line="276" w:lineRule="auto"/>
              <w:jc w:val="center"/>
              <w:rPr>
                <w:rFonts w:cs="Times New Roman"/>
                <w:sz w:val="24"/>
                <w:szCs w:val="24"/>
              </w:rPr>
            </w:pPr>
            <w:r w:rsidRPr="006429CA">
              <w:rPr>
                <w:rFonts w:cs="Times New Roman"/>
                <w:sz w:val="24"/>
                <w:szCs w:val="24"/>
              </w:rPr>
              <w:t>Unacceptable reliability</w:t>
            </w:r>
          </w:p>
        </w:tc>
      </w:tr>
    </w:tbl>
    <w:p w14:paraId="1B0E379F" w14:textId="60C2D306" w:rsidR="00A87C3B" w:rsidRPr="004D312C" w:rsidRDefault="004D312C" w:rsidP="004D312C">
      <w:pPr>
        <w:pStyle w:val="Caption"/>
        <w:jc w:val="center"/>
        <w:rPr>
          <w:rFonts w:cs="Times New Roman"/>
        </w:rPr>
      </w:pPr>
      <w:r w:rsidRPr="004D312C">
        <w:rPr>
          <w:rFonts w:cs="Times New Roman"/>
        </w:rPr>
        <w:t xml:space="preserve">Table </w:t>
      </w:r>
      <w:r w:rsidRPr="004D312C">
        <w:rPr>
          <w:rFonts w:cs="Times New Roman"/>
        </w:rPr>
        <w:fldChar w:fldCharType="begin"/>
      </w:r>
      <w:r w:rsidRPr="004D312C">
        <w:rPr>
          <w:rFonts w:cs="Times New Roman"/>
        </w:rPr>
        <w:instrText xml:space="preserve"> SEQ Table \* ARABIC </w:instrText>
      </w:r>
      <w:r w:rsidRPr="004D312C">
        <w:rPr>
          <w:rFonts w:cs="Times New Roman"/>
        </w:rPr>
        <w:fldChar w:fldCharType="separate"/>
      </w:r>
      <w:r w:rsidR="00595055">
        <w:rPr>
          <w:rFonts w:cs="Times New Roman"/>
          <w:noProof/>
        </w:rPr>
        <w:t>2</w:t>
      </w:r>
      <w:r w:rsidRPr="004D312C">
        <w:rPr>
          <w:rFonts w:cs="Times New Roman"/>
        </w:rPr>
        <w:fldChar w:fldCharType="end"/>
      </w:r>
      <w:r w:rsidRPr="004D312C">
        <w:rPr>
          <w:rFonts w:cs="Times New Roman"/>
        </w:rPr>
        <w:t>: Standard of Corbach Alpha Value</w:t>
      </w:r>
    </w:p>
    <w:p w14:paraId="464E601E" w14:textId="5D562B2A" w:rsidR="004D312C" w:rsidRPr="004D312C" w:rsidRDefault="004D312C" w:rsidP="004D312C">
      <w:pPr>
        <w:spacing w:line="360" w:lineRule="auto"/>
        <w:rPr>
          <w:rFonts w:cs="Times New Roman"/>
          <w:b/>
          <w:bCs/>
        </w:rPr>
      </w:pPr>
      <w:r w:rsidRPr="004D312C">
        <w:rPr>
          <w:rFonts w:cs="Times New Roman"/>
          <w:b/>
          <w:bCs/>
        </w:rPr>
        <w:t xml:space="preserve">Interpretation </w:t>
      </w:r>
    </w:p>
    <w:p w14:paraId="6B964031" w14:textId="77777777" w:rsidR="004D312C" w:rsidRDefault="004D312C" w:rsidP="004D312C">
      <w:pPr>
        <w:spacing w:line="360" w:lineRule="auto"/>
        <w:rPr>
          <w:rFonts w:cs="Times New Roman"/>
        </w:rPr>
      </w:pPr>
      <w:r>
        <w:rPr>
          <w:rFonts w:cs="Times New Roman"/>
        </w:rPr>
        <w:t>The Alpha Score reveals that the framed questionnaire falls under the criteria of good reliability and internal consistency.</w:t>
      </w:r>
    </w:p>
    <w:p w14:paraId="465988B1" w14:textId="3568952E" w:rsidR="004D312C" w:rsidRDefault="003F67DE" w:rsidP="004D312C">
      <w:pPr>
        <w:spacing w:line="360" w:lineRule="auto"/>
        <w:rPr>
          <w:rFonts w:cs="Times New Roman"/>
          <w:b/>
          <w:bCs/>
        </w:rPr>
      </w:pPr>
      <w:r w:rsidRPr="003F67DE">
        <w:rPr>
          <w:rFonts w:cs="Times New Roman"/>
          <w:b/>
          <w:bCs/>
        </w:rPr>
        <w:t>Descriptive Analysis Stage</w:t>
      </w:r>
      <w:r w:rsidR="004D312C" w:rsidRPr="003F67DE">
        <w:rPr>
          <w:rFonts w:cs="Times New Roman"/>
          <w:b/>
          <w:bCs/>
        </w:rPr>
        <w:t xml:space="preserve"> </w:t>
      </w:r>
    </w:p>
    <w:p w14:paraId="38A3EE03" w14:textId="1589B433" w:rsidR="00EA5F52" w:rsidRDefault="00EA5F52" w:rsidP="00EA5F52">
      <w:pPr>
        <w:spacing w:line="360" w:lineRule="auto"/>
        <w:jc w:val="center"/>
        <w:rPr>
          <w:rFonts w:cs="Times New Roman"/>
          <w:b/>
          <w:bCs/>
        </w:rPr>
      </w:pPr>
      <w:r>
        <w:rPr>
          <w:rFonts w:cs="Times New Roman"/>
          <w:b/>
          <w:bCs/>
        </w:rPr>
        <w:t>Table 4.3 Descriptive Analysis Table</w:t>
      </w:r>
    </w:p>
    <w:tbl>
      <w:tblPr>
        <w:tblW w:w="11664" w:type="dxa"/>
        <w:jc w:val="center"/>
        <w:tblLook w:val="04A0" w:firstRow="1" w:lastRow="0" w:firstColumn="1" w:lastColumn="0" w:noHBand="0" w:noVBand="1"/>
      </w:tblPr>
      <w:tblGrid>
        <w:gridCol w:w="985"/>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761"/>
      </w:tblGrid>
      <w:tr w:rsidR="001C3D7D" w:rsidRPr="003F67DE" w14:paraId="225F6515" w14:textId="77777777" w:rsidTr="001C3D7D">
        <w:trPr>
          <w:trHeight w:val="888"/>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51F96063" w14:textId="38D5311E" w:rsidR="003F67DE" w:rsidRPr="003F67DE" w:rsidRDefault="003F67DE" w:rsidP="003F67DE">
            <w:pPr>
              <w:spacing w:after="0" w:line="240" w:lineRule="auto"/>
              <w:jc w:val="center"/>
              <w:rPr>
                <w:rFonts w:eastAsia="Times New Roman" w:cs="Times New Roman"/>
                <w:b/>
                <w:bCs/>
                <w:color w:val="000000"/>
                <w:kern w:val="0"/>
                <w:sz w:val="17"/>
                <w:szCs w:val="17"/>
                <w:lang w:bidi="ar-SA"/>
                <w14:ligatures w14:val="none"/>
              </w:rPr>
            </w:pPr>
            <w:r w:rsidRPr="003F67DE">
              <w:rPr>
                <w:rFonts w:eastAsia="Times New Roman" w:cs="Times New Roman"/>
                <w:b/>
                <w:bCs/>
                <w:color w:val="000000"/>
                <w:kern w:val="0"/>
                <w:sz w:val="17"/>
                <w:szCs w:val="17"/>
                <w:lang w:bidi="ar-SA"/>
                <w14:ligatures w14:val="none"/>
              </w:rPr>
              <w:t>Statistical Measures</w:t>
            </w:r>
          </w:p>
        </w:tc>
        <w:tc>
          <w:tcPr>
            <w:tcW w:w="522" w:type="dxa"/>
            <w:tcBorders>
              <w:top w:val="single" w:sz="4" w:space="0" w:color="auto"/>
              <w:left w:val="nil"/>
              <w:bottom w:val="single" w:sz="4" w:space="0" w:color="auto"/>
              <w:right w:val="single" w:sz="4" w:space="0" w:color="auto"/>
            </w:tcBorders>
            <w:vAlign w:val="center"/>
            <w:hideMark/>
          </w:tcPr>
          <w:p w14:paraId="66F38550"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A</w:t>
            </w:r>
          </w:p>
        </w:tc>
        <w:tc>
          <w:tcPr>
            <w:tcW w:w="522" w:type="dxa"/>
            <w:tcBorders>
              <w:top w:val="single" w:sz="4" w:space="0" w:color="auto"/>
              <w:left w:val="nil"/>
              <w:bottom w:val="single" w:sz="4" w:space="0" w:color="auto"/>
              <w:right w:val="single" w:sz="4" w:space="0" w:color="auto"/>
            </w:tcBorders>
            <w:vAlign w:val="center"/>
            <w:hideMark/>
          </w:tcPr>
          <w:p w14:paraId="274E359D"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B</w:t>
            </w:r>
          </w:p>
        </w:tc>
        <w:tc>
          <w:tcPr>
            <w:tcW w:w="522" w:type="dxa"/>
            <w:tcBorders>
              <w:top w:val="single" w:sz="4" w:space="0" w:color="auto"/>
              <w:left w:val="nil"/>
              <w:bottom w:val="single" w:sz="4" w:space="0" w:color="auto"/>
              <w:right w:val="single" w:sz="4" w:space="0" w:color="auto"/>
            </w:tcBorders>
            <w:vAlign w:val="center"/>
            <w:hideMark/>
          </w:tcPr>
          <w:p w14:paraId="7E6BA2EB"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C</w:t>
            </w:r>
          </w:p>
        </w:tc>
        <w:tc>
          <w:tcPr>
            <w:tcW w:w="522" w:type="dxa"/>
            <w:tcBorders>
              <w:top w:val="single" w:sz="4" w:space="0" w:color="auto"/>
              <w:left w:val="nil"/>
              <w:bottom w:val="single" w:sz="4" w:space="0" w:color="auto"/>
              <w:right w:val="single" w:sz="4" w:space="0" w:color="auto"/>
            </w:tcBorders>
            <w:vAlign w:val="center"/>
            <w:hideMark/>
          </w:tcPr>
          <w:p w14:paraId="02561E3E"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D</w:t>
            </w:r>
          </w:p>
        </w:tc>
        <w:tc>
          <w:tcPr>
            <w:tcW w:w="522" w:type="dxa"/>
            <w:tcBorders>
              <w:top w:val="single" w:sz="4" w:space="0" w:color="auto"/>
              <w:left w:val="nil"/>
              <w:bottom w:val="single" w:sz="4" w:space="0" w:color="auto"/>
              <w:right w:val="single" w:sz="4" w:space="0" w:color="auto"/>
            </w:tcBorders>
            <w:vAlign w:val="center"/>
            <w:hideMark/>
          </w:tcPr>
          <w:p w14:paraId="3CD2D038"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E</w:t>
            </w:r>
          </w:p>
        </w:tc>
        <w:tc>
          <w:tcPr>
            <w:tcW w:w="522" w:type="dxa"/>
            <w:tcBorders>
              <w:top w:val="single" w:sz="4" w:space="0" w:color="auto"/>
              <w:left w:val="nil"/>
              <w:bottom w:val="single" w:sz="4" w:space="0" w:color="auto"/>
              <w:right w:val="single" w:sz="4" w:space="0" w:color="auto"/>
            </w:tcBorders>
            <w:vAlign w:val="center"/>
            <w:hideMark/>
          </w:tcPr>
          <w:p w14:paraId="7E8AC7D0"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F</w:t>
            </w:r>
          </w:p>
        </w:tc>
        <w:tc>
          <w:tcPr>
            <w:tcW w:w="522" w:type="dxa"/>
            <w:tcBorders>
              <w:top w:val="single" w:sz="4" w:space="0" w:color="auto"/>
              <w:left w:val="nil"/>
              <w:bottom w:val="single" w:sz="4" w:space="0" w:color="auto"/>
              <w:right w:val="single" w:sz="4" w:space="0" w:color="auto"/>
            </w:tcBorders>
            <w:vAlign w:val="center"/>
            <w:hideMark/>
          </w:tcPr>
          <w:p w14:paraId="2D2074BE"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G</w:t>
            </w:r>
          </w:p>
        </w:tc>
        <w:tc>
          <w:tcPr>
            <w:tcW w:w="522" w:type="dxa"/>
            <w:tcBorders>
              <w:top w:val="single" w:sz="4" w:space="0" w:color="auto"/>
              <w:left w:val="nil"/>
              <w:bottom w:val="single" w:sz="4" w:space="0" w:color="auto"/>
              <w:right w:val="single" w:sz="4" w:space="0" w:color="auto"/>
            </w:tcBorders>
            <w:vAlign w:val="center"/>
            <w:hideMark/>
          </w:tcPr>
          <w:p w14:paraId="512B725E"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H</w:t>
            </w:r>
          </w:p>
        </w:tc>
        <w:tc>
          <w:tcPr>
            <w:tcW w:w="522" w:type="dxa"/>
            <w:tcBorders>
              <w:top w:val="single" w:sz="4" w:space="0" w:color="auto"/>
              <w:left w:val="nil"/>
              <w:bottom w:val="single" w:sz="4" w:space="0" w:color="auto"/>
              <w:right w:val="single" w:sz="4" w:space="0" w:color="auto"/>
            </w:tcBorders>
            <w:vAlign w:val="center"/>
            <w:hideMark/>
          </w:tcPr>
          <w:p w14:paraId="0ACF55B8"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I</w:t>
            </w:r>
          </w:p>
        </w:tc>
        <w:tc>
          <w:tcPr>
            <w:tcW w:w="522" w:type="dxa"/>
            <w:tcBorders>
              <w:top w:val="single" w:sz="4" w:space="0" w:color="auto"/>
              <w:left w:val="nil"/>
              <w:bottom w:val="single" w:sz="4" w:space="0" w:color="auto"/>
              <w:right w:val="single" w:sz="4" w:space="0" w:color="auto"/>
            </w:tcBorders>
            <w:vAlign w:val="center"/>
            <w:hideMark/>
          </w:tcPr>
          <w:p w14:paraId="4F1837F4"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J</w:t>
            </w:r>
          </w:p>
        </w:tc>
        <w:tc>
          <w:tcPr>
            <w:tcW w:w="522" w:type="dxa"/>
            <w:tcBorders>
              <w:top w:val="single" w:sz="4" w:space="0" w:color="auto"/>
              <w:left w:val="nil"/>
              <w:bottom w:val="single" w:sz="4" w:space="0" w:color="auto"/>
              <w:right w:val="single" w:sz="4" w:space="0" w:color="auto"/>
            </w:tcBorders>
            <w:vAlign w:val="center"/>
            <w:hideMark/>
          </w:tcPr>
          <w:p w14:paraId="6F2769BF"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K</w:t>
            </w:r>
          </w:p>
        </w:tc>
        <w:tc>
          <w:tcPr>
            <w:tcW w:w="522" w:type="dxa"/>
            <w:tcBorders>
              <w:top w:val="single" w:sz="4" w:space="0" w:color="auto"/>
              <w:left w:val="nil"/>
              <w:bottom w:val="single" w:sz="4" w:space="0" w:color="auto"/>
              <w:right w:val="single" w:sz="4" w:space="0" w:color="auto"/>
            </w:tcBorders>
            <w:vAlign w:val="center"/>
            <w:hideMark/>
          </w:tcPr>
          <w:p w14:paraId="5610C9FC"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L</w:t>
            </w:r>
          </w:p>
        </w:tc>
        <w:tc>
          <w:tcPr>
            <w:tcW w:w="522" w:type="dxa"/>
            <w:tcBorders>
              <w:top w:val="single" w:sz="4" w:space="0" w:color="auto"/>
              <w:left w:val="nil"/>
              <w:bottom w:val="single" w:sz="4" w:space="0" w:color="auto"/>
              <w:right w:val="single" w:sz="4" w:space="0" w:color="auto"/>
            </w:tcBorders>
            <w:vAlign w:val="center"/>
            <w:hideMark/>
          </w:tcPr>
          <w:p w14:paraId="5D219D4A"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M</w:t>
            </w:r>
          </w:p>
        </w:tc>
        <w:tc>
          <w:tcPr>
            <w:tcW w:w="522" w:type="dxa"/>
            <w:tcBorders>
              <w:top w:val="single" w:sz="4" w:space="0" w:color="auto"/>
              <w:left w:val="nil"/>
              <w:bottom w:val="single" w:sz="4" w:space="0" w:color="auto"/>
              <w:right w:val="single" w:sz="4" w:space="0" w:color="auto"/>
            </w:tcBorders>
            <w:vAlign w:val="center"/>
            <w:hideMark/>
          </w:tcPr>
          <w:p w14:paraId="6D9C0A6E"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N</w:t>
            </w:r>
          </w:p>
        </w:tc>
        <w:tc>
          <w:tcPr>
            <w:tcW w:w="522" w:type="dxa"/>
            <w:tcBorders>
              <w:top w:val="single" w:sz="4" w:space="0" w:color="auto"/>
              <w:left w:val="nil"/>
              <w:bottom w:val="single" w:sz="4" w:space="0" w:color="auto"/>
              <w:right w:val="single" w:sz="4" w:space="0" w:color="auto"/>
            </w:tcBorders>
            <w:vAlign w:val="center"/>
            <w:hideMark/>
          </w:tcPr>
          <w:p w14:paraId="1649030B"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O</w:t>
            </w:r>
          </w:p>
        </w:tc>
        <w:tc>
          <w:tcPr>
            <w:tcW w:w="522" w:type="dxa"/>
            <w:tcBorders>
              <w:top w:val="single" w:sz="4" w:space="0" w:color="auto"/>
              <w:left w:val="nil"/>
              <w:bottom w:val="single" w:sz="4" w:space="0" w:color="auto"/>
              <w:right w:val="single" w:sz="4" w:space="0" w:color="auto"/>
            </w:tcBorders>
            <w:vAlign w:val="center"/>
            <w:hideMark/>
          </w:tcPr>
          <w:p w14:paraId="0A0671D3"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P</w:t>
            </w:r>
          </w:p>
        </w:tc>
        <w:tc>
          <w:tcPr>
            <w:tcW w:w="522" w:type="dxa"/>
            <w:tcBorders>
              <w:top w:val="single" w:sz="4" w:space="0" w:color="auto"/>
              <w:left w:val="nil"/>
              <w:bottom w:val="single" w:sz="4" w:space="0" w:color="auto"/>
              <w:right w:val="single" w:sz="4" w:space="0" w:color="auto"/>
            </w:tcBorders>
            <w:vAlign w:val="center"/>
            <w:hideMark/>
          </w:tcPr>
          <w:p w14:paraId="3449614D"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Q</w:t>
            </w:r>
          </w:p>
        </w:tc>
        <w:tc>
          <w:tcPr>
            <w:tcW w:w="522" w:type="dxa"/>
            <w:tcBorders>
              <w:top w:val="single" w:sz="4" w:space="0" w:color="auto"/>
              <w:left w:val="nil"/>
              <w:bottom w:val="single" w:sz="4" w:space="0" w:color="auto"/>
              <w:right w:val="single" w:sz="4" w:space="0" w:color="auto"/>
            </w:tcBorders>
            <w:vAlign w:val="center"/>
            <w:hideMark/>
          </w:tcPr>
          <w:p w14:paraId="7E26A2E8"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R</w:t>
            </w:r>
          </w:p>
        </w:tc>
        <w:tc>
          <w:tcPr>
            <w:tcW w:w="522" w:type="dxa"/>
            <w:tcBorders>
              <w:top w:val="single" w:sz="4" w:space="0" w:color="auto"/>
              <w:left w:val="nil"/>
              <w:bottom w:val="single" w:sz="4" w:space="0" w:color="auto"/>
              <w:right w:val="single" w:sz="4" w:space="0" w:color="auto"/>
            </w:tcBorders>
            <w:vAlign w:val="center"/>
            <w:hideMark/>
          </w:tcPr>
          <w:p w14:paraId="2B44999D"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S</w:t>
            </w:r>
          </w:p>
        </w:tc>
        <w:tc>
          <w:tcPr>
            <w:tcW w:w="761" w:type="dxa"/>
            <w:tcBorders>
              <w:top w:val="single" w:sz="4" w:space="0" w:color="auto"/>
              <w:left w:val="nil"/>
              <w:bottom w:val="single" w:sz="4" w:space="0" w:color="auto"/>
              <w:right w:val="single" w:sz="4" w:space="0" w:color="auto"/>
            </w:tcBorders>
            <w:vAlign w:val="center"/>
            <w:hideMark/>
          </w:tcPr>
          <w:p w14:paraId="01C5F547" w14:textId="77777777" w:rsidR="003F67DE" w:rsidRPr="003F67DE" w:rsidRDefault="003F67DE" w:rsidP="003F67DE">
            <w:pPr>
              <w:spacing w:after="0" w:line="240" w:lineRule="auto"/>
              <w:jc w:val="center"/>
              <w:rPr>
                <w:rFonts w:eastAsia="Times New Roman" w:cs="Times New Roman"/>
                <w:b/>
                <w:bCs/>
                <w:i/>
                <w:iCs/>
                <w:color w:val="000000"/>
                <w:kern w:val="0"/>
                <w:sz w:val="17"/>
                <w:szCs w:val="17"/>
                <w:lang w:bidi="ar-SA"/>
                <w14:ligatures w14:val="none"/>
              </w:rPr>
            </w:pPr>
            <w:r w:rsidRPr="003F67DE">
              <w:rPr>
                <w:rFonts w:eastAsia="Times New Roman" w:cs="Times New Roman"/>
                <w:b/>
                <w:bCs/>
                <w:i/>
                <w:iCs/>
                <w:color w:val="000000"/>
                <w:kern w:val="0"/>
                <w:sz w:val="17"/>
                <w:szCs w:val="17"/>
                <w:lang w:bidi="ar-SA"/>
                <w14:ligatures w14:val="none"/>
              </w:rPr>
              <w:t>T</w:t>
            </w:r>
          </w:p>
        </w:tc>
      </w:tr>
      <w:tr w:rsidR="001C3D7D" w:rsidRPr="003F67DE" w14:paraId="0BD756B8" w14:textId="77777777" w:rsidTr="001C3D7D">
        <w:trPr>
          <w:trHeight w:val="346"/>
          <w:jc w:val="center"/>
        </w:trPr>
        <w:tc>
          <w:tcPr>
            <w:tcW w:w="985" w:type="dxa"/>
            <w:tcBorders>
              <w:top w:val="nil"/>
              <w:left w:val="single" w:sz="4" w:space="0" w:color="auto"/>
              <w:bottom w:val="single" w:sz="4" w:space="0" w:color="auto"/>
              <w:right w:val="single" w:sz="4" w:space="0" w:color="auto"/>
            </w:tcBorders>
            <w:vAlign w:val="center"/>
            <w:hideMark/>
          </w:tcPr>
          <w:p w14:paraId="40B5AAA0" w14:textId="77777777" w:rsidR="003F67DE" w:rsidRPr="003F67DE" w:rsidRDefault="003F67DE" w:rsidP="003F67DE">
            <w:pPr>
              <w:spacing w:after="0" w:line="240" w:lineRule="auto"/>
              <w:jc w:val="center"/>
              <w:rPr>
                <w:rFonts w:eastAsia="Times New Roman" w:cs="Times New Roman"/>
                <w:b/>
                <w:bCs/>
                <w:color w:val="000000"/>
                <w:kern w:val="0"/>
                <w:sz w:val="17"/>
                <w:szCs w:val="17"/>
                <w:lang w:bidi="ar-SA"/>
                <w14:ligatures w14:val="none"/>
              </w:rPr>
            </w:pPr>
            <w:r w:rsidRPr="003F67DE">
              <w:rPr>
                <w:rFonts w:eastAsia="Times New Roman" w:cs="Times New Roman"/>
                <w:b/>
                <w:bCs/>
                <w:color w:val="000000"/>
                <w:kern w:val="0"/>
                <w:sz w:val="17"/>
                <w:szCs w:val="17"/>
                <w:lang w:bidi="ar-SA"/>
                <w14:ligatures w14:val="none"/>
              </w:rPr>
              <w:t>Mean</w:t>
            </w:r>
          </w:p>
        </w:tc>
        <w:tc>
          <w:tcPr>
            <w:tcW w:w="522" w:type="dxa"/>
            <w:tcBorders>
              <w:top w:val="nil"/>
              <w:left w:val="nil"/>
              <w:bottom w:val="single" w:sz="4" w:space="0" w:color="auto"/>
              <w:right w:val="single" w:sz="4" w:space="0" w:color="auto"/>
            </w:tcBorders>
            <w:noWrap/>
            <w:vAlign w:val="center"/>
            <w:hideMark/>
          </w:tcPr>
          <w:p w14:paraId="145F9E5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3.42</w:t>
            </w:r>
          </w:p>
        </w:tc>
        <w:tc>
          <w:tcPr>
            <w:tcW w:w="522" w:type="dxa"/>
            <w:tcBorders>
              <w:top w:val="nil"/>
              <w:left w:val="nil"/>
              <w:bottom w:val="single" w:sz="4" w:space="0" w:color="auto"/>
              <w:right w:val="single" w:sz="4" w:space="0" w:color="auto"/>
            </w:tcBorders>
            <w:noWrap/>
            <w:vAlign w:val="center"/>
            <w:hideMark/>
          </w:tcPr>
          <w:p w14:paraId="334AE7EB"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3.55</w:t>
            </w:r>
          </w:p>
        </w:tc>
        <w:tc>
          <w:tcPr>
            <w:tcW w:w="522" w:type="dxa"/>
            <w:tcBorders>
              <w:top w:val="nil"/>
              <w:left w:val="nil"/>
              <w:bottom w:val="single" w:sz="4" w:space="0" w:color="auto"/>
              <w:right w:val="single" w:sz="4" w:space="0" w:color="auto"/>
            </w:tcBorders>
            <w:noWrap/>
            <w:vAlign w:val="center"/>
            <w:hideMark/>
          </w:tcPr>
          <w:p w14:paraId="5BAFFA8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3.69</w:t>
            </w:r>
          </w:p>
        </w:tc>
        <w:tc>
          <w:tcPr>
            <w:tcW w:w="522" w:type="dxa"/>
            <w:tcBorders>
              <w:top w:val="nil"/>
              <w:left w:val="nil"/>
              <w:bottom w:val="single" w:sz="4" w:space="0" w:color="auto"/>
              <w:right w:val="single" w:sz="4" w:space="0" w:color="auto"/>
            </w:tcBorders>
            <w:noWrap/>
            <w:vAlign w:val="center"/>
            <w:hideMark/>
          </w:tcPr>
          <w:p w14:paraId="092C3823"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0.60</w:t>
            </w:r>
          </w:p>
        </w:tc>
        <w:tc>
          <w:tcPr>
            <w:tcW w:w="522" w:type="dxa"/>
            <w:tcBorders>
              <w:top w:val="nil"/>
              <w:left w:val="nil"/>
              <w:bottom w:val="single" w:sz="4" w:space="0" w:color="auto"/>
              <w:right w:val="single" w:sz="4" w:space="0" w:color="auto"/>
            </w:tcBorders>
            <w:noWrap/>
            <w:vAlign w:val="center"/>
            <w:hideMark/>
          </w:tcPr>
          <w:p w14:paraId="007257A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522" w:type="dxa"/>
            <w:tcBorders>
              <w:top w:val="nil"/>
              <w:left w:val="nil"/>
              <w:bottom w:val="single" w:sz="4" w:space="0" w:color="auto"/>
              <w:right w:val="single" w:sz="4" w:space="0" w:color="auto"/>
            </w:tcBorders>
            <w:noWrap/>
            <w:vAlign w:val="center"/>
            <w:hideMark/>
          </w:tcPr>
          <w:p w14:paraId="3D9A7432"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3.83</w:t>
            </w:r>
          </w:p>
        </w:tc>
        <w:tc>
          <w:tcPr>
            <w:tcW w:w="522" w:type="dxa"/>
            <w:tcBorders>
              <w:top w:val="nil"/>
              <w:left w:val="nil"/>
              <w:bottom w:val="single" w:sz="4" w:space="0" w:color="auto"/>
              <w:right w:val="single" w:sz="4" w:space="0" w:color="auto"/>
            </w:tcBorders>
            <w:noWrap/>
            <w:vAlign w:val="center"/>
            <w:hideMark/>
          </w:tcPr>
          <w:p w14:paraId="69686EA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3.32</w:t>
            </w:r>
          </w:p>
        </w:tc>
        <w:tc>
          <w:tcPr>
            <w:tcW w:w="522" w:type="dxa"/>
            <w:tcBorders>
              <w:top w:val="nil"/>
              <w:left w:val="nil"/>
              <w:bottom w:val="single" w:sz="4" w:space="0" w:color="auto"/>
              <w:right w:val="single" w:sz="4" w:space="0" w:color="auto"/>
            </w:tcBorders>
            <w:noWrap/>
            <w:vAlign w:val="center"/>
            <w:hideMark/>
          </w:tcPr>
          <w:p w14:paraId="666A668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0.59</w:t>
            </w:r>
          </w:p>
        </w:tc>
        <w:tc>
          <w:tcPr>
            <w:tcW w:w="522" w:type="dxa"/>
            <w:tcBorders>
              <w:top w:val="nil"/>
              <w:left w:val="nil"/>
              <w:bottom w:val="single" w:sz="4" w:space="0" w:color="auto"/>
              <w:right w:val="single" w:sz="4" w:space="0" w:color="auto"/>
            </w:tcBorders>
            <w:noWrap/>
            <w:vAlign w:val="center"/>
            <w:hideMark/>
          </w:tcPr>
          <w:p w14:paraId="1AEBD256"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3.83</w:t>
            </w:r>
          </w:p>
        </w:tc>
        <w:tc>
          <w:tcPr>
            <w:tcW w:w="522" w:type="dxa"/>
            <w:tcBorders>
              <w:top w:val="nil"/>
              <w:left w:val="nil"/>
              <w:bottom w:val="single" w:sz="4" w:space="0" w:color="auto"/>
              <w:right w:val="single" w:sz="4" w:space="0" w:color="auto"/>
            </w:tcBorders>
            <w:noWrap/>
            <w:vAlign w:val="center"/>
            <w:hideMark/>
          </w:tcPr>
          <w:p w14:paraId="63F0F4C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3.99</w:t>
            </w:r>
          </w:p>
        </w:tc>
        <w:tc>
          <w:tcPr>
            <w:tcW w:w="522" w:type="dxa"/>
            <w:tcBorders>
              <w:top w:val="nil"/>
              <w:left w:val="nil"/>
              <w:bottom w:val="single" w:sz="4" w:space="0" w:color="auto"/>
              <w:right w:val="single" w:sz="4" w:space="0" w:color="auto"/>
            </w:tcBorders>
            <w:noWrap/>
            <w:vAlign w:val="center"/>
            <w:hideMark/>
          </w:tcPr>
          <w:p w14:paraId="2DEC21D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3.33</w:t>
            </w:r>
          </w:p>
        </w:tc>
        <w:tc>
          <w:tcPr>
            <w:tcW w:w="522" w:type="dxa"/>
            <w:tcBorders>
              <w:top w:val="nil"/>
              <w:left w:val="nil"/>
              <w:bottom w:val="single" w:sz="4" w:space="0" w:color="auto"/>
              <w:right w:val="single" w:sz="4" w:space="0" w:color="auto"/>
            </w:tcBorders>
            <w:noWrap/>
            <w:vAlign w:val="center"/>
            <w:hideMark/>
          </w:tcPr>
          <w:p w14:paraId="56DBB00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0.49</w:t>
            </w:r>
          </w:p>
        </w:tc>
        <w:tc>
          <w:tcPr>
            <w:tcW w:w="522" w:type="dxa"/>
            <w:tcBorders>
              <w:top w:val="nil"/>
              <w:left w:val="nil"/>
              <w:bottom w:val="single" w:sz="4" w:space="0" w:color="auto"/>
              <w:right w:val="single" w:sz="4" w:space="0" w:color="auto"/>
            </w:tcBorders>
            <w:noWrap/>
            <w:vAlign w:val="center"/>
            <w:hideMark/>
          </w:tcPr>
          <w:p w14:paraId="44FD558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3.64</w:t>
            </w:r>
          </w:p>
        </w:tc>
        <w:tc>
          <w:tcPr>
            <w:tcW w:w="522" w:type="dxa"/>
            <w:tcBorders>
              <w:top w:val="nil"/>
              <w:left w:val="nil"/>
              <w:bottom w:val="single" w:sz="4" w:space="0" w:color="auto"/>
              <w:right w:val="single" w:sz="4" w:space="0" w:color="auto"/>
            </w:tcBorders>
            <w:noWrap/>
            <w:vAlign w:val="center"/>
            <w:hideMark/>
          </w:tcPr>
          <w:p w14:paraId="45C743C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3.52</w:t>
            </w:r>
          </w:p>
        </w:tc>
        <w:tc>
          <w:tcPr>
            <w:tcW w:w="522" w:type="dxa"/>
            <w:tcBorders>
              <w:top w:val="nil"/>
              <w:left w:val="nil"/>
              <w:bottom w:val="single" w:sz="4" w:space="0" w:color="auto"/>
              <w:right w:val="single" w:sz="4" w:space="0" w:color="auto"/>
            </w:tcBorders>
            <w:noWrap/>
            <w:vAlign w:val="center"/>
            <w:hideMark/>
          </w:tcPr>
          <w:p w14:paraId="08812A47"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3.28</w:t>
            </w:r>
          </w:p>
        </w:tc>
        <w:tc>
          <w:tcPr>
            <w:tcW w:w="522" w:type="dxa"/>
            <w:tcBorders>
              <w:top w:val="nil"/>
              <w:left w:val="nil"/>
              <w:bottom w:val="single" w:sz="4" w:space="0" w:color="auto"/>
              <w:right w:val="single" w:sz="4" w:space="0" w:color="auto"/>
            </w:tcBorders>
            <w:noWrap/>
            <w:vAlign w:val="center"/>
            <w:hideMark/>
          </w:tcPr>
          <w:p w14:paraId="5E3FA39B"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0.51</w:t>
            </w:r>
          </w:p>
        </w:tc>
        <w:tc>
          <w:tcPr>
            <w:tcW w:w="522" w:type="dxa"/>
            <w:tcBorders>
              <w:top w:val="nil"/>
              <w:left w:val="nil"/>
              <w:bottom w:val="single" w:sz="4" w:space="0" w:color="auto"/>
              <w:right w:val="single" w:sz="4" w:space="0" w:color="auto"/>
            </w:tcBorders>
            <w:noWrap/>
            <w:vAlign w:val="center"/>
            <w:hideMark/>
          </w:tcPr>
          <w:p w14:paraId="4A746BE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3.87</w:t>
            </w:r>
          </w:p>
        </w:tc>
        <w:tc>
          <w:tcPr>
            <w:tcW w:w="522" w:type="dxa"/>
            <w:tcBorders>
              <w:top w:val="nil"/>
              <w:left w:val="nil"/>
              <w:bottom w:val="single" w:sz="4" w:space="0" w:color="auto"/>
              <w:right w:val="single" w:sz="4" w:space="0" w:color="auto"/>
            </w:tcBorders>
            <w:noWrap/>
            <w:vAlign w:val="center"/>
            <w:hideMark/>
          </w:tcPr>
          <w:p w14:paraId="6F5BE9F5"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3.85</w:t>
            </w:r>
          </w:p>
        </w:tc>
        <w:tc>
          <w:tcPr>
            <w:tcW w:w="522" w:type="dxa"/>
            <w:tcBorders>
              <w:top w:val="nil"/>
              <w:left w:val="nil"/>
              <w:bottom w:val="single" w:sz="4" w:space="0" w:color="auto"/>
              <w:right w:val="single" w:sz="4" w:space="0" w:color="auto"/>
            </w:tcBorders>
            <w:noWrap/>
            <w:vAlign w:val="center"/>
            <w:hideMark/>
          </w:tcPr>
          <w:p w14:paraId="342B5DEE"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4.09</w:t>
            </w:r>
          </w:p>
        </w:tc>
        <w:tc>
          <w:tcPr>
            <w:tcW w:w="761" w:type="dxa"/>
            <w:tcBorders>
              <w:top w:val="nil"/>
              <w:left w:val="nil"/>
              <w:bottom w:val="single" w:sz="4" w:space="0" w:color="auto"/>
              <w:right w:val="single" w:sz="4" w:space="0" w:color="auto"/>
            </w:tcBorders>
            <w:noWrap/>
            <w:vAlign w:val="center"/>
            <w:hideMark/>
          </w:tcPr>
          <w:p w14:paraId="7EBF4C1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0.63</w:t>
            </w:r>
          </w:p>
        </w:tc>
      </w:tr>
      <w:tr w:rsidR="001C3D7D" w:rsidRPr="003F67DE" w14:paraId="684CC37F" w14:textId="77777777" w:rsidTr="001C3D7D">
        <w:trPr>
          <w:trHeight w:val="590"/>
          <w:jc w:val="center"/>
        </w:trPr>
        <w:tc>
          <w:tcPr>
            <w:tcW w:w="985" w:type="dxa"/>
            <w:tcBorders>
              <w:top w:val="nil"/>
              <w:left w:val="single" w:sz="4" w:space="0" w:color="auto"/>
              <w:bottom w:val="single" w:sz="4" w:space="0" w:color="auto"/>
              <w:right w:val="single" w:sz="4" w:space="0" w:color="auto"/>
            </w:tcBorders>
            <w:vAlign w:val="center"/>
            <w:hideMark/>
          </w:tcPr>
          <w:p w14:paraId="5F26793B" w14:textId="77777777" w:rsidR="003F67DE" w:rsidRPr="003F67DE" w:rsidRDefault="003F67DE" w:rsidP="003F67DE">
            <w:pPr>
              <w:spacing w:after="0" w:line="240" w:lineRule="auto"/>
              <w:jc w:val="center"/>
              <w:rPr>
                <w:rFonts w:eastAsia="Times New Roman" w:cs="Times New Roman"/>
                <w:b/>
                <w:bCs/>
                <w:color w:val="000000"/>
                <w:kern w:val="0"/>
                <w:sz w:val="17"/>
                <w:szCs w:val="17"/>
                <w:lang w:bidi="ar-SA"/>
                <w14:ligatures w14:val="none"/>
              </w:rPr>
            </w:pPr>
            <w:r w:rsidRPr="003F67DE">
              <w:rPr>
                <w:rFonts w:eastAsia="Times New Roman" w:cs="Times New Roman"/>
                <w:b/>
                <w:bCs/>
                <w:color w:val="000000"/>
                <w:kern w:val="0"/>
                <w:sz w:val="17"/>
                <w:szCs w:val="17"/>
                <w:lang w:bidi="ar-SA"/>
                <w14:ligatures w14:val="none"/>
              </w:rPr>
              <w:t>Standard Error</w:t>
            </w:r>
          </w:p>
        </w:tc>
        <w:tc>
          <w:tcPr>
            <w:tcW w:w="522" w:type="dxa"/>
            <w:tcBorders>
              <w:top w:val="nil"/>
              <w:left w:val="nil"/>
              <w:bottom w:val="single" w:sz="4" w:space="0" w:color="auto"/>
              <w:right w:val="single" w:sz="4" w:space="0" w:color="auto"/>
            </w:tcBorders>
            <w:noWrap/>
            <w:vAlign w:val="center"/>
            <w:hideMark/>
          </w:tcPr>
          <w:p w14:paraId="6205A29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0.08</w:t>
            </w:r>
          </w:p>
        </w:tc>
        <w:tc>
          <w:tcPr>
            <w:tcW w:w="522" w:type="dxa"/>
            <w:tcBorders>
              <w:top w:val="nil"/>
              <w:left w:val="nil"/>
              <w:bottom w:val="single" w:sz="4" w:space="0" w:color="auto"/>
              <w:right w:val="single" w:sz="4" w:space="0" w:color="auto"/>
            </w:tcBorders>
            <w:noWrap/>
            <w:vAlign w:val="center"/>
            <w:hideMark/>
          </w:tcPr>
          <w:p w14:paraId="0D3BC371"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0.10</w:t>
            </w:r>
          </w:p>
        </w:tc>
        <w:tc>
          <w:tcPr>
            <w:tcW w:w="522" w:type="dxa"/>
            <w:tcBorders>
              <w:top w:val="nil"/>
              <w:left w:val="nil"/>
              <w:bottom w:val="single" w:sz="4" w:space="0" w:color="auto"/>
              <w:right w:val="single" w:sz="4" w:space="0" w:color="auto"/>
            </w:tcBorders>
            <w:noWrap/>
            <w:vAlign w:val="center"/>
            <w:hideMark/>
          </w:tcPr>
          <w:p w14:paraId="48C58331"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0.08</w:t>
            </w:r>
          </w:p>
        </w:tc>
        <w:tc>
          <w:tcPr>
            <w:tcW w:w="522" w:type="dxa"/>
            <w:tcBorders>
              <w:top w:val="nil"/>
              <w:left w:val="nil"/>
              <w:bottom w:val="single" w:sz="4" w:space="0" w:color="auto"/>
              <w:right w:val="single" w:sz="4" w:space="0" w:color="auto"/>
            </w:tcBorders>
            <w:noWrap/>
            <w:vAlign w:val="center"/>
            <w:hideMark/>
          </w:tcPr>
          <w:p w14:paraId="5C46D108"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0.03</w:t>
            </w:r>
          </w:p>
        </w:tc>
        <w:tc>
          <w:tcPr>
            <w:tcW w:w="522" w:type="dxa"/>
            <w:tcBorders>
              <w:top w:val="nil"/>
              <w:left w:val="nil"/>
              <w:bottom w:val="single" w:sz="4" w:space="0" w:color="auto"/>
              <w:right w:val="single" w:sz="4" w:space="0" w:color="auto"/>
            </w:tcBorders>
            <w:noWrap/>
            <w:vAlign w:val="center"/>
            <w:hideMark/>
          </w:tcPr>
          <w:p w14:paraId="23CDFEC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0.07</w:t>
            </w:r>
          </w:p>
        </w:tc>
        <w:tc>
          <w:tcPr>
            <w:tcW w:w="522" w:type="dxa"/>
            <w:tcBorders>
              <w:top w:val="nil"/>
              <w:left w:val="nil"/>
              <w:bottom w:val="single" w:sz="4" w:space="0" w:color="auto"/>
              <w:right w:val="single" w:sz="4" w:space="0" w:color="auto"/>
            </w:tcBorders>
            <w:noWrap/>
            <w:vAlign w:val="center"/>
            <w:hideMark/>
          </w:tcPr>
          <w:p w14:paraId="30B37D65"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0.08</w:t>
            </w:r>
          </w:p>
        </w:tc>
        <w:tc>
          <w:tcPr>
            <w:tcW w:w="522" w:type="dxa"/>
            <w:tcBorders>
              <w:top w:val="nil"/>
              <w:left w:val="nil"/>
              <w:bottom w:val="single" w:sz="4" w:space="0" w:color="auto"/>
              <w:right w:val="single" w:sz="4" w:space="0" w:color="auto"/>
            </w:tcBorders>
            <w:noWrap/>
            <w:vAlign w:val="center"/>
            <w:hideMark/>
          </w:tcPr>
          <w:p w14:paraId="70DE5D83"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0.09</w:t>
            </w:r>
          </w:p>
        </w:tc>
        <w:tc>
          <w:tcPr>
            <w:tcW w:w="522" w:type="dxa"/>
            <w:tcBorders>
              <w:top w:val="nil"/>
              <w:left w:val="nil"/>
              <w:bottom w:val="single" w:sz="4" w:space="0" w:color="auto"/>
              <w:right w:val="single" w:sz="4" w:space="0" w:color="auto"/>
            </w:tcBorders>
            <w:noWrap/>
            <w:vAlign w:val="center"/>
            <w:hideMark/>
          </w:tcPr>
          <w:p w14:paraId="1DB651EB"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0.03</w:t>
            </w:r>
          </w:p>
        </w:tc>
        <w:tc>
          <w:tcPr>
            <w:tcW w:w="522" w:type="dxa"/>
            <w:tcBorders>
              <w:top w:val="nil"/>
              <w:left w:val="nil"/>
              <w:bottom w:val="single" w:sz="4" w:space="0" w:color="auto"/>
              <w:right w:val="single" w:sz="4" w:space="0" w:color="auto"/>
            </w:tcBorders>
            <w:noWrap/>
            <w:vAlign w:val="center"/>
            <w:hideMark/>
          </w:tcPr>
          <w:p w14:paraId="76716A6D"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0.08</w:t>
            </w:r>
          </w:p>
        </w:tc>
        <w:tc>
          <w:tcPr>
            <w:tcW w:w="522" w:type="dxa"/>
            <w:tcBorders>
              <w:top w:val="nil"/>
              <w:left w:val="nil"/>
              <w:bottom w:val="single" w:sz="4" w:space="0" w:color="auto"/>
              <w:right w:val="single" w:sz="4" w:space="0" w:color="auto"/>
            </w:tcBorders>
            <w:noWrap/>
            <w:vAlign w:val="center"/>
            <w:hideMark/>
          </w:tcPr>
          <w:p w14:paraId="780CD16E"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0.08</w:t>
            </w:r>
          </w:p>
        </w:tc>
        <w:tc>
          <w:tcPr>
            <w:tcW w:w="522" w:type="dxa"/>
            <w:tcBorders>
              <w:top w:val="nil"/>
              <w:left w:val="nil"/>
              <w:bottom w:val="single" w:sz="4" w:space="0" w:color="auto"/>
              <w:right w:val="single" w:sz="4" w:space="0" w:color="auto"/>
            </w:tcBorders>
            <w:noWrap/>
            <w:vAlign w:val="center"/>
            <w:hideMark/>
          </w:tcPr>
          <w:p w14:paraId="1ECB504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0.08</w:t>
            </w:r>
          </w:p>
        </w:tc>
        <w:tc>
          <w:tcPr>
            <w:tcW w:w="522" w:type="dxa"/>
            <w:tcBorders>
              <w:top w:val="nil"/>
              <w:left w:val="nil"/>
              <w:bottom w:val="single" w:sz="4" w:space="0" w:color="auto"/>
              <w:right w:val="single" w:sz="4" w:space="0" w:color="auto"/>
            </w:tcBorders>
            <w:noWrap/>
            <w:vAlign w:val="center"/>
            <w:hideMark/>
          </w:tcPr>
          <w:p w14:paraId="78D3ECF0"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0.03</w:t>
            </w:r>
          </w:p>
        </w:tc>
        <w:tc>
          <w:tcPr>
            <w:tcW w:w="522" w:type="dxa"/>
            <w:tcBorders>
              <w:top w:val="nil"/>
              <w:left w:val="nil"/>
              <w:bottom w:val="single" w:sz="4" w:space="0" w:color="auto"/>
              <w:right w:val="single" w:sz="4" w:space="0" w:color="auto"/>
            </w:tcBorders>
            <w:noWrap/>
            <w:vAlign w:val="center"/>
            <w:hideMark/>
          </w:tcPr>
          <w:p w14:paraId="7535AD05"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0.08</w:t>
            </w:r>
          </w:p>
        </w:tc>
        <w:tc>
          <w:tcPr>
            <w:tcW w:w="522" w:type="dxa"/>
            <w:tcBorders>
              <w:top w:val="nil"/>
              <w:left w:val="nil"/>
              <w:bottom w:val="single" w:sz="4" w:space="0" w:color="auto"/>
              <w:right w:val="single" w:sz="4" w:space="0" w:color="auto"/>
            </w:tcBorders>
            <w:noWrap/>
            <w:vAlign w:val="center"/>
            <w:hideMark/>
          </w:tcPr>
          <w:p w14:paraId="273B8025"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0.09</w:t>
            </w:r>
          </w:p>
        </w:tc>
        <w:tc>
          <w:tcPr>
            <w:tcW w:w="522" w:type="dxa"/>
            <w:tcBorders>
              <w:top w:val="nil"/>
              <w:left w:val="nil"/>
              <w:bottom w:val="single" w:sz="4" w:space="0" w:color="auto"/>
              <w:right w:val="single" w:sz="4" w:space="0" w:color="auto"/>
            </w:tcBorders>
            <w:noWrap/>
            <w:vAlign w:val="center"/>
            <w:hideMark/>
          </w:tcPr>
          <w:p w14:paraId="30AFD180"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0.09</w:t>
            </w:r>
          </w:p>
        </w:tc>
        <w:tc>
          <w:tcPr>
            <w:tcW w:w="522" w:type="dxa"/>
            <w:tcBorders>
              <w:top w:val="nil"/>
              <w:left w:val="nil"/>
              <w:bottom w:val="single" w:sz="4" w:space="0" w:color="auto"/>
              <w:right w:val="single" w:sz="4" w:space="0" w:color="auto"/>
            </w:tcBorders>
            <w:noWrap/>
            <w:vAlign w:val="center"/>
            <w:hideMark/>
          </w:tcPr>
          <w:p w14:paraId="6404EEF8"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0.03</w:t>
            </w:r>
          </w:p>
        </w:tc>
        <w:tc>
          <w:tcPr>
            <w:tcW w:w="522" w:type="dxa"/>
            <w:tcBorders>
              <w:top w:val="nil"/>
              <w:left w:val="nil"/>
              <w:bottom w:val="single" w:sz="4" w:space="0" w:color="auto"/>
              <w:right w:val="single" w:sz="4" w:space="0" w:color="auto"/>
            </w:tcBorders>
            <w:noWrap/>
            <w:vAlign w:val="center"/>
            <w:hideMark/>
          </w:tcPr>
          <w:p w14:paraId="2C508746"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0.08</w:t>
            </w:r>
          </w:p>
        </w:tc>
        <w:tc>
          <w:tcPr>
            <w:tcW w:w="522" w:type="dxa"/>
            <w:tcBorders>
              <w:top w:val="nil"/>
              <w:left w:val="nil"/>
              <w:bottom w:val="single" w:sz="4" w:space="0" w:color="auto"/>
              <w:right w:val="single" w:sz="4" w:space="0" w:color="auto"/>
            </w:tcBorders>
            <w:noWrap/>
            <w:vAlign w:val="center"/>
            <w:hideMark/>
          </w:tcPr>
          <w:p w14:paraId="2862407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0.07</w:t>
            </w:r>
          </w:p>
        </w:tc>
        <w:tc>
          <w:tcPr>
            <w:tcW w:w="522" w:type="dxa"/>
            <w:tcBorders>
              <w:top w:val="nil"/>
              <w:left w:val="nil"/>
              <w:bottom w:val="single" w:sz="4" w:space="0" w:color="auto"/>
              <w:right w:val="single" w:sz="4" w:space="0" w:color="auto"/>
            </w:tcBorders>
            <w:noWrap/>
            <w:vAlign w:val="center"/>
            <w:hideMark/>
          </w:tcPr>
          <w:p w14:paraId="5C505D10"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0.07</w:t>
            </w:r>
          </w:p>
        </w:tc>
        <w:tc>
          <w:tcPr>
            <w:tcW w:w="761" w:type="dxa"/>
            <w:tcBorders>
              <w:top w:val="nil"/>
              <w:left w:val="nil"/>
              <w:bottom w:val="single" w:sz="4" w:space="0" w:color="auto"/>
              <w:right w:val="single" w:sz="4" w:space="0" w:color="auto"/>
            </w:tcBorders>
            <w:noWrap/>
            <w:vAlign w:val="center"/>
            <w:hideMark/>
          </w:tcPr>
          <w:p w14:paraId="120F195D"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0.03</w:t>
            </w:r>
          </w:p>
        </w:tc>
      </w:tr>
      <w:tr w:rsidR="001C3D7D" w:rsidRPr="003F67DE" w14:paraId="03C1A505" w14:textId="77777777" w:rsidTr="001C3D7D">
        <w:trPr>
          <w:trHeight w:val="346"/>
          <w:jc w:val="center"/>
        </w:trPr>
        <w:tc>
          <w:tcPr>
            <w:tcW w:w="985" w:type="dxa"/>
            <w:tcBorders>
              <w:top w:val="nil"/>
              <w:left w:val="single" w:sz="4" w:space="0" w:color="auto"/>
              <w:bottom w:val="single" w:sz="4" w:space="0" w:color="auto"/>
              <w:right w:val="single" w:sz="4" w:space="0" w:color="auto"/>
            </w:tcBorders>
            <w:vAlign w:val="center"/>
            <w:hideMark/>
          </w:tcPr>
          <w:p w14:paraId="63F4E09C" w14:textId="77777777" w:rsidR="003F67DE" w:rsidRPr="003F67DE" w:rsidRDefault="003F67DE" w:rsidP="003F67DE">
            <w:pPr>
              <w:spacing w:after="0" w:line="240" w:lineRule="auto"/>
              <w:jc w:val="center"/>
              <w:rPr>
                <w:rFonts w:eastAsia="Times New Roman" w:cs="Times New Roman"/>
                <w:b/>
                <w:bCs/>
                <w:color w:val="000000"/>
                <w:kern w:val="0"/>
                <w:sz w:val="17"/>
                <w:szCs w:val="17"/>
                <w:lang w:bidi="ar-SA"/>
                <w14:ligatures w14:val="none"/>
              </w:rPr>
            </w:pPr>
            <w:r w:rsidRPr="003F67DE">
              <w:rPr>
                <w:rFonts w:eastAsia="Times New Roman" w:cs="Times New Roman"/>
                <w:b/>
                <w:bCs/>
                <w:color w:val="000000"/>
                <w:kern w:val="0"/>
                <w:sz w:val="17"/>
                <w:szCs w:val="17"/>
                <w:lang w:bidi="ar-SA"/>
                <w14:ligatures w14:val="none"/>
              </w:rPr>
              <w:t>Median</w:t>
            </w:r>
          </w:p>
        </w:tc>
        <w:tc>
          <w:tcPr>
            <w:tcW w:w="522" w:type="dxa"/>
            <w:tcBorders>
              <w:top w:val="nil"/>
              <w:left w:val="nil"/>
              <w:bottom w:val="single" w:sz="4" w:space="0" w:color="auto"/>
              <w:right w:val="single" w:sz="4" w:space="0" w:color="auto"/>
            </w:tcBorders>
            <w:noWrap/>
            <w:vAlign w:val="center"/>
            <w:hideMark/>
          </w:tcPr>
          <w:p w14:paraId="4459BC1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3.00</w:t>
            </w:r>
          </w:p>
        </w:tc>
        <w:tc>
          <w:tcPr>
            <w:tcW w:w="522" w:type="dxa"/>
            <w:tcBorders>
              <w:top w:val="nil"/>
              <w:left w:val="nil"/>
              <w:bottom w:val="single" w:sz="4" w:space="0" w:color="auto"/>
              <w:right w:val="single" w:sz="4" w:space="0" w:color="auto"/>
            </w:tcBorders>
            <w:noWrap/>
            <w:vAlign w:val="center"/>
            <w:hideMark/>
          </w:tcPr>
          <w:p w14:paraId="41912B53"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522" w:type="dxa"/>
            <w:tcBorders>
              <w:top w:val="nil"/>
              <w:left w:val="nil"/>
              <w:bottom w:val="single" w:sz="4" w:space="0" w:color="auto"/>
              <w:right w:val="single" w:sz="4" w:space="0" w:color="auto"/>
            </w:tcBorders>
            <w:noWrap/>
            <w:vAlign w:val="center"/>
            <w:hideMark/>
          </w:tcPr>
          <w:p w14:paraId="7937E3BE"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522" w:type="dxa"/>
            <w:tcBorders>
              <w:top w:val="nil"/>
              <w:left w:val="nil"/>
              <w:bottom w:val="single" w:sz="4" w:space="0" w:color="auto"/>
              <w:right w:val="single" w:sz="4" w:space="0" w:color="auto"/>
            </w:tcBorders>
            <w:noWrap/>
            <w:vAlign w:val="center"/>
            <w:hideMark/>
          </w:tcPr>
          <w:p w14:paraId="7028F2F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1.00</w:t>
            </w:r>
          </w:p>
        </w:tc>
        <w:tc>
          <w:tcPr>
            <w:tcW w:w="522" w:type="dxa"/>
            <w:tcBorders>
              <w:top w:val="nil"/>
              <w:left w:val="nil"/>
              <w:bottom w:val="single" w:sz="4" w:space="0" w:color="auto"/>
              <w:right w:val="single" w:sz="4" w:space="0" w:color="auto"/>
            </w:tcBorders>
            <w:noWrap/>
            <w:vAlign w:val="center"/>
            <w:hideMark/>
          </w:tcPr>
          <w:p w14:paraId="6DFF0DF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522" w:type="dxa"/>
            <w:tcBorders>
              <w:top w:val="nil"/>
              <w:left w:val="nil"/>
              <w:bottom w:val="single" w:sz="4" w:space="0" w:color="auto"/>
              <w:right w:val="single" w:sz="4" w:space="0" w:color="auto"/>
            </w:tcBorders>
            <w:noWrap/>
            <w:vAlign w:val="center"/>
            <w:hideMark/>
          </w:tcPr>
          <w:p w14:paraId="6CC74A71"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522" w:type="dxa"/>
            <w:tcBorders>
              <w:top w:val="nil"/>
              <w:left w:val="nil"/>
              <w:bottom w:val="single" w:sz="4" w:space="0" w:color="auto"/>
              <w:right w:val="single" w:sz="4" w:space="0" w:color="auto"/>
            </w:tcBorders>
            <w:noWrap/>
            <w:vAlign w:val="center"/>
            <w:hideMark/>
          </w:tcPr>
          <w:p w14:paraId="347FB42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522" w:type="dxa"/>
            <w:tcBorders>
              <w:top w:val="nil"/>
              <w:left w:val="nil"/>
              <w:bottom w:val="single" w:sz="4" w:space="0" w:color="auto"/>
              <w:right w:val="single" w:sz="4" w:space="0" w:color="auto"/>
            </w:tcBorders>
            <w:noWrap/>
            <w:vAlign w:val="center"/>
            <w:hideMark/>
          </w:tcPr>
          <w:p w14:paraId="22302E8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1.00</w:t>
            </w:r>
          </w:p>
        </w:tc>
        <w:tc>
          <w:tcPr>
            <w:tcW w:w="522" w:type="dxa"/>
            <w:tcBorders>
              <w:top w:val="nil"/>
              <w:left w:val="nil"/>
              <w:bottom w:val="single" w:sz="4" w:space="0" w:color="auto"/>
              <w:right w:val="single" w:sz="4" w:space="0" w:color="auto"/>
            </w:tcBorders>
            <w:noWrap/>
            <w:vAlign w:val="center"/>
            <w:hideMark/>
          </w:tcPr>
          <w:p w14:paraId="2D76383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522" w:type="dxa"/>
            <w:tcBorders>
              <w:top w:val="nil"/>
              <w:left w:val="nil"/>
              <w:bottom w:val="single" w:sz="4" w:space="0" w:color="auto"/>
              <w:right w:val="single" w:sz="4" w:space="0" w:color="auto"/>
            </w:tcBorders>
            <w:noWrap/>
            <w:vAlign w:val="center"/>
            <w:hideMark/>
          </w:tcPr>
          <w:p w14:paraId="2B56F517"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522" w:type="dxa"/>
            <w:tcBorders>
              <w:top w:val="nil"/>
              <w:left w:val="nil"/>
              <w:bottom w:val="single" w:sz="4" w:space="0" w:color="auto"/>
              <w:right w:val="single" w:sz="4" w:space="0" w:color="auto"/>
            </w:tcBorders>
            <w:noWrap/>
            <w:vAlign w:val="center"/>
            <w:hideMark/>
          </w:tcPr>
          <w:p w14:paraId="420530C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3.00</w:t>
            </w:r>
          </w:p>
        </w:tc>
        <w:tc>
          <w:tcPr>
            <w:tcW w:w="522" w:type="dxa"/>
            <w:tcBorders>
              <w:top w:val="nil"/>
              <w:left w:val="nil"/>
              <w:bottom w:val="single" w:sz="4" w:space="0" w:color="auto"/>
              <w:right w:val="single" w:sz="4" w:space="0" w:color="auto"/>
            </w:tcBorders>
            <w:noWrap/>
            <w:vAlign w:val="center"/>
            <w:hideMark/>
          </w:tcPr>
          <w:p w14:paraId="5C2DD9D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0.00</w:t>
            </w:r>
          </w:p>
        </w:tc>
        <w:tc>
          <w:tcPr>
            <w:tcW w:w="522" w:type="dxa"/>
            <w:tcBorders>
              <w:top w:val="nil"/>
              <w:left w:val="nil"/>
              <w:bottom w:val="single" w:sz="4" w:space="0" w:color="auto"/>
              <w:right w:val="single" w:sz="4" w:space="0" w:color="auto"/>
            </w:tcBorders>
            <w:noWrap/>
            <w:vAlign w:val="center"/>
            <w:hideMark/>
          </w:tcPr>
          <w:p w14:paraId="660B4E91"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522" w:type="dxa"/>
            <w:tcBorders>
              <w:top w:val="nil"/>
              <w:left w:val="nil"/>
              <w:bottom w:val="single" w:sz="4" w:space="0" w:color="auto"/>
              <w:right w:val="single" w:sz="4" w:space="0" w:color="auto"/>
            </w:tcBorders>
            <w:noWrap/>
            <w:vAlign w:val="center"/>
            <w:hideMark/>
          </w:tcPr>
          <w:p w14:paraId="5AD210B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522" w:type="dxa"/>
            <w:tcBorders>
              <w:top w:val="nil"/>
              <w:left w:val="nil"/>
              <w:bottom w:val="single" w:sz="4" w:space="0" w:color="auto"/>
              <w:right w:val="single" w:sz="4" w:space="0" w:color="auto"/>
            </w:tcBorders>
            <w:noWrap/>
            <w:vAlign w:val="center"/>
            <w:hideMark/>
          </w:tcPr>
          <w:p w14:paraId="47D899AB"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3.00</w:t>
            </w:r>
          </w:p>
        </w:tc>
        <w:tc>
          <w:tcPr>
            <w:tcW w:w="522" w:type="dxa"/>
            <w:tcBorders>
              <w:top w:val="nil"/>
              <w:left w:val="nil"/>
              <w:bottom w:val="single" w:sz="4" w:space="0" w:color="auto"/>
              <w:right w:val="single" w:sz="4" w:space="0" w:color="auto"/>
            </w:tcBorders>
            <w:noWrap/>
            <w:vAlign w:val="center"/>
            <w:hideMark/>
          </w:tcPr>
          <w:p w14:paraId="5B8C16C0"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1.00</w:t>
            </w:r>
          </w:p>
        </w:tc>
        <w:tc>
          <w:tcPr>
            <w:tcW w:w="522" w:type="dxa"/>
            <w:tcBorders>
              <w:top w:val="nil"/>
              <w:left w:val="nil"/>
              <w:bottom w:val="single" w:sz="4" w:space="0" w:color="auto"/>
              <w:right w:val="single" w:sz="4" w:space="0" w:color="auto"/>
            </w:tcBorders>
            <w:noWrap/>
            <w:vAlign w:val="center"/>
            <w:hideMark/>
          </w:tcPr>
          <w:p w14:paraId="2851B797"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522" w:type="dxa"/>
            <w:tcBorders>
              <w:top w:val="nil"/>
              <w:left w:val="nil"/>
              <w:bottom w:val="single" w:sz="4" w:space="0" w:color="auto"/>
              <w:right w:val="single" w:sz="4" w:space="0" w:color="auto"/>
            </w:tcBorders>
            <w:noWrap/>
            <w:vAlign w:val="center"/>
            <w:hideMark/>
          </w:tcPr>
          <w:p w14:paraId="61FCEEA6"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522" w:type="dxa"/>
            <w:tcBorders>
              <w:top w:val="nil"/>
              <w:left w:val="nil"/>
              <w:bottom w:val="single" w:sz="4" w:space="0" w:color="auto"/>
              <w:right w:val="single" w:sz="4" w:space="0" w:color="auto"/>
            </w:tcBorders>
            <w:noWrap/>
            <w:vAlign w:val="center"/>
            <w:hideMark/>
          </w:tcPr>
          <w:p w14:paraId="3F5C4B7E"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761" w:type="dxa"/>
            <w:tcBorders>
              <w:top w:val="nil"/>
              <w:left w:val="nil"/>
              <w:bottom w:val="single" w:sz="4" w:space="0" w:color="auto"/>
              <w:right w:val="single" w:sz="4" w:space="0" w:color="auto"/>
            </w:tcBorders>
            <w:noWrap/>
            <w:vAlign w:val="center"/>
            <w:hideMark/>
          </w:tcPr>
          <w:p w14:paraId="52C8FDE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1.00</w:t>
            </w:r>
          </w:p>
        </w:tc>
      </w:tr>
      <w:tr w:rsidR="001C3D7D" w:rsidRPr="003F67DE" w14:paraId="168B844D" w14:textId="77777777" w:rsidTr="001C3D7D">
        <w:trPr>
          <w:trHeight w:val="346"/>
          <w:jc w:val="center"/>
        </w:trPr>
        <w:tc>
          <w:tcPr>
            <w:tcW w:w="985" w:type="dxa"/>
            <w:tcBorders>
              <w:top w:val="nil"/>
              <w:left w:val="single" w:sz="4" w:space="0" w:color="auto"/>
              <w:bottom w:val="single" w:sz="4" w:space="0" w:color="auto"/>
              <w:right w:val="single" w:sz="4" w:space="0" w:color="auto"/>
            </w:tcBorders>
            <w:vAlign w:val="center"/>
            <w:hideMark/>
          </w:tcPr>
          <w:p w14:paraId="36E46E55" w14:textId="77777777" w:rsidR="003F67DE" w:rsidRPr="003F67DE" w:rsidRDefault="003F67DE" w:rsidP="003F67DE">
            <w:pPr>
              <w:spacing w:after="0" w:line="240" w:lineRule="auto"/>
              <w:jc w:val="center"/>
              <w:rPr>
                <w:rFonts w:eastAsia="Times New Roman" w:cs="Times New Roman"/>
                <w:b/>
                <w:bCs/>
                <w:color w:val="000000"/>
                <w:kern w:val="0"/>
                <w:sz w:val="17"/>
                <w:szCs w:val="17"/>
                <w:lang w:bidi="ar-SA"/>
                <w14:ligatures w14:val="none"/>
              </w:rPr>
            </w:pPr>
            <w:r w:rsidRPr="003F67DE">
              <w:rPr>
                <w:rFonts w:eastAsia="Times New Roman" w:cs="Times New Roman"/>
                <w:b/>
                <w:bCs/>
                <w:color w:val="000000"/>
                <w:kern w:val="0"/>
                <w:sz w:val="17"/>
                <w:szCs w:val="17"/>
                <w:lang w:bidi="ar-SA"/>
                <w14:ligatures w14:val="none"/>
              </w:rPr>
              <w:t>Mode</w:t>
            </w:r>
          </w:p>
        </w:tc>
        <w:tc>
          <w:tcPr>
            <w:tcW w:w="522" w:type="dxa"/>
            <w:tcBorders>
              <w:top w:val="nil"/>
              <w:left w:val="nil"/>
              <w:bottom w:val="single" w:sz="4" w:space="0" w:color="auto"/>
              <w:right w:val="single" w:sz="4" w:space="0" w:color="auto"/>
            </w:tcBorders>
            <w:noWrap/>
            <w:vAlign w:val="center"/>
            <w:hideMark/>
          </w:tcPr>
          <w:p w14:paraId="74699196"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3.00</w:t>
            </w:r>
          </w:p>
        </w:tc>
        <w:tc>
          <w:tcPr>
            <w:tcW w:w="522" w:type="dxa"/>
            <w:tcBorders>
              <w:top w:val="nil"/>
              <w:left w:val="nil"/>
              <w:bottom w:val="single" w:sz="4" w:space="0" w:color="auto"/>
              <w:right w:val="single" w:sz="4" w:space="0" w:color="auto"/>
            </w:tcBorders>
            <w:noWrap/>
            <w:vAlign w:val="center"/>
            <w:hideMark/>
          </w:tcPr>
          <w:p w14:paraId="1103181D"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5.00</w:t>
            </w:r>
          </w:p>
        </w:tc>
        <w:tc>
          <w:tcPr>
            <w:tcW w:w="522" w:type="dxa"/>
            <w:tcBorders>
              <w:top w:val="nil"/>
              <w:left w:val="nil"/>
              <w:bottom w:val="single" w:sz="4" w:space="0" w:color="auto"/>
              <w:right w:val="single" w:sz="4" w:space="0" w:color="auto"/>
            </w:tcBorders>
            <w:noWrap/>
            <w:vAlign w:val="center"/>
            <w:hideMark/>
          </w:tcPr>
          <w:p w14:paraId="3EC0C450"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5.00</w:t>
            </w:r>
          </w:p>
        </w:tc>
        <w:tc>
          <w:tcPr>
            <w:tcW w:w="522" w:type="dxa"/>
            <w:tcBorders>
              <w:top w:val="nil"/>
              <w:left w:val="nil"/>
              <w:bottom w:val="single" w:sz="4" w:space="0" w:color="auto"/>
              <w:right w:val="single" w:sz="4" w:space="0" w:color="auto"/>
            </w:tcBorders>
            <w:noWrap/>
            <w:vAlign w:val="center"/>
            <w:hideMark/>
          </w:tcPr>
          <w:p w14:paraId="0437F840"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1.00</w:t>
            </w:r>
          </w:p>
        </w:tc>
        <w:tc>
          <w:tcPr>
            <w:tcW w:w="522" w:type="dxa"/>
            <w:tcBorders>
              <w:top w:val="nil"/>
              <w:left w:val="nil"/>
              <w:bottom w:val="single" w:sz="4" w:space="0" w:color="auto"/>
              <w:right w:val="single" w:sz="4" w:space="0" w:color="auto"/>
            </w:tcBorders>
            <w:noWrap/>
            <w:vAlign w:val="center"/>
            <w:hideMark/>
          </w:tcPr>
          <w:p w14:paraId="723B51C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5.00</w:t>
            </w:r>
          </w:p>
        </w:tc>
        <w:tc>
          <w:tcPr>
            <w:tcW w:w="522" w:type="dxa"/>
            <w:tcBorders>
              <w:top w:val="nil"/>
              <w:left w:val="nil"/>
              <w:bottom w:val="single" w:sz="4" w:space="0" w:color="auto"/>
              <w:right w:val="single" w:sz="4" w:space="0" w:color="auto"/>
            </w:tcBorders>
            <w:noWrap/>
            <w:vAlign w:val="center"/>
            <w:hideMark/>
          </w:tcPr>
          <w:p w14:paraId="68BDA878"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5.00</w:t>
            </w:r>
          </w:p>
        </w:tc>
        <w:tc>
          <w:tcPr>
            <w:tcW w:w="522" w:type="dxa"/>
            <w:tcBorders>
              <w:top w:val="nil"/>
              <w:left w:val="nil"/>
              <w:bottom w:val="single" w:sz="4" w:space="0" w:color="auto"/>
              <w:right w:val="single" w:sz="4" w:space="0" w:color="auto"/>
            </w:tcBorders>
            <w:noWrap/>
            <w:vAlign w:val="center"/>
            <w:hideMark/>
          </w:tcPr>
          <w:p w14:paraId="4EF4E79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522" w:type="dxa"/>
            <w:tcBorders>
              <w:top w:val="nil"/>
              <w:left w:val="nil"/>
              <w:bottom w:val="single" w:sz="4" w:space="0" w:color="auto"/>
              <w:right w:val="single" w:sz="4" w:space="0" w:color="auto"/>
            </w:tcBorders>
            <w:noWrap/>
            <w:vAlign w:val="center"/>
            <w:hideMark/>
          </w:tcPr>
          <w:p w14:paraId="2466AB6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1.00</w:t>
            </w:r>
          </w:p>
        </w:tc>
        <w:tc>
          <w:tcPr>
            <w:tcW w:w="522" w:type="dxa"/>
            <w:tcBorders>
              <w:top w:val="nil"/>
              <w:left w:val="nil"/>
              <w:bottom w:val="single" w:sz="4" w:space="0" w:color="auto"/>
              <w:right w:val="single" w:sz="4" w:space="0" w:color="auto"/>
            </w:tcBorders>
            <w:noWrap/>
            <w:vAlign w:val="center"/>
            <w:hideMark/>
          </w:tcPr>
          <w:p w14:paraId="11CA9D2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5.00</w:t>
            </w:r>
          </w:p>
        </w:tc>
        <w:tc>
          <w:tcPr>
            <w:tcW w:w="522" w:type="dxa"/>
            <w:tcBorders>
              <w:top w:val="nil"/>
              <w:left w:val="nil"/>
              <w:bottom w:val="single" w:sz="4" w:space="0" w:color="auto"/>
              <w:right w:val="single" w:sz="4" w:space="0" w:color="auto"/>
            </w:tcBorders>
            <w:noWrap/>
            <w:vAlign w:val="center"/>
            <w:hideMark/>
          </w:tcPr>
          <w:p w14:paraId="24FBE25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5.00</w:t>
            </w:r>
          </w:p>
        </w:tc>
        <w:tc>
          <w:tcPr>
            <w:tcW w:w="522" w:type="dxa"/>
            <w:tcBorders>
              <w:top w:val="nil"/>
              <w:left w:val="nil"/>
              <w:bottom w:val="single" w:sz="4" w:space="0" w:color="auto"/>
              <w:right w:val="single" w:sz="4" w:space="0" w:color="auto"/>
            </w:tcBorders>
            <w:noWrap/>
            <w:vAlign w:val="center"/>
            <w:hideMark/>
          </w:tcPr>
          <w:p w14:paraId="6E272980"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522" w:type="dxa"/>
            <w:tcBorders>
              <w:top w:val="nil"/>
              <w:left w:val="nil"/>
              <w:bottom w:val="single" w:sz="4" w:space="0" w:color="auto"/>
              <w:right w:val="single" w:sz="4" w:space="0" w:color="auto"/>
            </w:tcBorders>
            <w:noWrap/>
            <w:vAlign w:val="center"/>
            <w:hideMark/>
          </w:tcPr>
          <w:p w14:paraId="6F70040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0.00</w:t>
            </w:r>
          </w:p>
        </w:tc>
        <w:tc>
          <w:tcPr>
            <w:tcW w:w="522" w:type="dxa"/>
            <w:tcBorders>
              <w:top w:val="nil"/>
              <w:left w:val="nil"/>
              <w:bottom w:val="single" w:sz="4" w:space="0" w:color="auto"/>
              <w:right w:val="single" w:sz="4" w:space="0" w:color="auto"/>
            </w:tcBorders>
            <w:noWrap/>
            <w:vAlign w:val="center"/>
            <w:hideMark/>
          </w:tcPr>
          <w:p w14:paraId="3757ED3E"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522" w:type="dxa"/>
            <w:tcBorders>
              <w:top w:val="nil"/>
              <w:left w:val="nil"/>
              <w:bottom w:val="single" w:sz="4" w:space="0" w:color="auto"/>
              <w:right w:val="single" w:sz="4" w:space="0" w:color="auto"/>
            </w:tcBorders>
            <w:noWrap/>
            <w:vAlign w:val="center"/>
            <w:hideMark/>
          </w:tcPr>
          <w:p w14:paraId="433535D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5.00</w:t>
            </w:r>
          </w:p>
        </w:tc>
        <w:tc>
          <w:tcPr>
            <w:tcW w:w="522" w:type="dxa"/>
            <w:tcBorders>
              <w:top w:val="nil"/>
              <w:left w:val="nil"/>
              <w:bottom w:val="single" w:sz="4" w:space="0" w:color="auto"/>
              <w:right w:val="single" w:sz="4" w:space="0" w:color="auto"/>
            </w:tcBorders>
            <w:noWrap/>
            <w:vAlign w:val="center"/>
            <w:hideMark/>
          </w:tcPr>
          <w:p w14:paraId="6B607763"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522" w:type="dxa"/>
            <w:tcBorders>
              <w:top w:val="nil"/>
              <w:left w:val="nil"/>
              <w:bottom w:val="single" w:sz="4" w:space="0" w:color="auto"/>
              <w:right w:val="single" w:sz="4" w:space="0" w:color="auto"/>
            </w:tcBorders>
            <w:noWrap/>
            <w:vAlign w:val="center"/>
            <w:hideMark/>
          </w:tcPr>
          <w:p w14:paraId="6ED106D3"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1.00</w:t>
            </w:r>
          </w:p>
        </w:tc>
        <w:tc>
          <w:tcPr>
            <w:tcW w:w="522" w:type="dxa"/>
            <w:tcBorders>
              <w:top w:val="nil"/>
              <w:left w:val="nil"/>
              <w:bottom w:val="single" w:sz="4" w:space="0" w:color="auto"/>
              <w:right w:val="single" w:sz="4" w:space="0" w:color="auto"/>
            </w:tcBorders>
            <w:noWrap/>
            <w:vAlign w:val="center"/>
            <w:hideMark/>
          </w:tcPr>
          <w:p w14:paraId="63FFC237"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5.00</w:t>
            </w:r>
          </w:p>
        </w:tc>
        <w:tc>
          <w:tcPr>
            <w:tcW w:w="522" w:type="dxa"/>
            <w:tcBorders>
              <w:top w:val="nil"/>
              <w:left w:val="nil"/>
              <w:bottom w:val="single" w:sz="4" w:space="0" w:color="auto"/>
              <w:right w:val="single" w:sz="4" w:space="0" w:color="auto"/>
            </w:tcBorders>
            <w:noWrap/>
            <w:vAlign w:val="center"/>
            <w:hideMark/>
          </w:tcPr>
          <w:p w14:paraId="65CA91AB"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4.00</w:t>
            </w:r>
          </w:p>
        </w:tc>
        <w:tc>
          <w:tcPr>
            <w:tcW w:w="522" w:type="dxa"/>
            <w:tcBorders>
              <w:top w:val="nil"/>
              <w:left w:val="nil"/>
              <w:bottom w:val="single" w:sz="4" w:space="0" w:color="auto"/>
              <w:right w:val="single" w:sz="4" w:space="0" w:color="auto"/>
            </w:tcBorders>
            <w:noWrap/>
            <w:vAlign w:val="center"/>
            <w:hideMark/>
          </w:tcPr>
          <w:p w14:paraId="2743373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5.00</w:t>
            </w:r>
          </w:p>
        </w:tc>
        <w:tc>
          <w:tcPr>
            <w:tcW w:w="761" w:type="dxa"/>
            <w:tcBorders>
              <w:top w:val="nil"/>
              <w:left w:val="nil"/>
              <w:bottom w:val="single" w:sz="4" w:space="0" w:color="auto"/>
              <w:right w:val="single" w:sz="4" w:space="0" w:color="auto"/>
            </w:tcBorders>
            <w:noWrap/>
            <w:vAlign w:val="center"/>
            <w:hideMark/>
          </w:tcPr>
          <w:p w14:paraId="58AA40F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1.00</w:t>
            </w:r>
          </w:p>
        </w:tc>
      </w:tr>
      <w:tr w:rsidR="001C3D7D" w:rsidRPr="003F67DE" w14:paraId="3C46AA37" w14:textId="77777777" w:rsidTr="001C3D7D">
        <w:trPr>
          <w:trHeight w:val="590"/>
          <w:jc w:val="center"/>
        </w:trPr>
        <w:tc>
          <w:tcPr>
            <w:tcW w:w="985" w:type="dxa"/>
            <w:tcBorders>
              <w:top w:val="nil"/>
              <w:left w:val="single" w:sz="4" w:space="0" w:color="auto"/>
              <w:bottom w:val="single" w:sz="4" w:space="0" w:color="auto"/>
              <w:right w:val="single" w:sz="4" w:space="0" w:color="auto"/>
            </w:tcBorders>
            <w:vAlign w:val="center"/>
            <w:hideMark/>
          </w:tcPr>
          <w:p w14:paraId="015F2A69" w14:textId="77777777" w:rsidR="003F67DE" w:rsidRPr="003F67DE" w:rsidRDefault="003F67DE" w:rsidP="003F67DE">
            <w:pPr>
              <w:spacing w:after="0" w:line="240" w:lineRule="auto"/>
              <w:jc w:val="center"/>
              <w:rPr>
                <w:rFonts w:eastAsia="Times New Roman" w:cs="Times New Roman"/>
                <w:b/>
                <w:bCs/>
                <w:color w:val="000000"/>
                <w:kern w:val="0"/>
                <w:sz w:val="17"/>
                <w:szCs w:val="17"/>
                <w:lang w:bidi="ar-SA"/>
                <w14:ligatures w14:val="none"/>
              </w:rPr>
            </w:pPr>
            <w:r w:rsidRPr="003F67DE">
              <w:rPr>
                <w:rFonts w:eastAsia="Times New Roman" w:cs="Times New Roman"/>
                <w:b/>
                <w:bCs/>
                <w:color w:val="000000"/>
                <w:kern w:val="0"/>
                <w:sz w:val="17"/>
                <w:szCs w:val="17"/>
                <w:lang w:bidi="ar-SA"/>
                <w14:ligatures w14:val="none"/>
              </w:rPr>
              <w:t>Standard Deviation</w:t>
            </w:r>
          </w:p>
        </w:tc>
        <w:tc>
          <w:tcPr>
            <w:tcW w:w="522" w:type="dxa"/>
            <w:tcBorders>
              <w:top w:val="nil"/>
              <w:left w:val="nil"/>
              <w:bottom w:val="single" w:sz="4" w:space="0" w:color="auto"/>
              <w:right w:val="single" w:sz="4" w:space="0" w:color="auto"/>
            </w:tcBorders>
            <w:noWrap/>
            <w:vAlign w:val="center"/>
            <w:hideMark/>
          </w:tcPr>
          <w:p w14:paraId="3AEAA69B"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1.23</w:t>
            </w:r>
          </w:p>
        </w:tc>
        <w:tc>
          <w:tcPr>
            <w:tcW w:w="522" w:type="dxa"/>
            <w:tcBorders>
              <w:top w:val="nil"/>
              <w:left w:val="nil"/>
              <w:bottom w:val="single" w:sz="4" w:space="0" w:color="auto"/>
              <w:right w:val="single" w:sz="4" w:space="0" w:color="auto"/>
            </w:tcBorders>
            <w:noWrap/>
            <w:vAlign w:val="center"/>
            <w:hideMark/>
          </w:tcPr>
          <w:p w14:paraId="57066572"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1.42</w:t>
            </w:r>
          </w:p>
        </w:tc>
        <w:tc>
          <w:tcPr>
            <w:tcW w:w="522" w:type="dxa"/>
            <w:tcBorders>
              <w:top w:val="nil"/>
              <w:left w:val="nil"/>
              <w:bottom w:val="single" w:sz="4" w:space="0" w:color="auto"/>
              <w:right w:val="single" w:sz="4" w:space="0" w:color="auto"/>
            </w:tcBorders>
            <w:noWrap/>
            <w:vAlign w:val="center"/>
            <w:hideMark/>
          </w:tcPr>
          <w:p w14:paraId="2B6EA340"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1.26</w:t>
            </w:r>
          </w:p>
        </w:tc>
        <w:tc>
          <w:tcPr>
            <w:tcW w:w="522" w:type="dxa"/>
            <w:tcBorders>
              <w:top w:val="nil"/>
              <w:left w:val="nil"/>
              <w:bottom w:val="single" w:sz="4" w:space="0" w:color="auto"/>
              <w:right w:val="single" w:sz="4" w:space="0" w:color="auto"/>
            </w:tcBorders>
            <w:noWrap/>
            <w:vAlign w:val="center"/>
            <w:hideMark/>
          </w:tcPr>
          <w:p w14:paraId="4E79AA1D"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0.49</w:t>
            </w:r>
          </w:p>
        </w:tc>
        <w:tc>
          <w:tcPr>
            <w:tcW w:w="522" w:type="dxa"/>
            <w:tcBorders>
              <w:top w:val="nil"/>
              <w:left w:val="nil"/>
              <w:bottom w:val="single" w:sz="4" w:space="0" w:color="auto"/>
              <w:right w:val="single" w:sz="4" w:space="0" w:color="auto"/>
            </w:tcBorders>
            <w:noWrap/>
            <w:vAlign w:val="center"/>
            <w:hideMark/>
          </w:tcPr>
          <w:p w14:paraId="2C7FE88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1.10</w:t>
            </w:r>
          </w:p>
        </w:tc>
        <w:tc>
          <w:tcPr>
            <w:tcW w:w="522" w:type="dxa"/>
            <w:tcBorders>
              <w:top w:val="nil"/>
              <w:left w:val="nil"/>
              <w:bottom w:val="single" w:sz="4" w:space="0" w:color="auto"/>
              <w:right w:val="single" w:sz="4" w:space="0" w:color="auto"/>
            </w:tcBorders>
            <w:noWrap/>
            <w:vAlign w:val="center"/>
            <w:hideMark/>
          </w:tcPr>
          <w:p w14:paraId="4208ACFB"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1.17</w:t>
            </w:r>
          </w:p>
        </w:tc>
        <w:tc>
          <w:tcPr>
            <w:tcW w:w="522" w:type="dxa"/>
            <w:tcBorders>
              <w:top w:val="nil"/>
              <w:left w:val="nil"/>
              <w:bottom w:val="single" w:sz="4" w:space="0" w:color="auto"/>
              <w:right w:val="single" w:sz="4" w:space="0" w:color="auto"/>
            </w:tcBorders>
            <w:noWrap/>
            <w:vAlign w:val="center"/>
            <w:hideMark/>
          </w:tcPr>
          <w:p w14:paraId="61E0F186"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1.35</w:t>
            </w:r>
          </w:p>
        </w:tc>
        <w:tc>
          <w:tcPr>
            <w:tcW w:w="522" w:type="dxa"/>
            <w:tcBorders>
              <w:top w:val="nil"/>
              <w:left w:val="nil"/>
              <w:bottom w:val="single" w:sz="4" w:space="0" w:color="auto"/>
              <w:right w:val="single" w:sz="4" w:space="0" w:color="auto"/>
            </w:tcBorders>
            <w:noWrap/>
            <w:vAlign w:val="center"/>
            <w:hideMark/>
          </w:tcPr>
          <w:p w14:paraId="0D9E8171"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0.49</w:t>
            </w:r>
          </w:p>
        </w:tc>
        <w:tc>
          <w:tcPr>
            <w:tcW w:w="522" w:type="dxa"/>
            <w:tcBorders>
              <w:top w:val="nil"/>
              <w:left w:val="nil"/>
              <w:bottom w:val="single" w:sz="4" w:space="0" w:color="auto"/>
              <w:right w:val="single" w:sz="4" w:space="0" w:color="auto"/>
            </w:tcBorders>
            <w:noWrap/>
            <w:vAlign w:val="center"/>
            <w:hideMark/>
          </w:tcPr>
          <w:p w14:paraId="14D884C6"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1.16</w:t>
            </w:r>
          </w:p>
        </w:tc>
        <w:tc>
          <w:tcPr>
            <w:tcW w:w="522" w:type="dxa"/>
            <w:tcBorders>
              <w:top w:val="nil"/>
              <w:left w:val="nil"/>
              <w:bottom w:val="single" w:sz="4" w:space="0" w:color="auto"/>
              <w:right w:val="single" w:sz="4" w:space="0" w:color="auto"/>
            </w:tcBorders>
            <w:noWrap/>
            <w:vAlign w:val="center"/>
            <w:hideMark/>
          </w:tcPr>
          <w:p w14:paraId="516A66A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1.19</w:t>
            </w:r>
          </w:p>
        </w:tc>
        <w:tc>
          <w:tcPr>
            <w:tcW w:w="522" w:type="dxa"/>
            <w:tcBorders>
              <w:top w:val="nil"/>
              <w:left w:val="nil"/>
              <w:bottom w:val="single" w:sz="4" w:space="0" w:color="auto"/>
              <w:right w:val="single" w:sz="4" w:space="0" w:color="auto"/>
            </w:tcBorders>
            <w:noWrap/>
            <w:vAlign w:val="center"/>
            <w:hideMark/>
          </w:tcPr>
          <w:p w14:paraId="79F14D37"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1.26</w:t>
            </w:r>
          </w:p>
        </w:tc>
        <w:tc>
          <w:tcPr>
            <w:tcW w:w="522" w:type="dxa"/>
            <w:tcBorders>
              <w:top w:val="nil"/>
              <w:left w:val="nil"/>
              <w:bottom w:val="single" w:sz="4" w:space="0" w:color="auto"/>
              <w:right w:val="single" w:sz="4" w:space="0" w:color="auto"/>
            </w:tcBorders>
            <w:noWrap/>
            <w:vAlign w:val="center"/>
            <w:hideMark/>
          </w:tcPr>
          <w:p w14:paraId="392C1F6E"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0.50</w:t>
            </w:r>
          </w:p>
        </w:tc>
        <w:tc>
          <w:tcPr>
            <w:tcW w:w="522" w:type="dxa"/>
            <w:tcBorders>
              <w:top w:val="nil"/>
              <w:left w:val="nil"/>
              <w:bottom w:val="single" w:sz="4" w:space="0" w:color="auto"/>
              <w:right w:val="single" w:sz="4" w:space="0" w:color="auto"/>
            </w:tcBorders>
            <w:noWrap/>
            <w:vAlign w:val="center"/>
            <w:hideMark/>
          </w:tcPr>
          <w:p w14:paraId="6CBEA0E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1.17</w:t>
            </w:r>
          </w:p>
        </w:tc>
        <w:tc>
          <w:tcPr>
            <w:tcW w:w="522" w:type="dxa"/>
            <w:tcBorders>
              <w:top w:val="nil"/>
              <w:left w:val="nil"/>
              <w:bottom w:val="single" w:sz="4" w:space="0" w:color="auto"/>
              <w:right w:val="single" w:sz="4" w:space="0" w:color="auto"/>
            </w:tcBorders>
            <w:noWrap/>
            <w:vAlign w:val="center"/>
            <w:hideMark/>
          </w:tcPr>
          <w:p w14:paraId="682F342D"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1.31</w:t>
            </w:r>
          </w:p>
        </w:tc>
        <w:tc>
          <w:tcPr>
            <w:tcW w:w="522" w:type="dxa"/>
            <w:tcBorders>
              <w:top w:val="nil"/>
              <w:left w:val="nil"/>
              <w:bottom w:val="single" w:sz="4" w:space="0" w:color="auto"/>
              <w:right w:val="single" w:sz="4" w:space="0" w:color="auto"/>
            </w:tcBorders>
            <w:noWrap/>
            <w:vAlign w:val="center"/>
            <w:hideMark/>
          </w:tcPr>
          <w:p w14:paraId="75F18B2B"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1.32</w:t>
            </w:r>
          </w:p>
        </w:tc>
        <w:tc>
          <w:tcPr>
            <w:tcW w:w="522" w:type="dxa"/>
            <w:tcBorders>
              <w:top w:val="nil"/>
              <w:left w:val="nil"/>
              <w:bottom w:val="single" w:sz="4" w:space="0" w:color="auto"/>
              <w:right w:val="single" w:sz="4" w:space="0" w:color="auto"/>
            </w:tcBorders>
            <w:noWrap/>
            <w:vAlign w:val="center"/>
            <w:hideMark/>
          </w:tcPr>
          <w:p w14:paraId="4E74F53E"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0.50</w:t>
            </w:r>
          </w:p>
        </w:tc>
        <w:tc>
          <w:tcPr>
            <w:tcW w:w="522" w:type="dxa"/>
            <w:tcBorders>
              <w:top w:val="nil"/>
              <w:left w:val="nil"/>
              <w:bottom w:val="single" w:sz="4" w:space="0" w:color="auto"/>
              <w:right w:val="single" w:sz="4" w:space="0" w:color="auto"/>
            </w:tcBorders>
            <w:noWrap/>
            <w:vAlign w:val="center"/>
            <w:hideMark/>
          </w:tcPr>
          <w:p w14:paraId="77F138D7"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1.17</w:t>
            </w:r>
          </w:p>
        </w:tc>
        <w:tc>
          <w:tcPr>
            <w:tcW w:w="522" w:type="dxa"/>
            <w:tcBorders>
              <w:top w:val="nil"/>
              <w:left w:val="nil"/>
              <w:bottom w:val="single" w:sz="4" w:space="0" w:color="auto"/>
              <w:right w:val="single" w:sz="4" w:space="0" w:color="auto"/>
            </w:tcBorders>
            <w:noWrap/>
            <w:vAlign w:val="center"/>
            <w:hideMark/>
          </w:tcPr>
          <w:p w14:paraId="7C1E90D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1.11</w:t>
            </w:r>
          </w:p>
        </w:tc>
        <w:tc>
          <w:tcPr>
            <w:tcW w:w="522" w:type="dxa"/>
            <w:tcBorders>
              <w:top w:val="nil"/>
              <w:left w:val="nil"/>
              <w:bottom w:val="single" w:sz="4" w:space="0" w:color="auto"/>
              <w:right w:val="single" w:sz="4" w:space="0" w:color="auto"/>
            </w:tcBorders>
            <w:noWrap/>
            <w:vAlign w:val="center"/>
            <w:hideMark/>
          </w:tcPr>
          <w:p w14:paraId="3BA7179E"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1.11</w:t>
            </w:r>
          </w:p>
        </w:tc>
        <w:tc>
          <w:tcPr>
            <w:tcW w:w="761" w:type="dxa"/>
            <w:tcBorders>
              <w:top w:val="nil"/>
              <w:left w:val="nil"/>
              <w:bottom w:val="single" w:sz="4" w:space="0" w:color="auto"/>
              <w:right w:val="single" w:sz="4" w:space="0" w:color="auto"/>
            </w:tcBorders>
            <w:noWrap/>
            <w:vAlign w:val="center"/>
            <w:hideMark/>
          </w:tcPr>
          <w:p w14:paraId="1441D2F5"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0.48</w:t>
            </w:r>
          </w:p>
        </w:tc>
      </w:tr>
      <w:tr w:rsidR="001C3D7D" w:rsidRPr="003F67DE" w14:paraId="1FF278D2" w14:textId="77777777" w:rsidTr="001C3D7D">
        <w:trPr>
          <w:trHeight w:val="590"/>
          <w:jc w:val="center"/>
        </w:trPr>
        <w:tc>
          <w:tcPr>
            <w:tcW w:w="985" w:type="dxa"/>
            <w:tcBorders>
              <w:top w:val="nil"/>
              <w:left w:val="single" w:sz="4" w:space="0" w:color="auto"/>
              <w:bottom w:val="single" w:sz="4" w:space="0" w:color="auto"/>
              <w:right w:val="single" w:sz="4" w:space="0" w:color="auto"/>
            </w:tcBorders>
            <w:vAlign w:val="center"/>
            <w:hideMark/>
          </w:tcPr>
          <w:p w14:paraId="7DFCD612" w14:textId="77777777" w:rsidR="003F67DE" w:rsidRPr="003F67DE" w:rsidRDefault="003F67DE" w:rsidP="003F67DE">
            <w:pPr>
              <w:spacing w:after="0" w:line="240" w:lineRule="auto"/>
              <w:jc w:val="center"/>
              <w:rPr>
                <w:rFonts w:eastAsia="Times New Roman" w:cs="Times New Roman"/>
                <w:b/>
                <w:bCs/>
                <w:color w:val="000000"/>
                <w:kern w:val="0"/>
                <w:sz w:val="17"/>
                <w:szCs w:val="17"/>
                <w:lang w:bidi="ar-SA"/>
                <w14:ligatures w14:val="none"/>
              </w:rPr>
            </w:pPr>
            <w:r w:rsidRPr="003F67DE">
              <w:rPr>
                <w:rFonts w:eastAsia="Times New Roman" w:cs="Times New Roman"/>
                <w:b/>
                <w:bCs/>
                <w:color w:val="000000"/>
                <w:kern w:val="0"/>
                <w:sz w:val="17"/>
                <w:szCs w:val="17"/>
                <w:lang w:bidi="ar-SA"/>
                <w14:ligatures w14:val="none"/>
              </w:rPr>
              <w:lastRenderedPageBreak/>
              <w:t>Sample Variance</w:t>
            </w:r>
          </w:p>
        </w:tc>
        <w:tc>
          <w:tcPr>
            <w:tcW w:w="522" w:type="dxa"/>
            <w:tcBorders>
              <w:top w:val="nil"/>
              <w:left w:val="nil"/>
              <w:bottom w:val="single" w:sz="4" w:space="0" w:color="auto"/>
              <w:right w:val="single" w:sz="4" w:space="0" w:color="auto"/>
            </w:tcBorders>
            <w:noWrap/>
            <w:vAlign w:val="center"/>
            <w:hideMark/>
          </w:tcPr>
          <w:p w14:paraId="67AD656D"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1.51</w:t>
            </w:r>
          </w:p>
        </w:tc>
        <w:tc>
          <w:tcPr>
            <w:tcW w:w="522" w:type="dxa"/>
            <w:tcBorders>
              <w:top w:val="nil"/>
              <w:left w:val="nil"/>
              <w:bottom w:val="single" w:sz="4" w:space="0" w:color="auto"/>
              <w:right w:val="single" w:sz="4" w:space="0" w:color="auto"/>
            </w:tcBorders>
            <w:noWrap/>
            <w:vAlign w:val="center"/>
            <w:hideMark/>
          </w:tcPr>
          <w:p w14:paraId="0218EE3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2.00</w:t>
            </w:r>
          </w:p>
        </w:tc>
        <w:tc>
          <w:tcPr>
            <w:tcW w:w="522" w:type="dxa"/>
            <w:tcBorders>
              <w:top w:val="nil"/>
              <w:left w:val="nil"/>
              <w:bottom w:val="single" w:sz="4" w:space="0" w:color="auto"/>
              <w:right w:val="single" w:sz="4" w:space="0" w:color="auto"/>
            </w:tcBorders>
            <w:noWrap/>
            <w:vAlign w:val="center"/>
            <w:hideMark/>
          </w:tcPr>
          <w:p w14:paraId="1177E291"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1.58</w:t>
            </w:r>
          </w:p>
        </w:tc>
        <w:tc>
          <w:tcPr>
            <w:tcW w:w="522" w:type="dxa"/>
            <w:tcBorders>
              <w:top w:val="nil"/>
              <w:left w:val="nil"/>
              <w:bottom w:val="single" w:sz="4" w:space="0" w:color="auto"/>
              <w:right w:val="single" w:sz="4" w:space="0" w:color="auto"/>
            </w:tcBorders>
            <w:noWrap/>
            <w:vAlign w:val="center"/>
            <w:hideMark/>
          </w:tcPr>
          <w:p w14:paraId="3F3B90B2"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0.24</w:t>
            </w:r>
          </w:p>
        </w:tc>
        <w:tc>
          <w:tcPr>
            <w:tcW w:w="522" w:type="dxa"/>
            <w:tcBorders>
              <w:top w:val="nil"/>
              <w:left w:val="nil"/>
              <w:bottom w:val="single" w:sz="4" w:space="0" w:color="auto"/>
              <w:right w:val="single" w:sz="4" w:space="0" w:color="auto"/>
            </w:tcBorders>
            <w:noWrap/>
            <w:vAlign w:val="center"/>
            <w:hideMark/>
          </w:tcPr>
          <w:p w14:paraId="6B2ADA1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1.22</w:t>
            </w:r>
          </w:p>
        </w:tc>
        <w:tc>
          <w:tcPr>
            <w:tcW w:w="522" w:type="dxa"/>
            <w:tcBorders>
              <w:top w:val="nil"/>
              <w:left w:val="nil"/>
              <w:bottom w:val="single" w:sz="4" w:space="0" w:color="auto"/>
              <w:right w:val="single" w:sz="4" w:space="0" w:color="auto"/>
            </w:tcBorders>
            <w:noWrap/>
            <w:vAlign w:val="center"/>
            <w:hideMark/>
          </w:tcPr>
          <w:p w14:paraId="65FDDE53"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1.37</w:t>
            </w:r>
          </w:p>
        </w:tc>
        <w:tc>
          <w:tcPr>
            <w:tcW w:w="522" w:type="dxa"/>
            <w:tcBorders>
              <w:top w:val="nil"/>
              <w:left w:val="nil"/>
              <w:bottom w:val="single" w:sz="4" w:space="0" w:color="auto"/>
              <w:right w:val="single" w:sz="4" w:space="0" w:color="auto"/>
            </w:tcBorders>
            <w:noWrap/>
            <w:vAlign w:val="center"/>
            <w:hideMark/>
          </w:tcPr>
          <w:p w14:paraId="5747100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1.82</w:t>
            </w:r>
          </w:p>
        </w:tc>
        <w:tc>
          <w:tcPr>
            <w:tcW w:w="522" w:type="dxa"/>
            <w:tcBorders>
              <w:top w:val="nil"/>
              <w:left w:val="nil"/>
              <w:bottom w:val="single" w:sz="4" w:space="0" w:color="auto"/>
              <w:right w:val="single" w:sz="4" w:space="0" w:color="auto"/>
            </w:tcBorders>
            <w:noWrap/>
            <w:vAlign w:val="center"/>
            <w:hideMark/>
          </w:tcPr>
          <w:p w14:paraId="5C3FFD98"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0.24</w:t>
            </w:r>
          </w:p>
        </w:tc>
        <w:tc>
          <w:tcPr>
            <w:tcW w:w="522" w:type="dxa"/>
            <w:tcBorders>
              <w:top w:val="nil"/>
              <w:left w:val="nil"/>
              <w:bottom w:val="single" w:sz="4" w:space="0" w:color="auto"/>
              <w:right w:val="single" w:sz="4" w:space="0" w:color="auto"/>
            </w:tcBorders>
            <w:noWrap/>
            <w:vAlign w:val="center"/>
            <w:hideMark/>
          </w:tcPr>
          <w:p w14:paraId="1DF08A82"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1.34</w:t>
            </w:r>
          </w:p>
        </w:tc>
        <w:tc>
          <w:tcPr>
            <w:tcW w:w="522" w:type="dxa"/>
            <w:tcBorders>
              <w:top w:val="nil"/>
              <w:left w:val="nil"/>
              <w:bottom w:val="single" w:sz="4" w:space="0" w:color="auto"/>
              <w:right w:val="single" w:sz="4" w:space="0" w:color="auto"/>
            </w:tcBorders>
            <w:noWrap/>
            <w:vAlign w:val="center"/>
            <w:hideMark/>
          </w:tcPr>
          <w:p w14:paraId="2FFE725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1.42</w:t>
            </w:r>
          </w:p>
        </w:tc>
        <w:tc>
          <w:tcPr>
            <w:tcW w:w="522" w:type="dxa"/>
            <w:tcBorders>
              <w:top w:val="nil"/>
              <w:left w:val="nil"/>
              <w:bottom w:val="single" w:sz="4" w:space="0" w:color="auto"/>
              <w:right w:val="single" w:sz="4" w:space="0" w:color="auto"/>
            </w:tcBorders>
            <w:noWrap/>
            <w:vAlign w:val="center"/>
            <w:hideMark/>
          </w:tcPr>
          <w:p w14:paraId="4F7580F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1.60</w:t>
            </w:r>
          </w:p>
        </w:tc>
        <w:tc>
          <w:tcPr>
            <w:tcW w:w="522" w:type="dxa"/>
            <w:tcBorders>
              <w:top w:val="nil"/>
              <w:left w:val="nil"/>
              <w:bottom w:val="single" w:sz="4" w:space="0" w:color="auto"/>
              <w:right w:val="single" w:sz="4" w:space="0" w:color="auto"/>
            </w:tcBorders>
            <w:noWrap/>
            <w:vAlign w:val="center"/>
            <w:hideMark/>
          </w:tcPr>
          <w:p w14:paraId="69E2871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0.25</w:t>
            </w:r>
          </w:p>
        </w:tc>
        <w:tc>
          <w:tcPr>
            <w:tcW w:w="522" w:type="dxa"/>
            <w:tcBorders>
              <w:top w:val="nil"/>
              <w:left w:val="nil"/>
              <w:bottom w:val="single" w:sz="4" w:space="0" w:color="auto"/>
              <w:right w:val="single" w:sz="4" w:space="0" w:color="auto"/>
            </w:tcBorders>
            <w:noWrap/>
            <w:vAlign w:val="center"/>
            <w:hideMark/>
          </w:tcPr>
          <w:p w14:paraId="32661A2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1.38</w:t>
            </w:r>
          </w:p>
        </w:tc>
        <w:tc>
          <w:tcPr>
            <w:tcW w:w="522" w:type="dxa"/>
            <w:tcBorders>
              <w:top w:val="nil"/>
              <w:left w:val="nil"/>
              <w:bottom w:val="single" w:sz="4" w:space="0" w:color="auto"/>
              <w:right w:val="single" w:sz="4" w:space="0" w:color="auto"/>
            </w:tcBorders>
            <w:noWrap/>
            <w:vAlign w:val="center"/>
            <w:hideMark/>
          </w:tcPr>
          <w:p w14:paraId="12065A55"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1.73</w:t>
            </w:r>
          </w:p>
        </w:tc>
        <w:tc>
          <w:tcPr>
            <w:tcW w:w="522" w:type="dxa"/>
            <w:tcBorders>
              <w:top w:val="nil"/>
              <w:left w:val="nil"/>
              <w:bottom w:val="single" w:sz="4" w:space="0" w:color="auto"/>
              <w:right w:val="single" w:sz="4" w:space="0" w:color="auto"/>
            </w:tcBorders>
            <w:noWrap/>
            <w:vAlign w:val="center"/>
            <w:hideMark/>
          </w:tcPr>
          <w:p w14:paraId="18C434A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1.73</w:t>
            </w:r>
          </w:p>
        </w:tc>
        <w:tc>
          <w:tcPr>
            <w:tcW w:w="522" w:type="dxa"/>
            <w:tcBorders>
              <w:top w:val="nil"/>
              <w:left w:val="nil"/>
              <w:bottom w:val="single" w:sz="4" w:space="0" w:color="auto"/>
              <w:right w:val="single" w:sz="4" w:space="0" w:color="auto"/>
            </w:tcBorders>
            <w:noWrap/>
            <w:vAlign w:val="center"/>
            <w:hideMark/>
          </w:tcPr>
          <w:p w14:paraId="3A242F2D"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0.25</w:t>
            </w:r>
          </w:p>
        </w:tc>
        <w:tc>
          <w:tcPr>
            <w:tcW w:w="522" w:type="dxa"/>
            <w:tcBorders>
              <w:top w:val="nil"/>
              <w:left w:val="nil"/>
              <w:bottom w:val="single" w:sz="4" w:space="0" w:color="auto"/>
              <w:right w:val="single" w:sz="4" w:space="0" w:color="auto"/>
            </w:tcBorders>
            <w:noWrap/>
            <w:vAlign w:val="center"/>
            <w:hideMark/>
          </w:tcPr>
          <w:p w14:paraId="1932A2A6"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1.37</w:t>
            </w:r>
          </w:p>
        </w:tc>
        <w:tc>
          <w:tcPr>
            <w:tcW w:w="522" w:type="dxa"/>
            <w:tcBorders>
              <w:top w:val="nil"/>
              <w:left w:val="nil"/>
              <w:bottom w:val="single" w:sz="4" w:space="0" w:color="auto"/>
              <w:right w:val="single" w:sz="4" w:space="0" w:color="auto"/>
            </w:tcBorders>
            <w:noWrap/>
            <w:vAlign w:val="center"/>
            <w:hideMark/>
          </w:tcPr>
          <w:p w14:paraId="469670D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1.23</w:t>
            </w:r>
          </w:p>
        </w:tc>
        <w:tc>
          <w:tcPr>
            <w:tcW w:w="522" w:type="dxa"/>
            <w:tcBorders>
              <w:top w:val="nil"/>
              <w:left w:val="nil"/>
              <w:bottom w:val="single" w:sz="4" w:space="0" w:color="auto"/>
              <w:right w:val="single" w:sz="4" w:space="0" w:color="auto"/>
            </w:tcBorders>
            <w:noWrap/>
            <w:vAlign w:val="center"/>
            <w:hideMark/>
          </w:tcPr>
          <w:p w14:paraId="14743E07"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1.23</w:t>
            </w:r>
          </w:p>
        </w:tc>
        <w:tc>
          <w:tcPr>
            <w:tcW w:w="761" w:type="dxa"/>
            <w:tcBorders>
              <w:top w:val="nil"/>
              <w:left w:val="nil"/>
              <w:bottom w:val="single" w:sz="4" w:space="0" w:color="auto"/>
              <w:right w:val="single" w:sz="4" w:space="0" w:color="auto"/>
            </w:tcBorders>
            <w:noWrap/>
            <w:vAlign w:val="center"/>
            <w:hideMark/>
          </w:tcPr>
          <w:p w14:paraId="4A7C5C6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0.24</w:t>
            </w:r>
          </w:p>
        </w:tc>
      </w:tr>
      <w:tr w:rsidR="001C3D7D" w:rsidRPr="003F67DE" w14:paraId="22432461" w14:textId="77777777" w:rsidTr="001C3D7D">
        <w:trPr>
          <w:trHeight w:val="346"/>
          <w:jc w:val="center"/>
        </w:trPr>
        <w:tc>
          <w:tcPr>
            <w:tcW w:w="985" w:type="dxa"/>
            <w:tcBorders>
              <w:top w:val="nil"/>
              <w:left w:val="single" w:sz="4" w:space="0" w:color="auto"/>
              <w:bottom w:val="single" w:sz="4" w:space="0" w:color="auto"/>
              <w:right w:val="single" w:sz="4" w:space="0" w:color="auto"/>
            </w:tcBorders>
            <w:vAlign w:val="center"/>
            <w:hideMark/>
          </w:tcPr>
          <w:p w14:paraId="3411E51C" w14:textId="77777777" w:rsidR="003F67DE" w:rsidRPr="003F67DE" w:rsidRDefault="003F67DE" w:rsidP="003F67DE">
            <w:pPr>
              <w:spacing w:after="0" w:line="240" w:lineRule="auto"/>
              <w:jc w:val="center"/>
              <w:rPr>
                <w:rFonts w:eastAsia="Times New Roman" w:cs="Times New Roman"/>
                <w:b/>
                <w:bCs/>
                <w:color w:val="000000"/>
                <w:kern w:val="0"/>
                <w:sz w:val="17"/>
                <w:szCs w:val="17"/>
                <w:lang w:bidi="ar-SA"/>
                <w14:ligatures w14:val="none"/>
              </w:rPr>
            </w:pPr>
            <w:r w:rsidRPr="003F67DE">
              <w:rPr>
                <w:rFonts w:eastAsia="Times New Roman" w:cs="Times New Roman"/>
                <w:b/>
                <w:bCs/>
                <w:color w:val="000000"/>
                <w:kern w:val="0"/>
                <w:sz w:val="17"/>
                <w:szCs w:val="17"/>
                <w:lang w:bidi="ar-SA"/>
                <w14:ligatures w14:val="none"/>
              </w:rPr>
              <w:t>Kurtosis</w:t>
            </w:r>
          </w:p>
        </w:tc>
        <w:tc>
          <w:tcPr>
            <w:tcW w:w="522" w:type="dxa"/>
            <w:tcBorders>
              <w:top w:val="nil"/>
              <w:left w:val="nil"/>
              <w:bottom w:val="single" w:sz="4" w:space="0" w:color="auto"/>
              <w:right w:val="single" w:sz="4" w:space="0" w:color="auto"/>
            </w:tcBorders>
            <w:noWrap/>
            <w:vAlign w:val="center"/>
            <w:hideMark/>
          </w:tcPr>
          <w:p w14:paraId="2D8F2E5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-0.73</w:t>
            </w:r>
          </w:p>
        </w:tc>
        <w:tc>
          <w:tcPr>
            <w:tcW w:w="522" w:type="dxa"/>
            <w:tcBorders>
              <w:top w:val="nil"/>
              <w:left w:val="nil"/>
              <w:bottom w:val="single" w:sz="4" w:space="0" w:color="auto"/>
              <w:right w:val="single" w:sz="4" w:space="0" w:color="auto"/>
            </w:tcBorders>
            <w:noWrap/>
            <w:vAlign w:val="center"/>
            <w:hideMark/>
          </w:tcPr>
          <w:p w14:paraId="68F1071B"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-0.95</w:t>
            </w:r>
          </w:p>
        </w:tc>
        <w:tc>
          <w:tcPr>
            <w:tcW w:w="522" w:type="dxa"/>
            <w:tcBorders>
              <w:top w:val="nil"/>
              <w:left w:val="nil"/>
              <w:bottom w:val="single" w:sz="4" w:space="0" w:color="auto"/>
              <w:right w:val="single" w:sz="4" w:space="0" w:color="auto"/>
            </w:tcBorders>
            <w:noWrap/>
            <w:vAlign w:val="center"/>
            <w:hideMark/>
          </w:tcPr>
          <w:p w14:paraId="01AA98A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-0.62</w:t>
            </w:r>
          </w:p>
        </w:tc>
        <w:tc>
          <w:tcPr>
            <w:tcW w:w="522" w:type="dxa"/>
            <w:tcBorders>
              <w:top w:val="nil"/>
              <w:left w:val="nil"/>
              <w:bottom w:val="single" w:sz="4" w:space="0" w:color="auto"/>
              <w:right w:val="single" w:sz="4" w:space="0" w:color="auto"/>
            </w:tcBorders>
            <w:noWrap/>
            <w:vAlign w:val="center"/>
            <w:hideMark/>
          </w:tcPr>
          <w:p w14:paraId="08AF5CE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-1.85</w:t>
            </w:r>
          </w:p>
        </w:tc>
        <w:tc>
          <w:tcPr>
            <w:tcW w:w="522" w:type="dxa"/>
            <w:tcBorders>
              <w:top w:val="nil"/>
              <w:left w:val="nil"/>
              <w:bottom w:val="single" w:sz="4" w:space="0" w:color="auto"/>
              <w:right w:val="single" w:sz="4" w:space="0" w:color="auto"/>
            </w:tcBorders>
            <w:noWrap/>
            <w:vAlign w:val="center"/>
            <w:hideMark/>
          </w:tcPr>
          <w:p w14:paraId="4A8C6ED3"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0.42</w:t>
            </w:r>
          </w:p>
        </w:tc>
        <w:tc>
          <w:tcPr>
            <w:tcW w:w="522" w:type="dxa"/>
            <w:tcBorders>
              <w:top w:val="nil"/>
              <w:left w:val="nil"/>
              <w:bottom w:val="single" w:sz="4" w:space="0" w:color="auto"/>
              <w:right w:val="single" w:sz="4" w:space="0" w:color="auto"/>
            </w:tcBorders>
            <w:noWrap/>
            <w:vAlign w:val="center"/>
            <w:hideMark/>
          </w:tcPr>
          <w:p w14:paraId="0884821E"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-0.23</w:t>
            </w:r>
          </w:p>
        </w:tc>
        <w:tc>
          <w:tcPr>
            <w:tcW w:w="522" w:type="dxa"/>
            <w:tcBorders>
              <w:top w:val="nil"/>
              <w:left w:val="nil"/>
              <w:bottom w:val="single" w:sz="4" w:space="0" w:color="auto"/>
              <w:right w:val="single" w:sz="4" w:space="0" w:color="auto"/>
            </w:tcBorders>
            <w:noWrap/>
            <w:vAlign w:val="center"/>
            <w:hideMark/>
          </w:tcPr>
          <w:p w14:paraId="5E806B8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-1.02</w:t>
            </w:r>
          </w:p>
        </w:tc>
        <w:tc>
          <w:tcPr>
            <w:tcW w:w="522" w:type="dxa"/>
            <w:tcBorders>
              <w:top w:val="nil"/>
              <w:left w:val="nil"/>
              <w:bottom w:val="single" w:sz="4" w:space="0" w:color="auto"/>
              <w:right w:val="single" w:sz="4" w:space="0" w:color="auto"/>
            </w:tcBorders>
            <w:noWrap/>
            <w:vAlign w:val="center"/>
            <w:hideMark/>
          </w:tcPr>
          <w:p w14:paraId="7FAAD1F7"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-1.87</w:t>
            </w:r>
          </w:p>
        </w:tc>
        <w:tc>
          <w:tcPr>
            <w:tcW w:w="522" w:type="dxa"/>
            <w:tcBorders>
              <w:top w:val="nil"/>
              <w:left w:val="nil"/>
              <w:bottom w:val="single" w:sz="4" w:space="0" w:color="auto"/>
              <w:right w:val="single" w:sz="4" w:space="0" w:color="auto"/>
            </w:tcBorders>
            <w:noWrap/>
            <w:vAlign w:val="center"/>
            <w:hideMark/>
          </w:tcPr>
          <w:p w14:paraId="5745F773"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-0.07</w:t>
            </w:r>
          </w:p>
        </w:tc>
        <w:tc>
          <w:tcPr>
            <w:tcW w:w="522" w:type="dxa"/>
            <w:tcBorders>
              <w:top w:val="nil"/>
              <w:left w:val="nil"/>
              <w:bottom w:val="single" w:sz="4" w:space="0" w:color="auto"/>
              <w:right w:val="single" w:sz="4" w:space="0" w:color="auto"/>
            </w:tcBorders>
            <w:noWrap/>
            <w:vAlign w:val="center"/>
            <w:hideMark/>
          </w:tcPr>
          <w:p w14:paraId="3232E765"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0.44</w:t>
            </w:r>
          </w:p>
        </w:tc>
        <w:tc>
          <w:tcPr>
            <w:tcW w:w="522" w:type="dxa"/>
            <w:tcBorders>
              <w:top w:val="nil"/>
              <w:left w:val="nil"/>
              <w:bottom w:val="single" w:sz="4" w:space="0" w:color="auto"/>
              <w:right w:val="single" w:sz="4" w:space="0" w:color="auto"/>
            </w:tcBorders>
            <w:noWrap/>
            <w:vAlign w:val="center"/>
            <w:hideMark/>
          </w:tcPr>
          <w:p w14:paraId="65E3E7C1"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-0.98</w:t>
            </w:r>
          </w:p>
        </w:tc>
        <w:tc>
          <w:tcPr>
            <w:tcW w:w="522" w:type="dxa"/>
            <w:tcBorders>
              <w:top w:val="nil"/>
              <w:left w:val="nil"/>
              <w:bottom w:val="single" w:sz="4" w:space="0" w:color="auto"/>
              <w:right w:val="single" w:sz="4" w:space="0" w:color="auto"/>
            </w:tcBorders>
            <w:noWrap/>
            <w:vAlign w:val="center"/>
            <w:hideMark/>
          </w:tcPr>
          <w:p w14:paraId="733EBDB0"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-2.02</w:t>
            </w:r>
          </w:p>
        </w:tc>
        <w:tc>
          <w:tcPr>
            <w:tcW w:w="522" w:type="dxa"/>
            <w:tcBorders>
              <w:top w:val="nil"/>
              <w:left w:val="nil"/>
              <w:bottom w:val="single" w:sz="4" w:space="0" w:color="auto"/>
              <w:right w:val="single" w:sz="4" w:space="0" w:color="auto"/>
            </w:tcBorders>
            <w:noWrap/>
            <w:vAlign w:val="center"/>
            <w:hideMark/>
          </w:tcPr>
          <w:p w14:paraId="48FFFC5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-0.42</w:t>
            </w:r>
          </w:p>
        </w:tc>
        <w:tc>
          <w:tcPr>
            <w:tcW w:w="522" w:type="dxa"/>
            <w:tcBorders>
              <w:top w:val="nil"/>
              <w:left w:val="nil"/>
              <w:bottom w:val="single" w:sz="4" w:space="0" w:color="auto"/>
              <w:right w:val="single" w:sz="4" w:space="0" w:color="auto"/>
            </w:tcBorders>
            <w:noWrap/>
            <w:vAlign w:val="center"/>
            <w:hideMark/>
          </w:tcPr>
          <w:p w14:paraId="1F7FF1DE"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-0.86</w:t>
            </w:r>
          </w:p>
        </w:tc>
        <w:tc>
          <w:tcPr>
            <w:tcW w:w="522" w:type="dxa"/>
            <w:tcBorders>
              <w:top w:val="nil"/>
              <w:left w:val="nil"/>
              <w:bottom w:val="single" w:sz="4" w:space="0" w:color="auto"/>
              <w:right w:val="single" w:sz="4" w:space="0" w:color="auto"/>
            </w:tcBorders>
            <w:noWrap/>
            <w:vAlign w:val="center"/>
            <w:hideMark/>
          </w:tcPr>
          <w:p w14:paraId="0A6E92D7"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-0.95</w:t>
            </w:r>
          </w:p>
        </w:tc>
        <w:tc>
          <w:tcPr>
            <w:tcW w:w="522" w:type="dxa"/>
            <w:tcBorders>
              <w:top w:val="nil"/>
              <w:left w:val="nil"/>
              <w:bottom w:val="single" w:sz="4" w:space="0" w:color="auto"/>
              <w:right w:val="single" w:sz="4" w:space="0" w:color="auto"/>
            </w:tcBorders>
            <w:noWrap/>
            <w:vAlign w:val="center"/>
            <w:hideMark/>
          </w:tcPr>
          <w:p w14:paraId="4F03F6A1"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-2.02</w:t>
            </w:r>
          </w:p>
        </w:tc>
        <w:tc>
          <w:tcPr>
            <w:tcW w:w="522" w:type="dxa"/>
            <w:tcBorders>
              <w:top w:val="nil"/>
              <w:left w:val="nil"/>
              <w:bottom w:val="single" w:sz="4" w:space="0" w:color="auto"/>
              <w:right w:val="single" w:sz="4" w:space="0" w:color="auto"/>
            </w:tcBorders>
            <w:noWrap/>
            <w:vAlign w:val="center"/>
            <w:hideMark/>
          </w:tcPr>
          <w:p w14:paraId="661964FD"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-0.06</w:t>
            </w:r>
          </w:p>
        </w:tc>
        <w:tc>
          <w:tcPr>
            <w:tcW w:w="522" w:type="dxa"/>
            <w:tcBorders>
              <w:top w:val="nil"/>
              <w:left w:val="nil"/>
              <w:bottom w:val="single" w:sz="4" w:space="0" w:color="auto"/>
              <w:right w:val="single" w:sz="4" w:space="0" w:color="auto"/>
            </w:tcBorders>
            <w:noWrap/>
            <w:vAlign w:val="center"/>
            <w:hideMark/>
          </w:tcPr>
          <w:p w14:paraId="77442A5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0.22</w:t>
            </w:r>
          </w:p>
        </w:tc>
        <w:tc>
          <w:tcPr>
            <w:tcW w:w="522" w:type="dxa"/>
            <w:tcBorders>
              <w:top w:val="nil"/>
              <w:left w:val="nil"/>
              <w:bottom w:val="single" w:sz="4" w:space="0" w:color="auto"/>
              <w:right w:val="single" w:sz="4" w:space="0" w:color="auto"/>
            </w:tcBorders>
            <w:noWrap/>
            <w:vAlign w:val="center"/>
            <w:hideMark/>
          </w:tcPr>
          <w:p w14:paraId="0D18D25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0.69</w:t>
            </w:r>
          </w:p>
        </w:tc>
        <w:tc>
          <w:tcPr>
            <w:tcW w:w="761" w:type="dxa"/>
            <w:tcBorders>
              <w:top w:val="nil"/>
              <w:left w:val="nil"/>
              <w:bottom w:val="single" w:sz="4" w:space="0" w:color="auto"/>
              <w:right w:val="single" w:sz="4" w:space="0" w:color="auto"/>
            </w:tcBorders>
            <w:noWrap/>
            <w:vAlign w:val="center"/>
            <w:hideMark/>
          </w:tcPr>
          <w:p w14:paraId="0C4A87A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-1.74</w:t>
            </w:r>
          </w:p>
        </w:tc>
      </w:tr>
      <w:tr w:rsidR="001C3D7D" w:rsidRPr="003F67DE" w14:paraId="257DEC0E" w14:textId="77777777" w:rsidTr="001C3D7D">
        <w:trPr>
          <w:trHeight w:val="590"/>
          <w:jc w:val="center"/>
        </w:trPr>
        <w:tc>
          <w:tcPr>
            <w:tcW w:w="985" w:type="dxa"/>
            <w:tcBorders>
              <w:top w:val="nil"/>
              <w:left w:val="single" w:sz="4" w:space="0" w:color="auto"/>
              <w:bottom w:val="single" w:sz="4" w:space="0" w:color="auto"/>
              <w:right w:val="single" w:sz="4" w:space="0" w:color="auto"/>
            </w:tcBorders>
            <w:vAlign w:val="center"/>
            <w:hideMark/>
          </w:tcPr>
          <w:p w14:paraId="04D769BE" w14:textId="77777777" w:rsidR="003F67DE" w:rsidRPr="003F67DE" w:rsidRDefault="003F67DE" w:rsidP="003F67DE">
            <w:pPr>
              <w:spacing w:after="0" w:line="240" w:lineRule="auto"/>
              <w:jc w:val="center"/>
              <w:rPr>
                <w:rFonts w:eastAsia="Times New Roman" w:cs="Times New Roman"/>
                <w:b/>
                <w:bCs/>
                <w:color w:val="000000"/>
                <w:kern w:val="0"/>
                <w:sz w:val="17"/>
                <w:szCs w:val="17"/>
                <w:lang w:bidi="ar-SA"/>
                <w14:ligatures w14:val="none"/>
              </w:rPr>
            </w:pPr>
            <w:r w:rsidRPr="003F67DE">
              <w:rPr>
                <w:rFonts w:eastAsia="Times New Roman" w:cs="Times New Roman"/>
                <w:b/>
                <w:bCs/>
                <w:color w:val="000000"/>
                <w:kern w:val="0"/>
                <w:sz w:val="17"/>
                <w:szCs w:val="17"/>
                <w:lang w:bidi="ar-SA"/>
                <w14:ligatures w14:val="none"/>
              </w:rPr>
              <w:t>Skewness</w:t>
            </w:r>
          </w:p>
        </w:tc>
        <w:tc>
          <w:tcPr>
            <w:tcW w:w="522" w:type="dxa"/>
            <w:tcBorders>
              <w:top w:val="nil"/>
              <w:left w:val="nil"/>
              <w:bottom w:val="single" w:sz="4" w:space="0" w:color="auto"/>
              <w:right w:val="single" w:sz="4" w:space="0" w:color="auto"/>
            </w:tcBorders>
            <w:noWrap/>
            <w:vAlign w:val="center"/>
            <w:hideMark/>
          </w:tcPr>
          <w:p w14:paraId="570062F5"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-0.37</w:t>
            </w:r>
          </w:p>
        </w:tc>
        <w:tc>
          <w:tcPr>
            <w:tcW w:w="522" w:type="dxa"/>
            <w:tcBorders>
              <w:top w:val="nil"/>
              <w:left w:val="nil"/>
              <w:bottom w:val="single" w:sz="4" w:space="0" w:color="auto"/>
              <w:right w:val="single" w:sz="4" w:space="0" w:color="auto"/>
            </w:tcBorders>
            <w:noWrap/>
            <w:vAlign w:val="center"/>
            <w:hideMark/>
          </w:tcPr>
          <w:p w14:paraId="44E12F0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-0.63</w:t>
            </w:r>
          </w:p>
        </w:tc>
        <w:tc>
          <w:tcPr>
            <w:tcW w:w="522" w:type="dxa"/>
            <w:tcBorders>
              <w:top w:val="nil"/>
              <w:left w:val="nil"/>
              <w:bottom w:val="single" w:sz="4" w:space="0" w:color="auto"/>
              <w:right w:val="single" w:sz="4" w:space="0" w:color="auto"/>
            </w:tcBorders>
            <w:noWrap/>
            <w:vAlign w:val="center"/>
            <w:hideMark/>
          </w:tcPr>
          <w:p w14:paraId="0DD66AE7"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-0.67</w:t>
            </w:r>
          </w:p>
        </w:tc>
        <w:tc>
          <w:tcPr>
            <w:tcW w:w="522" w:type="dxa"/>
            <w:tcBorders>
              <w:top w:val="nil"/>
              <w:left w:val="nil"/>
              <w:bottom w:val="single" w:sz="4" w:space="0" w:color="auto"/>
              <w:right w:val="single" w:sz="4" w:space="0" w:color="auto"/>
            </w:tcBorders>
            <w:noWrap/>
            <w:vAlign w:val="center"/>
            <w:hideMark/>
          </w:tcPr>
          <w:p w14:paraId="75CFD257"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-0.41</w:t>
            </w:r>
          </w:p>
        </w:tc>
        <w:tc>
          <w:tcPr>
            <w:tcW w:w="522" w:type="dxa"/>
            <w:tcBorders>
              <w:top w:val="nil"/>
              <w:left w:val="nil"/>
              <w:bottom w:val="single" w:sz="4" w:space="0" w:color="auto"/>
              <w:right w:val="single" w:sz="4" w:space="0" w:color="auto"/>
            </w:tcBorders>
            <w:noWrap/>
            <w:vAlign w:val="center"/>
            <w:hideMark/>
          </w:tcPr>
          <w:p w14:paraId="40C55D2D"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-1.05</w:t>
            </w:r>
          </w:p>
        </w:tc>
        <w:tc>
          <w:tcPr>
            <w:tcW w:w="522" w:type="dxa"/>
            <w:tcBorders>
              <w:top w:val="nil"/>
              <w:left w:val="nil"/>
              <w:bottom w:val="single" w:sz="4" w:space="0" w:color="auto"/>
              <w:right w:val="single" w:sz="4" w:space="0" w:color="auto"/>
            </w:tcBorders>
            <w:noWrap/>
            <w:vAlign w:val="center"/>
            <w:hideMark/>
          </w:tcPr>
          <w:p w14:paraId="6E944DB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-0.82</w:t>
            </w:r>
          </w:p>
        </w:tc>
        <w:tc>
          <w:tcPr>
            <w:tcW w:w="522" w:type="dxa"/>
            <w:tcBorders>
              <w:top w:val="nil"/>
              <w:left w:val="nil"/>
              <w:bottom w:val="single" w:sz="4" w:space="0" w:color="auto"/>
              <w:right w:val="single" w:sz="4" w:space="0" w:color="auto"/>
            </w:tcBorders>
            <w:noWrap/>
            <w:vAlign w:val="center"/>
            <w:hideMark/>
          </w:tcPr>
          <w:p w14:paraId="4A75E1B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-0.38</w:t>
            </w:r>
          </w:p>
        </w:tc>
        <w:tc>
          <w:tcPr>
            <w:tcW w:w="522" w:type="dxa"/>
            <w:tcBorders>
              <w:top w:val="nil"/>
              <w:left w:val="nil"/>
              <w:bottom w:val="single" w:sz="4" w:space="0" w:color="auto"/>
              <w:right w:val="single" w:sz="4" w:space="0" w:color="auto"/>
            </w:tcBorders>
            <w:noWrap/>
            <w:vAlign w:val="center"/>
            <w:hideMark/>
          </w:tcPr>
          <w:p w14:paraId="2761C02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-0.39</w:t>
            </w:r>
          </w:p>
        </w:tc>
        <w:tc>
          <w:tcPr>
            <w:tcW w:w="522" w:type="dxa"/>
            <w:tcBorders>
              <w:top w:val="nil"/>
              <w:left w:val="nil"/>
              <w:bottom w:val="single" w:sz="4" w:space="0" w:color="auto"/>
              <w:right w:val="single" w:sz="4" w:space="0" w:color="auto"/>
            </w:tcBorders>
            <w:noWrap/>
            <w:vAlign w:val="center"/>
            <w:hideMark/>
          </w:tcPr>
          <w:p w14:paraId="6C14EC8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-0.85</w:t>
            </w:r>
          </w:p>
        </w:tc>
        <w:tc>
          <w:tcPr>
            <w:tcW w:w="522" w:type="dxa"/>
            <w:tcBorders>
              <w:top w:val="nil"/>
              <w:left w:val="nil"/>
              <w:bottom w:val="single" w:sz="4" w:space="0" w:color="auto"/>
              <w:right w:val="single" w:sz="4" w:space="0" w:color="auto"/>
            </w:tcBorders>
            <w:noWrap/>
            <w:vAlign w:val="center"/>
            <w:hideMark/>
          </w:tcPr>
          <w:p w14:paraId="79C40EB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-1.13</w:t>
            </w:r>
          </w:p>
        </w:tc>
        <w:tc>
          <w:tcPr>
            <w:tcW w:w="522" w:type="dxa"/>
            <w:tcBorders>
              <w:top w:val="nil"/>
              <w:left w:val="nil"/>
              <w:bottom w:val="single" w:sz="4" w:space="0" w:color="auto"/>
              <w:right w:val="single" w:sz="4" w:space="0" w:color="auto"/>
            </w:tcBorders>
            <w:noWrap/>
            <w:vAlign w:val="center"/>
            <w:hideMark/>
          </w:tcPr>
          <w:p w14:paraId="7175DB3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-0.27</w:t>
            </w:r>
          </w:p>
        </w:tc>
        <w:tc>
          <w:tcPr>
            <w:tcW w:w="522" w:type="dxa"/>
            <w:tcBorders>
              <w:top w:val="nil"/>
              <w:left w:val="nil"/>
              <w:bottom w:val="single" w:sz="4" w:space="0" w:color="auto"/>
              <w:right w:val="single" w:sz="4" w:space="0" w:color="auto"/>
            </w:tcBorders>
            <w:noWrap/>
            <w:vAlign w:val="center"/>
            <w:hideMark/>
          </w:tcPr>
          <w:p w14:paraId="5168EC75"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0.05</w:t>
            </w:r>
          </w:p>
        </w:tc>
        <w:tc>
          <w:tcPr>
            <w:tcW w:w="522" w:type="dxa"/>
            <w:tcBorders>
              <w:top w:val="nil"/>
              <w:left w:val="nil"/>
              <w:bottom w:val="single" w:sz="4" w:space="0" w:color="auto"/>
              <w:right w:val="single" w:sz="4" w:space="0" w:color="auto"/>
            </w:tcBorders>
            <w:noWrap/>
            <w:vAlign w:val="center"/>
            <w:hideMark/>
          </w:tcPr>
          <w:p w14:paraId="414425F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-0.61</w:t>
            </w:r>
          </w:p>
        </w:tc>
        <w:tc>
          <w:tcPr>
            <w:tcW w:w="522" w:type="dxa"/>
            <w:tcBorders>
              <w:top w:val="nil"/>
              <w:left w:val="nil"/>
              <w:bottom w:val="single" w:sz="4" w:space="0" w:color="auto"/>
              <w:right w:val="single" w:sz="4" w:space="0" w:color="auto"/>
            </w:tcBorders>
            <w:noWrap/>
            <w:vAlign w:val="center"/>
            <w:hideMark/>
          </w:tcPr>
          <w:p w14:paraId="6E721A72"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-0.52</w:t>
            </w:r>
          </w:p>
        </w:tc>
        <w:tc>
          <w:tcPr>
            <w:tcW w:w="522" w:type="dxa"/>
            <w:tcBorders>
              <w:top w:val="nil"/>
              <w:left w:val="nil"/>
              <w:bottom w:val="single" w:sz="4" w:space="0" w:color="auto"/>
              <w:right w:val="single" w:sz="4" w:space="0" w:color="auto"/>
            </w:tcBorders>
            <w:noWrap/>
            <w:vAlign w:val="center"/>
            <w:hideMark/>
          </w:tcPr>
          <w:p w14:paraId="2A6D88D1"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-0.38</w:t>
            </w:r>
          </w:p>
        </w:tc>
        <w:tc>
          <w:tcPr>
            <w:tcW w:w="522" w:type="dxa"/>
            <w:tcBorders>
              <w:top w:val="nil"/>
              <w:left w:val="nil"/>
              <w:bottom w:val="single" w:sz="4" w:space="0" w:color="auto"/>
              <w:right w:val="single" w:sz="4" w:space="0" w:color="auto"/>
            </w:tcBorders>
            <w:noWrap/>
            <w:vAlign w:val="center"/>
            <w:hideMark/>
          </w:tcPr>
          <w:p w14:paraId="47268813"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-0.05</w:t>
            </w:r>
          </w:p>
        </w:tc>
        <w:tc>
          <w:tcPr>
            <w:tcW w:w="522" w:type="dxa"/>
            <w:tcBorders>
              <w:top w:val="nil"/>
              <w:left w:val="nil"/>
              <w:bottom w:val="single" w:sz="4" w:space="0" w:color="auto"/>
              <w:right w:val="single" w:sz="4" w:space="0" w:color="auto"/>
            </w:tcBorders>
            <w:noWrap/>
            <w:vAlign w:val="center"/>
            <w:hideMark/>
          </w:tcPr>
          <w:p w14:paraId="2C3F2C0D"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-0.89</w:t>
            </w:r>
          </w:p>
        </w:tc>
        <w:tc>
          <w:tcPr>
            <w:tcW w:w="522" w:type="dxa"/>
            <w:tcBorders>
              <w:top w:val="nil"/>
              <w:left w:val="nil"/>
              <w:bottom w:val="single" w:sz="4" w:space="0" w:color="auto"/>
              <w:right w:val="single" w:sz="4" w:space="0" w:color="auto"/>
            </w:tcBorders>
            <w:noWrap/>
            <w:vAlign w:val="center"/>
            <w:hideMark/>
          </w:tcPr>
          <w:p w14:paraId="0E89BED3"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-0.91</w:t>
            </w:r>
          </w:p>
        </w:tc>
        <w:tc>
          <w:tcPr>
            <w:tcW w:w="522" w:type="dxa"/>
            <w:tcBorders>
              <w:top w:val="nil"/>
              <w:left w:val="nil"/>
              <w:bottom w:val="single" w:sz="4" w:space="0" w:color="auto"/>
              <w:right w:val="single" w:sz="4" w:space="0" w:color="auto"/>
            </w:tcBorders>
            <w:noWrap/>
            <w:vAlign w:val="center"/>
            <w:hideMark/>
          </w:tcPr>
          <w:p w14:paraId="556A5EC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-1.20</w:t>
            </w:r>
          </w:p>
        </w:tc>
        <w:tc>
          <w:tcPr>
            <w:tcW w:w="761" w:type="dxa"/>
            <w:tcBorders>
              <w:top w:val="nil"/>
              <w:left w:val="nil"/>
              <w:bottom w:val="single" w:sz="4" w:space="0" w:color="auto"/>
              <w:right w:val="single" w:sz="4" w:space="0" w:color="auto"/>
            </w:tcBorders>
            <w:noWrap/>
            <w:vAlign w:val="center"/>
            <w:hideMark/>
          </w:tcPr>
          <w:p w14:paraId="6CC39026"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-0.52</w:t>
            </w:r>
          </w:p>
        </w:tc>
      </w:tr>
      <w:tr w:rsidR="001C3D7D" w:rsidRPr="003F67DE" w14:paraId="1C5AA244" w14:textId="77777777" w:rsidTr="001C3D7D">
        <w:trPr>
          <w:trHeight w:val="346"/>
          <w:jc w:val="center"/>
        </w:trPr>
        <w:tc>
          <w:tcPr>
            <w:tcW w:w="985" w:type="dxa"/>
            <w:tcBorders>
              <w:top w:val="nil"/>
              <w:left w:val="single" w:sz="4" w:space="0" w:color="auto"/>
              <w:bottom w:val="single" w:sz="4" w:space="0" w:color="auto"/>
              <w:right w:val="single" w:sz="4" w:space="0" w:color="auto"/>
            </w:tcBorders>
            <w:vAlign w:val="center"/>
            <w:hideMark/>
          </w:tcPr>
          <w:p w14:paraId="6AD59E70" w14:textId="77777777" w:rsidR="003F67DE" w:rsidRPr="003F67DE" w:rsidRDefault="003F67DE" w:rsidP="003F67DE">
            <w:pPr>
              <w:spacing w:after="0" w:line="240" w:lineRule="auto"/>
              <w:jc w:val="center"/>
              <w:rPr>
                <w:rFonts w:eastAsia="Times New Roman" w:cs="Times New Roman"/>
                <w:b/>
                <w:bCs/>
                <w:color w:val="000000"/>
                <w:kern w:val="0"/>
                <w:sz w:val="17"/>
                <w:szCs w:val="17"/>
                <w:lang w:bidi="ar-SA"/>
                <w14:ligatures w14:val="none"/>
              </w:rPr>
            </w:pPr>
            <w:r w:rsidRPr="003F67DE">
              <w:rPr>
                <w:rFonts w:eastAsia="Times New Roman" w:cs="Times New Roman"/>
                <w:b/>
                <w:bCs/>
                <w:color w:val="000000"/>
                <w:kern w:val="0"/>
                <w:sz w:val="17"/>
                <w:szCs w:val="17"/>
                <w:lang w:bidi="ar-SA"/>
                <w14:ligatures w14:val="none"/>
              </w:rPr>
              <w:t>Range</w:t>
            </w:r>
          </w:p>
        </w:tc>
        <w:tc>
          <w:tcPr>
            <w:tcW w:w="522" w:type="dxa"/>
            <w:tcBorders>
              <w:top w:val="nil"/>
              <w:left w:val="nil"/>
              <w:bottom w:val="single" w:sz="4" w:space="0" w:color="auto"/>
              <w:right w:val="single" w:sz="4" w:space="0" w:color="auto"/>
            </w:tcBorders>
            <w:noWrap/>
            <w:vAlign w:val="center"/>
            <w:hideMark/>
          </w:tcPr>
          <w:p w14:paraId="202C283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w:t>
            </w:r>
          </w:p>
        </w:tc>
        <w:tc>
          <w:tcPr>
            <w:tcW w:w="522" w:type="dxa"/>
            <w:tcBorders>
              <w:top w:val="nil"/>
              <w:left w:val="nil"/>
              <w:bottom w:val="single" w:sz="4" w:space="0" w:color="auto"/>
              <w:right w:val="single" w:sz="4" w:space="0" w:color="auto"/>
            </w:tcBorders>
            <w:noWrap/>
            <w:vAlign w:val="center"/>
            <w:hideMark/>
          </w:tcPr>
          <w:p w14:paraId="590FDE2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w:t>
            </w:r>
          </w:p>
        </w:tc>
        <w:tc>
          <w:tcPr>
            <w:tcW w:w="522" w:type="dxa"/>
            <w:tcBorders>
              <w:top w:val="nil"/>
              <w:left w:val="nil"/>
              <w:bottom w:val="single" w:sz="4" w:space="0" w:color="auto"/>
              <w:right w:val="single" w:sz="4" w:space="0" w:color="auto"/>
            </w:tcBorders>
            <w:noWrap/>
            <w:vAlign w:val="center"/>
            <w:hideMark/>
          </w:tcPr>
          <w:p w14:paraId="50CAA15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w:t>
            </w:r>
          </w:p>
        </w:tc>
        <w:tc>
          <w:tcPr>
            <w:tcW w:w="522" w:type="dxa"/>
            <w:tcBorders>
              <w:top w:val="nil"/>
              <w:left w:val="nil"/>
              <w:bottom w:val="single" w:sz="4" w:space="0" w:color="auto"/>
              <w:right w:val="single" w:sz="4" w:space="0" w:color="auto"/>
            </w:tcBorders>
            <w:noWrap/>
            <w:vAlign w:val="center"/>
            <w:hideMark/>
          </w:tcPr>
          <w:p w14:paraId="089D37CB"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12721368"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w:t>
            </w:r>
          </w:p>
        </w:tc>
        <w:tc>
          <w:tcPr>
            <w:tcW w:w="522" w:type="dxa"/>
            <w:tcBorders>
              <w:top w:val="nil"/>
              <w:left w:val="nil"/>
              <w:bottom w:val="single" w:sz="4" w:space="0" w:color="auto"/>
              <w:right w:val="single" w:sz="4" w:space="0" w:color="auto"/>
            </w:tcBorders>
            <w:noWrap/>
            <w:vAlign w:val="center"/>
            <w:hideMark/>
          </w:tcPr>
          <w:p w14:paraId="3D5F3A26"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w:t>
            </w:r>
          </w:p>
        </w:tc>
        <w:tc>
          <w:tcPr>
            <w:tcW w:w="522" w:type="dxa"/>
            <w:tcBorders>
              <w:top w:val="nil"/>
              <w:left w:val="nil"/>
              <w:bottom w:val="single" w:sz="4" w:space="0" w:color="auto"/>
              <w:right w:val="single" w:sz="4" w:space="0" w:color="auto"/>
            </w:tcBorders>
            <w:noWrap/>
            <w:vAlign w:val="center"/>
            <w:hideMark/>
          </w:tcPr>
          <w:p w14:paraId="09469495"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w:t>
            </w:r>
          </w:p>
        </w:tc>
        <w:tc>
          <w:tcPr>
            <w:tcW w:w="522" w:type="dxa"/>
            <w:tcBorders>
              <w:top w:val="nil"/>
              <w:left w:val="nil"/>
              <w:bottom w:val="single" w:sz="4" w:space="0" w:color="auto"/>
              <w:right w:val="single" w:sz="4" w:space="0" w:color="auto"/>
            </w:tcBorders>
            <w:noWrap/>
            <w:vAlign w:val="center"/>
            <w:hideMark/>
          </w:tcPr>
          <w:p w14:paraId="73BEC442"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787C17A7"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w:t>
            </w:r>
          </w:p>
        </w:tc>
        <w:tc>
          <w:tcPr>
            <w:tcW w:w="522" w:type="dxa"/>
            <w:tcBorders>
              <w:top w:val="nil"/>
              <w:left w:val="nil"/>
              <w:bottom w:val="single" w:sz="4" w:space="0" w:color="auto"/>
              <w:right w:val="single" w:sz="4" w:space="0" w:color="auto"/>
            </w:tcBorders>
            <w:noWrap/>
            <w:vAlign w:val="center"/>
            <w:hideMark/>
          </w:tcPr>
          <w:p w14:paraId="4BA44F4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w:t>
            </w:r>
          </w:p>
        </w:tc>
        <w:tc>
          <w:tcPr>
            <w:tcW w:w="522" w:type="dxa"/>
            <w:tcBorders>
              <w:top w:val="nil"/>
              <w:left w:val="nil"/>
              <w:bottom w:val="single" w:sz="4" w:space="0" w:color="auto"/>
              <w:right w:val="single" w:sz="4" w:space="0" w:color="auto"/>
            </w:tcBorders>
            <w:noWrap/>
            <w:vAlign w:val="center"/>
            <w:hideMark/>
          </w:tcPr>
          <w:p w14:paraId="798299D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w:t>
            </w:r>
          </w:p>
        </w:tc>
        <w:tc>
          <w:tcPr>
            <w:tcW w:w="522" w:type="dxa"/>
            <w:tcBorders>
              <w:top w:val="nil"/>
              <w:left w:val="nil"/>
              <w:bottom w:val="single" w:sz="4" w:space="0" w:color="auto"/>
              <w:right w:val="single" w:sz="4" w:space="0" w:color="auto"/>
            </w:tcBorders>
            <w:noWrap/>
            <w:vAlign w:val="center"/>
            <w:hideMark/>
          </w:tcPr>
          <w:p w14:paraId="225452F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17FF14B6"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w:t>
            </w:r>
          </w:p>
        </w:tc>
        <w:tc>
          <w:tcPr>
            <w:tcW w:w="522" w:type="dxa"/>
            <w:tcBorders>
              <w:top w:val="nil"/>
              <w:left w:val="nil"/>
              <w:bottom w:val="single" w:sz="4" w:space="0" w:color="auto"/>
              <w:right w:val="single" w:sz="4" w:space="0" w:color="auto"/>
            </w:tcBorders>
            <w:noWrap/>
            <w:vAlign w:val="center"/>
            <w:hideMark/>
          </w:tcPr>
          <w:p w14:paraId="2FCA5B31"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w:t>
            </w:r>
          </w:p>
        </w:tc>
        <w:tc>
          <w:tcPr>
            <w:tcW w:w="522" w:type="dxa"/>
            <w:tcBorders>
              <w:top w:val="nil"/>
              <w:left w:val="nil"/>
              <w:bottom w:val="single" w:sz="4" w:space="0" w:color="auto"/>
              <w:right w:val="single" w:sz="4" w:space="0" w:color="auto"/>
            </w:tcBorders>
            <w:noWrap/>
            <w:vAlign w:val="center"/>
            <w:hideMark/>
          </w:tcPr>
          <w:p w14:paraId="01192ED0"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w:t>
            </w:r>
          </w:p>
        </w:tc>
        <w:tc>
          <w:tcPr>
            <w:tcW w:w="522" w:type="dxa"/>
            <w:tcBorders>
              <w:top w:val="nil"/>
              <w:left w:val="nil"/>
              <w:bottom w:val="single" w:sz="4" w:space="0" w:color="auto"/>
              <w:right w:val="single" w:sz="4" w:space="0" w:color="auto"/>
            </w:tcBorders>
            <w:noWrap/>
            <w:vAlign w:val="center"/>
            <w:hideMark/>
          </w:tcPr>
          <w:p w14:paraId="3E258408"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4046EFA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w:t>
            </w:r>
          </w:p>
        </w:tc>
        <w:tc>
          <w:tcPr>
            <w:tcW w:w="522" w:type="dxa"/>
            <w:tcBorders>
              <w:top w:val="nil"/>
              <w:left w:val="nil"/>
              <w:bottom w:val="single" w:sz="4" w:space="0" w:color="auto"/>
              <w:right w:val="single" w:sz="4" w:space="0" w:color="auto"/>
            </w:tcBorders>
            <w:noWrap/>
            <w:vAlign w:val="center"/>
            <w:hideMark/>
          </w:tcPr>
          <w:p w14:paraId="7C651A01"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w:t>
            </w:r>
          </w:p>
        </w:tc>
        <w:tc>
          <w:tcPr>
            <w:tcW w:w="522" w:type="dxa"/>
            <w:tcBorders>
              <w:top w:val="nil"/>
              <w:left w:val="nil"/>
              <w:bottom w:val="single" w:sz="4" w:space="0" w:color="auto"/>
              <w:right w:val="single" w:sz="4" w:space="0" w:color="auto"/>
            </w:tcBorders>
            <w:noWrap/>
            <w:vAlign w:val="center"/>
            <w:hideMark/>
          </w:tcPr>
          <w:p w14:paraId="4DA3A2FB"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4</w:t>
            </w:r>
          </w:p>
        </w:tc>
        <w:tc>
          <w:tcPr>
            <w:tcW w:w="761" w:type="dxa"/>
            <w:tcBorders>
              <w:top w:val="nil"/>
              <w:left w:val="nil"/>
              <w:bottom w:val="single" w:sz="4" w:space="0" w:color="auto"/>
              <w:right w:val="single" w:sz="4" w:space="0" w:color="auto"/>
            </w:tcBorders>
            <w:noWrap/>
            <w:vAlign w:val="center"/>
            <w:hideMark/>
          </w:tcPr>
          <w:p w14:paraId="19B05286"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1.00</w:t>
            </w:r>
          </w:p>
        </w:tc>
      </w:tr>
      <w:tr w:rsidR="001C3D7D" w:rsidRPr="003F67DE" w14:paraId="092EAED1" w14:textId="77777777" w:rsidTr="001C3D7D">
        <w:trPr>
          <w:trHeight w:val="346"/>
          <w:jc w:val="center"/>
        </w:trPr>
        <w:tc>
          <w:tcPr>
            <w:tcW w:w="985" w:type="dxa"/>
            <w:tcBorders>
              <w:top w:val="nil"/>
              <w:left w:val="single" w:sz="4" w:space="0" w:color="auto"/>
              <w:bottom w:val="single" w:sz="4" w:space="0" w:color="auto"/>
              <w:right w:val="single" w:sz="4" w:space="0" w:color="auto"/>
            </w:tcBorders>
            <w:vAlign w:val="center"/>
            <w:hideMark/>
          </w:tcPr>
          <w:p w14:paraId="5C0FDE66" w14:textId="77777777" w:rsidR="003F67DE" w:rsidRPr="003F67DE" w:rsidRDefault="003F67DE" w:rsidP="003F67DE">
            <w:pPr>
              <w:spacing w:after="0" w:line="240" w:lineRule="auto"/>
              <w:jc w:val="center"/>
              <w:rPr>
                <w:rFonts w:eastAsia="Times New Roman" w:cs="Times New Roman"/>
                <w:b/>
                <w:bCs/>
                <w:color w:val="000000"/>
                <w:kern w:val="0"/>
                <w:sz w:val="17"/>
                <w:szCs w:val="17"/>
                <w:lang w:bidi="ar-SA"/>
                <w14:ligatures w14:val="none"/>
              </w:rPr>
            </w:pPr>
            <w:r w:rsidRPr="003F67DE">
              <w:rPr>
                <w:rFonts w:eastAsia="Times New Roman" w:cs="Times New Roman"/>
                <w:b/>
                <w:bCs/>
                <w:color w:val="000000"/>
                <w:kern w:val="0"/>
                <w:sz w:val="17"/>
                <w:szCs w:val="17"/>
                <w:lang w:bidi="ar-SA"/>
                <w14:ligatures w14:val="none"/>
              </w:rPr>
              <w:t>Minimum</w:t>
            </w:r>
          </w:p>
        </w:tc>
        <w:tc>
          <w:tcPr>
            <w:tcW w:w="522" w:type="dxa"/>
            <w:tcBorders>
              <w:top w:val="nil"/>
              <w:left w:val="nil"/>
              <w:bottom w:val="single" w:sz="4" w:space="0" w:color="auto"/>
              <w:right w:val="single" w:sz="4" w:space="0" w:color="auto"/>
            </w:tcBorders>
            <w:noWrap/>
            <w:vAlign w:val="center"/>
            <w:hideMark/>
          </w:tcPr>
          <w:p w14:paraId="67D3C4C5"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4230B1F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612899B0"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6D9CD4EB"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w:t>
            </w:r>
          </w:p>
        </w:tc>
        <w:tc>
          <w:tcPr>
            <w:tcW w:w="522" w:type="dxa"/>
            <w:tcBorders>
              <w:top w:val="nil"/>
              <w:left w:val="nil"/>
              <w:bottom w:val="single" w:sz="4" w:space="0" w:color="auto"/>
              <w:right w:val="single" w:sz="4" w:space="0" w:color="auto"/>
            </w:tcBorders>
            <w:noWrap/>
            <w:vAlign w:val="center"/>
            <w:hideMark/>
          </w:tcPr>
          <w:p w14:paraId="34A12F5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26A2BD28"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4C3F6E1D"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38702C6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w:t>
            </w:r>
          </w:p>
        </w:tc>
        <w:tc>
          <w:tcPr>
            <w:tcW w:w="522" w:type="dxa"/>
            <w:tcBorders>
              <w:top w:val="nil"/>
              <w:left w:val="nil"/>
              <w:bottom w:val="single" w:sz="4" w:space="0" w:color="auto"/>
              <w:right w:val="single" w:sz="4" w:space="0" w:color="auto"/>
            </w:tcBorders>
            <w:noWrap/>
            <w:vAlign w:val="center"/>
            <w:hideMark/>
          </w:tcPr>
          <w:p w14:paraId="4264F590"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362D7658"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0921F06E"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761152F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w:t>
            </w:r>
          </w:p>
        </w:tc>
        <w:tc>
          <w:tcPr>
            <w:tcW w:w="522" w:type="dxa"/>
            <w:tcBorders>
              <w:top w:val="nil"/>
              <w:left w:val="nil"/>
              <w:bottom w:val="single" w:sz="4" w:space="0" w:color="auto"/>
              <w:right w:val="single" w:sz="4" w:space="0" w:color="auto"/>
            </w:tcBorders>
            <w:noWrap/>
            <w:vAlign w:val="center"/>
            <w:hideMark/>
          </w:tcPr>
          <w:p w14:paraId="11A9F2D5"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3FD581F6"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7CE79720"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5B9DA1E1"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w:t>
            </w:r>
          </w:p>
        </w:tc>
        <w:tc>
          <w:tcPr>
            <w:tcW w:w="522" w:type="dxa"/>
            <w:tcBorders>
              <w:top w:val="nil"/>
              <w:left w:val="nil"/>
              <w:bottom w:val="single" w:sz="4" w:space="0" w:color="auto"/>
              <w:right w:val="single" w:sz="4" w:space="0" w:color="auto"/>
            </w:tcBorders>
            <w:noWrap/>
            <w:vAlign w:val="center"/>
            <w:hideMark/>
          </w:tcPr>
          <w:p w14:paraId="49582D4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56CEA06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4FECDA40"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761" w:type="dxa"/>
            <w:tcBorders>
              <w:top w:val="nil"/>
              <w:left w:val="nil"/>
              <w:bottom w:val="single" w:sz="4" w:space="0" w:color="auto"/>
              <w:right w:val="single" w:sz="4" w:space="0" w:color="auto"/>
            </w:tcBorders>
            <w:noWrap/>
            <w:vAlign w:val="center"/>
            <w:hideMark/>
          </w:tcPr>
          <w:p w14:paraId="4C7D97A0"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0.00</w:t>
            </w:r>
          </w:p>
        </w:tc>
      </w:tr>
      <w:tr w:rsidR="001C3D7D" w:rsidRPr="003F67DE" w14:paraId="2769D31D" w14:textId="77777777" w:rsidTr="001C3D7D">
        <w:trPr>
          <w:trHeight w:val="346"/>
          <w:jc w:val="center"/>
        </w:trPr>
        <w:tc>
          <w:tcPr>
            <w:tcW w:w="985" w:type="dxa"/>
            <w:tcBorders>
              <w:top w:val="nil"/>
              <w:left w:val="single" w:sz="4" w:space="0" w:color="auto"/>
              <w:bottom w:val="single" w:sz="4" w:space="0" w:color="auto"/>
              <w:right w:val="single" w:sz="4" w:space="0" w:color="auto"/>
            </w:tcBorders>
            <w:vAlign w:val="center"/>
            <w:hideMark/>
          </w:tcPr>
          <w:p w14:paraId="5EF54BA9" w14:textId="77777777" w:rsidR="003F67DE" w:rsidRPr="003F67DE" w:rsidRDefault="003F67DE" w:rsidP="003F67DE">
            <w:pPr>
              <w:spacing w:after="0" w:line="240" w:lineRule="auto"/>
              <w:jc w:val="center"/>
              <w:rPr>
                <w:rFonts w:eastAsia="Times New Roman" w:cs="Times New Roman"/>
                <w:b/>
                <w:bCs/>
                <w:color w:val="000000"/>
                <w:kern w:val="0"/>
                <w:sz w:val="17"/>
                <w:szCs w:val="17"/>
                <w:lang w:bidi="ar-SA"/>
                <w14:ligatures w14:val="none"/>
              </w:rPr>
            </w:pPr>
            <w:r w:rsidRPr="003F67DE">
              <w:rPr>
                <w:rFonts w:eastAsia="Times New Roman" w:cs="Times New Roman"/>
                <w:b/>
                <w:bCs/>
                <w:color w:val="000000"/>
                <w:kern w:val="0"/>
                <w:sz w:val="17"/>
                <w:szCs w:val="17"/>
                <w:lang w:bidi="ar-SA"/>
                <w14:ligatures w14:val="none"/>
              </w:rPr>
              <w:t>Maximum</w:t>
            </w:r>
          </w:p>
        </w:tc>
        <w:tc>
          <w:tcPr>
            <w:tcW w:w="522" w:type="dxa"/>
            <w:tcBorders>
              <w:top w:val="nil"/>
              <w:left w:val="nil"/>
              <w:bottom w:val="single" w:sz="4" w:space="0" w:color="auto"/>
              <w:right w:val="single" w:sz="4" w:space="0" w:color="auto"/>
            </w:tcBorders>
            <w:noWrap/>
            <w:vAlign w:val="center"/>
            <w:hideMark/>
          </w:tcPr>
          <w:p w14:paraId="03647408"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w:t>
            </w:r>
          </w:p>
        </w:tc>
        <w:tc>
          <w:tcPr>
            <w:tcW w:w="522" w:type="dxa"/>
            <w:tcBorders>
              <w:top w:val="nil"/>
              <w:left w:val="nil"/>
              <w:bottom w:val="single" w:sz="4" w:space="0" w:color="auto"/>
              <w:right w:val="single" w:sz="4" w:space="0" w:color="auto"/>
            </w:tcBorders>
            <w:noWrap/>
            <w:vAlign w:val="center"/>
            <w:hideMark/>
          </w:tcPr>
          <w:p w14:paraId="3FC3FE05"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w:t>
            </w:r>
          </w:p>
        </w:tc>
        <w:tc>
          <w:tcPr>
            <w:tcW w:w="522" w:type="dxa"/>
            <w:tcBorders>
              <w:top w:val="nil"/>
              <w:left w:val="nil"/>
              <w:bottom w:val="single" w:sz="4" w:space="0" w:color="auto"/>
              <w:right w:val="single" w:sz="4" w:space="0" w:color="auto"/>
            </w:tcBorders>
            <w:noWrap/>
            <w:vAlign w:val="center"/>
            <w:hideMark/>
          </w:tcPr>
          <w:p w14:paraId="5CF4D89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w:t>
            </w:r>
          </w:p>
        </w:tc>
        <w:tc>
          <w:tcPr>
            <w:tcW w:w="522" w:type="dxa"/>
            <w:tcBorders>
              <w:top w:val="nil"/>
              <w:left w:val="nil"/>
              <w:bottom w:val="single" w:sz="4" w:space="0" w:color="auto"/>
              <w:right w:val="single" w:sz="4" w:space="0" w:color="auto"/>
            </w:tcBorders>
            <w:noWrap/>
            <w:vAlign w:val="center"/>
            <w:hideMark/>
          </w:tcPr>
          <w:p w14:paraId="3826CDD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43B44E0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w:t>
            </w:r>
          </w:p>
        </w:tc>
        <w:tc>
          <w:tcPr>
            <w:tcW w:w="522" w:type="dxa"/>
            <w:tcBorders>
              <w:top w:val="nil"/>
              <w:left w:val="nil"/>
              <w:bottom w:val="single" w:sz="4" w:space="0" w:color="auto"/>
              <w:right w:val="single" w:sz="4" w:space="0" w:color="auto"/>
            </w:tcBorders>
            <w:noWrap/>
            <w:vAlign w:val="center"/>
            <w:hideMark/>
          </w:tcPr>
          <w:p w14:paraId="772366D1"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w:t>
            </w:r>
          </w:p>
        </w:tc>
        <w:tc>
          <w:tcPr>
            <w:tcW w:w="522" w:type="dxa"/>
            <w:tcBorders>
              <w:top w:val="nil"/>
              <w:left w:val="nil"/>
              <w:bottom w:val="single" w:sz="4" w:space="0" w:color="auto"/>
              <w:right w:val="single" w:sz="4" w:space="0" w:color="auto"/>
            </w:tcBorders>
            <w:noWrap/>
            <w:vAlign w:val="center"/>
            <w:hideMark/>
          </w:tcPr>
          <w:p w14:paraId="242C6A2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w:t>
            </w:r>
          </w:p>
        </w:tc>
        <w:tc>
          <w:tcPr>
            <w:tcW w:w="522" w:type="dxa"/>
            <w:tcBorders>
              <w:top w:val="nil"/>
              <w:left w:val="nil"/>
              <w:bottom w:val="single" w:sz="4" w:space="0" w:color="auto"/>
              <w:right w:val="single" w:sz="4" w:space="0" w:color="auto"/>
            </w:tcBorders>
            <w:noWrap/>
            <w:vAlign w:val="center"/>
            <w:hideMark/>
          </w:tcPr>
          <w:p w14:paraId="56F1D268"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1621B102"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w:t>
            </w:r>
          </w:p>
        </w:tc>
        <w:tc>
          <w:tcPr>
            <w:tcW w:w="522" w:type="dxa"/>
            <w:tcBorders>
              <w:top w:val="nil"/>
              <w:left w:val="nil"/>
              <w:bottom w:val="single" w:sz="4" w:space="0" w:color="auto"/>
              <w:right w:val="single" w:sz="4" w:space="0" w:color="auto"/>
            </w:tcBorders>
            <w:noWrap/>
            <w:vAlign w:val="center"/>
            <w:hideMark/>
          </w:tcPr>
          <w:p w14:paraId="2590494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w:t>
            </w:r>
          </w:p>
        </w:tc>
        <w:tc>
          <w:tcPr>
            <w:tcW w:w="522" w:type="dxa"/>
            <w:tcBorders>
              <w:top w:val="nil"/>
              <w:left w:val="nil"/>
              <w:bottom w:val="single" w:sz="4" w:space="0" w:color="auto"/>
              <w:right w:val="single" w:sz="4" w:space="0" w:color="auto"/>
            </w:tcBorders>
            <w:noWrap/>
            <w:vAlign w:val="center"/>
            <w:hideMark/>
          </w:tcPr>
          <w:p w14:paraId="2B591C4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w:t>
            </w:r>
          </w:p>
        </w:tc>
        <w:tc>
          <w:tcPr>
            <w:tcW w:w="522" w:type="dxa"/>
            <w:tcBorders>
              <w:top w:val="nil"/>
              <w:left w:val="nil"/>
              <w:bottom w:val="single" w:sz="4" w:space="0" w:color="auto"/>
              <w:right w:val="single" w:sz="4" w:space="0" w:color="auto"/>
            </w:tcBorders>
            <w:noWrap/>
            <w:vAlign w:val="center"/>
            <w:hideMark/>
          </w:tcPr>
          <w:p w14:paraId="149F0C6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34AB1313"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w:t>
            </w:r>
          </w:p>
        </w:tc>
        <w:tc>
          <w:tcPr>
            <w:tcW w:w="522" w:type="dxa"/>
            <w:tcBorders>
              <w:top w:val="nil"/>
              <w:left w:val="nil"/>
              <w:bottom w:val="single" w:sz="4" w:space="0" w:color="auto"/>
              <w:right w:val="single" w:sz="4" w:space="0" w:color="auto"/>
            </w:tcBorders>
            <w:noWrap/>
            <w:vAlign w:val="center"/>
            <w:hideMark/>
          </w:tcPr>
          <w:p w14:paraId="220782F7"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w:t>
            </w:r>
          </w:p>
        </w:tc>
        <w:tc>
          <w:tcPr>
            <w:tcW w:w="522" w:type="dxa"/>
            <w:tcBorders>
              <w:top w:val="nil"/>
              <w:left w:val="nil"/>
              <w:bottom w:val="single" w:sz="4" w:space="0" w:color="auto"/>
              <w:right w:val="single" w:sz="4" w:space="0" w:color="auto"/>
            </w:tcBorders>
            <w:noWrap/>
            <w:vAlign w:val="center"/>
            <w:hideMark/>
          </w:tcPr>
          <w:p w14:paraId="15380703"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w:t>
            </w:r>
          </w:p>
        </w:tc>
        <w:tc>
          <w:tcPr>
            <w:tcW w:w="522" w:type="dxa"/>
            <w:tcBorders>
              <w:top w:val="nil"/>
              <w:left w:val="nil"/>
              <w:bottom w:val="single" w:sz="4" w:space="0" w:color="auto"/>
              <w:right w:val="single" w:sz="4" w:space="0" w:color="auto"/>
            </w:tcBorders>
            <w:noWrap/>
            <w:vAlign w:val="center"/>
            <w:hideMark/>
          </w:tcPr>
          <w:p w14:paraId="2171CA4B"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w:t>
            </w:r>
          </w:p>
        </w:tc>
        <w:tc>
          <w:tcPr>
            <w:tcW w:w="522" w:type="dxa"/>
            <w:tcBorders>
              <w:top w:val="nil"/>
              <w:left w:val="nil"/>
              <w:bottom w:val="single" w:sz="4" w:space="0" w:color="auto"/>
              <w:right w:val="single" w:sz="4" w:space="0" w:color="auto"/>
            </w:tcBorders>
            <w:noWrap/>
            <w:vAlign w:val="center"/>
            <w:hideMark/>
          </w:tcPr>
          <w:p w14:paraId="256A6EA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w:t>
            </w:r>
          </w:p>
        </w:tc>
        <w:tc>
          <w:tcPr>
            <w:tcW w:w="522" w:type="dxa"/>
            <w:tcBorders>
              <w:top w:val="nil"/>
              <w:left w:val="nil"/>
              <w:bottom w:val="single" w:sz="4" w:space="0" w:color="auto"/>
              <w:right w:val="single" w:sz="4" w:space="0" w:color="auto"/>
            </w:tcBorders>
            <w:noWrap/>
            <w:vAlign w:val="center"/>
            <w:hideMark/>
          </w:tcPr>
          <w:p w14:paraId="7F2484A3"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w:t>
            </w:r>
          </w:p>
        </w:tc>
        <w:tc>
          <w:tcPr>
            <w:tcW w:w="522" w:type="dxa"/>
            <w:tcBorders>
              <w:top w:val="nil"/>
              <w:left w:val="nil"/>
              <w:bottom w:val="single" w:sz="4" w:space="0" w:color="auto"/>
              <w:right w:val="single" w:sz="4" w:space="0" w:color="auto"/>
            </w:tcBorders>
            <w:noWrap/>
            <w:vAlign w:val="center"/>
            <w:hideMark/>
          </w:tcPr>
          <w:p w14:paraId="37015E5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5</w:t>
            </w:r>
          </w:p>
        </w:tc>
        <w:tc>
          <w:tcPr>
            <w:tcW w:w="761" w:type="dxa"/>
            <w:tcBorders>
              <w:top w:val="nil"/>
              <w:left w:val="nil"/>
              <w:bottom w:val="single" w:sz="4" w:space="0" w:color="auto"/>
              <w:right w:val="single" w:sz="4" w:space="0" w:color="auto"/>
            </w:tcBorders>
            <w:noWrap/>
            <w:vAlign w:val="center"/>
            <w:hideMark/>
          </w:tcPr>
          <w:p w14:paraId="4A8D3CF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1.00</w:t>
            </w:r>
          </w:p>
        </w:tc>
      </w:tr>
      <w:tr w:rsidR="001C3D7D" w:rsidRPr="003F67DE" w14:paraId="440192A4" w14:textId="77777777" w:rsidTr="001C3D7D">
        <w:trPr>
          <w:trHeight w:val="346"/>
          <w:jc w:val="center"/>
        </w:trPr>
        <w:tc>
          <w:tcPr>
            <w:tcW w:w="985" w:type="dxa"/>
            <w:tcBorders>
              <w:top w:val="nil"/>
              <w:left w:val="single" w:sz="4" w:space="0" w:color="auto"/>
              <w:bottom w:val="single" w:sz="4" w:space="0" w:color="auto"/>
              <w:right w:val="single" w:sz="4" w:space="0" w:color="auto"/>
            </w:tcBorders>
            <w:vAlign w:val="center"/>
            <w:hideMark/>
          </w:tcPr>
          <w:p w14:paraId="21D4B629" w14:textId="77777777" w:rsidR="003F67DE" w:rsidRPr="003F67DE" w:rsidRDefault="003F67DE" w:rsidP="003F67DE">
            <w:pPr>
              <w:spacing w:after="0" w:line="240" w:lineRule="auto"/>
              <w:jc w:val="center"/>
              <w:rPr>
                <w:rFonts w:eastAsia="Times New Roman" w:cs="Times New Roman"/>
                <w:b/>
                <w:bCs/>
                <w:color w:val="000000"/>
                <w:kern w:val="0"/>
                <w:sz w:val="17"/>
                <w:szCs w:val="17"/>
                <w:lang w:bidi="ar-SA"/>
                <w14:ligatures w14:val="none"/>
              </w:rPr>
            </w:pPr>
            <w:r w:rsidRPr="003F67DE">
              <w:rPr>
                <w:rFonts w:eastAsia="Times New Roman" w:cs="Times New Roman"/>
                <w:b/>
                <w:bCs/>
                <w:color w:val="000000"/>
                <w:kern w:val="0"/>
                <w:sz w:val="17"/>
                <w:szCs w:val="17"/>
                <w:lang w:bidi="ar-SA"/>
                <w14:ligatures w14:val="none"/>
              </w:rPr>
              <w:t>Sum</w:t>
            </w:r>
          </w:p>
        </w:tc>
        <w:tc>
          <w:tcPr>
            <w:tcW w:w="522" w:type="dxa"/>
            <w:tcBorders>
              <w:top w:val="nil"/>
              <w:left w:val="nil"/>
              <w:bottom w:val="single" w:sz="4" w:space="0" w:color="auto"/>
              <w:right w:val="single" w:sz="4" w:space="0" w:color="auto"/>
            </w:tcBorders>
            <w:noWrap/>
            <w:vAlign w:val="center"/>
            <w:hideMark/>
          </w:tcPr>
          <w:p w14:paraId="785D065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760</w:t>
            </w:r>
          </w:p>
        </w:tc>
        <w:tc>
          <w:tcPr>
            <w:tcW w:w="522" w:type="dxa"/>
            <w:tcBorders>
              <w:top w:val="nil"/>
              <w:left w:val="nil"/>
              <w:bottom w:val="single" w:sz="4" w:space="0" w:color="auto"/>
              <w:right w:val="single" w:sz="4" w:space="0" w:color="auto"/>
            </w:tcBorders>
            <w:noWrap/>
            <w:vAlign w:val="center"/>
            <w:hideMark/>
          </w:tcPr>
          <w:p w14:paraId="23C8B0A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789</w:t>
            </w:r>
          </w:p>
        </w:tc>
        <w:tc>
          <w:tcPr>
            <w:tcW w:w="522" w:type="dxa"/>
            <w:tcBorders>
              <w:top w:val="nil"/>
              <w:left w:val="nil"/>
              <w:bottom w:val="single" w:sz="4" w:space="0" w:color="auto"/>
              <w:right w:val="single" w:sz="4" w:space="0" w:color="auto"/>
            </w:tcBorders>
            <w:noWrap/>
            <w:vAlign w:val="center"/>
            <w:hideMark/>
          </w:tcPr>
          <w:p w14:paraId="652D3B3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820</w:t>
            </w:r>
          </w:p>
        </w:tc>
        <w:tc>
          <w:tcPr>
            <w:tcW w:w="522" w:type="dxa"/>
            <w:tcBorders>
              <w:top w:val="nil"/>
              <w:left w:val="nil"/>
              <w:bottom w:val="single" w:sz="4" w:space="0" w:color="auto"/>
              <w:right w:val="single" w:sz="4" w:space="0" w:color="auto"/>
            </w:tcBorders>
            <w:noWrap/>
            <w:vAlign w:val="center"/>
            <w:hideMark/>
          </w:tcPr>
          <w:p w14:paraId="1346DE85"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133</w:t>
            </w:r>
          </w:p>
        </w:tc>
        <w:tc>
          <w:tcPr>
            <w:tcW w:w="522" w:type="dxa"/>
            <w:tcBorders>
              <w:top w:val="nil"/>
              <w:left w:val="nil"/>
              <w:bottom w:val="single" w:sz="4" w:space="0" w:color="auto"/>
              <w:right w:val="single" w:sz="4" w:space="0" w:color="auto"/>
            </w:tcBorders>
            <w:noWrap/>
            <w:vAlign w:val="center"/>
            <w:hideMark/>
          </w:tcPr>
          <w:p w14:paraId="20D346B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887</w:t>
            </w:r>
          </w:p>
        </w:tc>
        <w:tc>
          <w:tcPr>
            <w:tcW w:w="522" w:type="dxa"/>
            <w:tcBorders>
              <w:top w:val="nil"/>
              <w:left w:val="nil"/>
              <w:bottom w:val="single" w:sz="4" w:space="0" w:color="auto"/>
              <w:right w:val="single" w:sz="4" w:space="0" w:color="auto"/>
            </w:tcBorders>
            <w:noWrap/>
            <w:vAlign w:val="center"/>
            <w:hideMark/>
          </w:tcPr>
          <w:p w14:paraId="644DCA3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851</w:t>
            </w:r>
          </w:p>
        </w:tc>
        <w:tc>
          <w:tcPr>
            <w:tcW w:w="522" w:type="dxa"/>
            <w:tcBorders>
              <w:top w:val="nil"/>
              <w:left w:val="nil"/>
              <w:bottom w:val="single" w:sz="4" w:space="0" w:color="auto"/>
              <w:right w:val="single" w:sz="4" w:space="0" w:color="auto"/>
            </w:tcBorders>
            <w:noWrap/>
            <w:vAlign w:val="center"/>
            <w:hideMark/>
          </w:tcPr>
          <w:p w14:paraId="1753FFCB"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737</w:t>
            </w:r>
          </w:p>
        </w:tc>
        <w:tc>
          <w:tcPr>
            <w:tcW w:w="522" w:type="dxa"/>
            <w:tcBorders>
              <w:top w:val="nil"/>
              <w:left w:val="nil"/>
              <w:bottom w:val="single" w:sz="4" w:space="0" w:color="auto"/>
              <w:right w:val="single" w:sz="4" w:space="0" w:color="auto"/>
            </w:tcBorders>
            <w:noWrap/>
            <w:vAlign w:val="center"/>
            <w:hideMark/>
          </w:tcPr>
          <w:p w14:paraId="0C88D7BB"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132</w:t>
            </w:r>
          </w:p>
        </w:tc>
        <w:tc>
          <w:tcPr>
            <w:tcW w:w="522" w:type="dxa"/>
            <w:tcBorders>
              <w:top w:val="nil"/>
              <w:left w:val="nil"/>
              <w:bottom w:val="single" w:sz="4" w:space="0" w:color="auto"/>
              <w:right w:val="single" w:sz="4" w:space="0" w:color="auto"/>
            </w:tcBorders>
            <w:noWrap/>
            <w:vAlign w:val="center"/>
            <w:hideMark/>
          </w:tcPr>
          <w:p w14:paraId="78C8D142"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851</w:t>
            </w:r>
          </w:p>
        </w:tc>
        <w:tc>
          <w:tcPr>
            <w:tcW w:w="522" w:type="dxa"/>
            <w:tcBorders>
              <w:top w:val="nil"/>
              <w:left w:val="nil"/>
              <w:bottom w:val="single" w:sz="4" w:space="0" w:color="auto"/>
              <w:right w:val="single" w:sz="4" w:space="0" w:color="auto"/>
            </w:tcBorders>
            <w:noWrap/>
            <w:vAlign w:val="center"/>
            <w:hideMark/>
          </w:tcPr>
          <w:p w14:paraId="4B10D73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885</w:t>
            </w:r>
          </w:p>
        </w:tc>
        <w:tc>
          <w:tcPr>
            <w:tcW w:w="522" w:type="dxa"/>
            <w:tcBorders>
              <w:top w:val="nil"/>
              <w:left w:val="nil"/>
              <w:bottom w:val="single" w:sz="4" w:space="0" w:color="auto"/>
              <w:right w:val="single" w:sz="4" w:space="0" w:color="auto"/>
            </w:tcBorders>
            <w:noWrap/>
            <w:vAlign w:val="center"/>
            <w:hideMark/>
          </w:tcPr>
          <w:p w14:paraId="601E78E8"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739</w:t>
            </w:r>
          </w:p>
        </w:tc>
        <w:tc>
          <w:tcPr>
            <w:tcW w:w="522" w:type="dxa"/>
            <w:tcBorders>
              <w:top w:val="nil"/>
              <w:left w:val="nil"/>
              <w:bottom w:val="single" w:sz="4" w:space="0" w:color="auto"/>
              <w:right w:val="single" w:sz="4" w:space="0" w:color="auto"/>
            </w:tcBorders>
            <w:noWrap/>
            <w:vAlign w:val="center"/>
            <w:hideMark/>
          </w:tcPr>
          <w:p w14:paraId="0C114123"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108</w:t>
            </w:r>
          </w:p>
        </w:tc>
        <w:tc>
          <w:tcPr>
            <w:tcW w:w="522" w:type="dxa"/>
            <w:tcBorders>
              <w:top w:val="nil"/>
              <w:left w:val="nil"/>
              <w:bottom w:val="single" w:sz="4" w:space="0" w:color="auto"/>
              <w:right w:val="single" w:sz="4" w:space="0" w:color="auto"/>
            </w:tcBorders>
            <w:noWrap/>
            <w:vAlign w:val="center"/>
            <w:hideMark/>
          </w:tcPr>
          <w:p w14:paraId="0CFCA1ED"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809</w:t>
            </w:r>
          </w:p>
        </w:tc>
        <w:tc>
          <w:tcPr>
            <w:tcW w:w="522" w:type="dxa"/>
            <w:tcBorders>
              <w:top w:val="nil"/>
              <w:left w:val="nil"/>
              <w:bottom w:val="single" w:sz="4" w:space="0" w:color="auto"/>
              <w:right w:val="single" w:sz="4" w:space="0" w:color="auto"/>
            </w:tcBorders>
            <w:noWrap/>
            <w:vAlign w:val="center"/>
            <w:hideMark/>
          </w:tcPr>
          <w:p w14:paraId="52DCBC2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781</w:t>
            </w:r>
          </w:p>
        </w:tc>
        <w:tc>
          <w:tcPr>
            <w:tcW w:w="522" w:type="dxa"/>
            <w:tcBorders>
              <w:top w:val="nil"/>
              <w:left w:val="nil"/>
              <w:bottom w:val="single" w:sz="4" w:space="0" w:color="auto"/>
              <w:right w:val="single" w:sz="4" w:space="0" w:color="auto"/>
            </w:tcBorders>
            <w:noWrap/>
            <w:vAlign w:val="center"/>
            <w:hideMark/>
          </w:tcPr>
          <w:p w14:paraId="792A9002"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729</w:t>
            </w:r>
          </w:p>
        </w:tc>
        <w:tc>
          <w:tcPr>
            <w:tcW w:w="522" w:type="dxa"/>
            <w:tcBorders>
              <w:top w:val="nil"/>
              <w:left w:val="nil"/>
              <w:bottom w:val="single" w:sz="4" w:space="0" w:color="auto"/>
              <w:right w:val="single" w:sz="4" w:space="0" w:color="auto"/>
            </w:tcBorders>
            <w:noWrap/>
            <w:vAlign w:val="center"/>
            <w:hideMark/>
          </w:tcPr>
          <w:p w14:paraId="70E3A23F"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114</w:t>
            </w:r>
          </w:p>
        </w:tc>
        <w:tc>
          <w:tcPr>
            <w:tcW w:w="522" w:type="dxa"/>
            <w:tcBorders>
              <w:top w:val="nil"/>
              <w:left w:val="nil"/>
              <w:bottom w:val="single" w:sz="4" w:space="0" w:color="auto"/>
              <w:right w:val="single" w:sz="4" w:space="0" w:color="auto"/>
            </w:tcBorders>
            <w:noWrap/>
            <w:vAlign w:val="center"/>
            <w:hideMark/>
          </w:tcPr>
          <w:p w14:paraId="67D43F19"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859</w:t>
            </w:r>
          </w:p>
        </w:tc>
        <w:tc>
          <w:tcPr>
            <w:tcW w:w="522" w:type="dxa"/>
            <w:tcBorders>
              <w:top w:val="nil"/>
              <w:left w:val="nil"/>
              <w:bottom w:val="single" w:sz="4" w:space="0" w:color="auto"/>
              <w:right w:val="single" w:sz="4" w:space="0" w:color="auto"/>
            </w:tcBorders>
            <w:noWrap/>
            <w:vAlign w:val="center"/>
            <w:hideMark/>
          </w:tcPr>
          <w:p w14:paraId="548597CB"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855</w:t>
            </w:r>
          </w:p>
        </w:tc>
        <w:tc>
          <w:tcPr>
            <w:tcW w:w="522" w:type="dxa"/>
            <w:tcBorders>
              <w:top w:val="nil"/>
              <w:left w:val="nil"/>
              <w:bottom w:val="single" w:sz="4" w:space="0" w:color="auto"/>
              <w:right w:val="single" w:sz="4" w:space="0" w:color="auto"/>
            </w:tcBorders>
            <w:noWrap/>
            <w:vAlign w:val="center"/>
            <w:hideMark/>
          </w:tcPr>
          <w:p w14:paraId="241D2E4D"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907</w:t>
            </w:r>
          </w:p>
        </w:tc>
        <w:tc>
          <w:tcPr>
            <w:tcW w:w="761" w:type="dxa"/>
            <w:tcBorders>
              <w:top w:val="nil"/>
              <w:left w:val="nil"/>
              <w:bottom w:val="single" w:sz="4" w:space="0" w:color="auto"/>
              <w:right w:val="single" w:sz="4" w:space="0" w:color="auto"/>
            </w:tcBorders>
            <w:noWrap/>
            <w:vAlign w:val="center"/>
            <w:hideMark/>
          </w:tcPr>
          <w:p w14:paraId="0E85F480"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139.00</w:t>
            </w:r>
          </w:p>
        </w:tc>
      </w:tr>
      <w:tr w:rsidR="001C3D7D" w:rsidRPr="003F67DE" w14:paraId="28AE57E4" w14:textId="77777777" w:rsidTr="001C3D7D">
        <w:trPr>
          <w:trHeight w:val="346"/>
          <w:jc w:val="center"/>
        </w:trPr>
        <w:tc>
          <w:tcPr>
            <w:tcW w:w="985" w:type="dxa"/>
            <w:tcBorders>
              <w:top w:val="nil"/>
              <w:left w:val="single" w:sz="4" w:space="0" w:color="auto"/>
              <w:bottom w:val="single" w:sz="4" w:space="0" w:color="auto"/>
              <w:right w:val="single" w:sz="4" w:space="0" w:color="auto"/>
            </w:tcBorders>
            <w:vAlign w:val="center"/>
            <w:hideMark/>
          </w:tcPr>
          <w:p w14:paraId="0B6363A4" w14:textId="77777777" w:rsidR="003F67DE" w:rsidRPr="003F67DE" w:rsidRDefault="003F67DE" w:rsidP="003F67DE">
            <w:pPr>
              <w:spacing w:after="0" w:line="240" w:lineRule="auto"/>
              <w:jc w:val="center"/>
              <w:rPr>
                <w:rFonts w:eastAsia="Times New Roman" w:cs="Times New Roman"/>
                <w:b/>
                <w:bCs/>
                <w:color w:val="000000"/>
                <w:kern w:val="0"/>
                <w:sz w:val="17"/>
                <w:szCs w:val="17"/>
                <w:lang w:bidi="ar-SA"/>
                <w14:ligatures w14:val="none"/>
              </w:rPr>
            </w:pPr>
            <w:r w:rsidRPr="003F67DE">
              <w:rPr>
                <w:rFonts w:eastAsia="Times New Roman" w:cs="Times New Roman"/>
                <w:b/>
                <w:bCs/>
                <w:color w:val="000000"/>
                <w:kern w:val="0"/>
                <w:sz w:val="17"/>
                <w:szCs w:val="17"/>
                <w:lang w:bidi="ar-SA"/>
                <w14:ligatures w14:val="none"/>
              </w:rPr>
              <w:t>Count</w:t>
            </w:r>
          </w:p>
        </w:tc>
        <w:tc>
          <w:tcPr>
            <w:tcW w:w="522" w:type="dxa"/>
            <w:tcBorders>
              <w:top w:val="nil"/>
              <w:left w:val="nil"/>
              <w:bottom w:val="single" w:sz="4" w:space="0" w:color="auto"/>
              <w:right w:val="single" w:sz="4" w:space="0" w:color="auto"/>
            </w:tcBorders>
            <w:noWrap/>
            <w:vAlign w:val="center"/>
            <w:hideMark/>
          </w:tcPr>
          <w:p w14:paraId="7EF237AE"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2D4F1BC0"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4EE8733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4699A082"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0EAF81A8"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7E0DC91E"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71E981D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26276F13"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51DCEE83"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23B703CA"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3F191AF3"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412BA97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4310A46D"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7080C8E7"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17A847EC"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2DDBE1E8"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67764B75"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4039C0F7"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522" w:type="dxa"/>
            <w:tcBorders>
              <w:top w:val="nil"/>
              <w:left w:val="nil"/>
              <w:bottom w:val="single" w:sz="4" w:space="0" w:color="auto"/>
              <w:right w:val="single" w:sz="4" w:space="0" w:color="auto"/>
            </w:tcBorders>
            <w:noWrap/>
            <w:vAlign w:val="center"/>
            <w:hideMark/>
          </w:tcPr>
          <w:p w14:paraId="02AC8812"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w:t>
            </w:r>
          </w:p>
        </w:tc>
        <w:tc>
          <w:tcPr>
            <w:tcW w:w="761" w:type="dxa"/>
            <w:tcBorders>
              <w:top w:val="nil"/>
              <w:left w:val="nil"/>
              <w:bottom w:val="single" w:sz="4" w:space="0" w:color="auto"/>
              <w:right w:val="single" w:sz="4" w:space="0" w:color="auto"/>
            </w:tcBorders>
            <w:noWrap/>
            <w:vAlign w:val="center"/>
            <w:hideMark/>
          </w:tcPr>
          <w:p w14:paraId="2FECC0D4" w14:textId="77777777" w:rsidR="003F67DE" w:rsidRPr="003F67DE" w:rsidRDefault="003F67DE" w:rsidP="003F67DE">
            <w:pPr>
              <w:spacing w:after="0" w:line="240" w:lineRule="auto"/>
              <w:jc w:val="center"/>
              <w:rPr>
                <w:rFonts w:eastAsia="Times New Roman" w:cs="Times New Roman"/>
                <w:color w:val="000000"/>
                <w:kern w:val="0"/>
                <w:sz w:val="17"/>
                <w:szCs w:val="17"/>
                <w:lang w:bidi="ar-SA"/>
                <w14:ligatures w14:val="none"/>
              </w:rPr>
            </w:pPr>
            <w:r w:rsidRPr="003F67DE">
              <w:rPr>
                <w:rFonts w:eastAsia="Times New Roman" w:cs="Times New Roman"/>
                <w:color w:val="000000"/>
                <w:kern w:val="0"/>
                <w:sz w:val="17"/>
                <w:szCs w:val="17"/>
                <w:lang w:bidi="ar-SA"/>
                <w14:ligatures w14:val="none"/>
              </w:rPr>
              <w:t>222.00</w:t>
            </w:r>
          </w:p>
        </w:tc>
      </w:tr>
    </w:tbl>
    <w:p w14:paraId="4D74FCA6" w14:textId="4F8B7551" w:rsidR="003F67DE" w:rsidRDefault="003F67DE" w:rsidP="003F67DE">
      <w:pPr>
        <w:pStyle w:val="Caption"/>
        <w:jc w:val="center"/>
        <w:rPr>
          <w:rFonts w:cs="Times New Roman"/>
        </w:rPr>
      </w:pPr>
      <w:r w:rsidRPr="003F67DE">
        <w:rPr>
          <w:rFonts w:cs="Times New Roman"/>
        </w:rPr>
        <w:t xml:space="preserve">Table </w:t>
      </w:r>
      <w:r w:rsidRPr="003F67DE">
        <w:rPr>
          <w:rFonts w:cs="Times New Roman"/>
        </w:rPr>
        <w:fldChar w:fldCharType="begin"/>
      </w:r>
      <w:r w:rsidRPr="003F67DE">
        <w:rPr>
          <w:rFonts w:cs="Times New Roman"/>
        </w:rPr>
        <w:instrText xml:space="preserve"> SEQ Table \* ARABIC </w:instrText>
      </w:r>
      <w:r w:rsidRPr="003F67DE">
        <w:rPr>
          <w:rFonts w:cs="Times New Roman"/>
        </w:rPr>
        <w:fldChar w:fldCharType="separate"/>
      </w:r>
      <w:r w:rsidR="00595055">
        <w:rPr>
          <w:rFonts w:cs="Times New Roman"/>
          <w:noProof/>
        </w:rPr>
        <w:t>3</w:t>
      </w:r>
      <w:r w:rsidRPr="003F67DE">
        <w:rPr>
          <w:rFonts w:cs="Times New Roman"/>
        </w:rPr>
        <w:fldChar w:fldCharType="end"/>
      </w:r>
      <w:r w:rsidRPr="003F67DE">
        <w:rPr>
          <w:rFonts w:cs="Times New Roman"/>
        </w:rPr>
        <w:t>: Excel Generated Descriptive Analysis</w:t>
      </w:r>
    </w:p>
    <w:p w14:paraId="731FE749" w14:textId="0037940C" w:rsidR="003F67DE" w:rsidRPr="003F67DE" w:rsidRDefault="003F67DE" w:rsidP="003F67DE">
      <w:pPr>
        <w:rPr>
          <w:b/>
          <w:bCs/>
        </w:rPr>
      </w:pPr>
      <w:r w:rsidRPr="003F67DE">
        <w:rPr>
          <w:b/>
          <w:bCs/>
        </w:rPr>
        <w:t xml:space="preserve">Where: </w:t>
      </w:r>
    </w:p>
    <w:tbl>
      <w:tblPr>
        <w:tblW w:w="10803" w:type="dxa"/>
        <w:tblInd w:w="-545" w:type="dxa"/>
        <w:tblLook w:val="04A0" w:firstRow="1" w:lastRow="0" w:firstColumn="1" w:lastColumn="0" w:noHBand="0" w:noVBand="1"/>
      </w:tblPr>
      <w:tblGrid>
        <w:gridCol w:w="1242"/>
        <w:gridCol w:w="7752"/>
        <w:gridCol w:w="1809"/>
      </w:tblGrid>
      <w:tr w:rsidR="002876B7" w:rsidRPr="002876B7" w14:paraId="74366040" w14:textId="77777777" w:rsidTr="002876B7">
        <w:trPr>
          <w:trHeight w:val="307"/>
        </w:trPr>
        <w:tc>
          <w:tcPr>
            <w:tcW w:w="1242" w:type="dxa"/>
            <w:tcBorders>
              <w:top w:val="single" w:sz="4" w:space="0" w:color="auto"/>
              <w:left w:val="single" w:sz="4" w:space="0" w:color="auto"/>
              <w:bottom w:val="single" w:sz="4" w:space="0" w:color="auto"/>
              <w:right w:val="single" w:sz="4" w:space="0" w:color="auto"/>
            </w:tcBorders>
            <w:vAlign w:val="center"/>
            <w:hideMark/>
          </w:tcPr>
          <w:p w14:paraId="39DF7350"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A</w:t>
            </w:r>
          </w:p>
        </w:tc>
        <w:tc>
          <w:tcPr>
            <w:tcW w:w="7752" w:type="dxa"/>
            <w:tcBorders>
              <w:top w:val="single" w:sz="4" w:space="0" w:color="auto"/>
              <w:left w:val="nil"/>
              <w:bottom w:val="single" w:sz="4" w:space="0" w:color="auto"/>
              <w:right w:val="single" w:sz="4" w:space="0" w:color="auto"/>
            </w:tcBorders>
            <w:vAlign w:val="center"/>
            <w:hideMark/>
          </w:tcPr>
          <w:p w14:paraId="4C579030"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 xml:space="preserve">When you buy products from places like bakeries or flour mills, do you prefer items made using less electricity or fuel, even if the price is slightly higher? </w:t>
            </w:r>
          </w:p>
        </w:tc>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56437041" w14:textId="3047ACD2" w:rsidR="002876B7" w:rsidRPr="002876B7" w:rsidRDefault="002876B7" w:rsidP="002876B7">
            <w:pPr>
              <w:spacing w:after="0" w:line="240" w:lineRule="auto"/>
              <w:jc w:val="center"/>
              <w:rPr>
                <w:rFonts w:eastAsia="Times New Roman" w:cs="Times New Roman"/>
                <w:color w:val="000000"/>
                <w:kern w:val="0"/>
                <w:sz w:val="22"/>
                <w:szCs w:val="22"/>
                <w:lang w:bidi="ar-SA"/>
                <w14:ligatures w14:val="none"/>
              </w:rPr>
            </w:pPr>
            <w:r w:rsidRPr="002876B7">
              <w:rPr>
                <w:rFonts w:eastAsia="Times New Roman" w:cs="Times New Roman"/>
                <w:color w:val="000000"/>
                <w:kern w:val="0"/>
                <w:sz w:val="22"/>
                <w:szCs w:val="22"/>
                <w:lang w:bidi="ar-SA"/>
                <w14:ligatures w14:val="none"/>
              </w:rPr>
              <w:t>Environmental Indicators</w:t>
            </w:r>
          </w:p>
        </w:tc>
      </w:tr>
      <w:tr w:rsidR="002876B7" w:rsidRPr="002876B7" w14:paraId="6021316D" w14:textId="77777777" w:rsidTr="002876B7">
        <w:trPr>
          <w:trHeight w:val="228"/>
        </w:trPr>
        <w:tc>
          <w:tcPr>
            <w:tcW w:w="1242" w:type="dxa"/>
            <w:tcBorders>
              <w:top w:val="nil"/>
              <w:left w:val="single" w:sz="4" w:space="0" w:color="auto"/>
              <w:bottom w:val="single" w:sz="4" w:space="0" w:color="auto"/>
              <w:right w:val="single" w:sz="4" w:space="0" w:color="auto"/>
            </w:tcBorders>
            <w:vAlign w:val="center"/>
            <w:hideMark/>
          </w:tcPr>
          <w:p w14:paraId="65177401"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B</w:t>
            </w:r>
          </w:p>
        </w:tc>
        <w:tc>
          <w:tcPr>
            <w:tcW w:w="7752" w:type="dxa"/>
            <w:tcBorders>
              <w:top w:val="nil"/>
              <w:left w:val="nil"/>
              <w:bottom w:val="single" w:sz="4" w:space="0" w:color="auto"/>
              <w:right w:val="single" w:sz="4" w:space="0" w:color="auto"/>
            </w:tcBorders>
            <w:vAlign w:val="center"/>
            <w:hideMark/>
          </w:tcPr>
          <w:p w14:paraId="4FCA34D6"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 xml:space="preserve">When you purchase food items, do you expect these businesses to use cleaner production methods only if prices do not increase much?  </w:t>
            </w:r>
          </w:p>
        </w:tc>
        <w:tc>
          <w:tcPr>
            <w:tcW w:w="1809" w:type="dxa"/>
            <w:vMerge/>
            <w:tcBorders>
              <w:top w:val="single" w:sz="4" w:space="0" w:color="auto"/>
              <w:left w:val="single" w:sz="4" w:space="0" w:color="auto"/>
              <w:bottom w:val="single" w:sz="4" w:space="0" w:color="auto"/>
              <w:right w:val="single" w:sz="4" w:space="0" w:color="auto"/>
            </w:tcBorders>
            <w:vAlign w:val="center"/>
            <w:hideMark/>
          </w:tcPr>
          <w:p w14:paraId="1B59D3DB" w14:textId="77777777" w:rsidR="002876B7" w:rsidRPr="002876B7" w:rsidRDefault="002876B7" w:rsidP="002876B7">
            <w:pPr>
              <w:spacing w:after="0" w:line="240" w:lineRule="auto"/>
              <w:rPr>
                <w:rFonts w:eastAsia="Times New Roman" w:cs="Times New Roman"/>
                <w:color w:val="000000"/>
                <w:kern w:val="0"/>
                <w:sz w:val="22"/>
                <w:szCs w:val="22"/>
                <w:lang w:bidi="ar-SA"/>
                <w14:ligatures w14:val="none"/>
              </w:rPr>
            </w:pPr>
          </w:p>
        </w:tc>
      </w:tr>
      <w:tr w:rsidR="002876B7" w:rsidRPr="002876B7" w14:paraId="2F00537C" w14:textId="77777777" w:rsidTr="002876B7">
        <w:trPr>
          <w:trHeight w:val="307"/>
        </w:trPr>
        <w:tc>
          <w:tcPr>
            <w:tcW w:w="1242" w:type="dxa"/>
            <w:tcBorders>
              <w:top w:val="nil"/>
              <w:left w:val="single" w:sz="4" w:space="0" w:color="auto"/>
              <w:bottom w:val="single" w:sz="4" w:space="0" w:color="auto"/>
              <w:right w:val="single" w:sz="4" w:space="0" w:color="auto"/>
            </w:tcBorders>
            <w:vAlign w:val="center"/>
            <w:hideMark/>
          </w:tcPr>
          <w:p w14:paraId="74721DA1"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C</w:t>
            </w:r>
          </w:p>
        </w:tc>
        <w:tc>
          <w:tcPr>
            <w:tcW w:w="7752" w:type="dxa"/>
            <w:tcBorders>
              <w:top w:val="nil"/>
              <w:left w:val="nil"/>
              <w:bottom w:val="single" w:sz="4" w:space="0" w:color="auto"/>
              <w:right w:val="single" w:sz="4" w:space="0" w:color="auto"/>
            </w:tcBorders>
            <w:vAlign w:val="center"/>
            <w:hideMark/>
          </w:tcPr>
          <w:p w14:paraId="58E78D11"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 xml:space="preserve">While buying packaged or local food products, do you prefer environment-friendly raw materials only when the product remains affordable?  </w:t>
            </w:r>
          </w:p>
        </w:tc>
        <w:tc>
          <w:tcPr>
            <w:tcW w:w="1809" w:type="dxa"/>
            <w:vMerge/>
            <w:tcBorders>
              <w:top w:val="single" w:sz="4" w:space="0" w:color="auto"/>
              <w:left w:val="single" w:sz="4" w:space="0" w:color="auto"/>
              <w:bottom w:val="single" w:sz="4" w:space="0" w:color="auto"/>
              <w:right w:val="single" w:sz="4" w:space="0" w:color="auto"/>
            </w:tcBorders>
            <w:vAlign w:val="center"/>
            <w:hideMark/>
          </w:tcPr>
          <w:p w14:paraId="461BAE73" w14:textId="77777777" w:rsidR="002876B7" w:rsidRPr="002876B7" w:rsidRDefault="002876B7" w:rsidP="002876B7">
            <w:pPr>
              <w:spacing w:after="0" w:line="240" w:lineRule="auto"/>
              <w:rPr>
                <w:rFonts w:eastAsia="Times New Roman" w:cs="Times New Roman"/>
                <w:color w:val="000000"/>
                <w:kern w:val="0"/>
                <w:sz w:val="22"/>
                <w:szCs w:val="22"/>
                <w:lang w:bidi="ar-SA"/>
                <w14:ligatures w14:val="none"/>
              </w:rPr>
            </w:pPr>
          </w:p>
        </w:tc>
      </w:tr>
      <w:tr w:rsidR="002876B7" w:rsidRPr="002876B7" w14:paraId="68B6F26F" w14:textId="77777777" w:rsidTr="002876B7">
        <w:trPr>
          <w:trHeight w:val="257"/>
        </w:trPr>
        <w:tc>
          <w:tcPr>
            <w:tcW w:w="1242" w:type="dxa"/>
            <w:tcBorders>
              <w:top w:val="nil"/>
              <w:left w:val="single" w:sz="4" w:space="0" w:color="auto"/>
              <w:bottom w:val="single" w:sz="4" w:space="0" w:color="auto"/>
              <w:right w:val="single" w:sz="4" w:space="0" w:color="auto"/>
            </w:tcBorders>
            <w:vAlign w:val="center"/>
            <w:hideMark/>
          </w:tcPr>
          <w:p w14:paraId="3A8F907E"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D</w:t>
            </w:r>
          </w:p>
        </w:tc>
        <w:tc>
          <w:tcPr>
            <w:tcW w:w="7752" w:type="dxa"/>
            <w:tcBorders>
              <w:top w:val="nil"/>
              <w:left w:val="nil"/>
              <w:bottom w:val="single" w:sz="4" w:space="0" w:color="auto"/>
              <w:right w:val="single" w:sz="4" w:space="0" w:color="auto"/>
            </w:tcBorders>
            <w:vAlign w:val="center"/>
            <w:hideMark/>
          </w:tcPr>
          <w:p w14:paraId="30A70073"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Do you notice that such food businesses try to reduce electricity or fuel use in their operations?</w:t>
            </w:r>
          </w:p>
        </w:tc>
        <w:tc>
          <w:tcPr>
            <w:tcW w:w="1809" w:type="dxa"/>
            <w:vMerge/>
            <w:tcBorders>
              <w:top w:val="single" w:sz="4" w:space="0" w:color="auto"/>
              <w:left w:val="single" w:sz="4" w:space="0" w:color="auto"/>
              <w:bottom w:val="single" w:sz="4" w:space="0" w:color="auto"/>
              <w:right w:val="single" w:sz="4" w:space="0" w:color="auto"/>
            </w:tcBorders>
            <w:vAlign w:val="center"/>
            <w:hideMark/>
          </w:tcPr>
          <w:p w14:paraId="11C90AFB" w14:textId="77777777" w:rsidR="002876B7" w:rsidRPr="002876B7" w:rsidRDefault="002876B7" w:rsidP="002876B7">
            <w:pPr>
              <w:spacing w:after="0" w:line="240" w:lineRule="auto"/>
              <w:rPr>
                <w:rFonts w:eastAsia="Times New Roman" w:cs="Times New Roman"/>
                <w:color w:val="000000"/>
                <w:kern w:val="0"/>
                <w:sz w:val="22"/>
                <w:szCs w:val="22"/>
                <w:lang w:bidi="ar-SA"/>
                <w14:ligatures w14:val="none"/>
              </w:rPr>
            </w:pPr>
          </w:p>
        </w:tc>
      </w:tr>
      <w:tr w:rsidR="002876B7" w:rsidRPr="002876B7" w14:paraId="270FE391" w14:textId="77777777" w:rsidTr="002876B7">
        <w:trPr>
          <w:trHeight w:val="334"/>
        </w:trPr>
        <w:tc>
          <w:tcPr>
            <w:tcW w:w="1242" w:type="dxa"/>
            <w:tcBorders>
              <w:top w:val="nil"/>
              <w:left w:val="single" w:sz="4" w:space="0" w:color="auto"/>
              <w:bottom w:val="single" w:sz="4" w:space="0" w:color="auto"/>
              <w:right w:val="single" w:sz="4" w:space="0" w:color="auto"/>
            </w:tcBorders>
            <w:vAlign w:val="center"/>
            <w:hideMark/>
          </w:tcPr>
          <w:p w14:paraId="4D7F6F74"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E</w:t>
            </w:r>
          </w:p>
        </w:tc>
        <w:tc>
          <w:tcPr>
            <w:tcW w:w="7752" w:type="dxa"/>
            <w:tcBorders>
              <w:top w:val="nil"/>
              <w:left w:val="nil"/>
              <w:bottom w:val="single" w:sz="4" w:space="0" w:color="auto"/>
              <w:right w:val="single" w:sz="4" w:space="0" w:color="auto"/>
            </w:tcBorders>
            <w:vAlign w:val="center"/>
            <w:hideMark/>
          </w:tcPr>
          <w:p w14:paraId="2CE39AE5"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When you visit places like sweet shops or small food units, do you support those that ensure worker safety, even if prices are slightly higher?</w:t>
            </w:r>
          </w:p>
        </w:tc>
        <w:tc>
          <w:tcPr>
            <w:tcW w:w="1809" w:type="dxa"/>
            <w:vMerge w:val="restart"/>
            <w:tcBorders>
              <w:top w:val="nil"/>
              <w:left w:val="single" w:sz="4" w:space="0" w:color="auto"/>
              <w:bottom w:val="single" w:sz="4" w:space="0" w:color="auto"/>
              <w:right w:val="single" w:sz="4" w:space="0" w:color="auto"/>
            </w:tcBorders>
            <w:vAlign w:val="center"/>
            <w:hideMark/>
          </w:tcPr>
          <w:p w14:paraId="32BA104B" w14:textId="77777777" w:rsidR="002876B7" w:rsidRPr="002876B7" w:rsidRDefault="002876B7" w:rsidP="002876B7">
            <w:pPr>
              <w:spacing w:after="0" w:line="240" w:lineRule="auto"/>
              <w:jc w:val="center"/>
              <w:rPr>
                <w:rFonts w:eastAsia="Times New Roman" w:cs="Times New Roman"/>
                <w:color w:val="000000"/>
                <w:kern w:val="0"/>
                <w:sz w:val="22"/>
                <w:szCs w:val="22"/>
                <w:lang w:bidi="ar-SA"/>
                <w14:ligatures w14:val="none"/>
              </w:rPr>
            </w:pPr>
            <w:r w:rsidRPr="002876B7">
              <w:rPr>
                <w:rFonts w:eastAsia="Times New Roman" w:cs="Times New Roman"/>
                <w:color w:val="000000"/>
                <w:kern w:val="0"/>
                <w:sz w:val="22"/>
                <w:szCs w:val="22"/>
                <w:lang w:bidi="ar-SA"/>
                <w14:ligatures w14:val="none"/>
              </w:rPr>
              <w:t>Social Indicators</w:t>
            </w:r>
          </w:p>
        </w:tc>
      </w:tr>
      <w:tr w:rsidR="002876B7" w:rsidRPr="002876B7" w14:paraId="30824751" w14:textId="77777777" w:rsidTr="002876B7">
        <w:trPr>
          <w:trHeight w:val="283"/>
        </w:trPr>
        <w:tc>
          <w:tcPr>
            <w:tcW w:w="1242" w:type="dxa"/>
            <w:tcBorders>
              <w:top w:val="nil"/>
              <w:left w:val="single" w:sz="4" w:space="0" w:color="auto"/>
              <w:bottom w:val="single" w:sz="4" w:space="0" w:color="auto"/>
              <w:right w:val="single" w:sz="4" w:space="0" w:color="auto"/>
            </w:tcBorders>
            <w:vAlign w:val="center"/>
            <w:hideMark/>
          </w:tcPr>
          <w:p w14:paraId="2799EEBF"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F</w:t>
            </w:r>
          </w:p>
        </w:tc>
        <w:tc>
          <w:tcPr>
            <w:tcW w:w="7752" w:type="dxa"/>
            <w:tcBorders>
              <w:top w:val="nil"/>
              <w:left w:val="nil"/>
              <w:bottom w:val="single" w:sz="4" w:space="0" w:color="auto"/>
              <w:right w:val="single" w:sz="4" w:space="0" w:color="auto"/>
            </w:tcBorders>
            <w:vAlign w:val="center"/>
            <w:hideMark/>
          </w:tcPr>
          <w:p w14:paraId="5768CA49"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 xml:space="preserve"> Do you value local food businesses that contribute to the community, only if their product prices remain reasonable?</w:t>
            </w:r>
          </w:p>
        </w:tc>
        <w:tc>
          <w:tcPr>
            <w:tcW w:w="1809" w:type="dxa"/>
            <w:vMerge/>
            <w:tcBorders>
              <w:top w:val="nil"/>
              <w:left w:val="single" w:sz="4" w:space="0" w:color="auto"/>
              <w:bottom w:val="single" w:sz="4" w:space="0" w:color="auto"/>
              <w:right w:val="single" w:sz="4" w:space="0" w:color="auto"/>
            </w:tcBorders>
            <w:vAlign w:val="center"/>
            <w:hideMark/>
          </w:tcPr>
          <w:p w14:paraId="6A25357F" w14:textId="77777777" w:rsidR="002876B7" w:rsidRPr="002876B7" w:rsidRDefault="002876B7" w:rsidP="002876B7">
            <w:pPr>
              <w:spacing w:after="0" w:line="240" w:lineRule="auto"/>
              <w:rPr>
                <w:rFonts w:eastAsia="Times New Roman" w:cs="Times New Roman"/>
                <w:color w:val="000000"/>
                <w:kern w:val="0"/>
                <w:sz w:val="22"/>
                <w:szCs w:val="22"/>
                <w:lang w:bidi="ar-SA"/>
                <w14:ligatures w14:val="none"/>
              </w:rPr>
            </w:pPr>
          </w:p>
        </w:tc>
      </w:tr>
      <w:tr w:rsidR="002876B7" w:rsidRPr="002876B7" w14:paraId="719D78C2" w14:textId="77777777" w:rsidTr="002876B7">
        <w:trPr>
          <w:trHeight w:val="265"/>
        </w:trPr>
        <w:tc>
          <w:tcPr>
            <w:tcW w:w="1242" w:type="dxa"/>
            <w:tcBorders>
              <w:top w:val="nil"/>
              <w:left w:val="single" w:sz="4" w:space="0" w:color="auto"/>
              <w:bottom w:val="single" w:sz="4" w:space="0" w:color="auto"/>
              <w:right w:val="single" w:sz="4" w:space="0" w:color="auto"/>
            </w:tcBorders>
            <w:vAlign w:val="center"/>
            <w:hideMark/>
          </w:tcPr>
          <w:p w14:paraId="10F6C3C6"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G</w:t>
            </w:r>
          </w:p>
        </w:tc>
        <w:tc>
          <w:tcPr>
            <w:tcW w:w="7752" w:type="dxa"/>
            <w:tcBorders>
              <w:top w:val="nil"/>
              <w:left w:val="nil"/>
              <w:bottom w:val="single" w:sz="4" w:space="0" w:color="auto"/>
              <w:right w:val="single" w:sz="4" w:space="0" w:color="auto"/>
            </w:tcBorders>
            <w:vAlign w:val="center"/>
            <w:hideMark/>
          </w:tcPr>
          <w:p w14:paraId="65C13222"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When buying from such businesses, do you think employee training is important only if it does not increase product prices?</w:t>
            </w:r>
          </w:p>
        </w:tc>
        <w:tc>
          <w:tcPr>
            <w:tcW w:w="1809" w:type="dxa"/>
            <w:vMerge/>
            <w:tcBorders>
              <w:top w:val="nil"/>
              <w:left w:val="single" w:sz="4" w:space="0" w:color="auto"/>
              <w:bottom w:val="single" w:sz="4" w:space="0" w:color="auto"/>
              <w:right w:val="single" w:sz="4" w:space="0" w:color="auto"/>
            </w:tcBorders>
            <w:vAlign w:val="center"/>
            <w:hideMark/>
          </w:tcPr>
          <w:p w14:paraId="3FAD2CD3" w14:textId="77777777" w:rsidR="002876B7" w:rsidRPr="002876B7" w:rsidRDefault="002876B7" w:rsidP="002876B7">
            <w:pPr>
              <w:spacing w:after="0" w:line="240" w:lineRule="auto"/>
              <w:rPr>
                <w:rFonts w:eastAsia="Times New Roman" w:cs="Times New Roman"/>
                <w:color w:val="000000"/>
                <w:kern w:val="0"/>
                <w:sz w:val="22"/>
                <w:szCs w:val="22"/>
                <w:lang w:bidi="ar-SA"/>
                <w14:ligatures w14:val="none"/>
              </w:rPr>
            </w:pPr>
          </w:p>
        </w:tc>
      </w:tr>
      <w:tr w:rsidR="002876B7" w:rsidRPr="002876B7" w14:paraId="4295797D" w14:textId="77777777" w:rsidTr="002876B7">
        <w:trPr>
          <w:trHeight w:val="283"/>
        </w:trPr>
        <w:tc>
          <w:tcPr>
            <w:tcW w:w="1242" w:type="dxa"/>
            <w:tcBorders>
              <w:top w:val="nil"/>
              <w:left w:val="single" w:sz="4" w:space="0" w:color="auto"/>
              <w:bottom w:val="single" w:sz="4" w:space="0" w:color="auto"/>
              <w:right w:val="single" w:sz="4" w:space="0" w:color="auto"/>
            </w:tcBorders>
            <w:vAlign w:val="center"/>
            <w:hideMark/>
          </w:tcPr>
          <w:p w14:paraId="412EB013"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H</w:t>
            </w:r>
          </w:p>
        </w:tc>
        <w:tc>
          <w:tcPr>
            <w:tcW w:w="7752" w:type="dxa"/>
            <w:tcBorders>
              <w:top w:val="nil"/>
              <w:left w:val="nil"/>
              <w:bottom w:val="single" w:sz="4" w:space="0" w:color="auto"/>
              <w:right w:val="single" w:sz="4" w:space="0" w:color="auto"/>
            </w:tcBorders>
            <w:vAlign w:val="center"/>
            <w:hideMark/>
          </w:tcPr>
          <w:p w14:paraId="37259DA6"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Do you observe that workers in these businesses are provided with safe and proper working conditions?</w:t>
            </w:r>
          </w:p>
        </w:tc>
        <w:tc>
          <w:tcPr>
            <w:tcW w:w="1809" w:type="dxa"/>
            <w:vMerge/>
            <w:tcBorders>
              <w:top w:val="nil"/>
              <w:left w:val="single" w:sz="4" w:space="0" w:color="auto"/>
              <w:bottom w:val="single" w:sz="4" w:space="0" w:color="auto"/>
              <w:right w:val="single" w:sz="4" w:space="0" w:color="auto"/>
            </w:tcBorders>
            <w:vAlign w:val="center"/>
            <w:hideMark/>
          </w:tcPr>
          <w:p w14:paraId="391DAD7D" w14:textId="77777777" w:rsidR="002876B7" w:rsidRPr="002876B7" w:rsidRDefault="002876B7" w:rsidP="002876B7">
            <w:pPr>
              <w:spacing w:after="0" w:line="240" w:lineRule="auto"/>
              <w:rPr>
                <w:rFonts w:eastAsia="Times New Roman" w:cs="Times New Roman"/>
                <w:color w:val="000000"/>
                <w:kern w:val="0"/>
                <w:sz w:val="22"/>
                <w:szCs w:val="22"/>
                <w:lang w:bidi="ar-SA"/>
                <w14:ligatures w14:val="none"/>
              </w:rPr>
            </w:pPr>
          </w:p>
        </w:tc>
      </w:tr>
      <w:tr w:rsidR="002876B7" w:rsidRPr="002876B7" w14:paraId="65F0222A" w14:textId="77777777" w:rsidTr="002876B7">
        <w:trPr>
          <w:trHeight w:val="265"/>
        </w:trPr>
        <w:tc>
          <w:tcPr>
            <w:tcW w:w="1242" w:type="dxa"/>
            <w:tcBorders>
              <w:top w:val="nil"/>
              <w:left w:val="single" w:sz="4" w:space="0" w:color="auto"/>
              <w:bottom w:val="single" w:sz="4" w:space="0" w:color="auto"/>
              <w:right w:val="single" w:sz="4" w:space="0" w:color="auto"/>
            </w:tcBorders>
            <w:vAlign w:val="center"/>
            <w:hideMark/>
          </w:tcPr>
          <w:p w14:paraId="7B628B85"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I</w:t>
            </w:r>
          </w:p>
        </w:tc>
        <w:tc>
          <w:tcPr>
            <w:tcW w:w="7752" w:type="dxa"/>
            <w:tcBorders>
              <w:top w:val="nil"/>
              <w:left w:val="nil"/>
              <w:bottom w:val="single" w:sz="4" w:space="0" w:color="auto"/>
              <w:right w:val="single" w:sz="4" w:space="0" w:color="auto"/>
            </w:tcBorders>
            <w:vAlign w:val="center"/>
            <w:hideMark/>
          </w:tcPr>
          <w:p w14:paraId="0E8F68BA"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While purchasing from local food businesses, do you expect them to follow rules even if it leads to slightly higher prices?</w:t>
            </w:r>
          </w:p>
        </w:tc>
        <w:tc>
          <w:tcPr>
            <w:tcW w:w="1809" w:type="dxa"/>
            <w:vMerge w:val="restart"/>
            <w:tcBorders>
              <w:top w:val="nil"/>
              <w:left w:val="single" w:sz="4" w:space="0" w:color="auto"/>
              <w:bottom w:val="single" w:sz="4" w:space="0" w:color="auto"/>
              <w:right w:val="single" w:sz="4" w:space="0" w:color="auto"/>
            </w:tcBorders>
            <w:vAlign w:val="center"/>
            <w:hideMark/>
          </w:tcPr>
          <w:p w14:paraId="2EB16157" w14:textId="77777777" w:rsidR="002876B7" w:rsidRPr="002876B7" w:rsidRDefault="002876B7" w:rsidP="002876B7">
            <w:pPr>
              <w:spacing w:after="0" w:line="240" w:lineRule="auto"/>
              <w:jc w:val="center"/>
              <w:rPr>
                <w:rFonts w:eastAsia="Times New Roman" w:cs="Times New Roman"/>
                <w:color w:val="000000"/>
                <w:kern w:val="0"/>
                <w:sz w:val="22"/>
                <w:szCs w:val="22"/>
                <w:lang w:bidi="ar-SA"/>
                <w14:ligatures w14:val="none"/>
              </w:rPr>
            </w:pPr>
            <w:r w:rsidRPr="002876B7">
              <w:rPr>
                <w:rFonts w:eastAsia="Times New Roman" w:cs="Times New Roman"/>
                <w:color w:val="000000"/>
                <w:kern w:val="0"/>
                <w:sz w:val="22"/>
                <w:szCs w:val="22"/>
                <w:lang w:bidi="ar-SA"/>
                <w14:ligatures w14:val="none"/>
              </w:rPr>
              <w:t>Governance Indicator</w:t>
            </w:r>
          </w:p>
        </w:tc>
      </w:tr>
      <w:tr w:rsidR="002876B7" w:rsidRPr="002876B7" w14:paraId="06200355" w14:textId="77777777" w:rsidTr="002876B7">
        <w:trPr>
          <w:trHeight w:val="257"/>
        </w:trPr>
        <w:tc>
          <w:tcPr>
            <w:tcW w:w="1242" w:type="dxa"/>
            <w:tcBorders>
              <w:top w:val="nil"/>
              <w:left w:val="single" w:sz="4" w:space="0" w:color="auto"/>
              <w:bottom w:val="single" w:sz="4" w:space="0" w:color="auto"/>
              <w:right w:val="single" w:sz="4" w:space="0" w:color="auto"/>
            </w:tcBorders>
            <w:vAlign w:val="center"/>
            <w:hideMark/>
          </w:tcPr>
          <w:p w14:paraId="485BA41C"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J</w:t>
            </w:r>
          </w:p>
        </w:tc>
        <w:tc>
          <w:tcPr>
            <w:tcW w:w="7752" w:type="dxa"/>
            <w:tcBorders>
              <w:top w:val="nil"/>
              <w:left w:val="nil"/>
              <w:bottom w:val="single" w:sz="4" w:space="0" w:color="auto"/>
              <w:right w:val="single" w:sz="4" w:space="0" w:color="auto"/>
            </w:tcBorders>
            <w:vAlign w:val="center"/>
            <w:hideMark/>
          </w:tcPr>
          <w:p w14:paraId="7EB3B3DD"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Do you prefer buying from honest and transparent food businesses, even if their products cost more?</w:t>
            </w:r>
          </w:p>
        </w:tc>
        <w:tc>
          <w:tcPr>
            <w:tcW w:w="1809" w:type="dxa"/>
            <w:vMerge/>
            <w:tcBorders>
              <w:top w:val="nil"/>
              <w:left w:val="single" w:sz="4" w:space="0" w:color="auto"/>
              <w:bottom w:val="single" w:sz="4" w:space="0" w:color="auto"/>
              <w:right w:val="single" w:sz="4" w:space="0" w:color="auto"/>
            </w:tcBorders>
            <w:vAlign w:val="center"/>
            <w:hideMark/>
          </w:tcPr>
          <w:p w14:paraId="4F08227D" w14:textId="77777777" w:rsidR="002876B7" w:rsidRPr="002876B7" w:rsidRDefault="002876B7" w:rsidP="002876B7">
            <w:pPr>
              <w:spacing w:after="0" w:line="240" w:lineRule="auto"/>
              <w:rPr>
                <w:rFonts w:eastAsia="Times New Roman" w:cs="Times New Roman"/>
                <w:color w:val="000000"/>
                <w:kern w:val="0"/>
                <w:sz w:val="22"/>
                <w:szCs w:val="22"/>
                <w:lang w:bidi="ar-SA"/>
                <w14:ligatures w14:val="none"/>
              </w:rPr>
            </w:pPr>
          </w:p>
        </w:tc>
      </w:tr>
      <w:tr w:rsidR="002876B7" w:rsidRPr="002876B7" w14:paraId="720AD8D6" w14:textId="77777777" w:rsidTr="002876B7">
        <w:trPr>
          <w:trHeight w:val="344"/>
        </w:trPr>
        <w:tc>
          <w:tcPr>
            <w:tcW w:w="1242" w:type="dxa"/>
            <w:tcBorders>
              <w:top w:val="nil"/>
              <w:left w:val="single" w:sz="4" w:space="0" w:color="auto"/>
              <w:bottom w:val="single" w:sz="4" w:space="0" w:color="auto"/>
              <w:right w:val="single" w:sz="4" w:space="0" w:color="auto"/>
            </w:tcBorders>
            <w:vAlign w:val="center"/>
            <w:hideMark/>
          </w:tcPr>
          <w:p w14:paraId="152C9944"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K</w:t>
            </w:r>
          </w:p>
        </w:tc>
        <w:tc>
          <w:tcPr>
            <w:tcW w:w="7752" w:type="dxa"/>
            <w:tcBorders>
              <w:top w:val="nil"/>
              <w:left w:val="nil"/>
              <w:bottom w:val="single" w:sz="4" w:space="0" w:color="auto"/>
              <w:right w:val="single" w:sz="4" w:space="0" w:color="auto"/>
            </w:tcBorders>
            <w:vAlign w:val="center"/>
            <w:hideMark/>
          </w:tcPr>
          <w:p w14:paraId="6B0080D2"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Do you value well-managed food businesses only when their prices are competitive compared to others?</w:t>
            </w:r>
          </w:p>
        </w:tc>
        <w:tc>
          <w:tcPr>
            <w:tcW w:w="1809" w:type="dxa"/>
            <w:vMerge/>
            <w:tcBorders>
              <w:top w:val="nil"/>
              <w:left w:val="single" w:sz="4" w:space="0" w:color="auto"/>
              <w:bottom w:val="single" w:sz="4" w:space="0" w:color="auto"/>
              <w:right w:val="single" w:sz="4" w:space="0" w:color="auto"/>
            </w:tcBorders>
            <w:vAlign w:val="center"/>
            <w:hideMark/>
          </w:tcPr>
          <w:p w14:paraId="0D5ADE32" w14:textId="77777777" w:rsidR="002876B7" w:rsidRPr="002876B7" w:rsidRDefault="002876B7" w:rsidP="002876B7">
            <w:pPr>
              <w:spacing w:after="0" w:line="240" w:lineRule="auto"/>
              <w:rPr>
                <w:rFonts w:eastAsia="Times New Roman" w:cs="Times New Roman"/>
                <w:color w:val="000000"/>
                <w:kern w:val="0"/>
                <w:sz w:val="22"/>
                <w:szCs w:val="22"/>
                <w:lang w:bidi="ar-SA"/>
                <w14:ligatures w14:val="none"/>
              </w:rPr>
            </w:pPr>
          </w:p>
        </w:tc>
      </w:tr>
      <w:tr w:rsidR="002876B7" w:rsidRPr="002876B7" w14:paraId="050BA147" w14:textId="77777777" w:rsidTr="002876B7">
        <w:trPr>
          <w:trHeight w:val="344"/>
        </w:trPr>
        <w:tc>
          <w:tcPr>
            <w:tcW w:w="1242" w:type="dxa"/>
            <w:tcBorders>
              <w:top w:val="nil"/>
              <w:left w:val="single" w:sz="4" w:space="0" w:color="auto"/>
              <w:bottom w:val="single" w:sz="4" w:space="0" w:color="auto"/>
              <w:right w:val="single" w:sz="4" w:space="0" w:color="auto"/>
            </w:tcBorders>
            <w:vAlign w:val="center"/>
            <w:hideMark/>
          </w:tcPr>
          <w:p w14:paraId="252D7E2F"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L</w:t>
            </w:r>
          </w:p>
        </w:tc>
        <w:tc>
          <w:tcPr>
            <w:tcW w:w="7752" w:type="dxa"/>
            <w:tcBorders>
              <w:top w:val="nil"/>
              <w:left w:val="nil"/>
              <w:bottom w:val="single" w:sz="4" w:space="0" w:color="auto"/>
              <w:right w:val="single" w:sz="4" w:space="0" w:color="auto"/>
            </w:tcBorders>
            <w:vAlign w:val="center"/>
            <w:hideMark/>
          </w:tcPr>
          <w:p w14:paraId="5D4E8F0A"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 xml:space="preserve">Do you feel that these food businesses generally follow rules and maintain transparency in their operations?  </w:t>
            </w:r>
          </w:p>
        </w:tc>
        <w:tc>
          <w:tcPr>
            <w:tcW w:w="1809" w:type="dxa"/>
            <w:vMerge/>
            <w:tcBorders>
              <w:top w:val="nil"/>
              <w:left w:val="single" w:sz="4" w:space="0" w:color="auto"/>
              <w:bottom w:val="single" w:sz="4" w:space="0" w:color="auto"/>
              <w:right w:val="single" w:sz="4" w:space="0" w:color="auto"/>
            </w:tcBorders>
            <w:vAlign w:val="center"/>
            <w:hideMark/>
          </w:tcPr>
          <w:p w14:paraId="29D254CA" w14:textId="77777777" w:rsidR="002876B7" w:rsidRPr="002876B7" w:rsidRDefault="002876B7" w:rsidP="002876B7">
            <w:pPr>
              <w:spacing w:after="0" w:line="240" w:lineRule="auto"/>
              <w:rPr>
                <w:rFonts w:eastAsia="Times New Roman" w:cs="Times New Roman"/>
                <w:color w:val="000000"/>
                <w:kern w:val="0"/>
                <w:sz w:val="22"/>
                <w:szCs w:val="22"/>
                <w:lang w:bidi="ar-SA"/>
                <w14:ligatures w14:val="none"/>
              </w:rPr>
            </w:pPr>
          </w:p>
        </w:tc>
      </w:tr>
      <w:tr w:rsidR="002876B7" w:rsidRPr="002876B7" w14:paraId="1CCA9FA4" w14:textId="77777777" w:rsidTr="002876B7">
        <w:trPr>
          <w:trHeight w:val="344"/>
        </w:trPr>
        <w:tc>
          <w:tcPr>
            <w:tcW w:w="1242" w:type="dxa"/>
            <w:tcBorders>
              <w:top w:val="nil"/>
              <w:left w:val="single" w:sz="4" w:space="0" w:color="auto"/>
              <w:bottom w:val="single" w:sz="4" w:space="0" w:color="auto"/>
              <w:right w:val="single" w:sz="4" w:space="0" w:color="auto"/>
            </w:tcBorders>
            <w:vAlign w:val="center"/>
            <w:hideMark/>
          </w:tcPr>
          <w:p w14:paraId="2A36D6BE"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M</w:t>
            </w:r>
          </w:p>
        </w:tc>
        <w:tc>
          <w:tcPr>
            <w:tcW w:w="7752" w:type="dxa"/>
            <w:tcBorders>
              <w:top w:val="nil"/>
              <w:left w:val="nil"/>
              <w:bottom w:val="single" w:sz="4" w:space="0" w:color="auto"/>
              <w:right w:val="single" w:sz="4" w:space="0" w:color="auto"/>
            </w:tcBorders>
            <w:vAlign w:val="center"/>
            <w:hideMark/>
          </w:tcPr>
          <w:p w14:paraId="14D90879"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When you observe food shops or processing units, do you expect proper waste handling even if it increases product cost slightly?</w:t>
            </w:r>
          </w:p>
        </w:tc>
        <w:tc>
          <w:tcPr>
            <w:tcW w:w="1809" w:type="dxa"/>
            <w:vMerge w:val="restart"/>
            <w:tcBorders>
              <w:top w:val="nil"/>
              <w:left w:val="single" w:sz="4" w:space="0" w:color="auto"/>
              <w:bottom w:val="single" w:sz="4" w:space="0" w:color="auto"/>
              <w:right w:val="single" w:sz="4" w:space="0" w:color="auto"/>
            </w:tcBorders>
            <w:vAlign w:val="center"/>
            <w:hideMark/>
          </w:tcPr>
          <w:p w14:paraId="6526CE71" w14:textId="77777777" w:rsidR="002876B7" w:rsidRPr="002876B7" w:rsidRDefault="002876B7" w:rsidP="002876B7">
            <w:pPr>
              <w:spacing w:after="0" w:line="240" w:lineRule="auto"/>
              <w:jc w:val="center"/>
              <w:rPr>
                <w:rFonts w:eastAsia="Times New Roman" w:cs="Times New Roman"/>
                <w:color w:val="000000"/>
                <w:kern w:val="0"/>
                <w:sz w:val="22"/>
                <w:szCs w:val="22"/>
                <w:lang w:bidi="ar-SA"/>
                <w14:ligatures w14:val="none"/>
              </w:rPr>
            </w:pPr>
            <w:r w:rsidRPr="002876B7">
              <w:rPr>
                <w:rFonts w:eastAsia="Times New Roman" w:cs="Times New Roman"/>
                <w:color w:val="000000"/>
                <w:kern w:val="0"/>
                <w:sz w:val="22"/>
                <w:szCs w:val="22"/>
                <w:lang w:bidi="ar-SA"/>
                <w14:ligatures w14:val="none"/>
              </w:rPr>
              <w:t>Waste Management Indicators</w:t>
            </w:r>
          </w:p>
        </w:tc>
      </w:tr>
      <w:tr w:rsidR="002876B7" w:rsidRPr="002876B7" w14:paraId="18762C88" w14:textId="77777777" w:rsidTr="002876B7">
        <w:trPr>
          <w:trHeight w:val="257"/>
        </w:trPr>
        <w:tc>
          <w:tcPr>
            <w:tcW w:w="1242" w:type="dxa"/>
            <w:tcBorders>
              <w:top w:val="nil"/>
              <w:left w:val="single" w:sz="4" w:space="0" w:color="auto"/>
              <w:bottom w:val="single" w:sz="4" w:space="0" w:color="auto"/>
              <w:right w:val="single" w:sz="4" w:space="0" w:color="auto"/>
            </w:tcBorders>
            <w:vAlign w:val="center"/>
            <w:hideMark/>
          </w:tcPr>
          <w:p w14:paraId="245B2135"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N</w:t>
            </w:r>
          </w:p>
        </w:tc>
        <w:tc>
          <w:tcPr>
            <w:tcW w:w="7752" w:type="dxa"/>
            <w:tcBorders>
              <w:top w:val="nil"/>
              <w:left w:val="nil"/>
              <w:bottom w:val="single" w:sz="4" w:space="0" w:color="auto"/>
              <w:right w:val="single" w:sz="4" w:space="0" w:color="auto"/>
            </w:tcBorders>
            <w:vAlign w:val="center"/>
            <w:hideMark/>
          </w:tcPr>
          <w:p w14:paraId="5715C4CC"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Do you support food businesses that reduce or reuse waste only if it helps keep product prices stable?</w:t>
            </w:r>
          </w:p>
        </w:tc>
        <w:tc>
          <w:tcPr>
            <w:tcW w:w="1809" w:type="dxa"/>
            <w:vMerge/>
            <w:tcBorders>
              <w:top w:val="nil"/>
              <w:left w:val="single" w:sz="4" w:space="0" w:color="auto"/>
              <w:bottom w:val="single" w:sz="4" w:space="0" w:color="auto"/>
              <w:right w:val="single" w:sz="4" w:space="0" w:color="auto"/>
            </w:tcBorders>
            <w:vAlign w:val="center"/>
            <w:hideMark/>
          </w:tcPr>
          <w:p w14:paraId="792B9814" w14:textId="77777777" w:rsidR="002876B7" w:rsidRPr="002876B7" w:rsidRDefault="002876B7" w:rsidP="002876B7">
            <w:pPr>
              <w:spacing w:after="0" w:line="240" w:lineRule="auto"/>
              <w:rPr>
                <w:rFonts w:eastAsia="Times New Roman" w:cs="Times New Roman"/>
                <w:color w:val="000000"/>
                <w:kern w:val="0"/>
                <w:sz w:val="22"/>
                <w:szCs w:val="22"/>
                <w:lang w:bidi="ar-SA"/>
                <w14:ligatures w14:val="none"/>
              </w:rPr>
            </w:pPr>
          </w:p>
        </w:tc>
      </w:tr>
      <w:tr w:rsidR="002876B7" w:rsidRPr="002876B7" w14:paraId="4FBA5BFF" w14:textId="77777777" w:rsidTr="002876B7">
        <w:trPr>
          <w:trHeight w:val="275"/>
        </w:trPr>
        <w:tc>
          <w:tcPr>
            <w:tcW w:w="1242" w:type="dxa"/>
            <w:tcBorders>
              <w:top w:val="nil"/>
              <w:left w:val="single" w:sz="4" w:space="0" w:color="auto"/>
              <w:bottom w:val="single" w:sz="4" w:space="0" w:color="auto"/>
              <w:right w:val="single" w:sz="4" w:space="0" w:color="auto"/>
            </w:tcBorders>
            <w:vAlign w:val="center"/>
            <w:hideMark/>
          </w:tcPr>
          <w:p w14:paraId="08971B3A"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O</w:t>
            </w:r>
          </w:p>
        </w:tc>
        <w:tc>
          <w:tcPr>
            <w:tcW w:w="7752" w:type="dxa"/>
            <w:tcBorders>
              <w:top w:val="nil"/>
              <w:left w:val="nil"/>
              <w:bottom w:val="single" w:sz="4" w:space="0" w:color="auto"/>
              <w:right w:val="single" w:sz="4" w:space="0" w:color="auto"/>
            </w:tcBorders>
            <w:vAlign w:val="center"/>
            <w:hideMark/>
          </w:tcPr>
          <w:p w14:paraId="27FC2DEE"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 xml:space="preserve">Do you believe reducing food waste in such businesses is important only when it helps them save costs?  </w:t>
            </w:r>
          </w:p>
        </w:tc>
        <w:tc>
          <w:tcPr>
            <w:tcW w:w="1809" w:type="dxa"/>
            <w:vMerge/>
            <w:tcBorders>
              <w:top w:val="nil"/>
              <w:left w:val="single" w:sz="4" w:space="0" w:color="auto"/>
              <w:bottom w:val="single" w:sz="4" w:space="0" w:color="auto"/>
              <w:right w:val="single" w:sz="4" w:space="0" w:color="auto"/>
            </w:tcBorders>
            <w:vAlign w:val="center"/>
            <w:hideMark/>
          </w:tcPr>
          <w:p w14:paraId="107ABD3C" w14:textId="77777777" w:rsidR="002876B7" w:rsidRPr="002876B7" w:rsidRDefault="002876B7" w:rsidP="002876B7">
            <w:pPr>
              <w:spacing w:after="0" w:line="240" w:lineRule="auto"/>
              <w:rPr>
                <w:rFonts w:eastAsia="Times New Roman" w:cs="Times New Roman"/>
                <w:color w:val="000000"/>
                <w:kern w:val="0"/>
                <w:sz w:val="22"/>
                <w:szCs w:val="22"/>
                <w:lang w:bidi="ar-SA"/>
                <w14:ligatures w14:val="none"/>
              </w:rPr>
            </w:pPr>
          </w:p>
        </w:tc>
      </w:tr>
      <w:tr w:rsidR="002876B7" w:rsidRPr="002876B7" w14:paraId="45FD8555" w14:textId="77777777" w:rsidTr="002876B7">
        <w:trPr>
          <w:trHeight w:val="257"/>
        </w:trPr>
        <w:tc>
          <w:tcPr>
            <w:tcW w:w="1242" w:type="dxa"/>
            <w:tcBorders>
              <w:top w:val="nil"/>
              <w:left w:val="single" w:sz="4" w:space="0" w:color="auto"/>
              <w:bottom w:val="single" w:sz="4" w:space="0" w:color="auto"/>
              <w:right w:val="single" w:sz="4" w:space="0" w:color="auto"/>
            </w:tcBorders>
            <w:vAlign w:val="center"/>
            <w:hideMark/>
          </w:tcPr>
          <w:p w14:paraId="3B681E21"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P</w:t>
            </w:r>
          </w:p>
        </w:tc>
        <w:tc>
          <w:tcPr>
            <w:tcW w:w="7752" w:type="dxa"/>
            <w:tcBorders>
              <w:top w:val="nil"/>
              <w:left w:val="nil"/>
              <w:bottom w:val="single" w:sz="4" w:space="0" w:color="auto"/>
              <w:right w:val="single" w:sz="4" w:space="0" w:color="auto"/>
            </w:tcBorders>
            <w:vAlign w:val="center"/>
            <w:hideMark/>
          </w:tcPr>
          <w:p w14:paraId="24589F52"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Do you notice proper handling or disposal of waste in such food businesses?</w:t>
            </w:r>
          </w:p>
        </w:tc>
        <w:tc>
          <w:tcPr>
            <w:tcW w:w="1809" w:type="dxa"/>
            <w:vMerge/>
            <w:tcBorders>
              <w:top w:val="nil"/>
              <w:left w:val="single" w:sz="4" w:space="0" w:color="auto"/>
              <w:bottom w:val="single" w:sz="4" w:space="0" w:color="auto"/>
              <w:right w:val="single" w:sz="4" w:space="0" w:color="auto"/>
            </w:tcBorders>
            <w:vAlign w:val="center"/>
            <w:hideMark/>
          </w:tcPr>
          <w:p w14:paraId="76E4E3A1" w14:textId="77777777" w:rsidR="002876B7" w:rsidRPr="002876B7" w:rsidRDefault="002876B7" w:rsidP="002876B7">
            <w:pPr>
              <w:spacing w:after="0" w:line="240" w:lineRule="auto"/>
              <w:rPr>
                <w:rFonts w:eastAsia="Times New Roman" w:cs="Times New Roman"/>
                <w:color w:val="000000"/>
                <w:kern w:val="0"/>
                <w:sz w:val="22"/>
                <w:szCs w:val="22"/>
                <w:lang w:bidi="ar-SA"/>
                <w14:ligatures w14:val="none"/>
              </w:rPr>
            </w:pPr>
          </w:p>
        </w:tc>
      </w:tr>
      <w:tr w:rsidR="002876B7" w:rsidRPr="002876B7" w14:paraId="61AFE034" w14:textId="77777777" w:rsidTr="002876B7">
        <w:trPr>
          <w:trHeight w:val="344"/>
        </w:trPr>
        <w:tc>
          <w:tcPr>
            <w:tcW w:w="1242" w:type="dxa"/>
            <w:tcBorders>
              <w:top w:val="nil"/>
              <w:left w:val="single" w:sz="4" w:space="0" w:color="auto"/>
              <w:bottom w:val="single" w:sz="4" w:space="0" w:color="auto"/>
              <w:right w:val="single" w:sz="4" w:space="0" w:color="auto"/>
            </w:tcBorders>
            <w:vAlign w:val="center"/>
            <w:hideMark/>
          </w:tcPr>
          <w:p w14:paraId="29F0F2CF"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Q</w:t>
            </w:r>
          </w:p>
        </w:tc>
        <w:tc>
          <w:tcPr>
            <w:tcW w:w="7752" w:type="dxa"/>
            <w:tcBorders>
              <w:top w:val="nil"/>
              <w:left w:val="nil"/>
              <w:bottom w:val="single" w:sz="4" w:space="0" w:color="auto"/>
              <w:right w:val="single" w:sz="4" w:space="0" w:color="auto"/>
            </w:tcBorders>
            <w:vAlign w:val="center"/>
            <w:hideMark/>
          </w:tcPr>
          <w:p w14:paraId="1B9FBC61"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When buying packaged items (like bakery or snacks), do you prefer eco-friendly packaging even if it increases the price?</w:t>
            </w:r>
          </w:p>
        </w:tc>
        <w:tc>
          <w:tcPr>
            <w:tcW w:w="1809" w:type="dxa"/>
            <w:vMerge w:val="restart"/>
            <w:tcBorders>
              <w:top w:val="nil"/>
              <w:left w:val="single" w:sz="4" w:space="0" w:color="auto"/>
              <w:bottom w:val="single" w:sz="4" w:space="0" w:color="auto"/>
              <w:right w:val="single" w:sz="4" w:space="0" w:color="auto"/>
            </w:tcBorders>
            <w:vAlign w:val="center"/>
            <w:hideMark/>
          </w:tcPr>
          <w:p w14:paraId="5A0A8C29" w14:textId="77777777" w:rsidR="002876B7" w:rsidRPr="002876B7" w:rsidRDefault="002876B7" w:rsidP="002876B7">
            <w:pPr>
              <w:spacing w:after="0" w:line="240" w:lineRule="auto"/>
              <w:jc w:val="center"/>
              <w:rPr>
                <w:rFonts w:eastAsia="Times New Roman" w:cs="Times New Roman"/>
                <w:color w:val="000000"/>
                <w:kern w:val="0"/>
                <w:sz w:val="22"/>
                <w:szCs w:val="22"/>
                <w:lang w:bidi="ar-SA"/>
                <w14:ligatures w14:val="none"/>
              </w:rPr>
            </w:pPr>
            <w:r w:rsidRPr="002876B7">
              <w:rPr>
                <w:rFonts w:eastAsia="Times New Roman" w:cs="Times New Roman"/>
                <w:color w:val="000000"/>
                <w:kern w:val="0"/>
                <w:sz w:val="22"/>
                <w:szCs w:val="22"/>
                <w:lang w:bidi="ar-SA"/>
                <w14:ligatures w14:val="none"/>
              </w:rPr>
              <w:t xml:space="preserve">Eco Friendly Packaging Indicators </w:t>
            </w:r>
          </w:p>
        </w:tc>
      </w:tr>
      <w:tr w:rsidR="002876B7" w:rsidRPr="002876B7" w14:paraId="5B44F01E" w14:textId="77777777" w:rsidTr="002876B7">
        <w:trPr>
          <w:trHeight w:val="344"/>
        </w:trPr>
        <w:tc>
          <w:tcPr>
            <w:tcW w:w="1242" w:type="dxa"/>
            <w:tcBorders>
              <w:top w:val="nil"/>
              <w:left w:val="single" w:sz="4" w:space="0" w:color="auto"/>
              <w:bottom w:val="single" w:sz="4" w:space="0" w:color="auto"/>
              <w:right w:val="single" w:sz="4" w:space="0" w:color="auto"/>
            </w:tcBorders>
            <w:vAlign w:val="center"/>
            <w:hideMark/>
          </w:tcPr>
          <w:p w14:paraId="33390687"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R</w:t>
            </w:r>
          </w:p>
        </w:tc>
        <w:tc>
          <w:tcPr>
            <w:tcW w:w="7752" w:type="dxa"/>
            <w:tcBorders>
              <w:top w:val="nil"/>
              <w:left w:val="nil"/>
              <w:bottom w:val="single" w:sz="4" w:space="0" w:color="auto"/>
              <w:right w:val="single" w:sz="4" w:space="0" w:color="auto"/>
            </w:tcBorders>
            <w:vAlign w:val="center"/>
            <w:hideMark/>
          </w:tcPr>
          <w:p w14:paraId="2DBC4881"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Do you support better packaging used by such businesses mainly when it reduces costs in the long run?</w:t>
            </w:r>
          </w:p>
        </w:tc>
        <w:tc>
          <w:tcPr>
            <w:tcW w:w="1809" w:type="dxa"/>
            <w:vMerge/>
            <w:tcBorders>
              <w:top w:val="nil"/>
              <w:left w:val="single" w:sz="4" w:space="0" w:color="auto"/>
              <w:bottom w:val="single" w:sz="4" w:space="0" w:color="auto"/>
              <w:right w:val="single" w:sz="4" w:space="0" w:color="auto"/>
            </w:tcBorders>
            <w:vAlign w:val="center"/>
            <w:hideMark/>
          </w:tcPr>
          <w:p w14:paraId="2B364013" w14:textId="77777777" w:rsidR="002876B7" w:rsidRPr="002876B7" w:rsidRDefault="002876B7" w:rsidP="002876B7">
            <w:pPr>
              <w:spacing w:after="0" w:line="240" w:lineRule="auto"/>
              <w:rPr>
                <w:rFonts w:eastAsia="Times New Roman" w:cs="Times New Roman"/>
                <w:color w:val="000000"/>
                <w:kern w:val="0"/>
                <w:sz w:val="22"/>
                <w:szCs w:val="22"/>
                <w:lang w:bidi="ar-SA"/>
                <w14:ligatures w14:val="none"/>
              </w:rPr>
            </w:pPr>
          </w:p>
        </w:tc>
      </w:tr>
      <w:tr w:rsidR="002876B7" w:rsidRPr="002876B7" w14:paraId="00113BA5" w14:textId="77777777" w:rsidTr="002876B7">
        <w:trPr>
          <w:trHeight w:val="180"/>
        </w:trPr>
        <w:tc>
          <w:tcPr>
            <w:tcW w:w="1242" w:type="dxa"/>
            <w:tcBorders>
              <w:top w:val="nil"/>
              <w:left w:val="single" w:sz="4" w:space="0" w:color="auto"/>
              <w:bottom w:val="single" w:sz="4" w:space="0" w:color="auto"/>
              <w:right w:val="single" w:sz="4" w:space="0" w:color="auto"/>
            </w:tcBorders>
            <w:vAlign w:val="center"/>
            <w:hideMark/>
          </w:tcPr>
          <w:p w14:paraId="7EBC9938"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lastRenderedPageBreak/>
              <w:t>S</w:t>
            </w:r>
          </w:p>
        </w:tc>
        <w:tc>
          <w:tcPr>
            <w:tcW w:w="7752" w:type="dxa"/>
            <w:tcBorders>
              <w:top w:val="nil"/>
              <w:left w:val="nil"/>
              <w:bottom w:val="single" w:sz="4" w:space="0" w:color="auto"/>
              <w:right w:val="single" w:sz="4" w:space="0" w:color="auto"/>
            </w:tcBorders>
            <w:vAlign w:val="center"/>
            <w:hideMark/>
          </w:tcPr>
          <w:p w14:paraId="244EEFE2"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Based on your experience with such food businesses, do you believe they should balance sustainability practices with affordable pricing?</w:t>
            </w:r>
          </w:p>
        </w:tc>
        <w:tc>
          <w:tcPr>
            <w:tcW w:w="1809" w:type="dxa"/>
            <w:vMerge/>
            <w:tcBorders>
              <w:top w:val="nil"/>
              <w:left w:val="single" w:sz="4" w:space="0" w:color="auto"/>
              <w:bottom w:val="single" w:sz="4" w:space="0" w:color="auto"/>
              <w:right w:val="single" w:sz="4" w:space="0" w:color="auto"/>
            </w:tcBorders>
            <w:vAlign w:val="center"/>
            <w:hideMark/>
          </w:tcPr>
          <w:p w14:paraId="0355725E" w14:textId="77777777" w:rsidR="002876B7" w:rsidRPr="002876B7" w:rsidRDefault="002876B7" w:rsidP="002876B7">
            <w:pPr>
              <w:spacing w:after="0" w:line="240" w:lineRule="auto"/>
              <w:rPr>
                <w:rFonts w:eastAsia="Times New Roman" w:cs="Times New Roman"/>
                <w:color w:val="000000"/>
                <w:kern w:val="0"/>
                <w:sz w:val="22"/>
                <w:szCs w:val="22"/>
                <w:lang w:bidi="ar-SA"/>
                <w14:ligatures w14:val="none"/>
              </w:rPr>
            </w:pPr>
          </w:p>
        </w:tc>
      </w:tr>
      <w:tr w:rsidR="002876B7" w:rsidRPr="002876B7" w14:paraId="256A0145" w14:textId="77777777" w:rsidTr="002876B7">
        <w:trPr>
          <w:trHeight w:val="35"/>
        </w:trPr>
        <w:tc>
          <w:tcPr>
            <w:tcW w:w="1242" w:type="dxa"/>
            <w:tcBorders>
              <w:top w:val="nil"/>
              <w:left w:val="single" w:sz="4" w:space="0" w:color="auto"/>
              <w:bottom w:val="single" w:sz="4" w:space="0" w:color="auto"/>
              <w:right w:val="single" w:sz="4" w:space="0" w:color="auto"/>
            </w:tcBorders>
            <w:vAlign w:val="center"/>
            <w:hideMark/>
          </w:tcPr>
          <w:p w14:paraId="3029E4F6" w14:textId="77777777" w:rsidR="002876B7" w:rsidRPr="002876B7" w:rsidRDefault="002876B7" w:rsidP="002876B7">
            <w:pPr>
              <w:spacing w:after="0" w:line="240" w:lineRule="auto"/>
              <w:jc w:val="center"/>
              <w:rPr>
                <w:rFonts w:eastAsia="Times New Roman" w:cs="Times New Roman"/>
                <w:b/>
                <w:bCs/>
                <w:color w:val="000000"/>
                <w:kern w:val="0"/>
                <w:sz w:val="20"/>
                <w:szCs w:val="20"/>
                <w:lang w:bidi="ar-SA"/>
                <w14:ligatures w14:val="none"/>
              </w:rPr>
            </w:pPr>
            <w:r w:rsidRPr="002876B7">
              <w:rPr>
                <w:rFonts w:eastAsia="Times New Roman" w:cs="Times New Roman"/>
                <w:b/>
                <w:bCs/>
                <w:color w:val="000000"/>
                <w:kern w:val="0"/>
                <w:sz w:val="20"/>
                <w:szCs w:val="20"/>
                <w:lang w:bidi="ar-SA"/>
                <w14:ligatures w14:val="none"/>
              </w:rPr>
              <w:t>T</w:t>
            </w:r>
          </w:p>
        </w:tc>
        <w:tc>
          <w:tcPr>
            <w:tcW w:w="7752" w:type="dxa"/>
            <w:tcBorders>
              <w:top w:val="nil"/>
              <w:left w:val="nil"/>
              <w:bottom w:val="single" w:sz="4" w:space="0" w:color="auto"/>
              <w:right w:val="single" w:sz="4" w:space="0" w:color="auto"/>
            </w:tcBorders>
            <w:vAlign w:val="center"/>
            <w:hideMark/>
          </w:tcPr>
          <w:p w14:paraId="524177CD" w14:textId="77777777" w:rsidR="002876B7" w:rsidRPr="002876B7" w:rsidRDefault="002876B7" w:rsidP="002876B7">
            <w:pPr>
              <w:spacing w:after="0" w:line="240" w:lineRule="auto"/>
              <w:jc w:val="center"/>
              <w:rPr>
                <w:rFonts w:eastAsia="Times New Roman" w:cs="Times New Roman"/>
                <w:i/>
                <w:iCs/>
                <w:color w:val="000000"/>
                <w:kern w:val="0"/>
                <w:sz w:val="20"/>
                <w:szCs w:val="20"/>
                <w:lang w:bidi="ar-SA"/>
                <w14:ligatures w14:val="none"/>
              </w:rPr>
            </w:pPr>
            <w:r w:rsidRPr="002876B7">
              <w:rPr>
                <w:rFonts w:eastAsia="Times New Roman" w:cs="Times New Roman"/>
                <w:i/>
                <w:iCs/>
                <w:color w:val="000000"/>
                <w:kern w:val="0"/>
                <w:sz w:val="20"/>
                <w:szCs w:val="20"/>
                <w:lang w:bidi="ar-SA"/>
                <w14:ligatures w14:val="none"/>
              </w:rPr>
              <w:t>Do you Observe Eco Friendly Packaging in food products</w:t>
            </w:r>
          </w:p>
        </w:tc>
        <w:tc>
          <w:tcPr>
            <w:tcW w:w="1809" w:type="dxa"/>
            <w:vMerge/>
            <w:tcBorders>
              <w:top w:val="nil"/>
              <w:left w:val="single" w:sz="4" w:space="0" w:color="auto"/>
              <w:bottom w:val="single" w:sz="4" w:space="0" w:color="auto"/>
              <w:right w:val="single" w:sz="4" w:space="0" w:color="auto"/>
            </w:tcBorders>
            <w:vAlign w:val="center"/>
            <w:hideMark/>
          </w:tcPr>
          <w:p w14:paraId="349DD10F" w14:textId="77777777" w:rsidR="002876B7" w:rsidRPr="002876B7" w:rsidRDefault="002876B7" w:rsidP="002876B7">
            <w:pPr>
              <w:spacing w:after="0" w:line="240" w:lineRule="auto"/>
              <w:rPr>
                <w:rFonts w:eastAsia="Times New Roman" w:cs="Times New Roman"/>
                <w:color w:val="000000"/>
                <w:kern w:val="0"/>
                <w:sz w:val="22"/>
                <w:szCs w:val="22"/>
                <w:lang w:bidi="ar-SA"/>
                <w14:ligatures w14:val="none"/>
              </w:rPr>
            </w:pPr>
          </w:p>
        </w:tc>
      </w:tr>
    </w:tbl>
    <w:p w14:paraId="1EB10A44" w14:textId="77777777" w:rsidR="003F67DE" w:rsidRDefault="003F67DE" w:rsidP="003F67DE"/>
    <w:p w14:paraId="1F0EFCD0" w14:textId="23ED56FD" w:rsidR="003F67DE" w:rsidRPr="003F67DE" w:rsidRDefault="003F67DE" w:rsidP="0060483E">
      <w:pPr>
        <w:jc w:val="both"/>
        <w:rPr>
          <w:b/>
          <w:bCs/>
        </w:rPr>
      </w:pPr>
      <w:r w:rsidRPr="003F67DE">
        <w:rPr>
          <w:b/>
          <w:bCs/>
        </w:rPr>
        <w:t>Interpretation</w:t>
      </w:r>
    </w:p>
    <w:p w14:paraId="1BAB2836" w14:textId="6171CF44" w:rsidR="003F67DE" w:rsidRDefault="00B00F88" w:rsidP="0060483E">
      <w:pPr>
        <w:spacing w:line="360" w:lineRule="auto"/>
        <w:jc w:val="both"/>
      </w:pPr>
      <w:r>
        <w:t>The following points in brief summarizes the descriptive analysis:</w:t>
      </w:r>
    </w:p>
    <w:p w14:paraId="56F7117F" w14:textId="28F39739" w:rsidR="00B00F88" w:rsidRPr="00FA47A1" w:rsidRDefault="00B00F88" w:rsidP="0060483E">
      <w:pPr>
        <w:pStyle w:val="ListParagraph"/>
        <w:numPr>
          <w:ilvl w:val="0"/>
          <w:numId w:val="6"/>
        </w:numPr>
        <w:spacing w:line="360" w:lineRule="auto"/>
        <w:jc w:val="both"/>
        <w:rPr>
          <w:b/>
          <w:bCs/>
        </w:rPr>
      </w:pPr>
      <w:r w:rsidRPr="00B00F88">
        <w:rPr>
          <w:b/>
          <w:bCs/>
        </w:rPr>
        <w:t>High Expectation but Conditional Behavior</w:t>
      </w:r>
      <w:r>
        <w:rPr>
          <w:b/>
          <w:bCs/>
        </w:rPr>
        <w:t xml:space="preserve">: </w:t>
      </w:r>
      <w:r>
        <w:t xml:space="preserve">The mean value of the above analysis reveals a clear moderate to high (3.3-4.0) expectation of consumer specially in context to environment and social variables, this can be inferred as consumers </w:t>
      </w:r>
      <w:r w:rsidR="00FA47A1">
        <w:t>posses’</w:t>
      </w:r>
      <w:r>
        <w:t xml:space="preserve"> high expectancy of sustainability practice in food sector MSMEs, however the analysis also reveals that when affordability is compared with sustainability consumer is slightly more inclined towards affordability</w:t>
      </w:r>
      <w:r w:rsidR="00FA47A1">
        <w:t>. In essence consumer support sustainability but conditionally (reflect price sensitivity of consumer)</w:t>
      </w:r>
    </w:p>
    <w:p w14:paraId="2BB90CCA" w14:textId="56D4502A" w:rsidR="00FA47A1" w:rsidRPr="00FA47A1" w:rsidRDefault="00FA47A1" w:rsidP="0060483E">
      <w:pPr>
        <w:pStyle w:val="ListParagraph"/>
        <w:numPr>
          <w:ilvl w:val="0"/>
          <w:numId w:val="6"/>
        </w:numPr>
        <w:spacing w:line="360" w:lineRule="auto"/>
        <w:jc w:val="both"/>
        <w:rPr>
          <w:b/>
          <w:bCs/>
        </w:rPr>
      </w:pPr>
      <w:r>
        <w:rPr>
          <w:b/>
          <w:bCs/>
        </w:rPr>
        <w:t>Strong Ethical Presence for Governance:</w:t>
      </w:r>
      <w:r>
        <w:t xml:space="preserve"> In case of governance related variables the computed mean value of responses falls under the bracket of (3.8- 4.0) this reveals that consumer value honesty and compliance, however similar to environmental and social indicators the when it comes to affordability the mean value fall slightly, this represents consumer want ethical firms but at a competitive price.</w:t>
      </w:r>
    </w:p>
    <w:p w14:paraId="7C9B9155" w14:textId="3417B385" w:rsidR="00FA47A1" w:rsidRPr="00FA47A1" w:rsidRDefault="00FA47A1" w:rsidP="0060483E">
      <w:pPr>
        <w:pStyle w:val="ListParagraph"/>
        <w:numPr>
          <w:ilvl w:val="0"/>
          <w:numId w:val="6"/>
        </w:numPr>
        <w:spacing w:line="360" w:lineRule="auto"/>
        <w:jc w:val="both"/>
        <w:rPr>
          <w:b/>
          <w:bCs/>
        </w:rPr>
      </w:pPr>
      <w:r>
        <w:rPr>
          <w:b/>
          <w:bCs/>
        </w:rPr>
        <w:t xml:space="preserve">Gap Visibility: </w:t>
      </w:r>
      <w:r>
        <w:t>The average values of dichotomous variables of the study reflect a low average value falling under the bracket of (0.49-0.63) these low to moderate value reflect a glimpse of existing gap between the consumer expectation and actual ESG Adaptation by the food processing MSMEs.</w:t>
      </w:r>
    </w:p>
    <w:p w14:paraId="18A9D6BF" w14:textId="45C39F45" w:rsidR="00FA47A1" w:rsidRPr="00274B87" w:rsidRDefault="00FA47A1" w:rsidP="0060483E">
      <w:pPr>
        <w:pStyle w:val="ListParagraph"/>
        <w:numPr>
          <w:ilvl w:val="0"/>
          <w:numId w:val="6"/>
        </w:numPr>
        <w:spacing w:line="360" w:lineRule="auto"/>
        <w:jc w:val="both"/>
        <w:rPr>
          <w:b/>
          <w:bCs/>
        </w:rPr>
      </w:pPr>
      <w:r>
        <w:rPr>
          <w:b/>
          <w:bCs/>
        </w:rPr>
        <w:t xml:space="preserve">Waste &amp; Packaging: </w:t>
      </w:r>
      <w:r w:rsidR="00274B87">
        <w:t xml:space="preserve">waste &amp; packaging variables of the study reveals that the consumers are aware of food wastage and ecofriendly packaging this finding is similar to the findings of </w:t>
      </w:r>
      <w:sdt>
        <w:sdtPr>
          <w:id w:val="337503289"/>
          <w:citation/>
        </w:sdtPr>
        <w:sdtContent>
          <w:r w:rsidR="00274B87">
            <w:fldChar w:fldCharType="begin"/>
          </w:r>
          <w:r w:rsidR="00274B87">
            <w:instrText xml:space="preserve"> CITATION Lin25 \l 1033 </w:instrText>
          </w:r>
          <w:r w:rsidR="00274B87">
            <w:fldChar w:fldCharType="separate"/>
          </w:r>
          <w:r w:rsidR="00274B87">
            <w:rPr>
              <w:noProof/>
            </w:rPr>
            <w:t>(Lin, Jaiswal, &amp; Jaiswal, 2025)</w:t>
          </w:r>
          <w:r w:rsidR="00274B87">
            <w:fldChar w:fldCharType="end"/>
          </w:r>
        </w:sdtContent>
      </w:sdt>
      <w:r w:rsidR="00274B87">
        <w:t>, but at the same time when we compare affordability with sustainability the consumers cost benefit thinking dominates the sustainable packaging.</w:t>
      </w:r>
    </w:p>
    <w:p w14:paraId="1D066BA7" w14:textId="77777777" w:rsidR="0050751B" w:rsidRDefault="00274B87" w:rsidP="0060483E">
      <w:pPr>
        <w:pStyle w:val="ListParagraph"/>
        <w:numPr>
          <w:ilvl w:val="0"/>
          <w:numId w:val="6"/>
        </w:numPr>
        <w:spacing w:line="360" w:lineRule="auto"/>
        <w:jc w:val="both"/>
        <w:rPr>
          <w:b/>
          <w:bCs/>
        </w:rPr>
      </w:pPr>
      <w:r>
        <w:rPr>
          <w:b/>
          <w:bCs/>
        </w:rPr>
        <w:t xml:space="preserve">Variability and Outlier Effect: </w:t>
      </w:r>
      <w:r>
        <w:t xml:space="preserve">The data set reveals in case of </w:t>
      </w:r>
      <w:r w:rsidR="0050751B">
        <w:t>expectancy</w:t>
      </w:r>
      <w:r>
        <w:t xml:space="preserve"> variables </w:t>
      </w:r>
      <w:r w:rsidR="0050751B">
        <w:t>possess</w:t>
      </w:r>
      <w:r>
        <w:t xml:space="preserve"> moderate variation ranging between (1.1-1.3) on the </w:t>
      </w:r>
      <w:r w:rsidR="0050751B">
        <w:t>other hand</w:t>
      </w:r>
      <w:r>
        <w:t xml:space="preserve"> in context of perceived dichotomous variable the data set poses low variation ranging between 0.49- 0.51, this reflect in context of expectancy there is a moderate variation in consumer perception however in case of observation there is a lower variation inside the data set, </w:t>
      </w:r>
      <w:r>
        <w:lastRenderedPageBreak/>
        <w:t xml:space="preserve">when we look for skewness inside the data set we find </w:t>
      </w:r>
      <w:r w:rsidR="0050751B">
        <w:t xml:space="preserve">most of the variables shows a negative skewness this reflect responses are consent rated toward higher values (agreement) this shows a positive attitude of consumer for sustainable practices this is also observable in the findings of the research work of </w:t>
      </w:r>
      <w:sdt>
        <w:sdtPr>
          <w:id w:val="884986230"/>
          <w:citation/>
        </w:sdtPr>
        <w:sdtContent>
          <w:r w:rsidR="0050751B">
            <w:fldChar w:fldCharType="begin"/>
          </w:r>
          <w:r w:rsidR="0050751B">
            <w:instrText xml:space="preserve"> CITATION Kha22 \l 1033 </w:instrText>
          </w:r>
          <w:r w:rsidR="0050751B">
            <w:fldChar w:fldCharType="separate"/>
          </w:r>
          <w:r w:rsidR="0050751B">
            <w:rPr>
              <w:noProof/>
            </w:rPr>
            <w:t>(Khandelwal, Kulkarni, &amp; Sinha, 2022)</w:t>
          </w:r>
          <w:r w:rsidR="0050751B">
            <w:fldChar w:fldCharType="end"/>
          </w:r>
        </w:sdtContent>
      </w:sdt>
      <w:r w:rsidR="0050751B">
        <w:t>.</w:t>
      </w:r>
      <w:r>
        <w:t xml:space="preserve"> </w:t>
      </w:r>
      <w:r>
        <w:rPr>
          <w:b/>
          <w:bCs/>
        </w:rPr>
        <w:t xml:space="preserve"> </w:t>
      </w:r>
    </w:p>
    <w:p w14:paraId="3212A315" w14:textId="77777777" w:rsidR="00B209E4" w:rsidRPr="00B209E4" w:rsidRDefault="0050751B" w:rsidP="0060483E">
      <w:pPr>
        <w:pStyle w:val="ListParagraph"/>
        <w:numPr>
          <w:ilvl w:val="0"/>
          <w:numId w:val="6"/>
        </w:numPr>
        <w:spacing w:line="360" w:lineRule="auto"/>
        <w:jc w:val="both"/>
        <w:rPr>
          <w:b/>
          <w:bCs/>
        </w:rPr>
      </w:pPr>
      <w:r w:rsidRPr="0050751B">
        <w:rPr>
          <w:b/>
          <w:bCs/>
        </w:rPr>
        <w:t>Overall In</w:t>
      </w:r>
      <w:r>
        <w:rPr>
          <w:b/>
          <w:bCs/>
        </w:rPr>
        <w:t xml:space="preserve">terpretation: </w:t>
      </w:r>
      <w:r>
        <w:t>The findings of the descriptive analysis reveals that overall perception of consumers in context of sustainability under the food sector is positive but when the perception is cross examined with affordability variables this results a price sensitivity in consumer perception for use of sustainability also when we compare the sustainability expectation of consumer with existing adaptation of sustainability practice under the food processing MSMEs we can clearly find a gap.</w:t>
      </w:r>
    </w:p>
    <w:p w14:paraId="0F036346" w14:textId="7C6B0E5B" w:rsidR="0050751B" w:rsidRPr="00B209E4" w:rsidRDefault="00B209E4" w:rsidP="0060483E">
      <w:pPr>
        <w:spacing w:line="360" w:lineRule="auto"/>
        <w:jc w:val="both"/>
        <w:rPr>
          <w:b/>
          <w:bCs/>
        </w:rPr>
      </w:pPr>
      <w:r w:rsidRPr="00B209E4">
        <w:rPr>
          <w:b/>
          <w:bCs/>
        </w:rPr>
        <w:t>Inferential Analysis Stage</w:t>
      </w:r>
    </w:p>
    <w:p w14:paraId="36422463" w14:textId="77777777" w:rsidR="00B209E4" w:rsidRDefault="00B209E4" w:rsidP="0060483E">
      <w:pPr>
        <w:spacing w:line="360" w:lineRule="auto"/>
        <w:jc w:val="both"/>
      </w:pPr>
      <w:r>
        <w:t>The descriptive analysis reveals a gap between the consumer expectancy of sustainability variables and adaptation of sustainability variables by the food processing MSMEs so this part of the analysis work upon understanding the significance of the GAP through the help of following statistical tools:</w:t>
      </w:r>
    </w:p>
    <w:p w14:paraId="6F3503EE" w14:textId="2BA923AE" w:rsidR="00B209E4" w:rsidRDefault="00B209E4" w:rsidP="0060483E">
      <w:pPr>
        <w:pStyle w:val="ListParagraph"/>
        <w:numPr>
          <w:ilvl w:val="0"/>
          <w:numId w:val="6"/>
        </w:numPr>
        <w:spacing w:line="360" w:lineRule="auto"/>
        <w:jc w:val="both"/>
      </w:pPr>
      <w:r>
        <w:t>Index Analysis: Where the researcher will formulate a consumer expectancy index and a perceived adaptation index.</w:t>
      </w:r>
    </w:p>
    <w:p w14:paraId="40AE462F" w14:textId="16FDF4C4" w:rsidR="000C59F7" w:rsidRDefault="00B209E4" w:rsidP="0060483E">
      <w:pPr>
        <w:pStyle w:val="ListParagraph"/>
        <w:numPr>
          <w:ilvl w:val="0"/>
          <w:numId w:val="6"/>
        </w:numPr>
        <w:spacing w:line="360" w:lineRule="auto"/>
        <w:jc w:val="both"/>
      </w:pPr>
      <w:r>
        <w:t>Paired t</w:t>
      </w:r>
      <w:r w:rsidR="001D4D1E">
        <w:t>-</w:t>
      </w:r>
      <w:r>
        <w:t>test Analysis: Where the researcher will test the significance of the gap between the expectancy and adaptation.</w:t>
      </w:r>
    </w:p>
    <w:p w14:paraId="00B071BD" w14:textId="77777777" w:rsidR="00FC2D62" w:rsidRDefault="000C59F7" w:rsidP="00C06ED0">
      <w:pPr>
        <w:spacing w:line="360" w:lineRule="auto"/>
        <w:rPr>
          <w:b/>
          <w:bCs/>
        </w:rPr>
      </w:pPr>
      <w:r w:rsidRPr="000C59F7">
        <w:rPr>
          <w:b/>
          <w:bCs/>
        </w:rPr>
        <w:t>Index Analysis</w:t>
      </w:r>
    </w:p>
    <w:p w14:paraId="0EACB1F1" w14:textId="6B154E28" w:rsidR="00FC2D62" w:rsidRPr="005800D8" w:rsidRDefault="00FC2D62" w:rsidP="00C06ED0">
      <w:pPr>
        <w:spacing w:line="360" w:lineRule="auto"/>
      </w:pPr>
      <w:r w:rsidRPr="005800D8">
        <w:t>Table 4.3 in brief summarizes the formula’s used in process of index calculation.</w:t>
      </w:r>
    </w:p>
    <w:p w14:paraId="2894C9FD" w14:textId="00110C3B" w:rsidR="000C59F7" w:rsidRDefault="000C59F7" w:rsidP="00FC2D62">
      <w:pPr>
        <w:jc w:val="center"/>
        <w:rPr>
          <w:b/>
          <w:bCs/>
        </w:rPr>
      </w:pPr>
      <w:r>
        <w:rPr>
          <w:b/>
          <w:bCs/>
        </w:rPr>
        <w:t>Table 4.</w:t>
      </w:r>
      <w:r w:rsidR="00EA5F52">
        <w:rPr>
          <w:b/>
          <w:bCs/>
        </w:rPr>
        <w:t>4</w:t>
      </w:r>
      <w:r>
        <w:rPr>
          <w:b/>
          <w:bCs/>
        </w:rPr>
        <w:t xml:space="preserve"> </w:t>
      </w:r>
      <w:r w:rsidR="00FC2D62">
        <w:rPr>
          <w:b/>
          <w:bCs/>
        </w:rPr>
        <w:t xml:space="preserve">Summary of </w:t>
      </w:r>
      <w:r>
        <w:rPr>
          <w:b/>
          <w:bCs/>
        </w:rPr>
        <w:t>Formula used for computing Index</w:t>
      </w:r>
    </w:p>
    <w:tbl>
      <w:tblPr>
        <w:tblStyle w:val="TableGrid"/>
        <w:tblW w:w="10165" w:type="dxa"/>
        <w:tblLook w:val="04A0" w:firstRow="1" w:lastRow="0" w:firstColumn="1" w:lastColumn="0" w:noHBand="0" w:noVBand="1"/>
      </w:tblPr>
      <w:tblGrid>
        <w:gridCol w:w="3415"/>
        <w:gridCol w:w="6750"/>
      </w:tblGrid>
      <w:tr w:rsidR="000C59F7" w14:paraId="04FDC26B" w14:textId="77777777" w:rsidTr="000A16A5">
        <w:tc>
          <w:tcPr>
            <w:tcW w:w="3415" w:type="dxa"/>
          </w:tcPr>
          <w:p w14:paraId="53A07817" w14:textId="7A1BA820" w:rsidR="000C59F7" w:rsidRPr="00407F4C" w:rsidRDefault="000C59F7" w:rsidP="00FC2D62">
            <w:pPr>
              <w:jc w:val="center"/>
              <w:rPr>
                <w:b/>
                <w:bCs/>
              </w:rPr>
            </w:pPr>
            <w:r w:rsidRPr="00407F4C">
              <w:rPr>
                <w:b/>
                <w:bCs/>
              </w:rPr>
              <w:t xml:space="preserve">For Overall </w:t>
            </w:r>
            <w:r w:rsidR="000A16A5">
              <w:rPr>
                <w:b/>
                <w:bCs/>
              </w:rPr>
              <w:t xml:space="preserve">Consumer Expectancy </w:t>
            </w:r>
            <w:r w:rsidRPr="00407F4C">
              <w:rPr>
                <w:b/>
                <w:bCs/>
              </w:rPr>
              <w:t>Indexing</w:t>
            </w:r>
            <w:r w:rsidR="00407F4C" w:rsidRPr="00407F4C">
              <w:rPr>
                <w:b/>
                <w:bCs/>
              </w:rPr>
              <w:t xml:space="preserve"> of overall dimensions</w:t>
            </w:r>
          </w:p>
        </w:tc>
        <w:tc>
          <w:tcPr>
            <w:tcW w:w="6750" w:type="dxa"/>
          </w:tcPr>
          <w:p w14:paraId="16A42E0E" w14:textId="33879E23" w:rsidR="00407F4C" w:rsidRPr="00407F4C" w:rsidRDefault="00407F4C" w:rsidP="00FC2D62">
            <w:pPr>
              <w:jc w:val="center"/>
            </w:pPr>
            <m:oMathPara>
              <m:oMath>
                <m:r>
                  <w:rPr>
                    <w:rFonts w:ascii="Cambria Math" w:hAnsi="Cambria Math"/>
                  </w:rPr>
                  <m:t>CEI=</m:t>
                </m:r>
                <m:f>
                  <m:fPr>
                    <m:ctrlPr>
                      <w:rPr>
                        <w:rFonts w:ascii="Cambria Math" w:hAnsi="Cambria Math"/>
                        <w:i/>
                      </w:rPr>
                    </m:ctrlPr>
                  </m:fPr>
                  <m:num>
                    <m:r>
                      <w:rPr>
                        <w:rFonts w:ascii="Cambria Math" w:hAnsi="Cambria Math"/>
                      </w:rPr>
                      <m:t>Env+Social+Gov+Waste+Pack</m:t>
                    </m:r>
                  </m:num>
                  <m:den>
                    <m:r>
                      <w:rPr>
                        <w:rFonts w:ascii="Cambria Math" w:hAnsi="Cambria Math"/>
                      </w:rPr>
                      <m:t>5</m:t>
                    </m:r>
                  </m:den>
                </m:f>
              </m:oMath>
            </m:oMathPara>
          </w:p>
          <w:p w14:paraId="4E2BE505" w14:textId="16D0798E" w:rsidR="00407F4C" w:rsidRPr="00407F4C" w:rsidRDefault="00407F4C" w:rsidP="00FC2D62">
            <w:pPr>
              <w:jc w:val="center"/>
            </w:pPr>
          </w:p>
        </w:tc>
      </w:tr>
      <w:tr w:rsidR="000C59F7" w14:paraId="3322FA94" w14:textId="77777777" w:rsidTr="000A16A5">
        <w:trPr>
          <w:trHeight w:val="863"/>
        </w:trPr>
        <w:tc>
          <w:tcPr>
            <w:tcW w:w="3415" w:type="dxa"/>
          </w:tcPr>
          <w:p w14:paraId="16182EEF" w14:textId="359D819A" w:rsidR="000C59F7" w:rsidRDefault="000A16A5" w:rsidP="00FC2D62">
            <w:pPr>
              <w:jc w:val="center"/>
            </w:pPr>
            <w:r>
              <w:t>Dimension Wise consumer Expectancy Indexing</w:t>
            </w:r>
          </w:p>
        </w:tc>
        <w:tc>
          <w:tcPr>
            <w:tcW w:w="6750" w:type="dxa"/>
          </w:tcPr>
          <w:p w14:paraId="38CD32CF" w14:textId="05D229EC" w:rsidR="000C59F7" w:rsidRDefault="000A16A5" w:rsidP="00FC2D62">
            <w:pPr>
              <w:jc w:val="center"/>
            </w:pPr>
            <m:oMathPara>
              <m:oMath>
                <m:r>
                  <w:rPr>
                    <w:rFonts w:ascii="Cambria Math" w:hAnsi="Cambria Math"/>
                  </w:rPr>
                  <m:t>Dimension=</m:t>
                </m:r>
                <m:f>
                  <m:fPr>
                    <m:ctrlPr>
                      <w:rPr>
                        <w:rFonts w:ascii="Cambria Math" w:hAnsi="Cambria Math"/>
                        <w:i/>
                      </w:rPr>
                    </m:ctrlPr>
                  </m:fPr>
                  <m:num>
                    <m:r>
                      <w:rPr>
                        <w:rFonts w:ascii="Cambria Math" w:hAnsi="Cambria Math"/>
                      </w:rPr>
                      <m:t>Sum of dimension variables</m:t>
                    </m:r>
                  </m:num>
                  <m:den>
                    <m:r>
                      <w:rPr>
                        <w:rFonts w:ascii="Cambria Math" w:hAnsi="Cambria Math"/>
                      </w:rPr>
                      <m:t>Total number of variable</m:t>
                    </m:r>
                  </m:den>
                </m:f>
              </m:oMath>
            </m:oMathPara>
          </w:p>
        </w:tc>
      </w:tr>
      <w:tr w:rsidR="000A16A5" w14:paraId="3C2CDDD3" w14:textId="77777777" w:rsidTr="000A16A5">
        <w:trPr>
          <w:trHeight w:val="863"/>
        </w:trPr>
        <w:tc>
          <w:tcPr>
            <w:tcW w:w="3415" w:type="dxa"/>
          </w:tcPr>
          <w:p w14:paraId="218B49A8" w14:textId="323FE38E" w:rsidR="000A16A5" w:rsidRDefault="000A16A5" w:rsidP="00FC2D62">
            <w:pPr>
              <w:jc w:val="center"/>
            </w:pPr>
            <w:r>
              <w:t>Consumer Indexing Normalization</w:t>
            </w:r>
          </w:p>
        </w:tc>
        <w:tc>
          <w:tcPr>
            <w:tcW w:w="6750" w:type="dxa"/>
          </w:tcPr>
          <w:p w14:paraId="77957816" w14:textId="300FA4D6" w:rsidR="000A16A5" w:rsidRDefault="000A16A5" w:rsidP="00FC2D62">
            <w:pPr>
              <w:jc w:val="center"/>
              <w:rPr>
                <w:rFonts w:eastAsia="Times New Roman"/>
              </w:rPr>
            </w:pPr>
            <m:oMathPara>
              <m:oMath>
                <m:r>
                  <w:rPr>
                    <w:rFonts w:ascii="Cambria Math" w:eastAsia="Times New Roman" w:hAnsi="Cambria Math"/>
                  </w:rPr>
                  <m:t>Normalization=</m:t>
                </m:r>
                <m:f>
                  <m:fPr>
                    <m:ctrlPr>
                      <w:rPr>
                        <w:rFonts w:ascii="Cambria Math" w:eastAsia="Times New Roman" w:hAnsi="Cambria Math"/>
                        <w:i/>
                      </w:rPr>
                    </m:ctrlPr>
                  </m:fPr>
                  <m:num>
                    <m:r>
                      <w:rPr>
                        <w:rFonts w:ascii="Cambria Math" w:eastAsia="Times New Roman" w:hAnsi="Cambria Math"/>
                      </w:rPr>
                      <m:t>Index value-Min.Value</m:t>
                    </m:r>
                  </m:num>
                  <m:den>
                    <m:r>
                      <w:rPr>
                        <w:rFonts w:ascii="Cambria Math" w:eastAsia="Times New Roman" w:hAnsi="Cambria Math"/>
                      </w:rPr>
                      <m:t>Max.Value-Min. Value</m:t>
                    </m:r>
                  </m:den>
                </m:f>
              </m:oMath>
            </m:oMathPara>
          </w:p>
        </w:tc>
      </w:tr>
      <w:tr w:rsidR="000A16A5" w14:paraId="40828158" w14:textId="77777777" w:rsidTr="000A16A5">
        <w:trPr>
          <w:trHeight w:val="863"/>
        </w:trPr>
        <w:tc>
          <w:tcPr>
            <w:tcW w:w="3415" w:type="dxa"/>
          </w:tcPr>
          <w:p w14:paraId="0947935F" w14:textId="74B8DEFC" w:rsidR="000A16A5" w:rsidRDefault="000A16A5" w:rsidP="00FC2D62">
            <w:pPr>
              <w:jc w:val="center"/>
            </w:pPr>
            <w:r>
              <w:lastRenderedPageBreak/>
              <w:t>Consumer Adaptation Indexing</w:t>
            </w:r>
          </w:p>
        </w:tc>
        <w:tc>
          <w:tcPr>
            <w:tcW w:w="6750" w:type="dxa"/>
          </w:tcPr>
          <w:p w14:paraId="60112BCB" w14:textId="48C6C433" w:rsidR="000A16A5" w:rsidRPr="00FC2D62" w:rsidRDefault="00000000" w:rsidP="00FC2D62">
            <w:pPr>
              <w:jc w:val="center"/>
            </w:pPr>
            <m:oMathPara>
              <m:oMath>
                <m:d>
                  <m:dPr>
                    <m:begChr m:val="{"/>
                    <m:endChr m:val="}"/>
                    <m:ctrlPr>
                      <w:rPr>
                        <w:rFonts w:ascii="Cambria Math" w:hAnsi="Cambria Math"/>
                        <w:i/>
                      </w:rPr>
                    </m:ctrlPr>
                  </m:dPr>
                  <m:e>
                    <m:r>
                      <w:rPr>
                        <w:rFonts w:ascii="Cambria Math" w:hAnsi="Cambria Math"/>
                      </w:rPr>
                      <m:t>CAI</m:t>
                    </m:r>
                  </m:e>
                </m:d>
                <m:r>
                  <w:rPr>
                    <w:rFonts w:ascii="Cambria Math" w:hAnsi="Cambria Math"/>
                  </w:rPr>
                  <m:t>=</m:t>
                </m:r>
                <m:f>
                  <m:fPr>
                    <m:ctrlPr>
                      <w:rPr>
                        <w:rFonts w:ascii="Cambria Math" w:hAnsi="Cambria Math"/>
                        <w:i/>
                      </w:rPr>
                    </m:ctrlPr>
                  </m:fPr>
                  <m:num>
                    <m:d>
                      <m:dPr>
                        <m:begChr m:val="{"/>
                        <m:endChr m:val="}"/>
                        <m:ctrlPr>
                          <w:rPr>
                            <w:rFonts w:ascii="Cambria Math" w:hAnsi="Cambria Math"/>
                            <w:i/>
                          </w:rPr>
                        </m:ctrlPr>
                      </m:dPr>
                      <m:e>
                        <m:nary>
                          <m:naryPr>
                            <m:chr m:val="∑"/>
                            <m:supHide m:val="1"/>
                            <m:ctrlPr>
                              <w:rPr>
                                <w:rFonts w:ascii="Cambria Math" w:hAnsi="Cambria Math"/>
                                <w:i/>
                              </w:rPr>
                            </m:ctrlPr>
                          </m:naryPr>
                          <m:sub>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i=1</m:t>
                                    </m:r>
                                  </m:e>
                                </m:d>
                              </m:e>
                              <m:sub>
                                <m:r>
                                  <w:rPr>
                                    <w:rFonts w:ascii="Cambria Math" w:hAnsi="Cambria Math"/>
                                  </w:rPr>
                                  <m:t>i</m:t>
                                </m:r>
                              </m:sub>
                              <m:sup>
                                <m:d>
                                  <m:dPr>
                                    <m:begChr m:val="{"/>
                                    <m:endChr m:val="}"/>
                                    <m:ctrlPr>
                                      <w:rPr>
                                        <w:rFonts w:ascii="Cambria Math" w:hAnsi="Cambria Math"/>
                                        <w:i/>
                                      </w:rPr>
                                    </m:ctrlPr>
                                  </m:dPr>
                                  <m:e>
                                    <m:r>
                                      <w:rPr>
                                        <w:rFonts w:ascii="Cambria Math" w:hAnsi="Cambria Math"/>
                                      </w:rPr>
                                      <m:t>n</m:t>
                                    </m:r>
                                  </m:e>
                                </m:d>
                                <m:r>
                                  <w:rPr>
                                    <w:rFonts w:ascii="Cambria Math" w:hAnsi="Cambria Math"/>
                                  </w:rPr>
                                  <m:t>Di</m:t>
                                </m:r>
                              </m:sup>
                            </m:sSubSup>
                          </m:sub>
                          <m:sup/>
                          <m:e/>
                        </m:nary>
                      </m:e>
                    </m:d>
                  </m:num>
                  <m:den>
                    <m:r>
                      <w:rPr>
                        <w:rFonts w:ascii="Cambria Math" w:hAnsi="Cambria Math"/>
                      </w:rPr>
                      <m:t>n</m:t>
                    </m:r>
                  </m:den>
                </m:f>
              </m:oMath>
            </m:oMathPara>
          </w:p>
          <w:p w14:paraId="19ED527F" w14:textId="46D16340" w:rsidR="00FC2D62" w:rsidRPr="00FC2D62" w:rsidRDefault="00FC2D62" w:rsidP="00FC2D62">
            <w:pPr>
              <w:jc w:val="center"/>
            </w:pPr>
          </w:p>
        </w:tc>
      </w:tr>
      <w:tr w:rsidR="00FC2D62" w14:paraId="5D3209C8" w14:textId="77777777" w:rsidTr="000A16A5">
        <w:trPr>
          <w:trHeight w:val="863"/>
        </w:trPr>
        <w:tc>
          <w:tcPr>
            <w:tcW w:w="3415" w:type="dxa"/>
          </w:tcPr>
          <w:p w14:paraId="52D6C44B" w14:textId="6F5238F5" w:rsidR="00FC2D62" w:rsidRDefault="00FC2D62" w:rsidP="00FC2D62">
            <w:pPr>
              <w:jc w:val="center"/>
            </w:pPr>
            <w:r>
              <w:t>Weightage used for indexing</w:t>
            </w:r>
          </w:p>
        </w:tc>
        <w:tc>
          <w:tcPr>
            <w:tcW w:w="6750" w:type="dxa"/>
          </w:tcPr>
          <w:p w14:paraId="14355607" w14:textId="5E05210F" w:rsidR="00FC2D62" w:rsidRDefault="00FC2D62" w:rsidP="00FC2D62">
            <w:pPr>
              <w:jc w:val="center"/>
              <w:rPr>
                <w:rFonts w:eastAsia="Times New Roman"/>
              </w:rPr>
            </w:pPr>
            <w:r>
              <w:rPr>
                <w:rFonts w:eastAsia="Times New Roman"/>
              </w:rPr>
              <w:t>Equal weightage has been allotted to every dimension</w:t>
            </w:r>
          </w:p>
        </w:tc>
      </w:tr>
      <w:tr w:rsidR="00FC2D62" w14:paraId="726DED34" w14:textId="77777777" w:rsidTr="000A16A5">
        <w:trPr>
          <w:trHeight w:val="863"/>
        </w:trPr>
        <w:tc>
          <w:tcPr>
            <w:tcW w:w="3415" w:type="dxa"/>
          </w:tcPr>
          <w:p w14:paraId="7EF037B4" w14:textId="10B527E5" w:rsidR="00FC2D62" w:rsidRDefault="00FC2D62" w:rsidP="00FC2D62">
            <w:pPr>
              <w:jc w:val="center"/>
            </w:pPr>
            <w:r>
              <w:t>GAP</w:t>
            </w:r>
          </w:p>
        </w:tc>
        <w:tc>
          <w:tcPr>
            <w:tcW w:w="6750" w:type="dxa"/>
          </w:tcPr>
          <w:p w14:paraId="6095EB3A" w14:textId="7416D443" w:rsidR="00FC2D62" w:rsidRDefault="00FC2D62" w:rsidP="00FC2D62">
            <w:pPr>
              <w:jc w:val="center"/>
              <w:rPr>
                <w:rFonts w:eastAsia="Times New Roman"/>
              </w:rPr>
            </w:pPr>
            <m:oMathPara>
              <m:oMath>
                <m:r>
                  <w:rPr>
                    <w:rFonts w:ascii="Cambria Math" w:eastAsia="Times New Roman" w:hAnsi="Cambria Math"/>
                  </w:rPr>
                  <m:t>GAP=CEI</m:t>
                </m:r>
                <m:d>
                  <m:dPr>
                    <m:ctrlPr>
                      <w:rPr>
                        <w:rFonts w:ascii="Cambria Math" w:eastAsia="Times New Roman" w:hAnsi="Cambria Math"/>
                        <w:i/>
                      </w:rPr>
                    </m:ctrlPr>
                  </m:dPr>
                  <m:e>
                    <m:r>
                      <w:rPr>
                        <w:rFonts w:ascii="Cambria Math" w:eastAsia="Times New Roman" w:hAnsi="Cambria Math"/>
                      </w:rPr>
                      <m:t>normalized</m:t>
                    </m:r>
                  </m:e>
                </m:d>
                <m:r>
                  <w:rPr>
                    <w:rFonts w:ascii="Cambria Math" w:eastAsia="Times New Roman" w:hAnsi="Cambria Math"/>
                  </w:rPr>
                  <m:t>-CAI</m:t>
                </m:r>
              </m:oMath>
            </m:oMathPara>
          </w:p>
        </w:tc>
      </w:tr>
    </w:tbl>
    <w:p w14:paraId="525F0055" w14:textId="3BF450EA" w:rsidR="000C59F7" w:rsidRDefault="0007163D" w:rsidP="0007163D">
      <w:pPr>
        <w:pStyle w:val="Caption"/>
        <w:jc w:val="center"/>
      </w:pPr>
      <w:r>
        <w:t xml:space="preserve">Table </w:t>
      </w:r>
      <w:fldSimple w:instr=" SEQ Table \* ARABIC ">
        <w:r w:rsidR="00595055">
          <w:rPr>
            <w:noProof/>
          </w:rPr>
          <w:t>4</w:t>
        </w:r>
      </w:fldSimple>
      <w:r>
        <w:t>: Summary of Formula Used for Computation</w:t>
      </w:r>
    </w:p>
    <w:p w14:paraId="45F2DF13" w14:textId="1121C6B5" w:rsidR="0007163D" w:rsidRPr="0007163D" w:rsidRDefault="0007163D" w:rsidP="0060483E">
      <w:pPr>
        <w:jc w:val="both"/>
        <w:rPr>
          <w:b/>
          <w:bCs/>
        </w:rPr>
      </w:pPr>
      <w:r w:rsidRPr="0007163D">
        <w:rPr>
          <w:b/>
          <w:bCs/>
        </w:rPr>
        <w:t>Consumer Expectancy Index &amp; Consumer Adaptation Index</w:t>
      </w:r>
    </w:p>
    <w:p w14:paraId="434A1FA9" w14:textId="1720EF47" w:rsidR="00FC2D62" w:rsidRDefault="0007163D" w:rsidP="009365EB">
      <w:pPr>
        <w:jc w:val="both"/>
      </w:pPr>
      <w:r>
        <w:t>Table 4.4 in brief summarizes the calculated values of Consumer Expectancy Index and Consumer Adaptation Index</w:t>
      </w:r>
      <w:r w:rsidR="009365EB">
        <w:t>.</w:t>
      </w:r>
    </w:p>
    <w:p w14:paraId="118FEE25" w14:textId="57A84B55" w:rsidR="0007163D" w:rsidRDefault="0007163D" w:rsidP="0007163D">
      <w:pPr>
        <w:jc w:val="center"/>
        <w:rPr>
          <w:b/>
          <w:bCs/>
        </w:rPr>
      </w:pPr>
      <w:r w:rsidRPr="0007163D">
        <w:rPr>
          <w:b/>
          <w:bCs/>
        </w:rPr>
        <w:t>Table 4.</w:t>
      </w:r>
      <w:r w:rsidR="00EA5F52">
        <w:rPr>
          <w:b/>
          <w:bCs/>
        </w:rPr>
        <w:t>5</w:t>
      </w:r>
      <w:r w:rsidRPr="0007163D">
        <w:rPr>
          <w:b/>
          <w:bCs/>
        </w:rPr>
        <w:t xml:space="preserve"> Summary Table of CEI &amp; CAI</w:t>
      </w:r>
    </w:p>
    <w:tbl>
      <w:tblPr>
        <w:tblW w:w="9505" w:type="dxa"/>
        <w:jc w:val="center"/>
        <w:tblLook w:val="04A0" w:firstRow="1" w:lastRow="0" w:firstColumn="1" w:lastColumn="0" w:noHBand="0" w:noVBand="1"/>
      </w:tblPr>
      <w:tblGrid>
        <w:gridCol w:w="1693"/>
        <w:gridCol w:w="3388"/>
        <w:gridCol w:w="3134"/>
        <w:gridCol w:w="1290"/>
      </w:tblGrid>
      <w:tr w:rsidR="0007163D" w:rsidRPr="0007163D" w14:paraId="5945CE01" w14:textId="77777777" w:rsidTr="0007163D">
        <w:trPr>
          <w:trHeight w:val="620"/>
          <w:jc w:val="center"/>
        </w:trPr>
        <w:tc>
          <w:tcPr>
            <w:tcW w:w="1693" w:type="dxa"/>
            <w:tcBorders>
              <w:top w:val="single" w:sz="4" w:space="0" w:color="auto"/>
              <w:left w:val="single" w:sz="4" w:space="0" w:color="auto"/>
              <w:bottom w:val="single" w:sz="4" w:space="0" w:color="auto"/>
              <w:right w:val="single" w:sz="4" w:space="0" w:color="auto"/>
            </w:tcBorders>
            <w:noWrap/>
            <w:vAlign w:val="center"/>
            <w:hideMark/>
          </w:tcPr>
          <w:p w14:paraId="24EAD183" w14:textId="77777777" w:rsidR="0007163D" w:rsidRPr="0007163D" w:rsidRDefault="0007163D" w:rsidP="0007163D">
            <w:pPr>
              <w:spacing w:after="0" w:line="240" w:lineRule="auto"/>
              <w:jc w:val="center"/>
              <w:rPr>
                <w:rFonts w:eastAsia="Times New Roman" w:cs="Times New Roman"/>
                <w:b/>
                <w:bCs/>
                <w:color w:val="000000"/>
                <w:kern w:val="0"/>
                <w:szCs w:val="24"/>
                <w:lang w:bidi="ar-SA"/>
                <w14:ligatures w14:val="none"/>
              </w:rPr>
            </w:pPr>
            <w:r w:rsidRPr="0007163D">
              <w:rPr>
                <w:rFonts w:eastAsia="Times New Roman" w:cs="Times New Roman"/>
                <w:b/>
                <w:bCs/>
                <w:color w:val="000000"/>
                <w:kern w:val="0"/>
                <w:szCs w:val="24"/>
                <w:lang w:bidi="ar-SA"/>
                <w14:ligatures w14:val="none"/>
              </w:rPr>
              <w:t>Dimension</w:t>
            </w:r>
          </w:p>
        </w:tc>
        <w:tc>
          <w:tcPr>
            <w:tcW w:w="3388" w:type="dxa"/>
            <w:tcBorders>
              <w:top w:val="single" w:sz="4" w:space="0" w:color="auto"/>
              <w:left w:val="nil"/>
              <w:bottom w:val="single" w:sz="4" w:space="0" w:color="auto"/>
              <w:right w:val="single" w:sz="4" w:space="0" w:color="auto"/>
            </w:tcBorders>
            <w:noWrap/>
            <w:vAlign w:val="center"/>
            <w:hideMark/>
          </w:tcPr>
          <w:p w14:paraId="5F7459BE" w14:textId="77777777" w:rsidR="0007163D" w:rsidRPr="0007163D" w:rsidRDefault="0007163D" w:rsidP="0007163D">
            <w:pPr>
              <w:spacing w:after="0" w:line="240" w:lineRule="auto"/>
              <w:jc w:val="center"/>
              <w:rPr>
                <w:rFonts w:eastAsia="Times New Roman" w:cs="Times New Roman"/>
                <w:b/>
                <w:bCs/>
                <w:color w:val="000000"/>
                <w:kern w:val="0"/>
                <w:szCs w:val="24"/>
                <w:lang w:bidi="ar-SA"/>
                <w14:ligatures w14:val="none"/>
              </w:rPr>
            </w:pPr>
            <w:r w:rsidRPr="0007163D">
              <w:rPr>
                <w:rFonts w:eastAsia="Times New Roman" w:cs="Times New Roman"/>
                <w:b/>
                <w:bCs/>
                <w:color w:val="000000"/>
                <w:kern w:val="0"/>
                <w:szCs w:val="24"/>
                <w:lang w:bidi="ar-SA"/>
                <w14:ligatures w14:val="none"/>
              </w:rPr>
              <w:t>Normalized Expectation Value</w:t>
            </w:r>
          </w:p>
        </w:tc>
        <w:tc>
          <w:tcPr>
            <w:tcW w:w="3134" w:type="dxa"/>
            <w:tcBorders>
              <w:top w:val="single" w:sz="4" w:space="0" w:color="auto"/>
              <w:left w:val="nil"/>
              <w:bottom w:val="single" w:sz="4" w:space="0" w:color="auto"/>
              <w:right w:val="single" w:sz="4" w:space="0" w:color="auto"/>
            </w:tcBorders>
            <w:noWrap/>
            <w:vAlign w:val="center"/>
            <w:hideMark/>
          </w:tcPr>
          <w:p w14:paraId="0DA3AEFC" w14:textId="079CFFDC" w:rsidR="0007163D" w:rsidRPr="0007163D" w:rsidRDefault="0007163D" w:rsidP="0007163D">
            <w:pPr>
              <w:spacing w:after="0" w:line="240" w:lineRule="auto"/>
              <w:jc w:val="center"/>
              <w:rPr>
                <w:rFonts w:eastAsia="Times New Roman" w:cs="Times New Roman"/>
                <w:b/>
                <w:bCs/>
                <w:color w:val="000000"/>
                <w:kern w:val="0"/>
                <w:szCs w:val="24"/>
                <w:lang w:bidi="ar-SA"/>
                <w14:ligatures w14:val="none"/>
              </w:rPr>
            </w:pPr>
            <w:r w:rsidRPr="0007163D">
              <w:rPr>
                <w:rFonts w:eastAsia="Times New Roman" w:cs="Times New Roman"/>
                <w:b/>
                <w:bCs/>
                <w:color w:val="000000"/>
                <w:kern w:val="0"/>
                <w:szCs w:val="24"/>
                <w:lang w:bidi="ar-SA"/>
                <w14:ligatures w14:val="none"/>
              </w:rPr>
              <w:t>Adaptation Value</w:t>
            </w:r>
          </w:p>
        </w:tc>
        <w:tc>
          <w:tcPr>
            <w:tcW w:w="1290" w:type="dxa"/>
            <w:tcBorders>
              <w:top w:val="single" w:sz="4" w:space="0" w:color="auto"/>
              <w:left w:val="nil"/>
              <w:bottom w:val="single" w:sz="4" w:space="0" w:color="auto"/>
              <w:right w:val="single" w:sz="4" w:space="0" w:color="auto"/>
            </w:tcBorders>
            <w:noWrap/>
            <w:vAlign w:val="center"/>
            <w:hideMark/>
          </w:tcPr>
          <w:p w14:paraId="5B7CAEAB" w14:textId="77777777" w:rsidR="0007163D" w:rsidRPr="0007163D" w:rsidRDefault="0007163D" w:rsidP="0007163D">
            <w:pPr>
              <w:spacing w:after="0" w:line="240" w:lineRule="auto"/>
              <w:jc w:val="center"/>
              <w:rPr>
                <w:rFonts w:eastAsia="Times New Roman" w:cs="Times New Roman"/>
                <w:b/>
                <w:bCs/>
                <w:color w:val="000000"/>
                <w:kern w:val="0"/>
                <w:szCs w:val="24"/>
                <w:lang w:bidi="ar-SA"/>
                <w14:ligatures w14:val="none"/>
              </w:rPr>
            </w:pPr>
            <w:r w:rsidRPr="0007163D">
              <w:rPr>
                <w:rFonts w:eastAsia="Times New Roman" w:cs="Times New Roman"/>
                <w:b/>
                <w:bCs/>
                <w:color w:val="000000"/>
                <w:kern w:val="0"/>
                <w:szCs w:val="24"/>
                <w:lang w:bidi="ar-SA"/>
                <w14:ligatures w14:val="none"/>
              </w:rPr>
              <w:t>GAP</w:t>
            </w:r>
          </w:p>
        </w:tc>
      </w:tr>
      <w:tr w:rsidR="0007163D" w:rsidRPr="0007163D" w14:paraId="277B513B" w14:textId="77777777" w:rsidTr="0007163D">
        <w:trPr>
          <w:trHeight w:val="620"/>
          <w:jc w:val="center"/>
        </w:trPr>
        <w:tc>
          <w:tcPr>
            <w:tcW w:w="1693" w:type="dxa"/>
            <w:tcBorders>
              <w:top w:val="nil"/>
              <w:left w:val="single" w:sz="4" w:space="0" w:color="auto"/>
              <w:bottom w:val="single" w:sz="4" w:space="0" w:color="auto"/>
              <w:right w:val="single" w:sz="4" w:space="0" w:color="auto"/>
            </w:tcBorders>
            <w:noWrap/>
            <w:vAlign w:val="center"/>
            <w:hideMark/>
          </w:tcPr>
          <w:p w14:paraId="65FCEE2D" w14:textId="2249F954" w:rsidR="0007163D" w:rsidRPr="0007163D" w:rsidRDefault="0007163D" w:rsidP="0007163D">
            <w:pPr>
              <w:spacing w:after="0" w:line="240" w:lineRule="auto"/>
              <w:jc w:val="center"/>
              <w:rPr>
                <w:rFonts w:eastAsia="Times New Roman" w:cs="Times New Roman"/>
                <w:b/>
                <w:bCs/>
                <w:color w:val="000000"/>
                <w:kern w:val="0"/>
                <w:szCs w:val="24"/>
                <w:lang w:bidi="ar-SA"/>
                <w14:ligatures w14:val="none"/>
              </w:rPr>
            </w:pPr>
            <w:r w:rsidRPr="0007163D">
              <w:rPr>
                <w:rFonts w:eastAsia="Times New Roman" w:cs="Times New Roman"/>
                <w:b/>
                <w:bCs/>
                <w:color w:val="000000"/>
                <w:kern w:val="0"/>
                <w:szCs w:val="24"/>
                <w:lang w:bidi="ar-SA"/>
                <w14:ligatures w14:val="none"/>
              </w:rPr>
              <w:t>Environment</w:t>
            </w:r>
          </w:p>
        </w:tc>
        <w:tc>
          <w:tcPr>
            <w:tcW w:w="3388" w:type="dxa"/>
            <w:tcBorders>
              <w:top w:val="nil"/>
              <w:left w:val="nil"/>
              <w:bottom w:val="single" w:sz="4" w:space="0" w:color="auto"/>
              <w:right w:val="single" w:sz="4" w:space="0" w:color="auto"/>
            </w:tcBorders>
            <w:noWrap/>
            <w:vAlign w:val="center"/>
            <w:hideMark/>
          </w:tcPr>
          <w:p w14:paraId="334A312E"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0.6393</w:t>
            </w:r>
          </w:p>
        </w:tc>
        <w:tc>
          <w:tcPr>
            <w:tcW w:w="3134" w:type="dxa"/>
            <w:tcBorders>
              <w:top w:val="nil"/>
              <w:left w:val="nil"/>
              <w:bottom w:val="single" w:sz="4" w:space="0" w:color="auto"/>
              <w:right w:val="single" w:sz="4" w:space="0" w:color="auto"/>
            </w:tcBorders>
            <w:noWrap/>
            <w:vAlign w:val="center"/>
            <w:hideMark/>
          </w:tcPr>
          <w:p w14:paraId="404D7CB7"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0.5991</w:t>
            </w:r>
          </w:p>
        </w:tc>
        <w:tc>
          <w:tcPr>
            <w:tcW w:w="1290" w:type="dxa"/>
            <w:tcBorders>
              <w:top w:val="nil"/>
              <w:left w:val="nil"/>
              <w:bottom w:val="single" w:sz="4" w:space="0" w:color="auto"/>
              <w:right w:val="single" w:sz="4" w:space="0" w:color="auto"/>
            </w:tcBorders>
            <w:noWrap/>
            <w:vAlign w:val="center"/>
            <w:hideMark/>
          </w:tcPr>
          <w:p w14:paraId="77B64B7F"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0.0402</w:t>
            </w:r>
          </w:p>
        </w:tc>
      </w:tr>
      <w:tr w:rsidR="0007163D" w:rsidRPr="0007163D" w14:paraId="625E3B91" w14:textId="77777777" w:rsidTr="0007163D">
        <w:trPr>
          <w:trHeight w:val="620"/>
          <w:jc w:val="center"/>
        </w:trPr>
        <w:tc>
          <w:tcPr>
            <w:tcW w:w="1693" w:type="dxa"/>
            <w:tcBorders>
              <w:top w:val="nil"/>
              <w:left w:val="single" w:sz="4" w:space="0" w:color="auto"/>
              <w:bottom w:val="single" w:sz="4" w:space="0" w:color="auto"/>
              <w:right w:val="single" w:sz="4" w:space="0" w:color="auto"/>
            </w:tcBorders>
            <w:noWrap/>
            <w:vAlign w:val="center"/>
            <w:hideMark/>
          </w:tcPr>
          <w:p w14:paraId="40E81548" w14:textId="77777777" w:rsidR="0007163D" w:rsidRPr="0007163D" w:rsidRDefault="0007163D" w:rsidP="0007163D">
            <w:pPr>
              <w:spacing w:after="0" w:line="240" w:lineRule="auto"/>
              <w:jc w:val="center"/>
              <w:rPr>
                <w:rFonts w:eastAsia="Times New Roman" w:cs="Times New Roman"/>
                <w:b/>
                <w:bCs/>
                <w:color w:val="000000"/>
                <w:kern w:val="0"/>
                <w:szCs w:val="24"/>
                <w:lang w:bidi="ar-SA"/>
                <w14:ligatures w14:val="none"/>
              </w:rPr>
            </w:pPr>
            <w:r w:rsidRPr="0007163D">
              <w:rPr>
                <w:rFonts w:eastAsia="Times New Roman" w:cs="Times New Roman"/>
                <w:b/>
                <w:bCs/>
                <w:color w:val="000000"/>
                <w:kern w:val="0"/>
                <w:szCs w:val="24"/>
                <w:lang w:bidi="ar-SA"/>
                <w14:ligatures w14:val="none"/>
              </w:rPr>
              <w:t xml:space="preserve">Social </w:t>
            </w:r>
          </w:p>
        </w:tc>
        <w:tc>
          <w:tcPr>
            <w:tcW w:w="3388" w:type="dxa"/>
            <w:tcBorders>
              <w:top w:val="nil"/>
              <w:left w:val="nil"/>
              <w:bottom w:val="single" w:sz="4" w:space="0" w:color="auto"/>
              <w:right w:val="single" w:sz="4" w:space="0" w:color="auto"/>
            </w:tcBorders>
            <w:noWrap/>
            <w:vAlign w:val="center"/>
            <w:hideMark/>
          </w:tcPr>
          <w:p w14:paraId="2285449F"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0.6791</w:t>
            </w:r>
          </w:p>
        </w:tc>
        <w:tc>
          <w:tcPr>
            <w:tcW w:w="3134" w:type="dxa"/>
            <w:tcBorders>
              <w:top w:val="nil"/>
              <w:left w:val="nil"/>
              <w:bottom w:val="single" w:sz="4" w:space="0" w:color="auto"/>
              <w:right w:val="single" w:sz="4" w:space="0" w:color="auto"/>
            </w:tcBorders>
            <w:noWrap/>
            <w:vAlign w:val="center"/>
            <w:hideMark/>
          </w:tcPr>
          <w:p w14:paraId="6DA65CF4"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0.5946</w:t>
            </w:r>
          </w:p>
        </w:tc>
        <w:tc>
          <w:tcPr>
            <w:tcW w:w="1290" w:type="dxa"/>
            <w:tcBorders>
              <w:top w:val="nil"/>
              <w:left w:val="nil"/>
              <w:bottom w:val="single" w:sz="4" w:space="0" w:color="auto"/>
              <w:right w:val="single" w:sz="4" w:space="0" w:color="auto"/>
            </w:tcBorders>
            <w:noWrap/>
            <w:vAlign w:val="center"/>
            <w:hideMark/>
          </w:tcPr>
          <w:p w14:paraId="2248EAA3"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0.0845</w:t>
            </w:r>
          </w:p>
        </w:tc>
      </w:tr>
      <w:tr w:rsidR="0007163D" w:rsidRPr="0007163D" w14:paraId="79E8D3E1" w14:textId="77777777" w:rsidTr="0007163D">
        <w:trPr>
          <w:trHeight w:val="620"/>
          <w:jc w:val="center"/>
        </w:trPr>
        <w:tc>
          <w:tcPr>
            <w:tcW w:w="1693" w:type="dxa"/>
            <w:tcBorders>
              <w:top w:val="nil"/>
              <w:left w:val="single" w:sz="4" w:space="0" w:color="auto"/>
              <w:bottom w:val="single" w:sz="4" w:space="0" w:color="auto"/>
              <w:right w:val="single" w:sz="4" w:space="0" w:color="auto"/>
            </w:tcBorders>
            <w:noWrap/>
            <w:vAlign w:val="center"/>
            <w:hideMark/>
          </w:tcPr>
          <w:p w14:paraId="54200709" w14:textId="77777777" w:rsidR="0007163D" w:rsidRPr="0007163D" w:rsidRDefault="0007163D" w:rsidP="0007163D">
            <w:pPr>
              <w:spacing w:after="0" w:line="240" w:lineRule="auto"/>
              <w:jc w:val="center"/>
              <w:rPr>
                <w:rFonts w:eastAsia="Times New Roman" w:cs="Times New Roman"/>
                <w:b/>
                <w:bCs/>
                <w:color w:val="000000"/>
                <w:kern w:val="0"/>
                <w:szCs w:val="24"/>
                <w:lang w:bidi="ar-SA"/>
                <w14:ligatures w14:val="none"/>
              </w:rPr>
            </w:pPr>
            <w:r w:rsidRPr="0007163D">
              <w:rPr>
                <w:rFonts w:eastAsia="Times New Roman" w:cs="Times New Roman"/>
                <w:b/>
                <w:bCs/>
                <w:color w:val="000000"/>
                <w:kern w:val="0"/>
                <w:szCs w:val="24"/>
                <w:lang w:bidi="ar-SA"/>
                <w14:ligatures w14:val="none"/>
              </w:rPr>
              <w:t>Governance</w:t>
            </w:r>
          </w:p>
        </w:tc>
        <w:tc>
          <w:tcPr>
            <w:tcW w:w="3388" w:type="dxa"/>
            <w:tcBorders>
              <w:top w:val="nil"/>
              <w:left w:val="nil"/>
              <w:bottom w:val="single" w:sz="4" w:space="0" w:color="auto"/>
              <w:right w:val="single" w:sz="4" w:space="0" w:color="auto"/>
            </w:tcBorders>
            <w:noWrap/>
            <w:vAlign w:val="center"/>
            <w:hideMark/>
          </w:tcPr>
          <w:p w14:paraId="6BBACA8B"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0.6791</w:t>
            </w:r>
          </w:p>
        </w:tc>
        <w:tc>
          <w:tcPr>
            <w:tcW w:w="3134" w:type="dxa"/>
            <w:tcBorders>
              <w:top w:val="nil"/>
              <w:left w:val="nil"/>
              <w:bottom w:val="single" w:sz="4" w:space="0" w:color="auto"/>
              <w:right w:val="single" w:sz="4" w:space="0" w:color="auto"/>
            </w:tcBorders>
            <w:noWrap/>
            <w:vAlign w:val="center"/>
            <w:hideMark/>
          </w:tcPr>
          <w:p w14:paraId="77F9345F"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0.4865</w:t>
            </w:r>
          </w:p>
        </w:tc>
        <w:tc>
          <w:tcPr>
            <w:tcW w:w="1290" w:type="dxa"/>
            <w:tcBorders>
              <w:top w:val="nil"/>
              <w:left w:val="nil"/>
              <w:bottom w:val="single" w:sz="4" w:space="0" w:color="auto"/>
              <w:right w:val="single" w:sz="4" w:space="0" w:color="auto"/>
            </w:tcBorders>
            <w:noWrap/>
            <w:vAlign w:val="center"/>
            <w:hideMark/>
          </w:tcPr>
          <w:p w14:paraId="2E5B26B6"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0.1926</w:t>
            </w:r>
          </w:p>
        </w:tc>
      </w:tr>
      <w:tr w:rsidR="0007163D" w:rsidRPr="0007163D" w14:paraId="4425238C" w14:textId="77777777" w:rsidTr="0007163D">
        <w:trPr>
          <w:trHeight w:val="620"/>
          <w:jc w:val="center"/>
        </w:trPr>
        <w:tc>
          <w:tcPr>
            <w:tcW w:w="1693" w:type="dxa"/>
            <w:tcBorders>
              <w:top w:val="nil"/>
              <w:left w:val="single" w:sz="4" w:space="0" w:color="auto"/>
              <w:bottom w:val="single" w:sz="4" w:space="0" w:color="auto"/>
              <w:right w:val="single" w:sz="4" w:space="0" w:color="auto"/>
            </w:tcBorders>
            <w:noWrap/>
            <w:vAlign w:val="center"/>
            <w:hideMark/>
          </w:tcPr>
          <w:p w14:paraId="74154EAE" w14:textId="77777777" w:rsidR="0007163D" w:rsidRPr="0007163D" w:rsidRDefault="0007163D" w:rsidP="0007163D">
            <w:pPr>
              <w:spacing w:after="0" w:line="240" w:lineRule="auto"/>
              <w:jc w:val="center"/>
              <w:rPr>
                <w:rFonts w:eastAsia="Times New Roman" w:cs="Times New Roman"/>
                <w:b/>
                <w:bCs/>
                <w:color w:val="000000"/>
                <w:kern w:val="0"/>
                <w:szCs w:val="24"/>
                <w:lang w:bidi="ar-SA"/>
                <w14:ligatures w14:val="none"/>
              </w:rPr>
            </w:pPr>
            <w:r w:rsidRPr="0007163D">
              <w:rPr>
                <w:rFonts w:eastAsia="Times New Roman" w:cs="Times New Roman"/>
                <w:b/>
                <w:bCs/>
                <w:color w:val="000000"/>
                <w:kern w:val="0"/>
                <w:szCs w:val="24"/>
                <w:lang w:bidi="ar-SA"/>
                <w14:ligatures w14:val="none"/>
              </w:rPr>
              <w:t>Waste</w:t>
            </w:r>
          </w:p>
        </w:tc>
        <w:tc>
          <w:tcPr>
            <w:tcW w:w="3388" w:type="dxa"/>
            <w:tcBorders>
              <w:top w:val="nil"/>
              <w:left w:val="nil"/>
              <w:bottom w:val="single" w:sz="4" w:space="0" w:color="auto"/>
              <w:right w:val="single" w:sz="4" w:space="0" w:color="auto"/>
            </w:tcBorders>
            <w:noWrap/>
            <w:vAlign w:val="center"/>
            <w:hideMark/>
          </w:tcPr>
          <w:p w14:paraId="7078516F"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0.6205</w:t>
            </w:r>
          </w:p>
        </w:tc>
        <w:tc>
          <w:tcPr>
            <w:tcW w:w="3134" w:type="dxa"/>
            <w:tcBorders>
              <w:top w:val="nil"/>
              <w:left w:val="nil"/>
              <w:bottom w:val="single" w:sz="4" w:space="0" w:color="auto"/>
              <w:right w:val="single" w:sz="4" w:space="0" w:color="auto"/>
            </w:tcBorders>
            <w:noWrap/>
            <w:vAlign w:val="center"/>
            <w:hideMark/>
          </w:tcPr>
          <w:p w14:paraId="52D902A3"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0.5135</w:t>
            </w:r>
          </w:p>
        </w:tc>
        <w:tc>
          <w:tcPr>
            <w:tcW w:w="1290" w:type="dxa"/>
            <w:tcBorders>
              <w:top w:val="nil"/>
              <w:left w:val="nil"/>
              <w:bottom w:val="single" w:sz="4" w:space="0" w:color="auto"/>
              <w:right w:val="single" w:sz="4" w:space="0" w:color="auto"/>
            </w:tcBorders>
            <w:noWrap/>
            <w:vAlign w:val="center"/>
            <w:hideMark/>
          </w:tcPr>
          <w:p w14:paraId="6A471608"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0.1070</w:t>
            </w:r>
          </w:p>
        </w:tc>
      </w:tr>
      <w:tr w:rsidR="0007163D" w:rsidRPr="0007163D" w14:paraId="1095ADDD" w14:textId="77777777" w:rsidTr="0007163D">
        <w:trPr>
          <w:trHeight w:val="620"/>
          <w:jc w:val="center"/>
        </w:trPr>
        <w:tc>
          <w:tcPr>
            <w:tcW w:w="1693" w:type="dxa"/>
            <w:tcBorders>
              <w:top w:val="nil"/>
              <w:left w:val="single" w:sz="4" w:space="0" w:color="auto"/>
              <w:bottom w:val="single" w:sz="4" w:space="0" w:color="auto"/>
              <w:right w:val="single" w:sz="4" w:space="0" w:color="auto"/>
            </w:tcBorders>
            <w:noWrap/>
            <w:vAlign w:val="center"/>
            <w:hideMark/>
          </w:tcPr>
          <w:p w14:paraId="5FD18840" w14:textId="77777777" w:rsidR="0007163D" w:rsidRPr="0007163D" w:rsidRDefault="0007163D" w:rsidP="0007163D">
            <w:pPr>
              <w:spacing w:after="0" w:line="240" w:lineRule="auto"/>
              <w:jc w:val="center"/>
              <w:rPr>
                <w:rFonts w:eastAsia="Times New Roman" w:cs="Times New Roman"/>
                <w:b/>
                <w:bCs/>
                <w:color w:val="000000"/>
                <w:kern w:val="0"/>
                <w:szCs w:val="24"/>
                <w:lang w:bidi="ar-SA"/>
                <w14:ligatures w14:val="none"/>
              </w:rPr>
            </w:pPr>
            <w:r w:rsidRPr="0007163D">
              <w:rPr>
                <w:rFonts w:eastAsia="Times New Roman" w:cs="Times New Roman"/>
                <w:b/>
                <w:bCs/>
                <w:color w:val="000000"/>
                <w:kern w:val="0"/>
                <w:szCs w:val="24"/>
                <w:lang w:bidi="ar-SA"/>
                <w14:ligatures w14:val="none"/>
              </w:rPr>
              <w:t>Packaging</w:t>
            </w:r>
          </w:p>
        </w:tc>
        <w:tc>
          <w:tcPr>
            <w:tcW w:w="3388" w:type="dxa"/>
            <w:tcBorders>
              <w:top w:val="nil"/>
              <w:left w:val="nil"/>
              <w:bottom w:val="single" w:sz="4" w:space="0" w:color="auto"/>
              <w:right w:val="single" w:sz="4" w:space="0" w:color="auto"/>
            </w:tcBorders>
            <w:noWrap/>
            <w:vAlign w:val="center"/>
            <w:hideMark/>
          </w:tcPr>
          <w:p w14:paraId="0464E9A7"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0.7151</w:t>
            </w:r>
          </w:p>
        </w:tc>
        <w:tc>
          <w:tcPr>
            <w:tcW w:w="3134" w:type="dxa"/>
            <w:tcBorders>
              <w:top w:val="nil"/>
              <w:left w:val="nil"/>
              <w:bottom w:val="single" w:sz="4" w:space="0" w:color="auto"/>
              <w:right w:val="single" w:sz="4" w:space="0" w:color="auto"/>
            </w:tcBorders>
            <w:noWrap/>
            <w:vAlign w:val="center"/>
            <w:hideMark/>
          </w:tcPr>
          <w:p w14:paraId="2E645C73"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0.6261</w:t>
            </w:r>
          </w:p>
        </w:tc>
        <w:tc>
          <w:tcPr>
            <w:tcW w:w="1290" w:type="dxa"/>
            <w:tcBorders>
              <w:top w:val="nil"/>
              <w:left w:val="nil"/>
              <w:bottom w:val="single" w:sz="4" w:space="0" w:color="auto"/>
              <w:right w:val="single" w:sz="4" w:space="0" w:color="auto"/>
            </w:tcBorders>
            <w:noWrap/>
            <w:vAlign w:val="center"/>
            <w:hideMark/>
          </w:tcPr>
          <w:p w14:paraId="5B3B64C5"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0.0890</w:t>
            </w:r>
          </w:p>
        </w:tc>
      </w:tr>
      <w:tr w:rsidR="0007163D" w:rsidRPr="0007163D" w14:paraId="12D41536" w14:textId="77777777" w:rsidTr="0007163D">
        <w:trPr>
          <w:trHeight w:val="620"/>
          <w:jc w:val="center"/>
        </w:trPr>
        <w:tc>
          <w:tcPr>
            <w:tcW w:w="1693" w:type="dxa"/>
            <w:tcBorders>
              <w:top w:val="nil"/>
              <w:left w:val="single" w:sz="4" w:space="0" w:color="auto"/>
              <w:bottom w:val="single" w:sz="4" w:space="0" w:color="auto"/>
              <w:right w:val="single" w:sz="4" w:space="0" w:color="auto"/>
            </w:tcBorders>
            <w:noWrap/>
            <w:vAlign w:val="center"/>
            <w:hideMark/>
          </w:tcPr>
          <w:p w14:paraId="593BB806" w14:textId="77777777" w:rsidR="0007163D" w:rsidRPr="0007163D" w:rsidRDefault="0007163D" w:rsidP="0007163D">
            <w:pPr>
              <w:spacing w:after="0" w:line="240" w:lineRule="auto"/>
              <w:jc w:val="center"/>
              <w:rPr>
                <w:rFonts w:eastAsia="Times New Roman" w:cs="Times New Roman"/>
                <w:b/>
                <w:bCs/>
                <w:color w:val="000000"/>
                <w:kern w:val="0"/>
                <w:szCs w:val="24"/>
                <w:lang w:bidi="ar-SA"/>
                <w14:ligatures w14:val="none"/>
              </w:rPr>
            </w:pPr>
            <w:r w:rsidRPr="0007163D">
              <w:rPr>
                <w:rFonts w:eastAsia="Times New Roman" w:cs="Times New Roman"/>
                <w:b/>
                <w:bCs/>
                <w:color w:val="000000"/>
                <w:kern w:val="0"/>
                <w:szCs w:val="24"/>
                <w:lang w:bidi="ar-SA"/>
                <w14:ligatures w14:val="none"/>
              </w:rPr>
              <w:t>Overall</w:t>
            </w:r>
          </w:p>
        </w:tc>
        <w:tc>
          <w:tcPr>
            <w:tcW w:w="3388" w:type="dxa"/>
            <w:tcBorders>
              <w:top w:val="nil"/>
              <w:left w:val="nil"/>
              <w:bottom w:val="single" w:sz="4" w:space="0" w:color="auto"/>
              <w:right w:val="single" w:sz="4" w:space="0" w:color="auto"/>
            </w:tcBorders>
            <w:noWrap/>
            <w:vAlign w:val="center"/>
            <w:hideMark/>
          </w:tcPr>
          <w:p w14:paraId="630F959F"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0.6400</w:t>
            </w:r>
          </w:p>
        </w:tc>
        <w:tc>
          <w:tcPr>
            <w:tcW w:w="3134" w:type="dxa"/>
            <w:tcBorders>
              <w:top w:val="nil"/>
              <w:left w:val="nil"/>
              <w:bottom w:val="single" w:sz="4" w:space="0" w:color="auto"/>
              <w:right w:val="single" w:sz="4" w:space="0" w:color="auto"/>
            </w:tcBorders>
            <w:noWrap/>
            <w:vAlign w:val="center"/>
            <w:hideMark/>
          </w:tcPr>
          <w:p w14:paraId="67EBCDA0"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0.5640</w:t>
            </w:r>
          </w:p>
        </w:tc>
        <w:tc>
          <w:tcPr>
            <w:tcW w:w="1290" w:type="dxa"/>
            <w:tcBorders>
              <w:top w:val="nil"/>
              <w:left w:val="nil"/>
              <w:bottom w:val="single" w:sz="4" w:space="0" w:color="auto"/>
              <w:right w:val="single" w:sz="4" w:space="0" w:color="auto"/>
            </w:tcBorders>
            <w:noWrap/>
            <w:vAlign w:val="center"/>
            <w:hideMark/>
          </w:tcPr>
          <w:p w14:paraId="5C3C5D4C" w14:textId="77777777" w:rsidR="0007163D" w:rsidRPr="0007163D" w:rsidRDefault="0007163D" w:rsidP="0007163D">
            <w:pPr>
              <w:spacing w:after="0" w:line="240" w:lineRule="auto"/>
              <w:jc w:val="center"/>
              <w:rPr>
                <w:rFonts w:eastAsia="Times New Roman" w:cs="Times New Roman"/>
                <w:color w:val="000000"/>
                <w:kern w:val="0"/>
                <w:szCs w:val="24"/>
                <w:lang w:bidi="ar-SA"/>
                <w14:ligatures w14:val="none"/>
              </w:rPr>
            </w:pPr>
            <w:r w:rsidRPr="0007163D">
              <w:rPr>
                <w:rFonts w:eastAsia="Times New Roman" w:cs="Times New Roman"/>
                <w:color w:val="000000"/>
                <w:kern w:val="0"/>
                <w:szCs w:val="24"/>
                <w:lang w:bidi="ar-SA"/>
                <w14:ligatures w14:val="none"/>
              </w:rPr>
              <w:t>0.0760</w:t>
            </w:r>
          </w:p>
        </w:tc>
      </w:tr>
    </w:tbl>
    <w:p w14:paraId="43721137" w14:textId="5F17A41B" w:rsidR="0007163D" w:rsidRDefault="0007163D" w:rsidP="0007163D">
      <w:pPr>
        <w:pStyle w:val="Caption"/>
        <w:jc w:val="center"/>
      </w:pPr>
      <w:r>
        <w:t xml:space="preserve">Table </w:t>
      </w:r>
      <w:fldSimple w:instr=" SEQ Table \* ARABIC ">
        <w:r w:rsidR="00595055">
          <w:rPr>
            <w:noProof/>
          </w:rPr>
          <w:t>5</w:t>
        </w:r>
      </w:fldSimple>
      <w:r>
        <w:t>: Excel Generated compiled table of index Score</w:t>
      </w:r>
    </w:p>
    <w:p w14:paraId="270DDE91" w14:textId="5079494D" w:rsidR="0007163D" w:rsidRDefault="0007163D" w:rsidP="0007163D">
      <w:pPr>
        <w:jc w:val="center"/>
      </w:pPr>
      <w:r>
        <w:rPr>
          <w:noProof/>
        </w:rPr>
        <w:lastRenderedPageBreak/>
        <w:drawing>
          <wp:inline distT="0" distB="0" distL="0" distR="0" wp14:anchorId="57FDFAB8" wp14:editId="61D0314E">
            <wp:extent cx="6315075" cy="2743200"/>
            <wp:effectExtent l="0" t="0" r="9525" b="0"/>
            <wp:docPr id="1105053990" name="Chart 1">
              <a:extLst xmlns:a="http://schemas.openxmlformats.org/drawingml/2006/main">
                <a:ext uri="{FF2B5EF4-FFF2-40B4-BE49-F238E27FC236}">
                  <a16:creationId xmlns:a16="http://schemas.microsoft.com/office/drawing/2014/main" id="{F6780496-379F-2F9C-B976-E7ED84114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C6155A" w14:textId="00C3B797" w:rsidR="0007163D" w:rsidRDefault="0007163D" w:rsidP="0007163D">
      <w:pPr>
        <w:pStyle w:val="Caption"/>
        <w:jc w:val="center"/>
      </w:pPr>
      <w:r>
        <w:t xml:space="preserve">Figure </w:t>
      </w:r>
      <w:fldSimple w:instr=" SEQ Figure \* ARABIC ">
        <w:r w:rsidR="00595055">
          <w:rPr>
            <w:noProof/>
          </w:rPr>
          <w:t>1</w:t>
        </w:r>
      </w:fldSimple>
      <w:r>
        <w:t>: Expectation Vs Adaptation Gap Visualization</w:t>
      </w:r>
    </w:p>
    <w:p w14:paraId="1A205FC2" w14:textId="4B470FD8" w:rsidR="0007163D" w:rsidRPr="0007163D" w:rsidRDefault="0007163D" w:rsidP="0060483E">
      <w:pPr>
        <w:spacing w:line="360" w:lineRule="auto"/>
        <w:jc w:val="both"/>
        <w:rPr>
          <w:b/>
          <w:bCs/>
        </w:rPr>
      </w:pPr>
      <w:r w:rsidRPr="0007163D">
        <w:rPr>
          <w:b/>
          <w:bCs/>
        </w:rPr>
        <w:t xml:space="preserve">Interpretation </w:t>
      </w:r>
    </w:p>
    <w:p w14:paraId="70B13E85" w14:textId="1A7C9201" w:rsidR="0007163D" w:rsidRDefault="00807A9E" w:rsidP="0060483E">
      <w:pPr>
        <w:spacing w:line="360" w:lineRule="auto"/>
        <w:jc w:val="both"/>
      </w:pPr>
      <w:r>
        <w:t>Following Points in brief summarizes the table 4.4 and figure 4.1</w:t>
      </w:r>
    </w:p>
    <w:p w14:paraId="0931EA82" w14:textId="39083B1B" w:rsidR="00807A9E" w:rsidRDefault="00807A9E" w:rsidP="0060483E">
      <w:pPr>
        <w:pStyle w:val="ListParagraph"/>
        <w:numPr>
          <w:ilvl w:val="0"/>
          <w:numId w:val="6"/>
        </w:numPr>
        <w:spacing w:line="360" w:lineRule="auto"/>
        <w:jc w:val="both"/>
      </w:pPr>
      <w:r w:rsidRPr="00807A9E">
        <w:rPr>
          <w:b/>
          <w:bCs/>
        </w:rPr>
        <w:t>Overall Insight</w:t>
      </w:r>
      <w:r>
        <w:t>: from the above data it is clear that collectively in all the sustainability dimensions consumer expectation is higher than the adaptation of sustainability practices</w:t>
      </w:r>
    </w:p>
    <w:p w14:paraId="524C35FA" w14:textId="3EA616E4" w:rsidR="00807A9E" w:rsidRDefault="00807A9E" w:rsidP="0060483E">
      <w:pPr>
        <w:pStyle w:val="ListParagraph"/>
        <w:numPr>
          <w:ilvl w:val="0"/>
          <w:numId w:val="6"/>
        </w:numPr>
        <w:spacing w:line="360" w:lineRule="auto"/>
        <w:jc w:val="both"/>
      </w:pPr>
      <w:r w:rsidRPr="00807A9E">
        <w:rPr>
          <w:b/>
          <w:bCs/>
        </w:rPr>
        <w:t>Highest Gap Area (Red Area)</w:t>
      </w:r>
      <w:r>
        <w:t>: In context of governance there seems to be a highest gap between the ESG Expectation and the ESG Adaptation this clearly reflect that food processing MSME’s lacks in transparency and overall trust issue of the customers.</w:t>
      </w:r>
    </w:p>
    <w:p w14:paraId="61C4AD61" w14:textId="77777777" w:rsidR="00807A9E" w:rsidRDefault="00807A9E" w:rsidP="0060483E">
      <w:pPr>
        <w:pStyle w:val="ListParagraph"/>
        <w:numPr>
          <w:ilvl w:val="0"/>
          <w:numId w:val="6"/>
        </w:numPr>
        <w:spacing w:line="360" w:lineRule="auto"/>
        <w:jc w:val="both"/>
      </w:pPr>
      <w:r>
        <w:rPr>
          <w:b/>
          <w:bCs/>
        </w:rPr>
        <w:t>Highest Expectation Area</w:t>
      </w:r>
      <w:r w:rsidRPr="00807A9E">
        <w:t>:</w:t>
      </w:r>
      <w:r>
        <w:t xml:space="preserve"> In context of packaging highest expectation score is observed this clearly reflects that consumer perception in context of sustainable packaging is most dominant. In the same case if we compare it with the adaptation a gap though smaller but exists this represent that the food processing industries are well aware of consumer perception regarding sustainable packaging hence they are working upon the issue to reduce the gap size.</w:t>
      </w:r>
    </w:p>
    <w:p w14:paraId="12998BF4" w14:textId="33C39E7A" w:rsidR="00C06ED0" w:rsidRDefault="00807A9E" w:rsidP="0060483E">
      <w:pPr>
        <w:pStyle w:val="ListParagraph"/>
        <w:numPr>
          <w:ilvl w:val="0"/>
          <w:numId w:val="6"/>
        </w:numPr>
        <w:spacing w:line="360" w:lineRule="auto"/>
        <w:jc w:val="both"/>
      </w:pPr>
      <w:r>
        <w:rPr>
          <w:b/>
          <w:bCs/>
        </w:rPr>
        <w:t>Operational Gap Area</w:t>
      </w:r>
      <w:r w:rsidRPr="00807A9E">
        <w:t>:</w:t>
      </w:r>
      <w:r>
        <w:t xml:space="preserve"> In context of waste management practice we can observe a gap of 0.1070 this reflect consumer though expect </w:t>
      </w:r>
      <w:r w:rsidR="00C06ED0">
        <w:t>better waste handling measures from the food processing industries than they are currently adopting but gap seems to be marginal and through strategy implementation this gap can be easily covered up.</w:t>
      </w:r>
    </w:p>
    <w:p w14:paraId="75233421" w14:textId="77777777" w:rsidR="00C06ED0" w:rsidRDefault="00C06ED0" w:rsidP="0060483E">
      <w:pPr>
        <w:pStyle w:val="ListParagraph"/>
        <w:numPr>
          <w:ilvl w:val="0"/>
          <w:numId w:val="6"/>
        </w:numPr>
        <w:spacing w:line="360" w:lineRule="auto"/>
        <w:jc w:val="both"/>
      </w:pPr>
      <w:r>
        <w:rPr>
          <w:b/>
          <w:bCs/>
        </w:rPr>
        <w:lastRenderedPageBreak/>
        <w:t>Social Dimension</w:t>
      </w:r>
      <w:r w:rsidRPr="00C06ED0">
        <w:t>:</w:t>
      </w:r>
      <w:r>
        <w:t xml:space="preserve"> In case of Social Dimension we can observe a moderate gap of 0.0845 this reflect that the overall performance is although acceptable but still is below the consumer expectation.</w:t>
      </w:r>
    </w:p>
    <w:p w14:paraId="7E850E90" w14:textId="77777777" w:rsidR="00C06ED0" w:rsidRDefault="00C06ED0" w:rsidP="0060483E">
      <w:pPr>
        <w:pStyle w:val="ListParagraph"/>
        <w:numPr>
          <w:ilvl w:val="0"/>
          <w:numId w:val="6"/>
        </w:numPr>
        <w:spacing w:line="360" w:lineRule="auto"/>
        <w:jc w:val="both"/>
      </w:pPr>
      <w:r>
        <w:rPr>
          <w:b/>
          <w:bCs/>
        </w:rPr>
        <w:t>Environmental Dimension</w:t>
      </w:r>
      <w:r w:rsidR="00807A9E">
        <w:t xml:space="preserve"> </w:t>
      </w:r>
      <w:r w:rsidRPr="00C06ED0">
        <w:rPr>
          <w:b/>
          <w:bCs/>
        </w:rPr>
        <w:t>(Green Area)</w:t>
      </w:r>
      <w:r>
        <w:t>: In context of environment smallest gap is being observed this reflect that in context of environment sustainability food processing industries are well aware of consumer expectation and are working to reduce the expectancy and adaptation barrier.</w:t>
      </w:r>
    </w:p>
    <w:p w14:paraId="2DEE3201" w14:textId="7F284FEA" w:rsidR="00807A9E" w:rsidRDefault="00C06ED0" w:rsidP="0060483E">
      <w:pPr>
        <w:spacing w:line="360" w:lineRule="auto"/>
        <w:jc w:val="both"/>
        <w:rPr>
          <w:b/>
          <w:bCs/>
        </w:rPr>
      </w:pPr>
      <w:r w:rsidRPr="00C06ED0">
        <w:rPr>
          <w:b/>
          <w:bCs/>
        </w:rPr>
        <w:t>Paired T Test Analysis</w:t>
      </w:r>
    </w:p>
    <w:p w14:paraId="2A1265E2" w14:textId="797625D6" w:rsidR="00C06ED0" w:rsidRDefault="00C06ED0" w:rsidP="0060483E">
      <w:pPr>
        <w:spacing w:line="360" w:lineRule="auto"/>
        <w:jc w:val="both"/>
      </w:pPr>
      <w:r>
        <w:t>At the last stage of analysis the researcher has used a paired t test the core hypothesis of the research work:</w:t>
      </w:r>
    </w:p>
    <w:p w14:paraId="5D1070E6" w14:textId="3A57F271" w:rsidR="00C06ED0" w:rsidRDefault="00C06ED0" w:rsidP="005800D8">
      <w:pPr>
        <w:tabs>
          <w:tab w:val="left" w:pos="2835"/>
        </w:tabs>
        <w:spacing w:line="360" w:lineRule="auto"/>
        <w:jc w:val="both"/>
        <w:rPr>
          <w:b/>
          <w:bCs/>
        </w:rPr>
      </w:pPr>
      <w:r w:rsidRPr="00C06ED0">
        <w:rPr>
          <w:b/>
          <w:bCs/>
        </w:rPr>
        <w:t>Core Hypothes</w:t>
      </w:r>
      <w:r w:rsidR="005800D8">
        <w:rPr>
          <w:b/>
          <w:bCs/>
        </w:rPr>
        <w:t>e</w:t>
      </w:r>
      <w:r w:rsidRPr="00C06ED0">
        <w:rPr>
          <w:b/>
          <w:bCs/>
        </w:rPr>
        <w:t>s</w:t>
      </w:r>
    </w:p>
    <w:p w14:paraId="4560B794" w14:textId="115FD817" w:rsidR="005800D8" w:rsidRPr="00D30213" w:rsidRDefault="00C06ED0" w:rsidP="005800D8">
      <w:pPr>
        <w:pStyle w:val="ListParagraph"/>
        <w:numPr>
          <w:ilvl w:val="0"/>
          <w:numId w:val="6"/>
        </w:numPr>
        <w:spacing w:line="360" w:lineRule="auto"/>
        <w:jc w:val="both"/>
        <w:rPr>
          <w:rFonts w:cs="Times New Roman"/>
        </w:rPr>
      </w:pPr>
      <w:r w:rsidRPr="005800D8">
        <w:rPr>
          <w:rFonts w:cs="Times New Roman"/>
        </w:rPr>
        <w:t>H</w:t>
      </w:r>
      <w:r w:rsidRPr="005800D8">
        <w:rPr>
          <w:rFonts w:cs="Times New Roman"/>
          <w:vertAlign w:val="subscript"/>
        </w:rPr>
        <w:t xml:space="preserve">0 </w:t>
      </w:r>
      <w:r w:rsidRPr="005800D8">
        <w:rPr>
          <w:rFonts w:cs="Times New Roman"/>
        </w:rPr>
        <w:t xml:space="preserve">(Null): </w:t>
      </w:r>
      <w:r w:rsidR="005800D8" w:rsidRPr="00D30213">
        <w:rPr>
          <w:rFonts w:cs="Times New Roman"/>
          <w:i/>
          <w:iCs/>
        </w:rPr>
        <w:t>There is no significant gap between the consumer expectation and perceived adaptation of ESG practices in the food sector MSMEs of Uttar Pradesh.</w:t>
      </w:r>
    </w:p>
    <w:p w14:paraId="0D2FD3C7" w14:textId="5AFE3026" w:rsidR="005800D8" w:rsidRPr="00D30213" w:rsidRDefault="00C06ED0" w:rsidP="005800D8">
      <w:pPr>
        <w:pStyle w:val="ListParagraph"/>
        <w:numPr>
          <w:ilvl w:val="0"/>
          <w:numId w:val="6"/>
        </w:numPr>
        <w:spacing w:line="360" w:lineRule="auto"/>
        <w:jc w:val="both"/>
        <w:rPr>
          <w:rFonts w:cs="Times New Roman"/>
        </w:rPr>
      </w:pPr>
      <w:r w:rsidRPr="005800D8">
        <w:rPr>
          <w:rFonts w:cs="Times New Roman"/>
        </w:rPr>
        <w:t>H</w:t>
      </w:r>
      <w:r w:rsidRPr="005800D8">
        <w:rPr>
          <w:rFonts w:cs="Times New Roman"/>
          <w:vertAlign w:val="subscript"/>
        </w:rPr>
        <w:t xml:space="preserve">1 </w:t>
      </w:r>
      <w:r w:rsidRPr="005800D8">
        <w:rPr>
          <w:rFonts w:cs="Times New Roman"/>
        </w:rPr>
        <w:t xml:space="preserve">(Alter): </w:t>
      </w:r>
      <w:r w:rsidR="005800D8" w:rsidRPr="00D30213">
        <w:rPr>
          <w:rFonts w:cs="Times New Roman"/>
          <w:i/>
          <w:iCs/>
        </w:rPr>
        <w:t xml:space="preserve">There is </w:t>
      </w:r>
      <w:r w:rsidR="005800D8">
        <w:rPr>
          <w:rFonts w:cs="Times New Roman"/>
          <w:i/>
          <w:iCs/>
        </w:rPr>
        <w:t>a</w:t>
      </w:r>
      <w:r w:rsidR="005800D8" w:rsidRPr="00D30213">
        <w:rPr>
          <w:rFonts w:cs="Times New Roman"/>
          <w:i/>
          <w:iCs/>
        </w:rPr>
        <w:t xml:space="preserve"> significant gap between the consumer expectation and perceived adaptation of ESG practices in the food sector MSMEs of Uttar Pradesh.</w:t>
      </w:r>
    </w:p>
    <w:p w14:paraId="47758A4D" w14:textId="25B6FC19" w:rsidR="00C06ED0" w:rsidRPr="005800D8" w:rsidRDefault="00C06ED0" w:rsidP="005800D8">
      <w:pPr>
        <w:spacing w:line="360" w:lineRule="auto"/>
        <w:ind w:left="360"/>
        <w:jc w:val="both"/>
        <w:rPr>
          <w:b/>
          <w:bCs/>
        </w:rPr>
      </w:pPr>
      <w:r w:rsidRPr="005800D8">
        <w:rPr>
          <w:b/>
          <w:bCs/>
        </w:rPr>
        <w:t>Sub Hypothes</w:t>
      </w:r>
      <w:r w:rsidR="005800D8">
        <w:rPr>
          <w:b/>
          <w:bCs/>
        </w:rPr>
        <w:t>e</w:t>
      </w:r>
      <w:r w:rsidRPr="005800D8">
        <w:rPr>
          <w:b/>
          <w:bCs/>
        </w:rPr>
        <w:t xml:space="preserve">s </w:t>
      </w:r>
    </w:p>
    <w:p w14:paraId="3D87FA0B" w14:textId="3F447736" w:rsidR="00EA5F52" w:rsidRPr="00EA5F52" w:rsidRDefault="00C06ED0" w:rsidP="0060483E">
      <w:pPr>
        <w:pStyle w:val="ListParagraph"/>
        <w:numPr>
          <w:ilvl w:val="0"/>
          <w:numId w:val="6"/>
        </w:numPr>
        <w:spacing w:line="360" w:lineRule="auto"/>
        <w:jc w:val="both"/>
        <w:rPr>
          <w:i/>
          <w:iCs/>
        </w:rPr>
      </w:pPr>
      <w:r>
        <w:rPr>
          <w:b/>
          <w:bCs/>
        </w:rPr>
        <w:t>H</w:t>
      </w:r>
      <w:r w:rsidRPr="00C06ED0">
        <w:rPr>
          <w:b/>
          <w:bCs/>
          <w:vertAlign w:val="subscript"/>
        </w:rPr>
        <w:t>1</w:t>
      </w:r>
      <w:r>
        <w:rPr>
          <w:b/>
          <w:bCs/>
        </w:rPr>
        <w:t xml:space="preserve">: </w:t>
      </w:r>
      <w:r w:rsidRPr="00EA5F52">
        <w:rPr>
          <w:i/>
          <w:iCs/>
        </w:rPr>
        <w:t xml:space="preserve">There is a </w:t>
      </w:r>
      <w:r w:rsidR="00EA5F52" w:rsidRPr="00EA5F52">
        <w:rPr>
          <w:i/>
          <w:iCs/>
        </w:rPr>
        <w:t>s</w:t>
      </w:r>
      <w:r w:rsidRPr="00EA5F52">
        <w:rPr>
          <w:i/>
          <w:iCs/>
        </w:rPr>
        <w:t xml:space="preserve">ignificant difference in the mean value of </w:t>
      </w:r>
      <w:r w:rsidR="00EA5F52" w:rsidRPr="00EA5F52">
        <w:rPr>
          <w:i/>
          <w:iCs/>
        </w:rPr>
        <w:t>Overall CEI and CAI.</w:t>
      </w:r>
    </w:p>
    <w:p w14:paraId="5A13725E" w14:textId="52E218C8" w:rsidR="00EA5F52" w:rsidRDefault="00EA5F52" w:rsidP="0060483E">
      <w:pPr>
        <w:pStyle w:val="ListParagraph"/>
        <w:numPr>
          <w:ilvl w:val="0"/>
          <w:numId w:val="6"/>
        </w:numPr>
        <w:spacing w:line="360" w:lineRule="auto"/>
        <w:jc w:val="both"/>
        <w:rPr>
          <w:b/>
          <w:bCs/>
        </w:rPr>
      </w:pPr>
      <w:r>
        <w:rPr>
          <w:b/>
          <w:bCs/>
        </w:rPr>
        <w:t>H</w:t>
      </w:r>
      <w:r w:rsidRPr="00EA5F52">
        <w:rPr>
          <w:b/>
          <w:bCs/>
          <w:vertAlign w:val="subscript"/>
        </w:rPr>
        <w:t>2</w:t>
      </w:r>
      <w:r>
        <w:rPr>
          <w:b/>
          <w:bCs/>
        </w:rPr>
        <w:t xml:space="preserve">: </w:t>
      </w:r>
      <w:r w:rsidRPr="00EA5F52">
        <w:rPr>
          <w:i/>
          <w:iCs/>
        </w:rPr>
        <w:t>There is a significant difference in the mean value of environmental expectation index and environmental adaptation Index.</w:t>
      </w:r>
      <w:r>
        <w:rPr>
          <w:b/>
          <w:bCs/>
        </w:rPr>
        <w:t xml:space="preserve"> </w:t>
      </w:r>
    </w:p>
    <w:p w14:paraId="3893456B" w14:textId="18ADE411" w:rsidR="00C06ED0" w:rsidRPr="00EA5F52" w:rsidRDefault="00EA5F52" w:rsidP="0060483E">
      <w:pPr>
        <w:pStyle w:val="ListParagraph"/>
        <w:numPr>
          <w:ilvl w:val="0"/>
          <w:numId w:val="6"/>
        </w:numPr>
        <w:spacing w:line="360" w:lineRule="auto"/>
        <w:jc w:val="both"/>
      </w:pPr>
      <w:r>
        <w:rPr>
          <w:b/>
          <w:bCs/>
        </w:rPr>
        <w:t>H</w:t>
      </w:r>
      <w:r w:rsidRPr="00EA5F52">
        <w:rPr>
          <w:b/>
          <w:bCs/>
          <w:vertAlign w:val="subscript"/>
        </w:rPr>
        <w:t>3</w:t>
      </w:r>
      <w:r>
        <w:rPr>
          <w:b/>
          <w:bCs/>
        </w:rPr>
        <w:t xml:space="preserve">: </w:t>
      </w:r>
      <w:r w:rsidRPr="00EA5F52">
        <w:rPr>
          <w:i/>
          <w:iCs/>
        </w:rPr>
        <w:t>There is a significant difference in the mean value of social expectation index and social adaptation Index.</w:t>
      </w:r>
    </w:p>
    <w:p w14:paraId="30697988" w14:textId="5895B902" w:rsidR="00EA5F52" w:rsidRDefault="00EA5F52" w:rsidP="0060483E">
      <w:pPr>
        <w:pStyle w:val="ListParagraph"/>
        <w:numPr>
          <w:ilvl w:val="0"/>
          <w:numId w:val="6"/>
        </w:numPr>
        <w:spacing w:line="360" w:lineRule="auto"/>
        <w:jc w:val="both"/>
        <w:rPr>
          <w:b/>
          <w:bCs/>
        </w:rPr>
      </w:pPr>
      <w:r>
        <w:rPr>
          <w:b/>
          <w:bCs/>
        </w:rPr>
        <w:t>H</w:t>
      </w:r>
      <w:r w:rsidRPr="00EA5F52">
        <w:rPr>
          <w:b/>
          <w:bCs/>
          <w:vertAlign w:val="subscript"/>
        </w:rPr>
        <w:t>4</w:t>
      </w:r>
      <w:r>
        <w:rPr>
          <w:b/>
          <w:bCs/>
        </w:rPr>
        <w:t xml:space="preserve">: </w:t>
      </w:r>
      <w:r w:rsidRPr="00EA5F52">
        <w:rPr>
          <w:i/>
          <w:iCs/>
        </w:rPr>
        <w:t>There is a significant difference in the mean value of governance expectation index and governance adaptation Index.</w:t>
      </w:r>
    </w:p>
    <w:p w14:paraId="45DFBD28" w14:textId="316A60CC" w:rsidR="00EA5F52" w:rsidRDefault="00EA5F52" w:rsidP="0060483E">
      <w:pPr>
        <w:pStyle w:val="ListParagraph"/>
        <w:numPr>
          <w:ilvl w:val="0"/>
          <w:numId w:val="6"/>
        </w:numPr>
        <w:spacing w:line="360" w:lineRule="auto"/>
        <w:jc w:val="both"/>
        <w:rPr>
          <w:b/>
          <w:bCs/>
        </w:rPr>
      </w:pPr>
      <w:r>
        <w:rPr>
          <w:b/>
          <w:bCs/>
        </w:rPr>
        <w:t>H</w:t>
      </w:r>
      <w:r w:rsidRPr="00EA5F52">
        <w:rPr>
          <w:b/>
          <w:bCs/>
          <w:vertAlign w:val="subscript"/>
        </w:rPr>
        <w:t>5</w:t>
      </w:r>
      <w:r>
        <w:rPr>
          <w:b/>
          <w:bCs/>
        </w:rPr>
        <w:t xml:space="preserve">: </w:t>
      </w:r>
      <w:r w:rsidRPr="00EA5F52">
        <w:rPr>
          <w:i/>
          <w:iCs/>
        </w:rPr>
        <w:t>There is a significant difference in the mean value of waste management expectation index and waste management adaptation Index.</w:t>
      </w:r>
    </w:p>
    <w:p w14:paraId="654C8A09" w14:textId="5D1B067A" w:rsidR="00EA5F52" w:rsidRPr="005800D8" w:rsidRDefault="00EA5F52" w:rsidP="0060483E">
      <w:pPr>
        <w:pStyle w:val="ListParagraph"/>
        <w:numPr>
          <w:ilvl w:val="0"/>
          <w:numId w:val="6"/>
        </w:numPr>
        <w:spacing w:line="360" w:lineRule="auto"/>
        <w:jc w:val="both"/>
        <w:rPr>
          <w:b/>
          <w:bCs/>
        </w:rPr>
      </w:pPr>
      <w:r>
        <w:rPr>
          <w:b/>
          <w:bCs/>
        </w:rPr>
        <w:t>H</w:t>
      </w:r>
      <w:r w:rsidRPr="00EA5F52">
        <w:rPr>
          <w:b/>
          <w:bCs/>
          <w:vertAlign w:val="subscript"/>
        </w:rPr>
        <w:t>6</w:t>
      </w:r>
      <w:r>
        <w:rPr>
          <w:b/>
          <w:bCs/>
        </w:rPr>
        <w:t xml:space="preserve">: </w:t>
      </w:r>
      <w:r w:rsidRPr="00EA5F52">
        <w:rPr>
          <w:i/>
          <w:iCs/>
        </w:rPr>
        <w:t>There is a significant difference in the mean value of packaging expectation index and packaging adaptation Index.</w:t>
      </w:r>
    </w:p>
    <w:p w14:paraId="289EC693" w14:textId="77777777" w:rsidR="005800D8" w:rsidRPr="00EA5F52" w:rsidRDefault="005800D8" w:rsidP="005800D8">
      <w:pPr>
        <w:pStyle w:val="ListParagraph"/>
        <w:spacing w:line="360" w:lineRule="auto"/>
        <w:jc w:val="both"/>
        <w:rPr>
          <w:b/>
          <w:bCs/>
        </w:rPr>
      </w:pPr>
    </w:p>
    <w:p w14:paraId="1B449E6D" w14:textId="40BB5DE5" w:rsidR="00EA5F52" w:rsidRDefault="00EA5F52" w:rsidP="00D76100">
      <w:pPr>
        <w:spacing w:line="360" w:lineRule="auto"/>
        <w:jc w:val="center"/>
        <w:rPr>
          <w:b/>
          <w:bCs/>
        </w:rPr>
      </w:pPr>
      <w:r>
        <w:rPr>
          <w:b/>
          <w:bCs/>
        </w:rPr>
        <w:lastRenderedPageBreak/>
        <w:t>Table 4.6 Summary Table of Paired T Test Result</w:t>
      </w:r>
    </w:p>
    <w:tbl>
      <w:tblPr>
        <w:tblW w:w="10131" w:type="dxa"/>
        <w:tblLook w:val="04A0" w:firstRow="1" w:lastRow="0" w:firstColumn="1" w:lastColumn="0" w:noHBand="0" w:noVBand="1"/>
      </w:tblPr>
      <w:tblGrid>
        <w:gridCol w:w="1686"/>
        <w:gridCol w:w="1513"/>
        <w:gridCol w:w="1691"/>
        <w:gridCol w:w="1602"/>
        <w:gridCol w:w="1423"/>
        <w:gridCol w:w="2216"/>
      </w:tblGrid>
      <w:tr w:rsidR="00D76100" w:rsidRPr="00D76100" w14:paraId="747165F5" w14:textId="77777777" w:rsidTr="009365EB">
        <w:trPr>
          <w:trHeight w:val="232"/>
        </w:trPr>
        <w:tc>
          <w:tcPr>
            <w:tcW w:w="1686" w:type="dxa"/>
            <w:tcBorders>
              <w:top w:val="single" w:sz="4" w:space="0" w:color="auto"/>
              <w:left w:val="single" w:sz="4" w:space="0" w:color="auto"/>
              <w:bottom w:val="single" w:sz="4" w:space="0" w:color="auto"/>
              <w:right w:val="single" w:sz="4" w:space="0" w:color="auto"/>
            </w:tcBorders>
            <w:noWrap/>
            <w:vAlign w:val="center"/>
            <w:hideMark/>
          </w:tcPr>
          <w:p w14:paraId="4AF39EFF" w14:textId="77777777"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Dimension</w:t>
            </w:r>
          </w:p>
        </w:tc>
        <w:tc>
          <w:tcPr>
            <w:tcW w:w="1513" w:type="dxa"/>
            <w:tcBorders>
              <w:top w:val="single" w:sz="4" w:space="0" w:color="auto"/>
              <w:left w:val="nil"/>
              <w:bottom w:val="single" w:sz="4" w:space="0" w:color="auto"/>
              <w:right w:val="single" w:sz="4" w:space="0" w:color="auto"/>
            </w:tcBorders>
            <w:noWrap/>
            <w:vAlign w:val="center"/>
            <w:hideMark/>
          </w:tcPr>
          <w:p w14:paraId="7F278109" w14:textId="77777777"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Mean Gap</w:t>
            </w:r>
          </w:p>
        </w:tc>
        <w:tc>
          <w:tcPr>
            <w:tcW w:w="1691" w:type="dxa"/>
            <w:tcBorders>
              <w:top w:val="single" w:sz="4" w:space="0" w:color="auto"/>
              <w:left w:val="nil"/>
              <w:bottom w:val="single" w:sz="4" w:space="0" w:color="auto"/>
              <w:right w:val="single" w:sz="4" w:space="0" w:color="auto"/>
            </w:tcBorders>
            <w:noWrap/>
            <w:vAlign w:val="center"/>
            <w:hideMark/>
          </w:tcPr>
          <w:p w14:paraId="298E45C2" w14:textId="77777777"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t- Value</w:t>
            </w:r>
          </w:p>
        </w:tc>
        <w:tc>
          <w:tcPr>
            <w:tcW w:w="1602" w:type="dxa"/>
            <w:tcBorders>
              <w:top w:val="single" w:sz="4" w:space="0" w:color="auto"/>
              <w:left w:val="nil"/>
              <w:bottom w:val="single" w:sz="4" w:space="0" w:color="auto"/>
              <w:right w:val="single" w:sz="4" w:space="0" w:color="auto"/>
            </w:tcBorders>
            <w:noWrap/>
            <w:vAlign w:val="center"/>
            <w:hideMark/>
          </w:tcPr>
          <w:p w14:paraId="5216F752" w14:textId="77777777"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t- Critical two tail</w:t>
            </w:r>
          </w:p>
        </w:tc>
        <w:tc>
          <w:tcPr>
            <w:tcW w:w="1423" w:type="dxa"/>
            <w:tcBorders>
              <w:top w:val="single" w:sz="4" w:space="0" w:color="auto"/>
              <w:left w:val="nil"/>
              <w:bottom w:val="single" w:sz="4" w:space="0" w:color="auto"/>
              <w:right w:val="single" w:sz="4" w:space="0" w:color="auto"/>
            </w:tcBorders>
            <w:noWrap/>
            <w:vAlign w:val="center"/>
            <w:hideMark/>
          </w:tcPr>
          <w:p w14:paraId="561AE871" w14:textId="77777777"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p- Value two tail</w:t>
            </w:r>
          </w:p>
        </w:tc>
        <w:tc>
          <w:tcPr>
            <w:tcW w:w="2216" w:type="dxa"/>
            <w:tcBorders>
              <w:top w:val="single" w:sz="4" w:space="0" w:color="auto"/>
              <w:left w:val="nil"/>
              <w:bottom w:val="single" w:sz="4" w:space="0" w:color="auto"/>
              <w:right w:val="single" w:sz="4" w:space="0" w:color="auto"/>
            </w:tcBorders>
            <w:noWrap/>
            <w:vAlign w:val="center"/>
            <w:hideMark/>
          </w:tcPr>
          <w:p w14:paraId="61542737" w14:textId="77777777"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Result</w:t>
            </w:r>
          </w:p>
        </w:tc>
      </w:tr>
      <w:tr w:rsidR="00D76100" w:rsidRPr="00D76100" w14:paraId="31F7867A" w14:textId="77777777" w:rsidTr="009365EB">
        <w:trPr>
          <w:trHeight w:val="232"/>
        </w:trPr>
        <w:tc>
          <w:tcPr>
            <w:tcW w:w="1686" w:type="dxa"/>
            <w:tcBorders>
              <w:top w:val="nil"/>
              <w:left w:val="single" w:sz="4" w:space="0" w:color="auto"/>
              <w:bottom w:val="single" w:sz="4" w:space="0" w:color="auto"/>
              <w:right w:val="single" w:sz="4" w:space="0" w:color="auto"/>
            </w:tcBorders>
            <w:noWrap/>
            <w:vAlign w:val="center"/>
            <w:hideMark/>
          </w:tcPr>
          <w:p w14:paraId="3D61674F" w14:textId="5423CD8F"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Environment</w:t>
            </w:r>
          </w:p>
        </w:tc>
        <w:tc>
          <w:tcPr>
            <w:tcW w:w="1513" w:type="dxa"/>
            <w:tcBorders>
              <w:top w:val="nil"/>
              <w:left w:val="nil"/>
              <w:bottom w:val="single" w:sz="4" w:space="0" w:color="auto"/>
              <w:right w:val="single" w:sz="4" w:space="0" w:color="auto"/>
            </w:tcBorders>
            <w:noWrap/>
            <w:vAlign w:val="center"/>
            <w:hideMark/>
          </w:tcPr>
          <w:p w14:paraId="5CC50C8D"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0.0402</w:t>
            </w:r>
          </w:p>
        </w:tc>
        <w:tc>
          <w:tcPr>
            <w:tcW w:w="1691" w:type="dxa"/>
            <w:tcBorders>
              <w:top w:val="nil"/>
              <w:left w:val="nil"/>
              <w:bottom w:val="single" w:sz="4" w:space="0" w:color="auto"/>
              <w:right w:val="single" w:sz="4" w:space="0" w:color="auto"/>
            </w:tcBorders>
            <w:noWrap/>
            <w:vAlign w:val="center"/>
            <w:hideMark/>
          </w:tcPr>
          <w:p w14:paraId="0E7F68AC"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1.0794</w:t>
            </w:r>
          </w:p>
        </w:tc>
        <w:tc>
          <w:tcPr>
            <w:tcW w:w="1602" w:type="dxa"/>
            <w:tcBorders>
              <w:top w:val="nil"/>
              <w:left w:val="nil"/>
              <w:bottom w:val="single" w:sz="4" w:space="0" w:color="auto"/>
              <w:right w:val="single" w:sz="4" w:space="0" w:color="auto"/>
            </w:tcBorders>
            <w:noWrap/>
            <w:vAlign w:val="center"/>
            <w:hideMark/>
          </w:tcPr>
          <w:p w14:paraId="48DF5418"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1.9708</w:t>
            </w:r>
          </w:p>
        </w:tc>
        <w:tc>
          <w:tcPr>
            <w:tcW w:w="1423" w:type="dxa"/>
            <w:tcBorders>
              <w:top w:val="nil"/>
              <w:left w:val="nil"/>
              <w:bottom w:val="single" w:sz="4" w:space="0" w:color="auto"/>
              <w:right w:val="single" w:sz="4" w:space="0" w:color="auto"/>
            </w:tcBorders>
            <w:noWrap/>
            <w:vAlign w:val="center"/>
            <w:hideMark/>
          </w:tcPr>
          <w:p w14:paraId="3AA9ECBE"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0.2816</w:t>
            </w:r>
          </w:p>
        </w:tc>
        <w:tc>
          <w:tcPr>
            <w:tcW w:w="2216" w:type="dxa"/>
            <w:tcBorders>
              <w:top w:val="nil"/>
              <w:left w:val="nil"/>
              <w:bottom w:val="single" w:sz="4" w:space="0" w:color="auto"/>
              <w:right w:val="single" w:sz="4" w:space="0" w:color="auto"/>
            </w:tcBorders>
            <w:noWrap/>
            <w:vAlign w:val="center"/>
            <w:hideMark/>
          </w:tcPr>
          <w:p w14:paraId="23EC0E91" w14:textId="77777777"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Not Significant</w:t>
            </w:r>
          </w:p>
        </w:tc>
      </w:tr>
      <w:tr w:rsidR="00D76100" w:rsidRPr="00D76100" w14:paraId="3E6BFE39" w14:textId="77777777" w:rsidTr="009365EB">
        <w:trPr>
          <w:trHeight w:val="232"/>
        </w:trPr>
        <w:tc>
          <w:tcPr>
            <w:tcW w:w="1686" w:type="dxa"/>
            <w:tcBorders>
              <w:top w:val="nil"/>
              <w:left w:val="single" w:sz="4" w:space="0" w:color="auto"/>
              <w:bottom w:val="single" w:sz="4" w:space="0" w:color="auto"/>
              <w:right w:val="single" w:sz="4" w:space="0" w:color="auto"/>
            </w:tcBorders>
            <w:noWrap/>
            <w:vAlign w:val="center"/>
            <w:hideMark/>
          </w:tcPr>
          <w:p w14:paraId="7FEEB9D4" w14:textId="77777777"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Social</w:t>
            </w:r>
          </w:p>
        </w:tc>
        <w:tc>
          <w:tcPr>
            <w:tcW w:w="1513" w:type="dxa"/>
            <w:tcBorders>
              <w:top w:val="nil"/>
              <w:left w:val="nil"/>
              <w:bottom w:val="single" w:sz="4" w:space="0" w:color="auto"/>
              <w:right w:val="single" w:sz="4" w:space="0" w:color="auto"/>
            </w:tcBorders>
            <w:noWrap/>
            <w:vAlign w:val="center"/>
            <w:hideMark/>
          </w:tcPr>
          <w:p w14:paraId="045BED1C"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0.0845</w:t>
            </w:r>
          </w:p>
        </w:tc>
        <w:tc>
          <w:tcPr>
            <w:tcW w:w="1691" w:type="dxa"/>
            <w:tcBorders>
              <w:top w:val="nil"/>
              <w:left w:val="nil"/>
              <w:bottom w:val="single" w:sz="4" w:space="0" w:color="auto"/>
              <w:right w:val="single" w:sz="4" w:space="0" w:color="auto"/>
            </w:tcBorders>
            <w:noWrap/>
            <w:vAlign w:val="center"/>
            <w:hideMark/>
          </w:tcPr>
          <w:p w14:paraId="55A3FEA6"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2.4325</w:t>
            </w:r>
          </w:p>
        </w:tc>
        <w:tc>
          <w:tcPr>
            <w:tcW w:w="1602" w:type="dxa"/>
            <w:tcBorders>
              <w:top w:val="nil"/>
              <w:left w:val="nil"/>
              <w:bottom w:val="single" w:sz="4" w:space="0" w:color="auto"/>
              <w:right w:val="single" w:sz="4" w:space="0" w:color="auto"/>
            </w:tcBorders>
            <w:noWrap/>
            <w:vAlign w:val="center"/>
            <w:hideMark/>
          </w:tcPr>
          <w:p w14:paraId="0F6CF7FB"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1.9708</w:t>
            </w:r>
          </w:p>
        </w:tc>
        <w:tc>
          <w:tcPr>
            <w:tcW w:w="1423" w:type="dxa"/>
            <w:tcBorders>
              <w:top w:val="nil"/>
              <w:left w:val="nil"/>
              <w:bottom w:val="single" w:sz="4" w:space="0" w:color="auto"/>
              <w:right w:val="single" w:sz="4" w:space="0" w:color="auto"/>
            </w:tcBorders>
            <w:noWrap/>
            <w:vAlign w:val="center"/>
            <w:hideMark/>
          </w:tcPr>
          <w:p w14:paraId="62720B35"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0.0158</w:t>
            </w:r>
          </w:p>
        </w:tc>
        <w:tc>
          <w:tcPr>
            <w:tcW w:w="2216" w:type="dxa"/>
            <w:tcBorders>
              <w:top w:val="nil"/>
              <w:left w:val="nil"/>
              <w:bottom w:val="single" w:sz="4" w:space="0" w:color="auto"/>
              <w:right w:val="single" w:sz="4" w:space="0" w:color="auto"/>
            </w:tcBorders>
            <w:noWrap/>
            <w:vAlign w:val="center"/>
            <w:hideMark/>
          </w:tcPr>
          <w:p w14:paraId="4C24E4D8" w14:textId="77777777"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Significant</w:t>
            </w:r>
          </w:p>
        </w:tc>
      </w:tr>
      <w:tr w:rsidR="00D76100" w:rsidRPr="00D76100" w14:paraId="7F969357" w14:textId="77777777" w:rsidTr="009365EB">
        <w:trPr>
          <w:trHeight w:val="232"/>
        </w:trPr>
        <w:tc>
          <w:tcPr>
            <w:tcW w:w="1686" w:type="dxa"/>
            <w:tcBorders>
              <w:top w:val="nil"/>
              <w:left w:val="single" w:sz="4" w:space="0" w:color="auto"/>
              <w:bottom w:val="single" w:sz="4" w:space="0" w:color="auto"/>
              <w:right w:val="single" w:sz="4" w:space="0" w:color="auto"/>
            </w:tcBorders>
            <w:noWrap/>
            <w:vAlign w:val="center"/>
            <w:hideMark/>
          </w:tcPr>
          <w:p w14:paraId="50049CAF" w14:textId="77777777"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Governance</w:t>
            </w:r>
          </w:p>
        </w:tc>
        <w:tc>
          <w:tcPr>
            <w:tcW w:w="1513" w:type="dxa"/>
            <w:tcBorders>
              <w:top w:val="nil"/>
              <w:left w:val="nil"/>
              <w:bottom w:val="single" w:sz="4" w:space="0" w:color="auto"/>
              <w:right w:val="single" w:sz="4" w:space="0" w:color="auto"/>
            </w:tcBorders>
            <w:noWrap/>
            <w:vAlign w:val="center"/>
            <w:hideMark/>
          </w:tcPr>
          <w:p w14:paraId="5BFBC675"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0.1926</w:t>
            </w:r>
          </w:p>
        </w:tc>
        <w:tc>
          <w:tcPr>
            <w:tcW w:w="1691" w:type="dxa"/>
            <w:tcBorders>
              <w:top w:val="nil"/>
              <w:left w:val="nil"/>
              <w:bottom w:val="single" w:sz="4" w:space="0" w:color="auto"/>
              <w:right w:val="single" w:sz="4" w:space="0" w:color="auto"/>
            </w:tcBorders>
            <w:noWrap/>
            <w:vAlign w:val="center"/>
            <w:hideMark/>
          </w:tcPr>
          <w:p w14:paraId="64F94B05"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5.1129</w:t>
            </w:r>
          </w:p>
        </w:tc>
        <w:tc>
          <w:tcPr>
            <w:tcW w:w="1602" w:type="dxa"/>
            <w:tcBorders>
              <w:top w:val="nil"/>
              <w:left w:val="nil"/>
              <w:bottom w:val="single" w:sz="4" w:space="0" w:color="auto"/>
              <w:right w:val="single" w:sz="4" w:space="0" w:color="auto"/>
            </w:tcBorders>
            <w:noWrap/>
            <w:vAlign w:val="center"/>
            <w:hideMark/>
          </w:tcPr>
          <w:p w14:paraId="4ABFFAD3"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1.9708</w:t>
            </w:r>
          </w:p>
        </w:tc>
        <w:tc>
          <w:tcPr>
            <w:tcW w:w="1423" w:type="dxa"/>
            <w:tcBorders>
              <w:top w:val="nil"/>
              <w:left w:val="nil"/>
              <w:bottom w:val="single" w:sz="4" w:space="0" w:color="auto"/>
              <w:right w:val="single" w:sz="4" w:space="0" w:color="auto"/>
            </w:tcBorders>
            <w:noWrap/>
            <w:vAlign w:val="center"/>
            <w:hideMark/>
          </w:tcPr>
          <w:p w14:paraId="42063BBB"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0.0000</w:t>
            </w:r>
          </w:p>
        </w:tc>
        <w:tc>
          <w:tcPr>
            <w:tcW w:w="2216" w:type="dxa"/>
            <w:tcBorders>
              <w:top w:val="nil"/>
              <w:left w:val="nil"/>
              <w:bottom w:val="single" w:sz="4" w:space="0" w:color="auto"/>
              <w:right w:val="single" w:sz="4" w:space="0" w:color="auto"/>
            </w:tcBorders>
            <w:noWrap/>
            <w:vAlign w:val="center"/>
            <w:hideMark/>
          </w:tcPr>
          <w:p w14:paraId="042E4EED" w14:textId="77777777"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Significant</w:t>
            </w:r>
          </w:p>
        </w:tc>
      </w:tr>
      <w:tr w:rsidR="00D76100" w:rsidRPr="00D76100" w14:paraId="77976D72" w14:textId="77777777" w:rsidTr="009365EB">
        <w:trPr>
          <w:trHeight w:val="232"/>
        </w:trPr>
        <w:tc>
          <w:tcPr>
            <w:tcW w:w="1686" w:type="dxa"/>
            <w:tcBorders>
              <w:top w:val="nil"/>
              <w:left w:val="single" w:sz="4" w:space="0" w:color="auto"/>
              <w:bottom w:val="single" w:sz="4" w:space="0" w:color="auto"/>
              <w:right w:val="single" w:sz="4" w:space="0" w:color="auto"/>
            </w:tcBorders>
            <w:noWrap/>
            <w:vAlign w:val="center"/>
            <w:hideMark/>
          </w:tcPr>
          <w:p w14:paraId="4E9F681E" w14:textId="77777777"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Waste Management</w:t>
            </w:r>
          </w:p>
        </w:tc>
        <w:tc>
          <w:tcPr>
            <w:tcW w:w="1513" w:type="dxa"/>
            <w:tcBorders>
              <w:top w:val="nil"/>
              <w:left w:val="nil"/>
              <w:bottom w:val="single" w:sz="4" w:space="0" w:color="auto"/>
              <w:right w:val="single" w:sz="4" w:space="0" w:color="auto"/>
            </w:tcBorders>
            <w:noWrap/>
            <w:vAlign w:val="center"/>
            <w:hideMark/>
          </w:tcPr>
          <w:p w14:paraId="546A15F2"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0.1070</w:t>
            </w:r>
          </w:p>
        </w:tc>
        <w:tc>
          <w:tcPr>
            <w:tcW w:w="1691" w:type="dxa"/>
            <w:tcBorders>
              <w:top w:val="nil"/>
              <w:left w:val="nil"/>
              <w:bottom w:val="single" w:sz="4" w:space="0" w:color="auto"/>
              <w:right w:val="single" w:sz="4" w:space="0" w:color="auto"/>
            </w:tcBorders>
            <w:noWrap/>
            <w:vAlign w:val="center"/>
            <w:hideMark/>
          </w:tcPr>
          <w:p w14:paraId="04D8D6F5"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2.8563</w:t>
            </w:r>
          </w:p>
        </w:tc>
        <w:tc>
          <w:tcPr>
            <w:tcW w:w="1602" w:type="dxa"/>
            <w:tcBorders>
              <w:top w:val="nil"/>
              <w:left w:val="nil"/>
              <w:bottom w:val="single" w:sz="4" w:space="0" w:color="auto"/>
              <w:right w:val="single" w:sz="4" w:space="0" w:color="auto"/>
            </w:tcBorders>
            <w:noWrap/>
            <w:vAlign w:val="center"/>
            <w:hideMark/>
          </w:tcPr>
          <w:p w14:paraId="0DBB3A04"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1.9708</w:t>
            </w:r>
          </w:p>
        </w:tc>
        <w:tc>
          <w:tcPr>
            <w:tcW w:w="1423" w:type="dxa"/>
            <w:tcBorders>
              <w:top w:val="nil"/>
              <w:left w:val="nil"/>
              <w:bottom w:val="single" w:sz="4" w:space="0" w:color="auto"/>
              <w:right w:val="single" w:sz="4" w:space="0" w:color="auto"/>
            </w:tcBorders>
            <w:noWrap/>
            <w:vAlign w:val="center"/>
            <w:hideMark/>
          </w:tcPr>
          <w:p w14:paraId="62AD6A17"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0.0047</w:t>
            </w:r>
          </w:p>
        </w:tc>
        <w:tc>
          <w:tcPr>
            <w:tcW w:w="2216" w:type="dxa"/>
            <w:tcBorders>
              <w:top w:val="nil"/>
              <w:left w:val="nil"/>
              <w:bottom w:val="single" w:sz="4" w:space="0" w:color="auto"/>
              <w:right w:val="single" w:sz="4" w:space="0" w:color="auto"/>
            </w:tcBorders>
            <w:noWrap/>
            <w:vAlign w:val="center"/>
            <w:hideMark/>
          </w:tcPr>
          <w:p w14:paraId="31CBEEDD" w14:textId="77777777"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Significant</w:t>
            </w:r>
          </w:p>
        </w:tc>
      </w:tr>
      <w:tr w:rsidR="00D76100" w:rsidRPr="00D76100" w14:paraId="393144A1" w14:textId="77777777" w:rsidTr="009365EB">
        <w:trPr>
          <w:trHeight w:val="232"/>
        </w:trPr>
        <w:tc>
          <w:tcPr>
            <w:tcW w:w="1686" w:type="dxa"/>
            <w:tcBorders>
              <w:top w:val="nil"/>
              <w:left w:val="single" w:sz="4" w:space="0" w:color="auto"/>
              <w:bottom w:val="single" w:sz="4" w:space="0" w:color="auto"/>
              <w:right w:val="single" w:sz="4" w:space="0" w:color="auto"/>
            </w:tcBorders>
            <w:noWrap/>
            <w:vAlign w:val="center"/>
            <w:hideMark/>
          </w:tcPr>
          <w:p w14:paraId="074EB477" w14:textId="77777777"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Packaging</w:t>
            </w:r>
          </w:p>
        </w:tc>
        <w:tc>
          <w:tcPr>
            <w:tcW w:w="1513" w:type="dxa"/>
            <w:tcBorders>
              <w:top w:val="nil"/>
              <w:left w:val="nil"/>
              <w:bottom w:val="single" w:sz="4" w:space="0" w:color="auto"/>
              <w:right w:val="single" w:sz="4" w:space="0" w:color="auto"/>
            </w:tcBorders>
            <w:noWrap/>
            <w:vAlign w:val="center"/>
            <w:hideMark/>
          </w:tcPr>
          <w:p w14:paraId="716DEB0E"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0.0890</w:t>
            </w:r>
          </w:p>
        </w:tc>
        <w:tc>
          <w:tcPr>
            <w:tcW w:w="1691" w:type="dxa"/>
            <w:tcBorders>
              <w:top w:val="nil"/>
              <w:left w:val="nil"/>
              <w:bottom w:val="single" w:sz="4" w:space="0" w:color="auto"/>
              <w:right w:val="single" w:sz="4" w:space="0" w:color="auto"/>
            </w:tcBorders>
            <w:noWrap/>
            <w:vAlign w:val="center"/>
            <w:hideMark/>
          </w:tcPr>
          <w:p w14:paraId="20DF7046"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2.3898</w:t>
            </w:r>
          </w:p>
        </w:tc>
        <w:tc>
          <w:tcPr>
            <w:tcW w:w="1602" w:type="dxa"/>
            <w:tcBorders>
              <w:top w:val="nil"/>
              <w:left w:val="nil"/>
              <w:bottom w:val="single" w:sz="4" w:space="0" w:color="auto"/>
              <w:right w:val="single" w:sz="4" w:space="0" w:color="auto"/>
            </w:tcBorders>
            <w:noWrap/>
            <w:vAlign w:val="center"/>
            <w:hideMark/>
          </w:tcPr>
          <w:p w14:paraId="36E2EE65"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1.9708</w:t>
            </w:r>
          </w:p>
        </w:tc>
        <w:tc>
          <w:tcPr>
            <w:tcW w:w="1423" w:type="dxa"/>
            <w:tcBorders>
              <w:top w:val="nil"/>
              <w:left w:val="nil"/>
              <w:bottom w:val="single" w:sz="4" w:space="0" w:color="auto"/>
              <w:right w:val="single" w:sz="4" w:space="0" w:color="auto"/>
            </w:tcBorders>
            <w:noWrap/>
            <w:vAlign w:val="center"/>
            <w:hideMark/>
          </w:tcPr>
          <w:p w14:paraId="3AE05EAD"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0.0177</w:t>
            </w:r>
          </w:p>
        </w:tc>
        <w:tc>
          <w:tcPr>
            <w:tcW w:w="2216" w:type="dxa"/>
            <w:tcBorders>
              <w:top w:val="nil"/>
              <w:left w:val="nil"/>
              <w:bottom w:val="single" w:sz="4" w:space="0" w:color="auto"/>
              <w:right w:val="single" w:sz="4" w:space="0" w:color="auto"/>
            </w:tcBorders>
            <w:noWrap/>
            <w:vAlign w:val="center"/>
            <w:hideMark/>
          </w:tcPr>
          <w:p w14:paraId="4C9CDF59" w14:textId="77777777"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Significant</w:t>
            </w:r>
          </w:p>
        </w:tc>
      </w:tr>
      <w:tr w:rsidR="00D76100" w:rsidRPr="00D76100" w14:paraId="3054A74D" w14:textId="77777777" w:rsidTr="009365EB">
        <w:trPr>
          <w:trHeight w:val="232"/>
        </w:trPr>
        <w:tc>
          <w:tcPr>
            <w:tcW w:w="1686" w:type="dxa"/>
            <w:tcBorders>
              <w:top w:val="nil"/>
              <w:left w:val="single" w:sz="4" w:space="0" w:color="auto"/>
              <w:bottom w:val="single" w:sz="4" w:space="0" w:color="auto"/>
              <w:right w:val="single" w:sz="4" w:space="0" w:color="auto"/>
            </w:tcBorders>
            <w:noWrap/>
            <w:vAlign w:val="center"/>
            <w:hideMark/>
          </w:tcPr>
          <w:p w14:paraId="3222B286" w14:textId="77777777"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overall</w:t>
            </w:r>
          </w:p>
        </w:tc>
        <w:tc>
          <w:tcPr>
            <w:tcW w:w="1513" w:type="dxa"/>
            <w:tcBorders>
              <w:top w:val="nil"/>
              <w:left w:val="nil"/>
              <w:bottom w:val="single" w:sz="4" w:space="0" w:color="auto"/>
              <w:right w:val="single" w:sz="4" w:space="0" w:color="auto"/>
            </w:tcBorders>
            <w:noWrap/>
            <w:vAlign w:val="center"/>
            <w:hideMark/>
          </w:tcPr>
          <w:p w14:paraId="782796F1"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0.0992</w:t>
            </w:r>
          </w:p>
        </w:tc>
        <w:tc>
          <w:tcPr>
            <w:tcW w:w="1691" w:type="dxa"/>
            <w:tcBorders>
              <w:top w:val="nil"/>
              <w:left w:val="nil"/>
              <w:bottom w:val="single" w:sz="4" w:space="0" w:color="auto"/>
              <w:right w:val="single" w:sz="4" w:space="0" w:color="auto"/>
            </w:tcBorders>
            <w:noWrap/>
            <w:vAlign w:val="center"/>
            <w:hideMark/>
          </w:tcPr>
          <w:p w14:paraId="21D69AB5"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3.8797</w:t>
            </w:r>
          </w:p>
        </w:tc>
        <w:tc>
          <w:tcPr>
            <w:tcW w:w="1602" w:type="dxa"/>
            <w:tcBorders>
              <w:top w:val="nil"/>
              <w:left w:val="nil"/>
              <w:bottom w:val="single" w:sz="4" w:space="0" w:color="auto"/>
              <w:right w:val="single" w:sz="4" w:space="0" w:color="auto"/>
            </w:tcBorders>
            <w:noWrap/>
            <w:vAlign w:val="center"/>
            <w:hideMark/>
          </w:tcPr>
          <w:p w14:paraId="40F9CEAC"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1.9708</w:t>
            </w:r>
          </w:p>
        </w:tc>
        <w:tc>
          <w:tcPr>
            <w:tcW w:w="1423" w:type="dxa"/>
            <w:tcBorders>
              <w:top w:val="nil"/>
              <w:left w:val="nil"/>
              <w:bottom w:val="single" w:sz="4" w:space="0" w:color="auto"/>
              <w:right w:val="single" w:sz="4" w:space="0" w:color="auto"/>
            </w:tcBorders>
            <w:noWrap/>
            <w:vAlign w:val="center"/>
            <w:hideMark/>
          </w:tcPr>
          <w:p w14:paraId="4A7A69CF" w14:textId="77777777" w:rsidR="00D76100" w:rsidRPr="00D76100" w:rsidRDefault="00D76100" w:rsidP="00D76100">
            <w:pPr>
              <w:spacing w:after="0" w:line="240" w:lineRule="auto"/>
              <w:jc w:val="center"/>
              <w:rPr>
                <w:rFonts w:eastAsia="Times New Roman" w:cs="Times New Roman"/>
                <w:color w:val="000000"/>
                <w:kern w:val="0"/>
                <w:szCs w:val="24"/>
                <w:lang w:bidi="ar-SA"/>
                <w14:ligatures w14:val="none"/>
              </w:rPr>
            </w:pPr>
            <w:r w:rsidRPr="00D76100">
              <w:rPr>
                <w:rFonts w:eastAsia="Times New Roman" w:cs="Times New Roman"/>
                <w:color w:val="000000"/>
                <w:kern w:val="0"/>
                <w:szCs w:val="24"/>
                <w:lang w:bidi="ar-SA"/>
                <w14:ligatures w14:val="none"/>
              </w:rPr>
              <w:t>0.0001</w:t>
            </w:r>
          </w:p>
        </w:tc>
        <w:tc>
          <w:tcPr>
            <w:tcW w:w="2216" w:type="dxa"/>
            <w:tcBorders>
              <w:top w:val="nil"/>
              <w:left w:val="nil"/>
              <w:bottom w:val="single" w:sz="4" w:space="0" w:color="auto"/>
              <w:right w:val="single" w:sz="4" w:space="0" w:color="auto"/>
            </w:tcBorders>
            <w:noWrap/>
            <w:vAlign w:val="center"/>
            <w:hideMark/>
          </w:tcPr>
          <w:p w14:paraId="553A156C" w14:textId="77777777" w:rsidR="00D76100" w:rsidRPr="00D76100" w:rsidRDefault="00D76100" w:rsidP="00D76100">
            <w:pPr>
              <w:spacing w:after="0" w:line="240" w:lineRule="auto"/>
              <w:jc w:val="center"/>
              <w:rPr>
                <w:rFonts w:eastAsia="Times New Roman" w:cs="Times New Roman"/>
                <w:b/>
                <w:bCs/>
                <w:color w:val="000000"/>
                <w:kern w:val="0"/>
                <w:szCs w:val="24"/>
                <w:lang w:bidi="ar-SA"/>
                <w14:ligatures w14:val="none"/>
              </w:rPr>
            </w:pPr>
            <w:r w:rsidRPr="00D76100">
              <w:rPr>
                <w:rFonts w:eastAsia="Times New Roman" w:cs="Times New Roman"/>
                <w:b/>
                <w:bCs/>
                <w:color w:val="000000"/>
                <w:kern w:val="0"/>
                <w:szCs w:val="24"/>
                <w:lang w:bidi="ar-SA"/>
                <w14:ligatures w14:val="none"/>
              </w:rPr>
              <w:t>Significant</w:t>
            </w:r>
          </w:p>
        </w:tc>
      </w:tr>
    </w:tbl>
    <w:p w14:paraId="34260268" w14:textId="4FE3BE97" w:rsidR="00EA5F52" w:rsidRDefault="00D76100" w:rsidP="00D76100">
      <w:pPr>
        <w:pStyle w:val="Caption"/>
        <w:jc w:val="center"/>
      </w:pPr>
      <w:r>
        <w:t xml:space="preserve">Table </w:t>
      </w:r>
      <w:fldSimple w:instr=" SEQ Table \* ARABIC ">
        <w:r w:rsidR="00595055">
          <w:rPr>
            <w:noProof/>
          </w:rPr>
          <w:t>6</w:t>
        </w:r>
      </w:fldSimple>
      <w:r>
        <w:t>: Authors Computation on Excel</w:t>
      </w:r>
    </w:p>
    <w:p w14:paraId="02E76CF7" w14:textId="595580F1" w:rsidR="00D76100" w:rsidRDefault="00D76100" w:rsidP="00D76100">
      <w:r>
        <w:rPr>
          <w:noProof/>
        </w:rPr>
        <w:drawing>
          <wp:inline distT="0" distB="0" distL="0" distR="0" wp14:anchorId="40407631" wp14:editId="3CF73D64">
            <wp:extent cx="6315075" cy="2257425"/>
            <wp:effectExtent l="0" t="0" r="9525" b="9525"/>
            <wp:docPr id="1759016997" name="Chart 1">
              <a:extLst xmlns:a="http://schemas.openxmlformats.org/drawingml/2006/main">
                <a:ext uri="{FF2B5EF4-FFF2-40B4-BE49-F238E27FC236}">
                  <a16:creationId xmlns:a16="http://schemas.microsoft.com/office/drawing/2014/main" id="{392D3ED1-930F-70E1-B093-AAC64B8FB1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4A127B" w14:textId="5BFDF12D" w:rsidR="00D76100" w:rsidRDefault="00D76100" w:rsidP="00D76100">
      <w:pPr>
        <w:pStyle w:val="Caption"/>
        <w:jc w:val="center"/>
      </w:pPr>
      <w:r>
        <w:t xml:space="preserve">Figure </w:t>
      </w:r>
      <w:fldSimple w:instr=" SEQ Figure \* ARABIC ">
        <w:r w:rsidR="00595055">
          <w:rPr>
            <w:noProof/>
          </w:rPr>
          <w:t>2</w:t>
        </w:r>
      </w:fldSimple>
      <w:r>
        <w:t>: Clustered Mean Gap Chart of Expectation and Adaptation</w:t>
      </w:r>
    </w:p>
    <w:p w14:paraId="7C0289FC" w14:textId="53923A03" w:rsidR="00D76100" w:rsidRPr="00D76100" w:rsidRDefault="00D76100" w:rsidP="0060483E">
      <w:pPr>
        <w:spacing w:line="360" w:lineRule="auto"/>
        <w:jc w:val="both"/>
        <w:rPr>
          <w:b/>
          <w:bCs/>
        </w:rPr>
      </w:pPr>
      <w:r w:rsidRPr="00D76100">
        <w:rPr>
          <w:b/>
          <w:bCs/>
        </w:rPr>
        <w:t>Interpretation</w:t>
      </w:r>
    </w:p>
    <w:p w14:paraId="77C9DB7A" w14:textId="2B445E39" w:rsidR="00C50B7C" w:rsidRDefault="00D76100" w:rsidP="0060483E">
      <w:pPr>
        <w:spacing w:line="360" w:lineRule="auto"/>
        <w:jc w:val="both"/>
      </w:pPr>
      <w:r>
        <w:t>The sample paired t test analysis reveals a clear and statistically meaning full gap in context of consumer expectation and ESG adaptation by food sector MSME’s in approx. most of the dimension, th</w:t>
      </w:r>
      <w:r w:rsidR="001C3D7D">
        <w:t>us we reject the H</w:t>
      </w:r>
      <w:r w:rsidR="001C3D7D" w:rsidRPr="001C3D7D">
        <w:rPr>
          <w:vertAlign w:val="subscript"/>
        </w:rPr>
        <w:t>0</w:t>
      </w:r>
      <w:r w:rsidR="001C3D7D">
        <w:t xml:space="preserve"> (Null Hypothesis) at 95% confidence level that and accept the H</w:t>
      </w:r>
      <w:r w:rsidR="001C3D7D" w:rsidRPr="001C3D7D">
        <w:rPr>
          <w:vertAlign w:val="subscript"/>
        </w:rPr>
        <w:t>1</w:t>
      </w:r>
      <w:r w:rsidR="001C3D7D">
        <w:t xml:space="preserve"> (Alternate Hypothesis) identifying a clear significant gap between consumer expectation and MSMEs adaptation related to sustainable practices in food processing sector, more precisely the </w:t>
      </w:r>
      <w:r>
        <w:t>analysis reveals that currently</w:t>
      </w:r>
      <w:r w:rsidR="001C3D7D">
        <w:t xml:space="preserve"> </w:t>
      </w:r>
      <w:r>
        <w:t xml:space="preserve">food Processing </w:t>
      </w:r>
      <w:r w:rsidR="001C3D7D">
        <w:t>MSME</w:t>
      </w:r>
      <w:r>
        <w:t xml:space="preserve"> of Uttar Pradesh are not meeting the expectation of consumer in regards to the ESG practices, the analysis also reveals that there is a strong awareness of ESG Factors in customers but </w:t>
      </w:r>
      <w:r w:rsidR="00C50B7C">
        <w:t>there is a lack of perceived implementation.</w:t>
      </w:r>
    </w:p>
    <w:p w14:paraId="19A348AF" w14:textId="46F2A017" w:rsidR="00C50B7C" w:rsidRPr="001C3D7D" w:rsidRDefault="00C50B7C" w:rsidP="0060483E">
      <w:pPr>
        <w:pStyle w:val="ListParagraph"/>
        <w:numPr>
          <w:ilvl w:val="0"/>
          <w:numId w:val="7"/>
        </w:numPr>
        <w:spacing w:line="360" w:lineRule="auto"/>
        <w:ind w:left="-90" w:hanging="270"/>
        <w:rPr>
          <w:sz w:val="28"/>
          <w:szCs w:val="28"/>
        </w:rPr>
      </w:pPr>
      <w:r w:rsidRPr="001C3D7D">
        <w:rPr>
          <w:b/>
          <w:bCs/>
          <w:sz w:val="28"/>
          <w:szCs w:val="28"/>
        </w:rPr>
        <w:t xml:space="preserve">FINDINGS AND </w:t>
      </w:r>
      <w:r w:rsidR="0060483E" w:rsidRPr="001C3D7D">
        <w:rPr>
          <w:b/>
          <w:bCs/>
          <w:sz w:val="28"/>
          <w:szCs w:val="28"/>
        </w:rPr>
        <w:t>SUGGESTION</w:t>
      </w:r>
    </w:p>
    <w:p w14:paraId="306B6C87" w14:textId="77777777" w:rsidR="00C50B7C" w:rsidRDefault="00C50B7C" w:rsidP="00D76100">
      <w:pPr>
        <w:rPr>
          <w:b/>
          <w:bCs/>
        </w:rPr>
      </w:pPr>
      <w:r w:rsidRPr="00C50B7C">
        <w:rPr>
          <w:b/>
          <w:bCs/>
        </w:rPr>
        <w:t>Key Findings</w:t>
      </w:r>
    </w:p>
    <w:p w14:paraId="161C34E2" w14:textId="77777777" w:rsidR="00C50B7C" w:rsidRDefault="00C50B7C" w:rsidP="0060483E">
      <w:pPr>
        <w:spacing w:line="360" w:lineRule="auto"/>
        <w:jc w:val="both"/>
      </w:pPr>
      <w:r>
        <w:lastRenderedPageBreak/>
        <w:t>Following points in brief highlights the key findings of the current research work:</w:t>
      </w:r>
    </w:p>
    <w:p w14:paraId="5E8D025E" w14:textId="41E9DB7F" w:rsidR="00C50B7C" w:rsidRPr="00C50B7C" w:rsidRDefault="00C50B7C" w:rsidP="0060483E">
      <w:pPr>
        <w:pStyle w:val="ListParagraph"/>
        <w:numPr>
          <w:ilvl w:val="0"/>
          <w:numId w:val="6"/>
        </w:numPr>
        <w:spacing w:line="360" w:lineRule="auto"/>
        <w:jc w:val="both"/>
        <w:rPr>
          <w:b/>
          <w:bCs/>
        </w:rPr>
      </w:pPr>
      <w:r>
        <w:t>Consumer</w:t>
      </w:r>
      <w:r w:rsidR="00EE4D82">
        <w:t>s</w:t>
      </w:r>
      <w:r>
        <w:t xml:space="preserve"> of the said population </w:t>
      </w:r>
      <w:r w:rsidR="00EE4D82">
        <w:t>are</w:t>
      </w:r>
      <w:r>
        <w:t xml:space="preserve"> willing to purchase sustainable food product </w:t>
      </w:r>
      <w:r w:rsidR="00EE4D82">
        <w:t>and their</w:t>
      </w:r>
      <w:r>
        <w:t xml:space="preserve"> expectation under the category is high but at the same time price sensitivity is impacting the overall willingness to purchase.</w:t>
      </w:r>
    </w:p>
    <w:p w14:paraId="04FEE62D" w14:textId="72ACF5EC" w:rsidR="00C50B7C" w:rsidRPr="00C50B7C" w:rsidRDefault="00C50B7C" w:rsidP="0060483E">
      <w:pPr>
        <w:pStyle w:val="ListParagraph"/>
        <w:numPr>
          <w:ilvl w:val="0"/>
          <w:numId w:val="6"/>
        </w:numPr>
        <w:spacing w:line="360" w:lineRule="auto"/>
        <w:jc w:val="both"/>
        <w:rPr>
          <w:b/>
          <w:bCs/>
        </w:rPr>
      </w:pPr>
      <w:r>
        <w:t xml:space="preserve">Food </w:t>
      </w:r>
      <w:r w:rsidR="00A90D1E">
        <w:t>p</w:t>
      </w:r>
      <w:r>
        <w:t>rocessing MSME’s of the said population of the study are adapting those changes that are affecting consumer buying behavior.</w:t>
      </w:r>
    </w:p>
    <w:p w14:paraId="27DBEB61" w14:textId="07BE0858" w:rsidR="00C50B7C" w:rsidRPr="00C50B7C" w:rsidRDefault="00C50B7C" w:rsidP="0060483E">
      <w:pPr>
        <w:pStyle w:val="ListParagraph"/>
        <w:numPr>
          <w:ilvl w:val="0"/>
          <w:numId w:val="6"/>
        </w:numPr>
        <w:spacing w:line="360" w:lineRule="auto"/>
        <w:jc w:val="both"/>
        <w:rPr>
          <w:b/>
          <w:bCs/>
        </w:rPr>
      </w:pPr>
      <w:r>
        <w:t>MSME’s in context of environmental context are proactively working and are reducing the gap.</w:t>
      </w:r>
    </w:p>
    <w:p w14:paraId="23CF4087" w14:textId="044D4C90" w:rsidR="00C50B7C" w:rsidRPr="00C50B7C" w:rsidRDefault="00C50B7C" w:rsidP="0060483E">
      <w:pPr>
        <w:pStyle w:val="ListParagraph"/>
        <w:numPr>
          <w:ilvl w:val="0"/>
          <w:numId w:val="6"/>
        </w:numPr>
        <w:spacing w:line="360" w:lineRule="auto"/>
        <w:jc w:val="both"/>
        <w:rPr>
          <w:b/>
          <w:bCs/>
        </w:rPr>
      </w:pPr>
      <w:r>
        <w:t xml:space="preserve">There is a significant and large variation in governance </w:t>
      </w:r>
      <w:r w:rsidR="00A90D1E">
        <w:t xml:space="preserve">of </w:t>
      </w:r>
      <w:r>
        <w:t>waste management and social dimensions.</w:t>
      </w:r>
    </w:p>
    <w:p w14:paraId="70386E83" w14:textId="7903DC11" w:rsidR="00C50B7C" w:rsidRDefault="00C50B7C" w:rsidP="00C50B7C">
      <w:pPr>
        <w:rPr>
          <w:b/>
          <w:bCs/>
        </w:rPr>
      </w:pPr>
      <w:r>
        <w:rPr>
          <w:b/>
          <w:bCs/>
        </w:rPr>
        <w:t>Key Suggestions</w:t>
      </w:r>
    </w:p>
    <w:p w14:paraId="05D09B30" w14:textId="7A35E885" w:rsidR="00432CD0" w:rsidRPr="00432CD0" w:rsidRDefault="00432CD0" w:rsidP="0060483E">
      <w:pPr>
        <w:jc w:val="both"/>
      </w:pPr>
      <w:r w:rsidRPr="00432CD0">
        <w:t>Following points briefly highlights the key suggestions of the research work:</w:t>
      </w:r>
    </w:p>
    <w:p w14:paraId="3EF47EE2" w14:textId="6F54311E" w:rsidR="00C50B7C" w:rsidRPr="00432CD0" w:rsidRDefault="00C50B7C" w:rsidP="0060483E">
      <w:pPr>
        <w:pStyle w:val="ListParagraph"/>
        <w:numPr>
          <w:ilvl w:val="0"/>
          <w:numId w:val="6"/>
        </w:numPr>
        <w:spacing w:line="360" w:lineRule="auto"/>
        <w:jc w:val="both"/>
        <w:rPr>
          <w:b/>
          <w:bCs/>
        </w:rPr>
      </w:pPr>
      <w:r>
        <w:t>Organisation must assure transp</w:t>
      </w:r>
      <w:r w:rsidR="00432CD0">
        <w:t>arency</w:t>
      </w:r>
      <w:r>
        <w:t xml:space="preserve"> in operation in context of licensing and disclo</w:t>
      </w:r>
      <w:r w:rsidR="00432CD0">
        <w:t xml:space="preserve">sure </w:t>
      </w:r>
      <w:r w:rsidR="00A90D1E">
        <w:t>practices. I</w:t>
      </w:r>
      <w:r w:rsidR="00432CD0">
        <w:t>t is no cost solution to attract the customer</w:t>
      </w:r>
      <w:r w:rsidR="00A90D1E">
        <w:t>s</w:t>
      </w:r>
      <w:r w:rsidR="00432CD0">
        <w:t xml:space="preserve"> who </w:t>
      </w:r>
      <w:r w:rsidR="00A90D1E">
        <w:t>are</w:t>
      </w:r>
      <w:r w:rsidR="00432CD0">
        <w:t xml:space="preserve"> willing to consume sustainable product.</w:t>
      </w:r>
    </w:p>
    <w:p w14:paraId="16E10B80" w14:textId="0BF78332" w:rsidR="00432CD0" w:rsidRPr="00432CD0" w:rsidRDefault="00432CD0" w:rsidP="0060483E">
      <w:pPr>
        <w:pStyle w:val="ListParagraph"/>
        <w:numPr>
          <w:ilvl w:val="0"/>
          <w:numId w:val="6"/>
        </w:numPr>
        <w:spacing w:line="360" w:lineRule="auto"/>
        <w:jc w:val="both"/>
        <w:rPr>
          <w:b/>
          <w:bCs/>
        </w:rPr>
      </w:pPr>
      <w:r>
        <w:t>Organizations must try to adopt a scientific waste management system and try to reuse the organic and inorganic waste of product</w:t>
      </w:r>
      <w:r w:rsidR="00A90D1E">
        <w:t>.</w:t>
      </w:r>
      <w:r>
        <w:t xml:space="preserve"> </w:t>
      </w:r>
      <w:r w:rsidR="00A90D1E">
        <w:t>T</w:t>
      </w:r>
      <w:r>
        <w:t>his will not only increase the brand value but will also impact positively to the profitability of the industry.</w:t>
      </w:r>
    </w:p>
    <w:p w14:paraId="023450C1" w14:textId="7CE7584E" w:rsidR="00432CD0" w:rsidRPr="00432CD0" w:rsidRDefault="00432CD0" w:rsidP="0060483E">
      <w:pPr>
        <w:pStyle w:val="ListParagraph"/>
        <w:numPr>
          <w:ilvl w:val="0"/>
          <w:numId w:val="6"/>
        </w:numPr>
        <w:spacing w:line="360" w:lineRule="auto"/>
        <w:jc w:val="both"/>
        <w:rPr>
          <w:b/>
          <w:bCs/>
        </w:rPr>
      </w:pPr>
      <w:r>
        <w:t>In context of packaging a structural shift from normal packaging to eco</w:t>
      </w:r>
      <w:r w:rsidR="00A90D1E">
        <w:t>-</w:t>
      </w:r>
      <w:r>
        <w:t>friendly packaging is required at the initial stage of implementation</w:t>
      </w:r>
      <w:r w:rsidR="00A90D1E">
        <w:t>. I</w:t>
      </w:r>
      <w:r>
        <w:t>t will incur cost but after a certain point it will work as a marketing move.</w:t>
      </w:r>
    </w:p>
    <w:p w14:paraId="7F037701" w14:textId="1DFDE363" w:rsidR="00432CD0" w:rsidRDefault="00432CD0" w:rsidP="0060483E">
      <w:pPr>
        <w:pStyle w:val="ListParagraph"/>
        <w:numPr>
          <w:ilvl w:val="0"/>
          <w:numId w:val="6"/>
        </w:numPr>
        <w:spacing w:line="360" w:lineRule="auto"/>
        <w:jc w:val="both"/>
      </w:pPr>
      <w:r w:rsidRPr="00432CD0">
        <w:t>Organisation must maintain sustainability with affordability as the study highlights at the initial stage that consumer</w:t>
      </w:r>
      <w:r w:rsidR="00A90D1E">
        <w:t>s</w:t>
      </w:r>
      <w:r w:rsidRPr="00432CD0">
        <w:t xml:space="preserve"> </w:t>
      </w:r>
      <w:r w:rsidR="00A90D1E">
        <w:t>are</w:t>
      </w:r>
      <w:r w:rsidRPr="00432CD0">
        <w:t xml:space="preserve"> price sensitive in context of sustainability.</w:t>
      </w:r>
    </w:p>
    <w:p w14:paraId="463C848B" w14:textId="61C145F5" w:rsidR="00432CD0" w:rsidRPr="001C3D7D" w:rsidRDefault="00432CD0" w:rsidP="0060483E">
      <w:pPr>
        <w:pStyle w:val="ListParagraph"/>
        <w:numPr>
          <w:ilvl w:val="0"/>
          <w:numId w:val="7"/>
        </w:numPr>
        <w:tabs>
          <w:tab w:val="left" w:pos="360"/>
          <w:tab w:val="left" w:pos="630"/>
        </w:tabs>
        <w:spacing w:line="360" w:lineRule="auto"/>
        <w:ind w:hanging="630"/>
        <w:rPr>
          <w:b/>
          <w:bCs/>
          <w:sz w:val="28"/>
          <w:szCs w:val="28"/>
        </w:rPr>
      </w:pPr>
      <w:r w:rsidRPr="001C3D7D">
        <w:rPr>
          <w:b/>
          <w:bCs/>
          <w:sz w:val="28"/>
          <w:szCs w:val="28"/>
        </w:rPr>
        <w:t>CONCLUSION</w:t>
      </w:r>
    </w:p>
    <w:p w14:paraId="566709C3" w14:textId="6C8B687C" w:rsidR="00432CD0" w:rsidRDefault="0060483E" w:rsidP="0060483E">
      <w:pPr>
        <w:spacing w:line="360" w:lineRule="auto"/>
        <w:ind w:left="360"/>
        <w:jc w:val="both"/>
      </w:pPr>
      <w:r w:rsidRPr="0060483E">
        <w:t xml:space="preserve">Indian market is one of the most diversified markets of the world, there is income inequality, willingness, price sensitivity all in one frame, and in such market conditions implementing an intense shift will not be practically possible. Instead, there is a need for a structural shift. Currently, we are moving towards our sustainable future, and the Indian food industry is also trying to improvise a balance between sustainability and affordability. The core of the study </w:t>
      </w:r>
      <w:r w:rsidRPr="0060483E">
        <w:lastRenderedPageBreak/>
        <w:t>reflects that today consumers are moving toward sustainable products until affordability is untapped. Although maintaining affordability with sustainability for MSMEs is strategically difficult, in the context of the environmental dimension there seems progress that is matching the gap between consumer expectation and adaptation. This shift highlights that today we are moving beyond profit towards the planet.</w:t>
      </w:r>
    </w:p>
    <w:sdt>
      <w:sdtPr>
        <w:rPr>
          <w:rFonts w:ascii="Times New Roman" w:eastAsiaTheme="minorEastAsia" w:hAnsi="Times New Roman" w:cs="Mangal"/>
          <w:color w:val="auto"/>
          <w:sz w:val="24"/>
          <w:szCs w:val="21"/>
        </w:rPr>
        <w:id w:val="-777408176"/>
        <w:docPartObj>
          <w:docPartGallery w:val="Bibliographies"/>
          <w:docPartUnique/>
        </w:docPartObj>
      </w:sdtPr>
      <w:sdtContent>
        <w:p w14:paraId="1622A8AF" w14:textId="60F66D8A" w:rsidR="00595055" w:rsidRDefault="00595055">
          <w:pPr>
            <w:pStyle w:val="Heading1"/>
          </w:pPr>
          <w:r w:rsidRPr="009365EB">
            <w:rPr>
              <w:rFonts w:ascii="Times New Roman" w:hAnsi="Times New Roman" w:cs="Times New Roman"/>
            </w:rPr>
            <w:t>References</w:t>
          </w:r>
        </w:p>
        <w:sdt>
          <w:sdtPr>
            <w:id w:val="-573587230"/>
            <w:bibliography/>
          </w:sdtPr>
          <w:sdtContent>
            <w:p w14:paraId="29D315B1" w14:textId="77777777" w:rsidR="00595055" w:rsidRDefault="00595055" w:rsidP="00595055">
              <w:pPr>
                <w:pStyle w:val="Bibliography"/>
                <w:ind w:left="720" w:hanging="720"/>
                <w:rPr>
                  <w:noProof/>
                  <w:kern w:val="0"/>
                  <w:szCs w:val="24"/>
                  <w14:ligatures w14:val="none"/>
                </w:rPr>
              </w:pPr>
              <w:r>
                <w:fldChar w:fldCharType="begin"/>
              </w:r>
              <w:r>
                <w:instrText xml:space="preserve"> BIBLIOGRAPHY </w:instrText>
              </w:r>
              <w:r>
                <w:fldChar w:fldCharType="separate"/>
              </w:r>
              <w:r>
                <w:rPr>
                  <w:noProof/>
                </w:rPr>
                <w:t xml:space="preserve">Arindra, I. F., &amp; latief, M. f. (2025, September 09). Enviornmental Sustainability in SMEs: A Study of Emerging Patterns and Sectoral Trends. </w:t>
              </w:r>
              <w:r>
                <w:rPr>
                  <w:i/>
                  <w:iCs/>
                  <w:noProof/>
                </w:rPr>
                <w:t>Resilience of Small and Medium Business, 1</w:t>
              </w:r>
              <w:r>
                <w:rPr>
                  <w:noProof/>
                </w:rPr>
                <w:t>(1), 28-44. doi:http://doi.org/10.70764/gdpu-rsmb.2025.1(1)-02</w:t>
              </w:r>
            </w:p>
            <w:p w14:paraId="21F3F2C1" w14:textId="77777777" w:rsidR="00595055" w:rsidRDefault="00595055" w:rsidP="00595055">
              <w:pPr>
                <w:pStyle w:val="Bibliography"/>
                <w:ind w:left="720" w:hanging="720"/>
                <w:rPr>
                  <w:noProof/>
                </w:rPr>
              </w:pPr>
              <w:r>
                <w:rPr>
                  <w:noProof/>
                </w:rPr>
                <w:t xml:space="preserve">Baghel, D. D. (2024). Trends and Patterns of Sustainability in SMES: A Bibliometric Analysis of ESG (Enviornmental, Social, and Governance) Literatures. </w:t>
              </w:r>
              <w:r>
                <w:rPr>
                  <w:i/>
                  <w:iCs/>
                  <w:noProof/>
                </w:rPr>
                <w:t>Accounting Buisness And the Public Interest, 40</w:t>
              </w:r>
              <w:r>
                <w:rPr>
                  <w:noProof/>
                </w:rPr>
                <w:t>(11), 1-20. Retrieved March 26, 2026 , from https://scholar.google.com/scholar?hl=en&amp;as_sdt=0%2C5&amp;q=TRENDS+AND+PATTERNS+OF+SUSTAINABILITY+IN+SMES%3A+A++BIBLIOMETRIC+ANALYSIS+OF+ESG+%28ENVIRONMENTAL%2C+SOCIAL%2C++AND+GOVERNANCE%29+LITERATURE&amp;btnG=</w:t>
              </w:r>
            </w:p>
            <w:p w14:paraId="26B4AC95" w14:textId="77777777" w:rsidR="00595055" w:rsidRDefault="00595055" w:rsidP="00595055">
              <w:pPr>
                <w:pStyle w:val="Bibliography"/>
                <w:ind w:left="720" w:hanging="720"/>
                <w:rPr>
                  <w:noProof/>
                </w:rPr>
              </w:pPr>
              <w:r>
                <w:rPr>
                  <w:noProof/>
                </w:rPr>
                <w:t xml:space="preserve">Khandelwal, N., Kulkarni, D., &amp; Sinha, D. B. (2022, January). Consumer Perception and preference towards Sustainable Food in India. </w:t>
              </w:r>
              <w:r>
                <w:rPr>
                  <w:i/>
                  <w:iCs/>
                  <w:noProof/>
                </w:rPr>
                <w:t>Pacific Business Review, 14</w:t>
              </w:r>
              <w:r>
                <w:rPr>
                  <w:noProof/>
                </w:rPr>
                <w:t>(7), 23-36. Retrieved March 26, 2026 , from https://scholar.google.com/scholar?hl=en&amp;as_sdt=0%2C5&amp;q=Consumer+Perception+and+Preference+towards+Sustainable+Food+in++India&amp;btnG=</w:t>
              </w:r>
            </w:p>
            <w:p w14:paraId="7C4D9B21" w14:textId="77777777" w:rsidR="00595055" w:rsidRDefault="00595055" w:rsidP="00595055">
              <w:pPr>
                <w:pStyle w:val="Bibliography"/>
                <w:ind w:left="720" w:hanging="720"/>
                <w:rPr>
                  <w:noProof/>
                </w:rPr>
              </w:pPr>
              <w:r>
                <w:rPr>
                  <w:noProof/>
                </w:rPr>
                <w:t xml:space="preserve">Lin, J., Jaiswal, A. K., &amp; Jaiswal, S. (2025, February 7). A Critical Review of Consumer Perception and Enviornmental Impact of Bioplastic in Sustainable Food Packaging. </w:t>
              </w:r>
              <w:r>
                <w:rPr>
                  <w:i/>
                  <w:iCs/>
                  <w:noProof/>
                </w:rPr>
                <w:t>Sustainability, 17</w:t>
              </w:r>
              <w:r>
                <w:rPr>
                  <w:noProof/>
                </w:rPr>
                <w:t>(1358), 1-19. doi:https://doi.org/10.3390/su17041358</w:t>
              </w:r>
            </w:p>
            <w:p w14:paraId="48453A5F" w14:textId="77777777" w:rsidR="00595055" w:rsidRDefault="00595055" w:rsidP="00595055">
              <w:pPr>
                <w:pStyle w:val="Bibliography"/>
                <w:ind w:left="720" w:hanging="720"/>
                <w:rPr>
                  <w:noProof/>
                </w:rPr>
              </w:pPr>
              <w:r>
                <w:rPr>
                  <w:noProof/>
                </w:rPr>
                <w:t xml:space="preserve">Mehta, M., &amp; Chatterjee, B. (2024). From Values to Practice: Evaluating the Intention of Indian MSMEs to Adopt Sustainable Business Practises. In A. H. Verkuil, U. Milow, A. Hinz, &amp; M. Al-Kilani, </w:t>
              </w:r>
              <w:r>
                <w:rPr>
                  <w:i/>
                  <w:iCs/>
                  <w:noProof/>
                </w:rPr>
                <w:t>Core Values and Decission Making for Sustainable Business</w:t>
              </w:r>
              <w:r>
                <w:rPr>
                  <w:noProof/>
                </w:rPr>
                <w:t xml:space="preserve"> (pp. 115-126). Cham, Switzerland: Springer Nature Switzerland AG. doi:https://doi.org/10.1007/978-3-031-78361-6</w:t>
              </w:r>
            </w:p>
            <w:p w14:paraId="22DD323E" w14:textId="77777777" w:rsidR="00595055" w:rsidRDefault="00595055" w:rsidP="00595055">
              <w:pPr>
                <w:pStyle w:val="Bibliography"/>
                <w:ind w:left="720" w:hanging="720"/>
                <w:rPr>
                  <w:noProof/>
                </w:rPr>
              </w:pPr>
              <w:r>
                <w:rPr>
                  <w:noProof/>
                </w:rPr>
                <w:t xml:space="preserve">Ministry of MSME. (2026, March 28). </w:t>
              </w:r>
              <w:r>
                <w:rPr>
                  <w:i/>
                  <w:iCs/>
                  <w:noProof/>
                </w:rPr>
                <w:t>MSME Connect</w:t>
              </w:r>
              <w:r>
                <w:rPr>
                  <w:noProof/>
                </w:rPr>
                <w:t>. Retrieved from Ministry of Micro Small and Medium Entterprises: https://msme.gov.in/sites/default/files/MSME-Connect.htm?utm_</w:t>
              </w:r>
            </w:p>
            <w:p w14:paraId="1ADD454C" w14:textId="77777777" w:rsidR="00595055" w:rsidRDefault="00595055" w:rsidP="00595055">
              <w:pPr>
                <w:pStyle w:val="Bibliography"/>
                <w:ind w:left="720" w:hanging="720"/>
                <w:rPr>
                  <w:noProof/>
                </w:rPr>
              </w:pPr>
              <w:r>
                <w:rPr>
                  <w:noProof/>
                </w:rPr>
                <w:lastRenderedPageBreak/>
                <w:t xml:space="preserve">Sridar, S., Kumar, B. D., R.S., A., &amp; Patro, U. S. (2025). Integrating Sustainable Practises in Indian Manufacturing Small Medium Enterprises: A BASLR Approach. </w:t>
              </w:r>
              <w:r>
                <w:rPr>
                  <w:i/>
                  <w:iCs/>
                  <w:noProof/>
                </w:rPr>
                <w:t>Electronic Green Journal, 1</w:t>
              </w:r>
              <w:r>
                <w:rPr>
                  <w:noProof/>
                </w:rPr>
                <w:t>(52), 1-29. doi:10.5070/G3.40099</w:t>
              </w:r>
            </w:p>
            <w:p w14:paraId="35B8471B" w14:textId="77777777" w:rsidR="00595055" w:rsidRDefault="00595055" w:rsidP="00595055">
              <w:pPr>
                <w:pStyle w:val="Bibliography"/>
                <w:ind w:left="720" w:hanging="720"/>
                <w:rPr>
                  <w:noProof/>
                </w:rPr>
              </w:pPr>
              <w:r>
                <w:rPr>
                  <w:noProof/>
                </w:rPr>
                <w:t xml:space="preserve">United Nation. (2023, January 9). </w:t>
              </w:r>
              <w:r>
                <w:rPr>
                  <w:i/>
                  <w:iCs/>
                  <w:noProof/>
                </w:rPr>
                <w:t>Climate and Enviornment</w:t>
              </w:r>
              <w:r>
                <w:rPr>
                  <w:noProof/>
                </w:rPr>
                <w:t>. Retrieved from United Nation: https://news.un.org/en/story/2023/01/1132277#:~:text=The%20Earth's%20ozone%20layer%20is,policy%20and%20decision%2Dmakers.%E2%80%9D</w:t>
              </w:r>
            </w:p>
            <w:p w14:paraId="798CB01F" w14:textId="77777777" w:rsidR="00595055" w:rsidRDefault="00595055" w:rsidP="00595055">
              <w:pPr>
                <w:pStyle w:val="Bibliography"/>
                <w:ind w:left="720" w:hanging="720"/>
                <w:rPr>
                  <w:noProof/>
                </w:rPr>
              </w:pPr>
              <w:r>
                <w:rPr>
                  <w:noProof/>
                </w:rPr>
                <w:t xml:space="preserve">Vacher, S. (2024). Sustainability in SMEs: What Core Values Are Realy Important . In A. H. Verkuli, U. Milow, A. Hinz, &amp; M. A. Kilani, </w:t>
              </w:r>
              <w:r>
                <w:rPr>
                  <w:i/>
                  <w:iCs/>
                  <w:noProof/>
                </w:rPr>
                <w:t>Core Value and Decission Making For Sustainable Business</w:t>
              </w:r>
              <w:r>
                <w:rPr>
                  <w:noProof/>
                </w:rPr>
                <w:t xml:space="preserve"> (pp. 13-38). Cham, Switzerland: Springer Nature Switzerland AG. doi:https://doi.org/10.1007/978-3-031-78361-6</w:t>
              </w:r>
            </w:p>
            <w:p w14:paraId="254D82E2" w14:textId="77777777" w:rsidR="00595055" w:rsidRDefault="00595055" w:rsidP="00595055">
              <w:pPr>
                <w:pStyle w:val="Bibliography"/>
                <w:ind w:left="720" w:hanging="720"/>
                <w:rPr>
                  <w:noProof/>
                </w:rPr>
              </w:pPr>
              <w:r>
                <w:rPr>
                  <w:noProof/>
                </w:rPr>
                <w:t xml:space="preserve">Vats, I. G., Lata, K., &amp; Sharma, H. (2025). The Role of ESG in Driving Sustainable Economic Development: The Indian Perspective. </w:t>
              </w:r>
              <w:r>
                <w:rPr>
                  <w:i/>
                  <w:iCs/>
                  <w:noProof/>
                </w:rPr>
                <w:t>Proceedings of the International Conference on Policies</w:t>
              </w:r>
              <w:r>
                <w:rPr>
                  <w:noProof/>
                </w:rPr>
                <w:t xml:space="preserve"> (pp. 352-368). New Delhi: Advances in Economics, Business and Management Research. doi:https://doi.org/10.2991/978-94-6463-894-3_25</w:t>
              </w:r>
            </w:p>
            <w:p w14:paraId="29A2E80D" w14:textId="77777777" w:rsidR="00595055" w:rsidRDefault="00595055" w:rsidP="00595055">
              <w:pPr>
                <w:pStyle w:val="Bibliography"/>
                <w:ind w:left="720" w:hanging="720"/>
                <w:rPr>
                  <w:noProof/>
                </w:rPr>
              </w:pPr>
              <w:r>
                <w:rPr>
                  <w:noProof/>
                </w:rPr>
                <w:t xml:space="preserve">Verma, D. D. (2024). Industry 5.0: A Human- Centric and Sustainable Approach to Industrial Developement. </w:t>
              </w:r>
              <w:r>
                <w:rPr>
                  <w:i/>
                  <w:iCs/>
                  <w:noProof/>
                </w:rPr>
                <w:t>International Journal of Social Relevance &amp; Concern, 12</w:t>
              </w:r>
              <w:r>
                <w:rPr>
                  <w:noProof/>
                </w:rPr>
                <w:t>(5), 17-21. doi:https://doi.org/10.26821/IJSRC.12.5.2024.120507</w:t>
              </w:r>
            </w:p>
            <w:p w14:paraId="69AD0D4B" w14:textId="77777777" w:rsidR="00595055" w:rsidRDefault="00595055" w:rsidP="00595055">
              <w:pPr>
                <w:pStyle w:val="Bibliography"/>
                <w:ind w:left="720" w:hanging="720"/>
                <w:rPr>
                  <w:noProof/>
                </w:rPr>
              </w:pPr>
              <w:r>
                <w:rPr>
                  <w:noProof/>
                </w:rPr>
                <w:t xml:space="preserve">Yadav, U. S., Yadav, A. K., Ghosal, I., Yadav, S. K., &amp; Verma, A. K. (2025, July 22). Impact of sustainable management, and ESG performance on small and comunity performance in India in the current scenario. </w:t>
              </w:r>
              <w:r>
                <w:rPr>
                  <w:i/>
                  <w:iCs/>
                  <w:noProof/>
                </w:rPr>
                <w:t>European Journal of Sustainable Development Research, 9</w:t>
              </w:r>
              <w:r>
                <w:rPr>
                  <w:noProof/>
                </w:rPr>
                <w:t>(4), 1-15. doi:https://doi.org/10.29333/ejosdr/16897</w:t>
              </w:r>
            </w:p>
            <w:p w14:paraId="4AAE023D" w14:textId="1164BEBF" w:rsidR="00595055" w:rsidRDefault="00595055" w:rsidP="00595055">
              <w:r>
                <w:rPr>
                  <w:b/>
                  <w:bCs/>
                  <w:noProof/>
                </w:rPr>
                <w:fldChar w:fldCharType="end"/>
              </w:r>
            </w:p>
          </w:sdtContent>
        </w:sdt>
      </w:sdtContent>
    </w:sdt>
    <w:p w14:paraId="4BD925DF" w14:textId="77777777" w:rsidR="00595055" w:rsidRPr="00432CD0" w:rsidRDefault="00595055" w:rsidP="0060483E">
      <w:pPr>
        <w:spacing w:line="360" w:lineRule="auto"/>
        <w:ind w:left="360"/>
        <w:jc w:val="both"/>
      </w:pPr>
    </w:p>
    <w:sectPr w:rsidR="00595055" w:rsidRPr="00432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46F"/>
    <w:multiLevelType w:val="hybridMultilevel"/>
    <w:tmpl w:val="744E76B8"/>
    <w:lvl w:ilvl="0" w:tplc="EAE87C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5C0C"/>
    <w:multiLevelType w:val="multilevel"/>
    <w:tmpl w:val="21E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E0B53"/>
    <w:multiLevelType w:val="hybridMultilevel"/>
    <w:tmpl w:val="3E8C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55FB4"/>
    <w:multiLevelType w:val="hybridMultilevel"/>
    <w:tmpl w:val="6F687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C7DDB"/>
    <w:multiLevelType w:val="hybridMultilevel"/>
    <w:tmpl w:val="242C0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D503C"/>
    <w:multiLevelType w:val="hybridMultilevel"/>
    <w:tmpl w:val="9828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C7BBF"/>
    <w:multiLevelType w:val="hybridMultilevel"/>
    <w:tmpl w:val="27C4DA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F3C43"/>
    <w:multiLevelType w:val="hybridMultilevel"/>
    <w:tmpl w:val="CD1C4E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7B1CE1"/>
    <w:multiLevelType w:val="hybridMultilevel"/>
    <w:tmpl w:val="DFA8B89A"/>
    <w:lvl w:ilvl="0" w:tplc="AD485270">
      <w:numFmt w:val="bullet"/>
      <w:lvlText w:val=""/>
      <w:lvlJc w:val="left"/>
      <w:pPr>
        <w:ind w:left="720" w:hanging="360"/>
      </w:pPr>
      <w:rPr>
        <w:rFonts w:ascii="Symbol" w:eastAsiaTheme="minorEastAsia" w:hAnsi="Symbol" w:cs="Times New Roman"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904980">
    <w:abstractNumId w:val="5"/>
  </w:num>
  <w:num w:numId="2" w16cid:durableId="1603688246">
    <w:abstractNumId w:val="2"/>
  </w:num>
  <w:num w:numId="3" w16cid:durableId="883178580">
    <w:abstractNumId w:val="3"/>
  </w:num>
  <w:num w:numId="4" w16cid:durableId="1254896603">
    <w:abstractNumId w:val="4"/>
  </w:num>
  <w:num w:numId="5" w16cid:durableId="1256981809">
    <w:abstractNumId w:val="1"/>
  </w:num>
  <w:num w:numId="6" w16cid:durableId="876820378">
    <w:abstractNumId w:val="8"/>
  </w:num>
  <w:num w:numId="7" w16cid:durableId="682166548">
    <w:abstractNumId w:val="0"/>
  </w:num>
  <w:num w:numId="8" w16cid:durableId="652023136">
    <w:abstractNumId w:val="7"/>
  </w:num>
  <w:num w:numId="9" w16cid:durableId="1918005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0F"/>
    <w:rsid w:val="0003005F"/>
    <w:rsid w:val="000428D6"/>
    <w:rsid w:val="0007163D"/>
    <w:rsid w:val="00097B52"/>
    <w:rsid w:val="000A16A5"/>
    <w:rsid w:val="000C19CF"/>
    <w:rsid w:val="000C5733"/>
    <w:rsid w:val="000C59F7"/>
    <w:rsid w:val="000D37AB"/>
    <w:rsid w:val="000D78A3"/>
    <w:rsid w:val="000E428F"/>
    <w:rsid w:val="000F48E8"/>
    <w:rsid w:val="00144CDF"/>
    <w:rsid w:val="00181326"/>
    <w:rsid w:val="001B02FA"/>
    <w:rsid w:val="001C3D7D"/>
    <w:rsid w:val="001D0BB5"/>
    <w:rsid w:val="001D4D1E"/>
    <w:rsid w:val="001F0DD2"/>
    <w:rsid w:val="00200ED3"/>
    <w:rsid w:val="00246039"/>
    <w:rsid w:val="002640E7"/>
    <w:rsid w:val="0027334B"/>
    <w:rsid w:val="00274B87"/>
    <w:rsid w:val="002876B7"/>
    <w:rsid w:val="00294B3C"/>
    <w:rsid w:val="002A125F"/>
    <w:rsid w:val="002A1E0B"/>
    <w:rsid w:val="002A4673"/>
    <w:rsid w:val="002C6F62"/>
    <w:rsid w:val="002D7368"/>
    <w:rsid w:val="002E5334"/>
    <w:rsid w:val="002F0755"/>
    <w:rsid w:val="00302F5F"/>
    <w:rsid w:val="00352347"/>
    <w:rsid w:val="00372533"/>
    <w:rsid w:val="00394462"/>
    <w:rsid w:val="003F5E2D"/>
    <w:rsid w:val="003F67DE"/>
    <w:rsid w:val="00407F4C"/>
    <w:rsid w:val="004164BC"/>
    <w:rsid w:val="004210AE"/>
    <w:rsid w:val="00432CD0"/>
    <w:rsid w:val="004518FC"/>
    <w:rsid w:val="004826A8"/>
    <w:rsid w:val="00487187"/>
    <w:rsid w:val="004B0B04"/>
    <w:rsid w:val="004C5C5A"/>
    <w:rsid w:val="004D312C"/>
    <w:rsid w:val="00500376"/>
    <w:rsid w:val="0050751B"/>
    <w:rsid w:val="00510FB7"/>
    <w:rsid w:val="00516E5D"/>
    <w:rsid w:val="005468E1"/>
    <w:rsid w:val="00554B01"/>
    <w:rsid w:val="00576C62"/>
    <w:rsid w:val="00576F2B"/>
    <w:rsid w:val="005800D8"/>
    <w:rsid w:val="00595055"/>
    <w:rsid w:val="005A7BF8"/>
    <w:rsid w:val="005C7B69"/>
    <w:rsid w:val="005D6648"/>
    <w:rsid w:val="005F55E7"/>
    <w:rsid w:val="0060483E"/>
    <w:rsid w:val="00613E09"/>
    <w:rsid w:val="00641190"/>
    <w:rsid w:val="00650853"/>
    <w:rsid w:val="00650E9C"/>
    <w:rsid w:val="006678E0"/>
    <w:rsid w:val="006968F7"/>
    <w:rsid w:val="006B3470"/>
    <w:rsid w:val="006F1C1F"/>
    <w:rsid w:val="006F1EFF"/>
    <w:rsid w:val="006F6F63"/>
    <w:rsid w:val="00707D29"/>
    <w:rsid w:val="00731D83"/>
    <w:rsid w:val="00746875"/>
    <w:rsid w:val="007541E8"/>
    <w:rsid w:val="00755FF1"/>
    <w:rsid w:val="00775081"/>
    <w:rsid w:val="007B160F"/>
    <w:rsid w:val="007B5320"/>
    <w:rsid w:val="007C49A8"/>
    <w:rsid w:val="008040AC"/>
    <w:rsid w:val="00804B43"/>
    <w:rsid w:val="00807A9E"/>
    <w:rsid w:val="008E0C00"/>
    <w:rsid w:val="009365EB"/>
    <w:rsid w:val="00977850"/>
    <w:rsid w:val="009A282B"/>
    <w:rsid w:val="009B319A"/>
    <w:rsid w:val="009B4540"/>
    <w:rsid w:val="009B6BCF"/>
    <w:rsid w:val="009D2C23"/>
    <w:rsid w:val="009D78F7"/>
    <w:rsid w:val="00A07024"/>
    <w:rsid w:val="00A33594"/>
    <w:rsid w:val="00A87C3B"/>
    <w:rsid w:val="00A90D1E"/>
    <w:rsid w:val="00B00F88"/>
    <w:rsid w:val="00B03BC4"/>
    <w:rsid w:val="00B13EF4"/>
    <w:rsid w:val="00B209E4"/>
    <w:rsid w:val="00B30F65"/>
    <w:rsid w:val="00B346A0"/>
    <w:rsid w:val="00B74613"/>
    <w:rsid w:val="00BA49B6"/>
    <w:rsid w:val="00BF678C"/>
    <w:rsid w:val="00C02B83"/>
    <w:rsid w:val="00C06ED0"/>
    <w:rsid w:val="00C15124"/>
    <w:rsid w:val="00C25E70"/>
    <w:rsid w:val="00C50B7C"/>
    <w:rsid w:val="00CA5A9B"/>
    <w:rsid w:val="00CB765E"/>
    <w:rsid w:val="00CB79B9"/>
    <w:rsid w:val="00CC2683"/>
    <w:rsid w:val="00D21C54"/>
    <w:rsid w:val="00D30213"/>
    <w:rsid w:val="00D74FE6"/>
    <w:rsid w:val="00D76100"/>
    <w:rsid w:val="00DD7936"/>
    <w:rsid w:val="00DF515E"/>
    <w:rsid w:val="00DF7EAB"/>
    <w:rsid w:val="00E038AD"/>
    <w:rsid w:val="00E1318D"/>
    <w:rsid w:val="00E36DF4"/>
    <w:rsid w:val="00E424C5"/>
    <w:rsid w:val="00E73C8E"/>
    <w:rsid w:val="00E878E1"/>
    <w:rsid w:val="00E96BA1"/>
    <w:rsid w:val="00EA5F52"/>
    <w:rsid w:val="00EC5390"/>
    <w:rsid w:val="00EE2694"/>
    <w:rsid w:val="00EE4D82"/>
    <w:rsid w:val="00EF5961"/>
    <w:rsid w:val="00F9440C"/>
    <w:rsid w:val="00FA47A1"/>
    <w:rsid w:val="00FB2339"/>
    <w:rsid w:val="00FC2D62"/>
    <w:rsid w:val="00FD2FC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8FBF"/>
  <w15:chartTrackingRefBased/>
  <w15:docId w15:val="{5E026AF6-DEC7-2D49-A116-A8ED2E3C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7DE"/>
    <w:rPr>
      <w:rFonts w:ascii="Times New Roman" w:hAnsi="Times New Roman" w:cs="Mangal"/>
    </w:rPr>
  </w:style>
  <w:style w:type="paragraph" w:styleId="Heading1">
    <w:name w:val="heading 1"/>
    <w:basedOn w:val="Normal"/>
    <w:next w:val="Normal"/>
    <w:link w:val="Heading1Char"/>
    <w:uiPriority w:val="9"/>
    <w:qFormat/>
    <w:rsid w:val="007B160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B160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B160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B16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6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60F"/>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B160F"/>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B160F"/>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B16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6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60F"/>
    <w:rPr>
      <w:rFonts w:eastAsiaTheme="majorEastAsia" w:cstheme="majorBidi"/>
      <w:color w:val="272727" w:themeColor="text1" w:themeTint="D8"/>
    </w:rPr>
  </w:style>
  <w:style w:type="paragraph" w:styleId="Title">
    <w:name w:val="Title"/>
    <w:basedOn w:val="Normal"/>
    <w:next w:val="Normal"/>
    <w:link w:val="TitleChar"/>
    <w:uiPriority w:val="10"/>
    <w:qFormat/>
    <w:rsid w:val="007B160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B160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B160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B160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B160F"/>
    <w:pPr>
      <w:spacing w:before="160"/>
      <w:jc w:val="center"/>
    </w:pPr>
    <w:rPr>
      <w:i/>
      <w:iCs/>
      <w:color w:val="404040" w:themeColor="text1" w:themeTint="BF"/>
    </w:rPr>
  </w:style>
  <w:style w:type="character" w:customStyle="1" w:styleId="QuoteChar">
    <w:name w:val="Quote Char"/>
    <w:basedOn w:val="DefaultParagraphFont"/>
    <w:link w:val="Quote"/>
    <w:uiPriority w:val="29"/>
    <w:rsid w:val="007B160F"/>
    <w:rPr>
      <w:rFonts w:cs="Mangal"/>
      <w:i/>
      <w:iCs/>
      <w:color w:val="404040" w:themeColor="text1" w:themeTint="BF"/>
    </w:rPr>
  </w:style>
  <w:style w:type="paragraph" w:styleId="ListParagraph">
    <w:name w:val="List Paragraph"/>
    <w:basedOn w:val="Normal"/>
    <w:uiPriority w:val="34"/>
    <w:qFormat/>
    <w:rsid w:val="007B160F"/>
    <w:pPr>
      <w:ind w:left="720"/>
      <w:contextualSpacing/>
    </w:pPr>
  </w:style>
  <w:style w:type="character" w:styleId="IntenseEmphasis">
    <w:name w:val="Intense Emphasis"/>
    <w:basedOn w:val="DefaultParagraphFont"/>
    <w:uiPriority w:val="21"/>
    <w:qFormat/>
    <w:rsid w:val="007B160F"/>
    <w:rPr>
      <w:i/>
      <w:iCs/>
      <w:color w:val="0F4761" w:themeColor="accent1" w:themeShade="BF"/>
    </w:rPr>
  </w:style>
  <w:style w:type="paragraph" w:styleId="IntenseQuote">
    <w:name w:val="Intense Quote"/>
    <w:basedOn w:val="Normal"/>
    <w:next w:val="Normal"/>
    <w:link w:val="IntenseQuoteChar"/>
    <w:uiPriority w:val="30"/>
    <w:qFormat/>
    <w:rsid w:val="007B1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60F"/>
    <w:rPr>
      <w:rFonts w:cs="Mangal"/>
      <w:i/>
      <w:iCs/>
      <w:color w:val="0F4761" w:themeColor="accent1" w:themeShade="BF"/>
    </w:rPr>
  </w:style>
  <w:style w:type="character" w:styleId="IntenseReference">
    <w:name w:val="Intense Reference"/>
    <w:basedOn w:val="DefaultParagraphFont"/>
    <w:uiPriority w:val="32"/>
    <w:qFormat/>
    <w:rsid w:val="007B160F"/>
    <w:rPr>
      <w:b/>
      <w:bCs/>
      <w:smallCaps/>
      <w:color w:val="0F4761" w:themeColor="accent1" w:themeShade="BF"/>
      <w:spacing w:val="5"/>
    </w:rPr>
  </w:style>
  <w:style w:type="character" w:styleId="Hyperlink">
    <w:name w:val="Hyperlink"/>
    <w:basedOn w:val="DefaultParagraphFont"/>
    <w:uiPriority w:val="99"/>
    <w:unhideWhenUsed/>
    <w:rsid w:val="00707D29"/>
    <w:rPr>
      <w:color w:val="467886" w:themeColor="hyperlink"/>
      <w:u w:val="single"/>
    </w:rPr>
  </w:style>
  <w:style w:type="character" w:styleId="UnresolvedMention">
    <w:name w:val="Unresolved Mention"/>
    <w:basedOn w:val="DefaultParagraphFont"/>
    <w:uiPriority w:val="99"/>
    <w:semiHidden/>
    <w:unhideWhenUsed/>
    <w:rsid w:val="00707D29"/>
    <w:rPr>
      <w:color w:val="605E5C"/>
      <w:shd w:val="clear" w:color="auto" w:fill="E1DFDD"/>
    </w:rPr>
  </w:style>
  <w:style w:type="paragraph" w:styleId="NormalWeb">
    <w:name w:val="Normal (Web)"/>
    <w:basedOn w:val="Normal"/>
    <w:uiPriority w:val="99"/>
    <w:semiHidden/>
    <w:unhideWhenUsed/>
    <w:rsid w:val="006F1EFF"/>
    <w:pPr>
      <w:spacing w:before="100" w:beforeAutospacing="1" w:after="100" w:afterAutospacing="1" w:line="240" w:lineRule="auto"/>
    </w:pPr>
    <w:rPr>
      <w:rFonts w:eastAsia="Times New Roman" w:cs="Times New Roman"/>
      <w:kern w:val="0"/>
      <w:szCs w:val="24"/>
      <w:lang w:bidi="ar-SA"/>
      <w14:ligatures w14:val="none"/>
    </w:rPr>
  </w:style>
  <w:style w:type="character" w:customStyle="1" w:styleId="whitespace-normal">
    <w:name w:val="whitespace-normal"/>
    <w:basedOn w:val="DefaultParagraphFont"/>
    <w:rsid w:val="006F1EFF"/>
  </w:style>
  <w:style w:type="character" w:styleId="Emphasis">
    <w:name w:val="Emphasis"/>
    <w:basedOn w:val="DefaultParagraphFont"/>
    <w:uiPriority w:val="20"/>
    <w:qFormat/>
    <w:rsid w:val="006F1EFF"/>
    <w:rPr>
      <w:i/>
      <w:iCs/>
    </w:rPr>
  </w:style>
  <w:style w:type="character" w:styleId="PlaceholderText">
    <w:name w:val="Placeholder Text"/>
    <w:basedOn w:val="DefaultParagraphFont"/>
    <w:uiPriority w:val="99"/>
    <w:semiHidden/>
    <w:rsid w:val="00500376"/>
    <w:rPr>
      <w:color w:val="666666"/>
    </w:rPr>
  </w:style>
  <w:style w:type="table" w:styleId="TableGrid">
    <w:name w:val="Table Grid"/>
    <w:basedOn w:val="TableNormal"/>
    <w:uiPriority w:val="39"/>
    <w:rsid w:val="009B3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7C3B"/>
    <w:pPr>
      <w:spacing w:after="0" w:line="240" w:lineRule="auto"/>
    </w:pPr>
    <w:rPr>
      <w:rFonts w:eastAsiaTheme="minorHAnsi" w:cstheme="minorBidi"/>
      <w:kern w:val="0"/>
      <w:sz w:val="20"/>
      <w:szCs w:val="20"/>
      <w:lang w:bidi="ar-SA"/>
      <w14:ligatures w14:val="none"/>
    </w:rPr>
  </w:style>
  <w:style w:type="character" w:customStyle="1" w:styleId="FootnoteTextChar">
    <w:name w:val="Footnote Text Char"/>
    <w:basedOn w:val="DefaultParagraphFont"/>
    <w:link w:val="FootnoteText"/>
    <w:uiPriority w:val="99"/>
    <w:semiHidden/>
    <w:rsid w:val="00A87C3B"/>
    <w:rPr>
      <w:rFonts w:eastAsiaTheme="minorHAnsi"/>
      <w:kern w:val="0"/>
      <w:sz w:val="20"/>
      <w:szCs w:val="20"/>
      <w:lang w:bidi="ar-SA"/>
      <w14:ligatures w14:val="none"/>
    </w:rPr>
  </w:style>
  <w:style w:type="paragraph" w:styleId="Caption">
    <w:name w:val="caption"/>
    <w:basedOn w:val="Normal"/>
    <w:next w:val="Normal"/>
    <w:uiPriority w:val="35"/>
    <w:unhideWhenUsed/>
    <w:qFormat/>
    <w:rsid w:val="002640E7"/>
    <w:pPr>
      <w:spacing w:after="200" w:line="240" w:lineRule="auto"/>
    </w:pPr>
    <w:rPr>
      <w:i/>
      <w:iCs/>
      <w:color w:val="0E2841" w:themeColor="text2"/>
      <w:sz w:val="18"/>
      <w:szCs w:val="16"/>
    </w:rPr>
  </w:style>
  <w:style w:type="paragraph" w:styleId="Bibliography">
    <w:name w:val="Bibliography"/>
    <w:basedOn w:val="Normal"/>
    <w:next w:val="Normal"/>
    <w:uiPriority w:val="37"/>
    <w:unhideWhenUsed/>
    <w:rsid w:val="00595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3584">
      <w:bodyDiv w:val="1"/>
      <w:marLeft w:val="0"/>
      <w:marRight w:val="0"/>
      <w:marTop w:val="0"/>
      <w:marBottom w:val="0"/>
      <w:divBdr>
        <w:top w:val="none" w:sz="0" w:space="0" w:color="auto"/>
        <w:left w:val="none" w:sz="0" w:space="0" w:color="auto"/>
        <w:bottom w:val="none" w:sz="0" w:space="0" w:color="auto"/>
        <w:right w:val="none" w:sz="0" w:space="0" w:color="auto"/>
      </w:divBdr>
    </w:div>
    <w:div w:id="35667187">
      <w:bodyDiv w:val="1"/>
      <w:marLeft w:val="0"/>
      <w:marRight w:val="0"/>
      <w:marTop w:val="0"/>
      <w:marBottom w:val="0"/>
      <w:divBdr>
        <w:top w:val="none" w:sz="0" w:space="0" w:color="auto"/>
        <w:left w:val="none" w:sz="0" w:space="0" w:color="auto"/>
        <w:bottom w:val="none" w:sz="0" w:space="0" w:color="auto"/>
        <w:right w:val="none" w:sz="0" w:space="0" w:color="auto"/>
      </w:divBdr>
    </w:div>
    <w:div w:id="37827348">
      <w:bodyDiv w:val="1"/>
      <w:marLeft w:val="0"/>
      <w:marRight w:val="0"/>
      <w:marTop w:val="0"/>
      <w:marBottom w:val="0"/>
      <w:divBdr>
        <w:top w:val="none" w:sz="0" w:space="0" w:color="auto"/>
        <w:left w:val="none" w:sz="0" w:space="0" w:color="auto"/>
        <w:bottom w:val="none" w:sz="0" w:space="0" w:color="auto"/>
        <w:right w:val="none" w:sz="0" w:space="0" w:color="auto"/>
      </w:divBdr>
      <w:divsChild>
        <w:div w:id="1263684960">
          <w:marLeft w:val="0"/>
          <w:marRight w:val="108"/>
          <w:marTop w:val="18"/>
          <w:marBottom w:val="108"/>
          <w:divBdr>
            <w:top w:val="none" w:sz="0" w:space="0" w:color="auto"/>
            <w:left w:val="none" w:sz="0" w:space="0" w:color="auto"/>
            <w:bottom w:val="none" w:sz="0" w:space="0" w:color="auto"/>
            <w:right w:val="none" w:sz="0" w:space="0" w:color="auto"/>
          </w:divBdr>
          <w:divsChild>
            <w:div w:id="355934255">
              <w:marLeft w:val="0"/>
              <w:marRight w:val="0"/>
              <w:marTop w:val="0"/>
              <w:marBottom w:val="0"/>
              <w:divBdr>
                <w:top w:val="none" w:sz="0" w:space="0" w:color="auto"/>
                <w:left w:val="none" w:sz="0" w:space="0" w:color="auto"/>
                <w:bottom w:val="none" w:sz="0" w:space="0" w:color="auto"/>
                <w:right w:val="none" w:sz="0" w:space="0" w:color="auto"/>
              </w:divBdr>
              <w:divsChild>
                <w:div w:id="1364744682">
                  <w:marLeft w:val="0"/>
                  <w:marRight w:val="0"/>
                  <w:marTop w:val="0"/>
                  <w:marBottom w:val="0"/>
                  <w:divBdr>
                    <w:top w:val="none" w:sz="0" w:space="0" w:color="auto"/>
                    <w:left w:val="none" w:sz="0" w:space="0" w:color="auto"/>
                    <w:bottom w:val="none" w:sz="0" w:space="0" w:color="auto"/>
                    <w:right w:val="none" w:sz="0" w:space="0" w:color="auto"/>
                  </w:divBdr>
                  <w:divsChild>
                    <w:div w:id="974993155">
                      <w:marLeft w:val="0"/>
                      <w:marRight w:val="0"/>
                      <w:marTop w:val="0"/>
                      <w:marBottom w:val="0"/>
                      <w:divBdr>
                        <w:top w:val="none" w:sz="0" w:space="0" w:color="auto"/>
                        <w:left w:val="none" w:sz="0" w:space="0" w:color="auto"/>
                        <w:bottom w:val="none" w:sz="0" w:space="0" w:color="auto"/>
                        <w:right w:val="none" w:sz="0" w:space="0" w:color="auto"/>
                      </w:divBdr>
                      <w:divsChild>
                        <w:div w:id="56099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57706">
      <w:bodyDiv w:val="1"/>
      <w:marLeft w:val="0"/>
      <w:marRight w:val="0"/>
      <w:marTop w:val="0"/>
      <w:marBottom w:val="0"/>
      <w:divBdr>
        <w:top w:val="none" w:sz="0" w:space="0" w:color="auto"/>
        <w:left w:val="none" w:sz="0" w:space="0" w:color="auto"/>
        <w:bottom w:val="none" w:sz="0" w:space="0" w:color="auto"/>
        <w:right w:val="none" w:sz="0" w:space="0" w:color="auto"/>
      </w:divBdr>
    </w:div>
    <w:div w:id="162815870">
      <w:bodyDiv w:val="1"/>
      <w:marLeft w:val="0"/>
      <w:marRight w:val="0"/>
      <w:marTop w:val="0"/>
      <w:marBottom w:val="0"/>
      <w:divBdr>
        <w:top w:val="none" w:sz="0" w:space="0" w:color="auto"/>
        <w:left w:val="none" w:sz="0" w:space="0" w:color="auto"/>
        <w:bottom w:val="none" w:sz="0" w:space="0" w:color="auto"/>
        <w:right w:val="none" w:sz="0" w:space="0" w:color="auto"/>
      </w:divBdr>
    </w:div>
    <w:div w:id="177502257">
      <w:bodyDiv w:val="1"/>
      <w:marLeft w:val="0"/>
      <w:marRight w:val="0"/>
      <w:marTop w:val="0"/>
      <w:marBottom w:val="0"/>
      <w:divBdr>
        <w:top w:val="none" w:sz="0" w:space="0" w:color="auto"/>
        <w:left w:val="none" w:sz="0" w:space="0" w:color="auto"/>
        <w:bottom w:val="none" w:sz="0" w:space="0" w:color="auto"/>
        <w:right w:val="none" w:sz="0" w:space="0" w:color="auto"/>
      </w:divBdr>
    </w:div>
    <w:div w:id="271087679">
      <w:bodyDiv w:val="1"/>
      <w:marLeft w:val="0"/>
      <w:marRight w:val="0"/>
      <w:marTop w:val="0"/>
      <w:marBottom w:val="0"/>
      <w:divBdr>
        <w:top w:val="none" w:sz="0" w:space="0" w:color="auto"/>
        <w:left w:val="none" w:sz="0" w:space="0" w:color="auto"/>
        <w:bottom w:val="none" w:sz="0" w:space="0" w:color="auto"/>
        <w:right w:val="none" w:sz="0" w:space="0" w:color="auto"/>
      </w:divBdr>
    </w:div>
    <w:div w:id="395594453">
      <w:bodyDiv w:val="1"/>
      <w:marLeft w:val="0"/>
      <w:marRight w:val="0"/>
      <w:marTop w:val="0"/>
      <w:marBottom w:val="0"/>
      <w:divBdr>
        <w:top w:val="none" w:sz="0" w:space="0" w:color="auto"/>
        <w:left w:val="none" w:sz="0" w:space="0" w:color="auto"/>
        <w:bottom w:val="none" w:sz="0" w:space="0" w:color="auto"/>
        <w:right w:val="none" w:sz="0" w:space="0" w:color="auto"/>
      </w:divBdr>
    </w:div>
    <w:div w:id="436632356">
      <w:bodyDiv w:val="1"/>
      <w:marLeft w:val="0"/>
      <w:marRight w:val="0"/>
      <w:marTop w:val="0"/>
      <w:marBottom w:val="0"/>
      <w:divBdr>
        <w:top w:val="none" w:sz="0" w:space="0" w:color="auto"/>
        <w:left w:val="none" w:sz="0" w:space="0" w:color="auto"/>
        <w:bottom w:val="none" w:sz="0" w:space="0" w:color="auto"/>
        <w:right w:val="none" w:sz="0" w:space="0" w:color="auto"/>
      </w:divBdr>
    </w:div>
    <w:div w:id="448745385">
      <w:bodyDiv w:val="1"/>
      <w:marLeft w:val="0"/>
      <w:marRight w:val="0"/>
      <w:marTop w:val="0"/>
      <w:marBottom w:val="0"/>
      <w:divBdr>
        <w:top w:val="none" w:sz="0" w:space="0" w:color="auto"/>
        <w:left w:val="none" w:sz="0" w:space="0" w:color="auto"/>
        <w:bottom w:val="none" w:sz="0" w:space="0" w:color="auto"/>
        <w:right w:val="none" w:sz="0" w:space="0" w:color="auto"/>
      </w:divBdr>
    </w:div>
    <w:div w:id="450899151">
      <w:bodyDiv w:val="1"/>
      <w:marLeft w:val="0"/>
      <w:marRight w:val="0"/>
      <w:marTop w:val="0"/>
      <w:marBottom w:val="0"/>
      <w:divBdr>
        <w:top w:val="none" w:sz="0" w:space="0" w:color="auto"/>
        <w:left w:val="none" w:sz="0" w:space="0" w:color="auto"/>
        <w:bottom w:val="none" w:sz="0" w:space="0" w:color="auto"/>
        <w:right w:val="none" w:sz="0" w:space="0" w:color="auto"/>
      </w:divBdr>
    </w:div>
    <w:div w:id="460611577">
      <w:bodyDiv w:val="1"/>
      <w:marLeft w:val="0"/>
      <w:marRight w:val="0"/>
      <w:marTop w:val="0"/>
      <w:marBottom w:val="0"/>
      <w:divBdr>
        <w:top w:val="none" w:sz="0" w:space="0" w:color="auto"/>
        <w:left w:val="none" w:sz="0" w:space="0" w:color="auto"/>
        <w:bottom w:val="none" w:sz="0" w:space="0" w:color="auto"/>
        <w:right w:val="none" w:sz="0" w:space="0" w:color="auto"/>
      </w:divBdr>
    </w:div>
    <w:div w:id="522934966">
      <w:bodyDiv w:val="1"/>
      <w:marLeft w:val="0"/>
      <w:marRight w:val="0"/>
      <w:marTop w:val="0"/>
      <w:marBottom w:val="0"/>
      <w:divBdr>
        <w:top w:val="none" w:sz="0" w:space="0" w:color="auto"/>
        <w:left w:val="none" w:sz="0" w:space="0" w:color="auto"/>
        <w:bottom w:val="none" w:sz="0" w:space="0" w:color="auto"/>
        <w:right w:val="none" w:sz="0" w:space="0" w:color="auto"/>
      </w:divBdr>
    </w:div>
    <w:div w:id="599722453">
      <w:bodyDiv w:val="1"/>
      <w:marLeft w:val="0"/>
      <w:marRight w:val="0"/>
      <w:marTop w:val="0"/>
      <w:marBottom w:val="0"/>
      <w:divBdr>
        <w:top w:val="none" w:sz="0" w:space="0" w:color="auto"/>
        <w:left w:val="none" w:sz="0" w:space="0" w:color="auto"/>
        <w:bottom w:val="none" w:sz="0" w:space="0" w:color="auto"/>
        <w:right w:val="none" w:sz="0" w:space="0" w:color="auto"/>
      </w:divBdr>
      <w:divsChild>
        <w:div w:id="1171487957">
          <w:marLeft w:val="0"/>
          <w:marRight w:val="108"/>
          <w:marTop w:val="18"/>
          <w:marBottom w:val="108"/>
          <w:divBdr>
            <w:top w:val="none" w:sz="0" w:space="0" w:color="auto"/>
            <w:left w:val="none" w:sz="0" w:space="0" w:color="auto"/>
            <w:bottom w:val="none" w:sz="0" w:space="0" w:color="auto"/>
            <w:right w:val="none" w:sz="0" w:space="0" w:color="auto"/>
          </w:divBdr>
          <w:divsChild>
            <w:div w:id="62990124">
              <w:marLeft w:val="0"/>
              <w:marRight w:val="0"/>
              <w:marTop w:val="0"/>
              <w:marBottom w:val="0"/>
              <w:divBdr>
                <w:top w:val="none" w:sz="0" w:space="0" w:color="auto"/>
                <w:left w:val="none" w:sz="0" w:space="0" w:color="auto"/>
                <w:bottom w:val="none" w:sz="0" w:space="0" w:color="auto"/>
                <w:right w:val="none" w:sz="0" w:space="0" w:color="auto"/>
              </w:divBdr>
              <w:divsChild>
                <w:div w:id="335960123">
                  <w:marLeft w:val="0"/>
                  <w:marRight w:val="0"/>
                  <w:marTop w:val="0"/>
                  <w:marBottom w:val="0"/>
                  <w:divBdr>
                    <w:top w:val="none" w:sz="0" w:space="0" w:color="auto"/>
                    <w:left w:val="none" w:sz="0" w:space="0" w:color="auto"/>
                    <w:bottom w:val="none" w:sz="0" w:space="0" w:color="auto"/>
                    <w:right w:val="none" w:sz="0" w:space="0" w:color="auto"/>
                  </w:divBdr>
                  <w:divsChild>
                    <w:div w:id="810681214">
                      <w:marLeft w:val="0"/>
                      <w:marRight w:val="0"/>
                      <w:marTop w:val="0"/>
                      <w:marBottom w:val="0"/>
                      <w:divBdr>
                        <w:top w:val="none" w:sz="0" w:space="0" w:color="auto"/>
                        <w:left w:val="none" w:sz="0" w:space="0" w:color="auto"/>
                        <w:bottom w:val="none" w:sz="0" w:space="0" w:color="auto"/>
                        <w:right w:val="none" w:sz="0" w:space="0" w:color="auto"/>
                      </w:divBdr>
                      <w:divsChild>
                        <w:div w:id="10297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44155">
      <w:bodyDiv w:val="1"/>
      <w:marLeft w:val="0"/>
      <w:marRight w:val="0"/>
      <w:marTop w:val="0"/>
      <w:marBottom w:val="0"/>
      <w:divBdr>
        <w:top w:val="none" w:sz="0" w:space="0" w:color="auto"/>
        <w:left w:val="none" w:sz="0" w:space="0" w:color="auto"/>
        <w:bottom w:val="none" w:sz="0" w:space="0" w:color="auto"/>
        <w:right w:val="none" w:sz="0" w:space="0" w:color="auto"/>
      </w:divBdr>
    </w:div>
    <w:div w:id="670303710">
      <w:bodyDiv w:val="1"/>
      <w:marLeft w:val="0"/>
      <w:marRight w:val="0"/>
      <w:marTop w:val="0"/>
      <w:marBottom w:val="0"/>
      <w:divBdr>
        <w:top w:val="none" w:sz="0" w:space="0" w:color="auto"/>
        <w:left w:val="none" w:sz="0" w:space="0" w:color="auto"/>
        <w:bottom w:val="none" w:sz="0" w:space="0" w:color="auto"/>
        <w:right w:val="none" w:sz="0" w:space="0" w:color="auto"/>
      </w:divBdr>
    </w:div>
    <w:div w:id="750002020">
      <w:bodyDiv w:val="1"/>
      <w:marLeft w:val="0"/>
      <w:marRight w:val="0"/>
      <w:marTop w:val="0"/>
      <w:marBottom w:val="0"/>
      <w:divBdr>
        <w:top w:val="none" w:sz="0" w:space="0" w:color="auto"/>
        <w:left w:val="none" w:sz="0" w:space="0" w:color="auto"/>
        <w:bottom w:val="none" w:sz="0" w:space="0" w:color="auto"/>
        <w:right w:val="none" w:sz="0" w:space="0" w:color="auto"/>
      </w:divBdr>
    </w:div>
    <w:div w:id="793061220">
      <w:bodyDiv w:val="1"/>
      <w:marLeft w:val="0"/>
      <w:marRight w:val="0"/>
      <w:marTop w:val="0"/>
      <w:marBottom w:val="0"/>
      <w:divBdr>
        <w:top w:val="none" w:sz="0" w:space="0" w:color="auto"/>
        <w:left w:val="none" w:sz="0" w:space="0" w:color="auto"/>
        <w:bottom w:val="none" w:sz="0" w:space="0" w:color="auto"/>
        <w:right w:val="none" w:sz="0" w:space="0" w:color="auto"/>
      </w:divBdr>
    </w:div>
    <w:div w:id="804858583">
      <w:bodyDiv w:val="1"/>
      <w:marLeft w:val="0"/>
      <w:marRight w:val="0"/>
      <w:marTop w:val="0"/>
      <w:marBottom w:val="0"/>
      <w:divBdr>
        <w:top w:val="none" w:sz="0" w:space="0" w:color="auto"/>
        <w:left w:val="none" w:sz="0" w:space="0" w:color="auto"/>
        <w:bottom w:val="none" w:sz="0" w:space="0" w:color="auto"/>
        <w:right w:val="none" w:sz="0" w:space="0" w:color="auto"/>
      </w:divBdr>
    </w:div>
    <w:div w:id="810634092">
      <w:bodyDiv w:val="1"/>
      <w:marLeft w:val="0"/>
      <w:marRight w:val="0"/>
      <w:marTop w:val="0"/>
      <w:marBottom w:val="0"/>
      <w:divBdr>
        <w:top w:val="none" w:sz="0" w:space="0" w:color="auto"/>
        <w:left w:val="none" w:sz="0" w:space="0" w:color="auto"/>
        <w:bottom w:val="none" w:sz="0" w:space="0" w:color="auto"/>
        <w:right w:val="none" w:sz="0" w:space="0" w:color="auto"/>
      </w:divBdr>
    </w:div>
    <w:div w:id="830144792">
      <w:bodyDiv w:val="1"/>
      <w:marLeft w:val="0"/>
      <w:marRight w:val="0"/>
      <w:marTop w:val="0"/>
      <w:marBottom w:val="0"/>
      <w:divBdr>
        <w:top w:val="none" w:sz="0" w:space="0" w:color="auto"/>
        <w:left w:val="none" w:sz="0" w:space="0" w:color="auto"/>
        <w:bottom w:val="none" w:sz="0" w:space="0" w:color="auto"/>
        <w:right w:val="none" w:sz="0" w:space="0" w:color="auto"/>
      </w:divBdr>
    </w:div>
    <w:div w:id="846099655">
      <w:bodyDiv w:val="1"/>
      <w:marLeft w:val="0"/>
      <w:marRight w:val="0"/>
      <w:marTop w:val="0"/>
      <w:marBottom w:val="0"/>
      <w:divBdr>
        <w:top w:val="none" w:sz="0" w:space="0" w:color="auto"/>
        <w:left w:val="none" w:sz="0" w:space="0" w:color="auto"/>
        <w:bottom w:val="none" w:sz="0" w:space="0" w:color="auto"/>
        <w:right w:val="none" w:sz="0" w:space="0" w:color="auto"/>
      </w:divBdr>
    </w:div>
    <w:div w:id="858739664">
      <w:bodyDiv w:val="1"/>
      <w:marLeft w:val="0"/>
      <w:marRight w:val="0"/>
      <w:marTop w:val="0"/>
      <w:marBottom w:val="0"/>
      <w:divBdr>
        <w:top w:val="none" w:sz="0" w:space="0" w:color="auto"/>
        <w:left w:val="none" w:sz="0" w:space="0" w:color="auto"/>
        <w:bottom w:val="none" w:sz="0" w:space="0" w:color="auto"/>
        <w:right w:val="none" w:sz="0" w:space="0" w:color="auto"/>
      </w:divBdr>
    </w:div>
    <w:div w:id="869414051">
      <w:bodyDiv w:val="1"/>
      <w:marLeft w:val="0"/>
      <w:marRight w:val="0"/>
      <w:marTop w:val="0"/>
      <w:marBottom w:val="0"/>
      <w:divBdr>
        <w:top w:val="none" w:sz="0" w:space="0" w:color="auto"/>
        <w:left w:val="none" w:sz="0" w:space="0" w:color="auto"/>
        <w:bottom w:val="none" w:sz="0" w:space="0" w:color="auto"/>
        <w:right w:val="none" w:sz="0" w:space="0" w:color="auto"/>
      </w:divBdr>
    </w:div>
    <w:div w:id="880553932">
      <w:bodyDiv w:val="1"/>
      <w:marLeft w:val="0"/>
      <w:marRight w:val="0"/>
      <w:marTop w:val="0"/>
      <w:marBottom w:val="0"/>
      <w:divBdr>
        <w:top w:val="none" w:sz="0" w:space="0" w:color="auto"/>
        <w:left w:val="none" w:sz="0" w:space="0" w:color="auto"/>
        <w:bottom w:val="none" w:sz="0" w:space="0" w:color="auto"/>
        <w:right w:val="none" w:sz="0" w:space="0" w:color="auto"/>
      </w:divBdr>
    </w:div>
    <w:div w:id="949361504">
      <w:bodyDiv w:val="1"/>
      <w:marLeft w:val="0"/>
      <w:marRight w:val="0"/>
      <w:marTop w:val="0"/>
      <w:marBottom w:val="0"/>
      <w:divBdr>
        <w:top w:val="none" w:sz="0" w:space="0" w:color="auto"/>
        <w:left w:val="none" w:sz="0" w:space="0" w:color="auto"/>
        <w:bottom w:val="none" w:sz="0" w:space="0" w:color="auto"/>
        <w:right w:val="none" w:sz="0" w:space="0" w:color="auto"/>
      </w:divBdr>
    </w:div>
    <w:div w:id="951978825">
      <w:bodyDiv w:val="1"/>
      <w:marLeft w:val="0"/>
      <w:marRight w:val="0"/>
      <w:marTop w:val="0"/>
      <w:marBottom w:val="0"/>
      <w:divBdr>
        <w:top w:val="none" w:sz="0" w:space="0" w:color="auto"/>
        <w:left w:val="none" w:sz="0" w:space="0" w:color="auto"/>
        <w:bottom w:val="none" w:sz="0" w:space="0" w:color="auto"/>
        <w:right w:val="none" w:sz="0" w:space="0" w:color="auto"/>
      </w:divBdr>
    </w:div>
    <w:div w:id="972635611">
      <w:bodyDiv w:val="1"/>
      <w:marLeft w:val="0"/>
      <w:marRight w:val="0"/>
      <w:marTop w:val="0"/>
      <w:marBottom w:val="0"/>
      <w:divBdr>
        <w:top w:val="none" w:sz="0" w:space="0" w:color="auto"/>
        <w:left w:val="none" w:sz="0" w:space="0" w:color="auto"/>
        <w:bottom w:val="none" w:sz="0" w:space="0" w:color="auto"/>
        <w:right w:val="none" w:sz="0" w:space="0" w:color="auto"/>
      </w:divBdr>
    </w:div>
    <w:div w:id="1054355945">
      <w:bodyDiv w:val="1"/>
      <w:marLeft w:val="0"/>
      <w:marRight w:val="0"/>
      <w:marTop w:val="0"/>
      <w:marBottom w:val="0"/>
      <w:divBdr>
        <w:top w:val="none" w:sz="0" w:space="0" w:color="auto"/>
        <w:left w:val="none" w:sz="0" w:space="0" w:color="auto"/>
        <w:bottom w:val="none" w:sz="0" w:space="0" w:color="auto"/>
        <w:right w:val="none" w:sz="0" w:space="0" w:color="auto"/>
      </w:divBdr>
    </w:div>
    <w:div w:id="1106729325">
      <w:bodyDiv w:val="1"/>
      <w:marLeft w:val="0"/>
      <w:marRight w:val="0"/>
      <w:marTop w:val="0"/>
      <w:marBottom w:val="0"/>
      <w:divBdr>
        <w:top w:val="none" w:sz="0" w:space="0" w:color="auto"/>
        <w:left w:val="none" w:sz="0" w:space="0" w:color="auto"/>
        <w:bottom w:val="none" w:sz="0" w:space="0" w:color="auto"/>
        <w:right w:val="none" w:sz="0" w:space="0" w:color="auto"/>
      </w:divBdr>
    </w:div>
    <w:div w:id="1127355714">
      <w:bodyDiv w:val="1"/>
      <w:marLeft w:val="0"/>
      <w:marRight w:val="0"/>
      <w:marTop w:val="0"/>
      <w:marBottom w:val="0"/>
      <w:divBdr>
        <w:top w:val="none" w:sz="0" w:space="0" w:color="auto"/>
        <w:left w:val="none" w:sz="0" w:space="0" w:color="auto"/>
        <w:bottom w:val="none" w:sz="0" w:space="0" w:color="auto"/>
        <w:right w:val="none" w:sz="0" w:space="0" w:color="auto"/>
      </w:divBdr>
    </w:div>
    <w:div w:id="1139688681">
      <w:bodyDiv w:val="1"/>
      <w:marLeft w:val="0"/>
      <w:marRight w:val="0"/>
      <w:marTop w:val="0"/>
      <w:marBottom w:val="0"/>
      <w:divBdr>
        <w:top w:val="none" w:sz="0" w:space="0" w:color="auto"/>
        <w:left w:val="none" w:sz="0" w:space="0" w:color="auto"/>
        <w:bottom w:val="none" w:sz="0" w:space="0" w:color="auto"/>
        <w:right w:val="none" w:sz="0" w:space="0" w:color="auto"/>
      </w:divBdr>
    </w:div>
    <w:div w:id="1144852760">
      <w:bodyDiv w:val="1"/>
      <w:marLeft w:val="0"/>
      <w:marRight w:val="0"/>
      <w:marTop w:val="0"/>
      <w:marBottom w:val="0"/>
      <w:divBdr>
        <w:top w:val="none" w:sz="0" w:space="0" w:color="auto"/>
        <w:left w:val="none" w:sz="0" w:space="0" w:color="auto"/>
        <w:bottom w:val="none" w:sz="0" w:space="0" w:color="auto"/>
        <w:right w:val="none" w:sz="0" w:space="0" w:color="auto"/>
      </w:divBdr>
    </w:div>
    <w:div w:id="1159034880">
      <w:bodyDiv w:val="1"/>
      <w:marLeft w:val="0"/>
      <w:marRight w:val="0"/>
      <w:marTop w:val="0"/>
      <w:marBottom w:val="0"/>
      <w:divBdr>
        <w:top w:val="none" w:sz="0" w:space="0" w:color="auto"/>
        <w:left w:val="none" w:sz="0" w:space="0" w:color="auto"/>
        <w:bottom w:val="none" w:sz="0" w:space="0" w:color="auto"/>
        <w:right w:val="none" w:sz="0" w:space="0" w:color="auto"/>
      </w:divBdr>
    </w:div>
    <w:div w:id="1160004850">
      <w:bodyDiv w:val="1"/>
      <w:marLeft w:val="0"/>
      <w:marRight w:val="0"/>
      <w:marTop w:val="0"/>
      <w:marBottom w:val="0"/>
      <w:divBdr>
        <w:top w:val="none" w:sz="0" w:space="0" w:color="auto"/>
        <w:left w:val="none" w:sz="0" w:space="0" w:color="auto"/>
        <w:bottom w:val="none" w:sz="0" w:space="0" w:color="auto"/>
        <w:right w:val="none" w:sz="0" w:space="0" w:color="auto"/>
      </w:divBdr>
    </w:div>
    <w:div w:id="1171217198">
      <w:bodyDiv w:val="1"/>
      <w:marLeft w:val="0"/>
      <w:marRight w:val="0"/>
      <w:marTop w:val="0"/>
      <w:marBottom w:val="0"/>
      <w:divBdr>
        <w:top w:val="none" w:sz="0" w:space="0" w:color="auto"/>
        <w:left w:val="none" w:sz="0" w:space="0" w:color="auto"/>
        <w:bottom w:val="none" w:sz="0" w:space="0" w:color="auto"/>
        <w:right w:val="none" w:sz="0" w:space="0" w:color="auto"/>
      </w:divBdr>
    </w:div>
    <w:div w:id="1176194902">
      <w:bodyDiv w:val="1"/>
      <w:marLeft w:val="0"/>
      <w:marRight w:val="0"/>
      <w:marTop w:val="0"/>
      <w:marBottom w:val="0"/>
      <w:divBdr>
        <w:top w:val="none" w:sz="0" w:space="0" w:color="auto"/>
        <w:left w:val="none" w:sz="0" w:space="0" w:color="auto"/>
        <w:bottom w:val="none" w:sz="0" w:space="0" w:color="auto"/>
        <w:right w:val="none" w:sz="0" w:space="0" w:color="auto"/>
      </w:divBdr>
    </w:div>
    <w:div w:id="1190339467">
      <w:bodyDiv w:val="1"/>
      <w:marLeft w:val="0"/>
      <w:marRight w:val="0"/>
      <w:marTop w:val="0"/>
      <w:marBottom w:val="0"/>
      <w:divBdr>
        <w:top w:val="none" w:sz="0" w:space="0" w:color="auto"/>
        <w:left w:val="none" w:sz="0" w:space="0" w:color="auto"/>
        <w:bottom w:val="none" w:sz="0" w:space="0" w:color="auto"/>
        <w:right w:val="none" w:sz="0" w:space="0" w:color="auto"/>
      </w:divBdr>
    </w:div>
    <w:div w:id="1203594695">
      <w:bodyDiv w:val="1"/>
      <w:marLeft w:val="0"/>
      <w:marRight w:val="0"/>
      <w:marTop w:val="0"/>
      <w:marBottom w:val="0"/>
      <w:divBdr>
        <w:top w:val="none" w:sz="0" w:space="0" w:color="auto"/>
        <w:left w:val="none" w:sz="0" w:space="0" w:color="auto"/>
        <w:bottom w:val="none" w:sz="0" w:space="0" w:color="auto"/>
        <w:right w:val="none" w:sz="0" w:space="0" w:color="auto"/>
      </w:divBdr>
    </w:div>
    <w:div w:id="1302275243">
      <w:bodyDiv w:val="1"/>
      <w:marLeft w:val="0"/>
      <w:marRight w:val="0"/>
      <w:marTop w:val="0"/>
      <w:marBottom w:val="0"/>
      <w:divBdr>
        <w:top w:val="none" w:sz="0" w:space="0" w:color="auto"/>
        <w:left w:val="none" w:sz="0" w:space="0" w:color="auto"/>
        <w:bottom w:val="none" w:sz="0" w:space="0" w:color="auto"/>
        <w:right w:val="none" w:sz="0" w:space="0" w:color="auto"/>
      </w:divBdr>
      <w:divsChild>
        <w:div w:id="241376373">
          <w:marLeft w:val="0"/>
          <w:marRight w:val="108"/>
          <w:marTop w:val="18"/>
          <w:marBottom w:val="108"/>
          <w:divBdr>
            <w:top w:val="none" w:sz="0" w:space="0" w:color="auto"/>
            <w:left w:val="none" w:sz="0" w:space="0" w:color="auto"/>
            <w:bottom w:val="none" w:sz="0" w:space="0" w:color="auto"/>
            <w:right w:val="none" w:sz="0" w:space="0" w:color="auto"/>
          </w:divBdr>
          <w:divsChild>
            <w:div w:id="499734341">
              <w:marLeft w:val="0"/>
              <w:marRight w:val="0"/>
              <w:marTop w:val="0"/>
              <w:marBottom w:val="0"/>
              <w:divBdr>
                <w:top w:val="none" w:sz="0" w:space="0" w:color="auto"/>
                <w:left w:val="none" w:sz="0" w:space="0" w:color="auto"/>
                <w:bottom w:val="none" w:sz="0" w:space="0" w:color="auto"/>
                <w:right w:val="none" w:sz="0" w:space="0" w:color="auto"/>
              </w:divBdr>
              <w:divsChild>
                <w:div w:id="2055039461">
                  <w:marLeft w:val="0"/>
                  <w:marRight w:val="0"/>
                  <w:marTop w:val="0"/>
                  <w:marBottom w:val="0"/>
                  <w:divBdr>
                    <w:top w:val="none" w:sz="0" w:space="0" w:color="auto"/>
                    <w:left w:val="none" w:sz="0" w:space="0" w:color="auto"/>
                    <w:bottom w:val="none" w:sz="0" w:space="0" w:color="auto"/>
                    <w:right w:val="none" w:sz="0" w:space="0" w:color="auto"/>
                  </w:divBdr>
                  <w:divsChild>
                    <w:div w:id="300580756">
                      <w:marLeft w:val="0"/>
                      <w:marRight w:val="0"/>
                      <w:marTop w:val="0"/>
                      <w:marBottom w:val="0"/>
                      <w:divBdr>
                        <w:top w:val="none" w:sz="0" w:space="0" w:color="auto"/>
                        <w:left w:val="none" w:sz="0" w:space="0" w:color="auto"/>
                        <w:bottom w:val="none" w:sz="0" w:space="0" w:color="auto"/>
                        <w:right w:val="none" w:sz="0" w:space="0" w:color="auto"/>
                      </w:divBdr>
                      <w:divsChild>
                        <w:div w:id="14613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897109">
      <w:bodyDiv w:val="1"/>
      <w:marLeft w:val="0"/>
      <w:marRight w:val="0"/>
      <w:marTop w:val="0"/>
      <w:marBottom w:val="0"/>
      <w:divBdr>
        <w:top w:val="none" w:sz="0" w:space="0" w:color="auto"/>
        <w:left w:val="none" w:sz="0" w:space="0" w:color="auto"/>
        <w:bottom w:val="none" w:sz="0" w:space="0" w:color="auto"/>
        <w:right w:val="none" w:sz="0" w:space="0" w:color="auto"/>
      </w:divBdr>
    </w:div>
    <w:div w:id="1315640835">
      <w:bodyDiv w:val="1"/>
      <w:marLeft w:val="0"/>
      <w:marRight w:val="0"/>
      <w:marTop w:val="0"/>
      <w:marBottom w:val="0"/>
      <w:divBdr>
        <w:top w:val="none" w:sz="0" w:space="0" w:color="auto"/>
        <w:left w:val="none" w:sz="0" w:space="0" w:color="auto"/>
        <w:bottom w:val="none" w:sz="0" w:space="0" w:color="auto"/>
        <w:right w:val="none" w:sz="0" w:space="0" w:color="auto"/>
      </w:divBdr>
    </w:div>
    <w:div w:id="1397239756">
      <w:bodyDiv w:val="1"/>
      <w:marLeft w:val="0"/>
      <w:marRight w:val="0"/>
      <w:marTop w:val="0"/>
      <w:marBottom w:val="0"/>
      <w:divBdr>
        <w:top w:val="none" w:sz="0" w:space="0" w:color="auto"/>
        <w:left w:val="none" w:sz="0" w:space="0" w:color="auto"/>
        <w:bottom w:val="none" w:sz="0" w:space="0" w:color="auto"/>
        <w:right w:val="none" w:sz="0" w:space="0" w:color="auto"/>
      </w:divBdr>
    </w:div>
    <w:div w:id="1409040831">
      <w:bodyDiv w:val="1"/>
      <w:marLeft w:val="0"/>
      <w:marRight w:val="0"/>
      <w:marTop w:val="0"/>
      <w:marBottom w:val="0"/>
      <w:divBdr>
        <w:top w:val="none" w:sz="0" w:space="0" w:color="auto"/>
        <w:left w:val="none" w:sz="0" w:space="0" w:color="auto"/>
        <w:bottom w:val="none" w:sz="0" w:space="0" w:color="auto"/>
        <w:right w:val="none" w:sz="0" w:space="0" w:color="auto"/>
      </w:divBdr>
    </w:div>
    <w:div w:id="1543664945">
      <w:bodyDiv w:val="1"/>
      <w:marLeft w:val="0"/>
      <w:marRight w:val="0"/>
      <w:marTop w:val="0"/>
      <w:marBottom w:val="0"/>
      <w:divBdr>
        <w:top w:val="none" w:sz="0" w:space="0" w:color="auto"/>
        <w:left w:val="none" w:sz="0" w:space="0" w:color="auto"/>
        <w:bottom w:val="none" w:sz="0" w:space="0" w:color="auto"/>
        <w:right w:val="none" w:sz="0" w:space="0" w:color="auto"/>
      </w:divBdr>
    </w:div>
    <w:div w:id="1553729360">
      <w:bodyDiv w:val="1"/>
      <w:marLeft w:val="0"/>
      <w:marRight w:val="0"/>
      <w:marTop w:val="0"/>
      <w:marBottom w:val="0"/>
      <w:divBdr>
        <w:top w:val="none" w:sz="0" w:space="0" w:color="auto"/>
        <w:left w:val="none" w:sz="0" w:space="0" w:color="auto"/>
        <w:bottom w:val="none" w:sz="0" w:space="0" w:color="auto"/>
        <w:right w:val="none" w:sz="0" w:space="0" w:color="auto"/>
      </w:divBdr>
    </w:div>
    <w:div w:id="1562522488">
      <w:bodyDiv w:val="1"/>
      <w:marLeft w:val="0"/>
      <w:marRight w:val="0"/>
      <w:marTop w:val="0"/>
      <w:marBottom w:val="0"/>
      <w:divBdr>
        <w:top w:val="none" w:sz="0" w:space="0" w:color="auto"/>
        <w:left w:val="none" w:sz="0" w:space="0" w:color="auto"/>
        <w:bottom w:val="none" w:sz="0" w:space="0" w:color="auto"/>
        <w:right w:val="none" w:sz="0" w:space="0" w:color="auto"/>
      </w:divBdr>
    </w:div>
    <w:div w:id="1576474269">
      <w:bodyDiv w:val="1"/>
      <w:marLeft w:val="0"/>
      <w:marRight w:val="0"/>
      <w:marTop w:val="0"/>
      <w:marBottom w:val="0"/>
      <w:divBdr>
        <w:top w:val="none" w:sz="0" w:space="0" w:color="auto"/>
        <w:left w:val="none" w:sz="0" w:space="0" w:color="auto"/>
        <w:bottom w:val="none" w:sz="0" w:space="0" w:color="auto"/>
        <w:right w:val="none" w:sz="0" w:space="0" w:color="auto"/>
      </w:divBdr>
    </w:div>
    <w:div w:id="1593973472">
      <w:bodyDiv w:val="1"/>
      <w:marLeft w:val="0"/>
      <w:marRight w:val="0"/>
      <w:marTop w:val="0"/>
      <w:marBottom w:val="0"/>
      <w:divBdr>
        <w:top w:val="none" w:sz="0" w:space="0" w:color="auto"/>
        <w:left w:val="none" w:sz="0" w:space="0" w:color="auto"/>
        <w:bottom w:val="none" w:sz="0" w:space="0" w:color="auto"/>
        <w:right w:val="none" w:sz="0" w:space="0" w:color="auto"/>
      </w:divBdr>
    </w:div>
    <w:div w:id="1663196160">
      <w:bodyDiv w:val="1"/>
      <w:marLeft w:val="0"/>
      <w:marRight w:val="0"/>
      <w:marTop w:val="0"/>
      <w:marBottom w:val="0"/>
      <w:divBdr>
        <w:top w:val="none" w:sz="0" w:space="0" w:color="auto"/>
        <w:left w:val="none" w:sz="0" w:space="0" w:color="auto"/>
        <w:bottom w:val="none" w:sz="0" w:space="0" w:color="auto"/>
        <w:right w:val="none" w:sz="0" w:space="0" w:color="auto"/>
      </w:divBdr>
    </w:div>
    <w:div w:id="1672177887">
      <w:bodyDiv w:val="1"/>
      <w:marLeft w:val="0"/>
      <w:marRight w:val="0"/>
      <w:marTop w:val="0"/>
      <w:marBottom w:val="0"/>
      <w:divBdr>
        <w:top w:val="none" w:sz="0" w:space="0" w:color="auto"/>
        <w:left w:val="none" w:sz="0" w:space="0" w:color="auto"/>
        <w:bottom w:val="none" w:sz="0" w:space="0" w:color="auto"/>
        <w:right w:val="none" w:sz="0" w:space="0" w:color="auto"/>
      </w:divBdr>
    </w:div>
    <w:div w:id="1833763030">
      <w:bodyDiv w:val="1"/>
      <w:marLeft w:val="0"/>
      <w:marRight w:val="0"/>
      <w:marTop w:val="0"/>
      <w:marBottom w:val="0"/>
      <w:divBdr>
        <w:top w:val="none" w:sz="0" w:space="0" w:color="auto"/>
        <w:left w:val="none" w:sz="0" w:space="0" w:color="auto"/>
        <w:bottom w:val="none" w:sz="0" w:space="0" w:color="auto"/>
        <w:right w:val="none" w:sz="0" w:space="0" w:color="auto"/>
      </w:divBdr>
    </w:div>
    <w:div w:id="1834295059">
      <w:bodyDiv w:val="1"/>
      <w:marLeft w:val="0"/>
      <w:marRight w:val="0"/>
      <w:marTop w:val="0"/>
      <w:marBottom w:val="0"/>
      <w:divBdr>
        <w:top w:val="none" w:sz="0" w:space="0" w:color="auto"/>
        <w:left w:val="none" w:sz="0" w:space="0" w:color="auto"/>
        <w:bottom w:val="none" w:sz="0" w:space="0" w:color="auto"/>
        <w:right w:val="none" w:sz="0" w:space="0" w:color="auto"/>
      </w:divBdr>
    </w:div>
    <w:div w:id="1859464242">
      <w:bodyDiv w:val="1"/>
      <w:marLeft w:val="0"/>
      <w:marRight w:val="0"/>
      <w:marTop w:val="0"/>
      <w:marBottom w:val="0"/>
      <w:divBdr>
        <w:top w:val="none" w:sz="0" w:space="0" w:color="auto"/>
        <w:left w:val="none" w:sz="0" w:space="0" w:color="auto"/>
        <w:bottom w:val="none" w:sz="0" w:space="0" w:color="auto"/>
        <w:right w:val="none" w:sz="0" w:space="0" w:color="auto"/>
      </w:divBdr>
      <w:divsChild>
        <w:div w:id="900215888">
          <w:marLeft w:val="0"/>
          <w:marRight w:val="108"/>
          <w:marTop w:val="18"/>
          <w:marBottom w:val="108"/>
          <w:divBdr>
            <w:top w:val="none" w:sz="0" w:space="0" w:color="auto"/>
            <w:left w:val="none" w:sz="0" w:space="0" w:color="auto"/>
            <w:bottom w:val="none" w:sz="0" w:space="0" w:color="auto"/>
            <w:right w:val="none" w:sz="0" w:space="0" w:color="auto"/>
          </w:divBdr>
          <w:divsChild>
            <w:div w:id="950091308">
              <w:marLeft w:val="0"/>
              <w:marRight w:val="0"/>
              <w:marTop w:val="0"/>
              <w:marBottom w:val="0"/>
              <w:divBdr>
                <w:top w:val="none" w:sz="0" w:space="0" w:color="auto"/>
                <w:left w:val="none" w:sz="0" w:space="0" w:color="auto"/>
                <w:bottom w:val="none" w:sz="0" w:space="0" w:color="auto"/>
                <w:right w:val="none" w:sz="0" w:space="0" w:color="auto"/>
              </w:divBdr>
              <w:divsChild>
                <w:div w:id="1100565534">
                  <w:marLeft w:val="0"/>
                  <w:marRight w:val="0"/>
                  <w:marTop w:val="0"/>
                  <w:marBottom w:val="0"/>
                  <w:divBdr>
                    <w:top w:val="none" w:sz="0" w:space="0" w:color="auto"/>
                    <w:left w:val="none" w:sz="0" w:space="0" w:color="auto"/>
                    <w:bottom w:val="none" w:sz="0" w:space="0" w:color="auto"/>
                    <w:right w:val="none" w:sz="0" w:space="0" w:color="auto"/>
                  </w:divBdr>
                  <w:divsChild>
                    <w:div w:id="59638552">
                      <w:marLeft w:val="0"/>
                      <w:marRight w:val="0"/>
                      <w:marTop w:val="0"/>
                      <w:marBottom w:val="0"/>
                      <w:divBdr>
                        <w:top w:val="none" w:sz="0" w:space="0" w:color="auto"/>
                        <w:left w:val="none" w:sz="0" w:space="0" w:color="auto"/>
                        <w:bottom w:val="none" w:sz="0" w:space="0" w:color="auto"/>
                        <w:right w:val="none" w:sz="0" w:space="0" w:color="auto"/>
                      </w:divBdr>
                      <w:divsChild>
                        <w:div w:id="4011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608146">
      <w:bodyDiv w:val="1"/>
      <w:marLeft w:val="0"/>
      <w:marRight w:val="0"/>
      <w:marTop w:val="0"/>
      <w:marBottom w:val="0"/>
      <w:divBdr>
        <w:top w:val="none" w:sz="0" w:space="0" w:color="auto"/>
        <w:left w:val="none" w:sz="0" w:space="0" w:color="auto"/>
        <w:bottom w:val="none" w:sz="0" w:space="0" w:color="auto"/>
        <w:right w:val="none" w:sz="0" w:space="0" w:color="auto"/>
      </w:divBdr>
    </w:div>
    <w:div w:id="1876691197">
      <w:bodyDiv w:val="1"/>
      <w:marLeft w:val="0"/>
      <w:marRight w:val="0"/>
      <w:marTop w:val="0"/>
      <w:marBottom w:val="0"/>
      <w:divBdr>
        <w:top w:val="none" w:sz="0" w:space="0" w:color="auto"/>
        <w:left w:val="none" w:sz="0" w:space="0" w:color="auto"/>
        <w:bottom w:val="none" w:sz="0" w:space="0" w:color="auto"/>
        <w:right w:val="none" w:sz="0" w:space="0" w:color="auto"/>
      </w:divBdr>
      <w:divsChild>
        <w:div w:id="541138445">
          <w:marLeft w:val="0"/>
          <w:marRight w:val="108"/>
          <w:marTop w:val="18"/>
          <w:marBottom w:val="108"/>
          <w:divBdr>
            <w:top w:val="none" w:sz="0" w:space="0" w:color="auto"/>
            <w:left w:val="none" w:sz="0" w:space="0" w:color="auto"/>
            <w:bottom w:val="none" w:sz="0" w:space="0" w:color="auto"/>
            <w:right w:val="none" w:sz="0" w:space="0" w:color="auto"/>
          </w:divBdr>
          <w:divsChild>
            <w:div w:id="813061494">
              <w:marLeft w:val="0"/>
              <w:marRight w:val="0"/>
              <w:marTop w:val="0"/>
              <w:marBottom w:val="0"/>
              <w:divBdr>
                <w:top w:val="none" w:sz="0" w:space="0" w:color="auto"/>
                <w:left w:val="none" w:sz="0" w:space="0" w:color="auto"/>
                <w:bottom w:val="none" w:sz="0" w:space="0" w:color="auto"/>
                <w:right w:val="none" w:sz="0" w:space="0" w:color="auto"/>
              </w:divBdr>
              <w:divsChild>
                <w:div w:id="1397581148">
                  <w:marLeft w:val="0"/>
                  <w:marRight w:val="0"/>
                  <w:marTop w:val="0"/>
                  <w:marBottom w:val="0"/>
                  <w:divBdr>
                    <w:top w:val="none" w:sz="0" w:space="0" w:color="auto"/>
                    <w:left w:val="none" w:sz="0" w:space="0" w:color="auto"/>
                    <w:bottom w:val="none" w:sz="0" w:space="0" w:color="auto"/>
                    <w:right w:val="none" w:sz="0" w:space="0" w:color="auto"/>
                  </w:divBdr>
                  <w:divsChild>
                    <w:div w:id="1271426932">
                      <w:marLeft w:val="0"/>
                      <w:marRight w:val="0"/>
                      <w:marTop w:val="0"/>
                      <w:marBottom w:val="0"/>
                      <w:divBdr>
                        <w:top w:val="none" w:sz="0" w:space="0" w:color="auto"/>
                        <w:left w:val="none" w:sz="0" w:space="0" w:color="auto"/>
                        <w:bottom w:val="none" w:sz="0" w:space="0" w:color="auto"/>
                        <w:right w:val="none" w:sz="0" w:space="0" w:color="auto"/>
                      </w:divBdr>
                      <w:divsChild>
                        <w:div w:id="155045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723604">
      <w:bodyDiv w:val="1"/>
      <w:marLeft w:val="0"/>
      <w:marRight w:val="0"/>
      <w:marTop w:val="0"/>
      <w:marBottom w:val="0"/>
      <w:divBdr>
        <w:top w:val="none" w:sz="0" w:space="0" w:color="auto"/>
        <w:left w:val="none" w:sz="0" w:space="0" w:color="auto"/>
        <w:bottom w:val="none" w:sz="0" w:space="0" w:color="auto"/>
        <w:right w:val="none" w:sz="0" w:space="0" w:color="auto"/>
      </w:divBdr>
    </w:div>
    <w:div w:id="1967275327">
      <w:bodyDiv w:val="1"/>
      <w:marLeft w:val="0"/>
      <w:marRight w:val="0"/>
      <w:marTop w:val="0"/>
      <w:marBottom w:val="0"/>
      <w:divBdr>
        <w:top w:val="none" w:sz="0" w:space="0" w:color="auto"/>
        <w:left w:val="none" w:sz="0" w:space="0" w:color="auto"/>
        <w:bottom w:val="none" w:sz="0" w:space="0" w:color="auto"/>
        <w:right w:val="none" w:sz="0" w:space="0" w:color="auto"/>
      </w:divBdr>
    </w:div>
    <w:div w:id="2011522894">
      <w:bodyDiv w:val="1"/>
      <w:marLeft w:val="0"/>
      <w:marRight w:val="0"/>
      <w:marTop w:val="0"/>
      <w:marBottom w:val="0"/>
      <w:divBdr>
        <w:top w:val="none" w:sz="0" w:space="0" w:color="auto"/>
        <w:left w:val="none" w:sz="0" w:space="0" w:color="auto"/>
        <w:bottom w:val="none" w:sz="0" w:space="0" w:color="auto"/>
        <w:right w:val="none" w:sz="0" w:space="0" w:color="auto"/>
      </w:divBdr>
    </w:div>
    <w:div w:id="2022009430">
      <w:bodyDiv w:val="1"/>
      <w:marLeft w:val="0"/>
      <w:marRight w:val="0"/>
      <w:marTop w:val="0"/>
      <w:marBottom w:val="0"/>
      <w:divBdr>
        <w:top w:val="none" w:sz="0" w:space="0" w:color="auto"/>
        <w:left w:val="none" w:sz="0" w:space="0" w:color="auto"/>
        <w:bottom w:val="none" w:sz="0" w:space="0" w:color="auto"/>
        <w:right w:val="none" w:sz="0" w:space="0" w:color="auto"/>
      </w:divBdr>
    </w:div>
    <w:div w:id="202566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bhavanasrivastava190@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ubhav.monirba@allduniv.ac.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files\My%20Writtings\Beyond%20profit%20to%20Plan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files\My%20Writtings\Beyond%20profit%20to%20Plan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Expectation vs Perceived ESG Adoption Across Dimensions”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'Main Presentation Data'!$B$10</c:f>
              <c:strCache>
                <c:ptCount val="1"/>
                <c:pt idx="0">
                  <c:v>Expectation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'Main Presentation Data'!$A$11:$A$16</c:f>
              <c:strCache>
                <c:ptCount val="6"/>
                <c:pt idx="0">
                  <c:v>Enviornment</c:v>
                </c:pt>
                <c:pt idx="1">
                  <c:v>Social </c:v>
                </c:pt>
                <c:pt idx="2">
                  <c:v>Governance</c:v>
                </c:pt>
                <c:pt idx="3">
                  <c:v>Waste</c:v>
                </c:pt>
                <c:pt idx="4">
                  <c:v>Packaging</c:v>
                </c:pt>
                <c:pt idx="5">
                  <c:v>Overall</c:v>
                </c:pt>
              </c:strCache>
            </c:strRef>
          </c:cat>
          <c:val>
            <c:numRef>
              <c:f>'Main Presentation Data'!$B$11:$B$16</c:f>
              <c:numCache>
                <c:formatCode>0.0000</c:formatCode>
                <c:ptCount val="6"/>
                <c:pt idx="0">
                  <c:v>0.63926426426426419</c:v>
                </c:pt>
                <c:pt idx="1">
                  <c:v>0.67905405405405406</c:v>
                </c:pt>
                <c:pt idx="2">
                  <c:v>0.67905405405405406</c:v>
                </c:pt>
                <c:pt idx="3">
                  <c:v>0.62049549549549543</c:v>
                </c:pt>
                <c:pt idx="4">
                  <c:v>0.71509009009009006</c:v>
                </c:pt>
                <c:pt idx="5">
                  <c:v>0.64</c:v>
                </c:pt>
              </c:numCache>
            </c:numRef>
          </c:val>
          <c:extLst>
            <c:ext xmlns:c16="http://schemas.microsoft.com/office/drawing/2014/chart" uri="{C3380CC4-5D6E-409C-BE32-E72D297353CC}">
              <c16:uniqueId val="{00000000-68AC-44B5-BBC9-2F8A05F528D5}"/>
            </c:ext>
          </c:extLst>
        </c:ser>
        <c:ser>
          <c:idx val="1"/>
          <c:order val="1"/>
          <c:tx>
            <c:strRef>
              <c:f>'Main Presentation Data'!$C$10</c:f>
              <c:strCache>
                <c:ptCount val="1"/>
                <c:pt idx="0">
                  <c:v>Adoptation Value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'Main Presentation Data'!$A$11:$A$16</c:f>
              <c:strCache>
                <c:ptCount val="6"/>
                <c:pt idx="0">
                  <c:v>Enviornment</c:v>
                </c:pt>
                <c:pt idx="1">
                  <c:v>Social </c:v>
                </c:pt>
                <c:pt idx="2">
                  <c:v>Governance</c:v>
                </c:pt>
                <c:pt idx="3">
                  <c:v>Waste</c:v>
                </c:pt>
                <c:pt idx="4">
                  <c:v>Packaging</c:v>
                </c:pt>
                <c:pt idx="5">
                  <c:v>Overall</c:v>
                </c:pt>
              </c:strCache>
            </c:strRef>
          </c:cat>
          <c:val>
            <c:numRef>
              <c:f>'Main Presentation Data'!$C$11:$C$16</c:f>
              <c:numCache>
                <c:formatCode>0.0000</c:formatCode>
                <c:ptCount val="6"/>
                <c:pt idx="0">
                  <c:v>0.59909909909909909</c:v>
                </c:pt>
                <c:pt idx="1">
                  <c:v>0.59459459459459463</c:v>
                </c:pt>
                <c:pt idx="2">
                  <c:v>0.48648648648648651</c:v>
                </c:pt>
                <c:pt idx="3">
                  <c:v>0.51351351351351349</c:v>
                </c:pt>
                <c:pt idx="4">
                  <c:v>0.62612612612612617</c:v>
                </c:pt>
                <c:pt idx="5">
                  <c:v>0.56399999999999995</c:v>
                </c:pt>
              </c:numCache>
            </c:numRef>
          </c:val>
          <c:extLst>
            <c:ext xmlns:c16="http://schemas.microsoft.com/office/drawing/2014/chart" uri="{C3380CC4-5D6E-409C-BE32-E72D297353CC}">
              <c16:uniqueId val="{00000001-68AC-44B5-BBC9-2F8A05F528D5}"/>
            </c:ext>
          </c:extLst>
        </c:ser>
        <c:dLbls>
          <c:dLblPos val="outEnd"/>
          <c:showLegendKey val="0"/>
          <c:showVal val="1"/>
          <c:showCatName val="0"/>
          <c:showSerName val="0"/>
          <c:showPercent val="0"/>
          <c:showBubbleSize val="0"/>
        </c:dLbls>
        <c:gapWidth val="219"/>
        <c:overlap val="-27"/>
        <c:axId val="541054432"/>
        <c:axId val="541058272"/>
      </c:barChart>
      <c:catAx>
        <c:axId val="54105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1058272"/>
        <c:crosses val="autoZero"/>
        <c:auto val="1"/>
        <c:lblAlgn val="ctr"/>
        <c:lblOffset val="100"/>
        <c:noMultiLvlLbl val="0"/>
      </c:catAx>
      <c:valAx>
        <c:axId val="541058272"/>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105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Dimension-wise ESG Expectation–Adoption Gap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'Main Presentation Data'!$B$25</c:f>
              <c:strCache>
                <c:ptCount val="1"/>
                <c:pt idx="0">
                  <c:v>Mean Gap</c:v>
                </c:pt>
              </c:strCache>
            </c:strRef>
          </c:tx>
          <c:spPr>
            <a:solidFill>
              <a:schemeClr val="accent1"/>
            </a:solidFill>
            <a:ln>
              <a:noFill/>
            </a:ln>
            <a:effectLst/>
          </c:spPr>
          <c:invertIfNegative val="0"/>
          <c:cat>
            <c:strRef>
              <c:f>'Main Presentation Data'!$A$26:$A$31</c:f>
              <c:strCache>
                <c:ptCount val="6"/>
                <c:pt idx="0">
                  <c:v>Enviornment</c:v>
                </c:pt>
                <c:pt idx="1">
                  <c:v>Social </c:v>
                </c:pt>
                <c:pt idx="2">
                  <c:v>Governance</c:v>
                </c:pt>
                <c:pt idx="3">
                  <c:v>Waste</c:v>
                </c:pt>
                <c:pt idx="4">
                  <c:v>Packaging</c:v>
                </c:pt>
                <c:pt idx="5">
                  <c:v>Overall</c:v>
                </c:pt>
              </c:strCache>
            </c:strRef>
          </c:cat>
          <c:val>
            <c:numRef>
              <c:f>'Main Presentation Data'!$B$26:$B$31</c:f>
              <c:numCache>
                <c:formatCode>0.0000</c:formatCode>
                <c:ptCount val="6"/>
                <c:pt idx="0">
                  <c:v>4.016516516516544E-2</c:v>
                </c:pt>
                <c:pt idx="1">
                  <c:v>8.4459459459459318E-2</c:v>
                </c:pt>
                <c:pt idx="2">
                  <c:v>0.19256756756756777</c:v>
                </c:pt>
                <c:pt idx="3">
                  <c:v>0.10698198198198161</c:v>
                </c:pt>
                <c:pt idx="4">
                  <c:v>8.8963963963963888E-2</c:v>
                </c:pt>
                <c:pt idx="5">
                  <c:v>9.9163449163449546E-2</c:v>
                </c:pt>
              </c:numCache>
            </c:numRef>
          </c:val>
          <c:extLst>
            <c:ext xmlns:c16="http://schemas.microsoft.com/office/drawing/2014/chart" uri="{C3380CC4-5D6E-409C-BE32-E72D297353CC}">
              <c16:uniqueId val="{00000000-006C-4592-9E52-4B586B5091FB}"/>
            </c:ext>
          </c:extLst>
        </c:ser>
        <c:dLbls>
          <c:showLegendKey val="0"/>
          <c:showVal val="0"/>
          <c:showCatName val="0"/>
          <c:showSerName val="0"/>
          <c:showPercent val="0"/>
          <c:showBubbleSize val="0"/>
        </c:dLbls>
        <c:gapWidth val="219"/>
        <c:overlap val="-27"/>
        <c:axId val="541025632"/>
        <c:axId val="541030912"/>
      </c:barChart>
      <c:catAx>
        <c:axId val="54102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1030912"/>
        <c:crosses val="autoZero"/>
        <c:auto val="1"/>
        <c:lblAlgn val="ctr"/>
        <c:lblOffset val="100"/>
        <c:noMultiLvlLbl val="0"/>
      </c:catAx>
      <c:valAx>
        <c:axId val="541030912"/>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10256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Min26</b:Tag>
    <b:SourceType>InternetSite</b:SourceType>
    <b:Guid>{B0033D22-AC52-4268-ABA2-B003770DF94C}</b:Guid>
    <b:Title>MSME Connect</b:Title>
    <b:Year>2026</b:Year>
    <b:Author>
      <b:Author>
        <b:Corporate>Ministry of MSME</b:Corporate>
      </b:Author>
    </b:Author>
    <b:InternetSiteTitle>Ministry of Micro Small and Medium Entterprises</b:InternetSiteTitle>
    <b:Month>March</b:Month>
    <b:Day>28</b:Day>
    <b:URL>https://msme.gov.in/sites/default/files/MSME-Connect.htm?utm_</b:URL>
    <b:RefOrder>2</b:RefOrder>
  </b:Source>
  <b:Source>
    <b:Tag>Ver24</b:Tag>
    <b:SourceType>JournalArticle</b:SourceType>
    <b:Guid>{E5021561-9848-46BA-BED1-3680E732C4D8}</b:Guid>
    <b:Title>Industry 5.0: A Human- Centric and Sustainable Approach to Industrial Developement</b:Title>
    <b:Year>2024</b:Year>
    <b:URL>https://ijournals.in/wp-content/uploads/2024/06/3.IJSRC-120507-Deepak.pdf</b:URL>
    <b:Author>
      <b:Author>
        <b:NameList>
          <b:Person>
            <b:Last>Verma</b:Last>
            <b:First>Dr.</b:First>
            <b:Middle>Deepak</b:Middle>
          </b:Person>
        </b:NameList>
      </b:Author>
    </b:Author>
    <b:JournalName>International Journal of Social Relevance &amp; Concern</b:JournalName>
    <b:Pages>17-21</b:Pages>
    <b:Volume>12</b:Volume>
    <b:Issue>5</b:Issue>
    <b:YearAccessed>2026</b:YearAccessed>
    <b:MonthAccessed>March</b:MonthAccessed>
    <b:DayAccessed>26</b:DayAccessed>
    <b:DOI>https://doi.org/10.26821/IJSRC.12.5.2024.120507</b:DOI>
    <b:RefOrder>1</b:RefOrder>
  </b:Source>
  <b:Source>
    <b:Tag>Uni23</b:Tag>
    <b:SourceType>InternetSite</b:SourceType>
    <b:Guid>{0DEE307B-8F7C-488B-8374-B43E2317103E}</b:Guid>
    <b:Title>Climate and Enviornment</b:Title>
    <b:Year>2023</b:Year>
    <b:Author>
      <b:Author>
        <b:Corporate>United Nation</b:Corporate>
      </b:Author>
    </b:Author>
    <b:InternetSiteTitle>United Nation</b:InternetSiteTitle>
    <b:Month>January</b:Month>
    <b:Day>9</b:Day>
    <b:URL>https://news.un.org/en/story/2023/01/1132277#:~:text=The%20Earth's%20ozone%20layer%20is,policy%20and%20decision%2Dmakers.%E2%80%9D</b:URL>
    <b:RefOrder>12</b:RefOrder>
  </b:Source>
  <b:Source>
    <b:Tag>Ste24</b:Tag>
    <b:SourceType>BookSection</b:SourceType>
    <b:Guid>{1BD24EBA-7CA9-476C-A528-DD5DAA6ED629}</b:Guid>
    <b:Title>Sustainability in SMEs: What Core Values Are Realy Important </b:Title>
    <b:Year>2024</b:Year>
    <b:URL>https://link.springer.com/book/10.1007/978-3-031-78361-6</b:URL>
    <b:BookTitle>Core Value and Decission Making For Sustainable Business</b:BookTitle>
    <b:Pages>13-38</b:Pages>
    <b:City>Cham</b:City>
    <b:Publisher>Springer Nature Switzerland AG</b:Publisher>
    <b:Author>
      <b:Author>
        <b:NameList>
          <b:Person>
            <b:Last>Vacher</b:Last>
            <b:First>Stephano</b:First>
          </b:Person>
        </b:NameList>
      </b:Author>
      <b:BookAuthor>
        <b:NameList>
          <b:Person>
            <b:Last>Verkuli</b:Last>
            <b:First>Arie</b:First>
            <b:Middle>Hans</b:Middle>
          </b:Person>
          <b:Person>
            <b:Last>Milow</b:Last>
            <b:First>Uta</b:First>
          </b:Person>
          <b:Person>
            <b:Last>Hinz</b:Last>
            <b:First>Andreas</b:First>
          </b:Person>
          <b:Person>
            <b:Last>Kilani</b:Last>
            <b:First>Mahmoud</b:First>
            <b:Middle>Al-</b:Middle>
          </b:Person>
        </b:NameList>
      </b:BookAuthor>
    </b:Author>
    <b:CountryRegion>Switzerland</b:CountryRegion>
    <b:ChapterNumber>2</b:ChapterNumber>
    <b:ShortTitle>Core Values of Sustainable Business Decision Making</b:ShortTitle>
    <b:StandardNumber>978-3-031-78361-6</b:StandardNumber>
    <b:YearAccessed>2026</b:YearAccessed>
    <b:MonthAccessed>March</b:MonthAccessed>
    <b:DayAccessed>23</b:DayAccessed>
    <b:DOI>https://doi.org/10.1007/978-3-031-78361-6</b:DOI>
    <b:RefOrder>3</b:RefOrder>
  </b:Source>
  <b:Source>
    <b:Tag>Meh24</b:Tag>
    <b:SourceType>BookSection</b:SourceType>
    <b:Guid>{1D46398B-85A4-4CAC-8B2C-2F915BF1EC5E}</b:Guid>
    <b:Author>
      <b:Author>
        <b:NameList>
          <b:Person>
            <b:Last>Mehta</b:Last>
            <b:First>Minu</b:First>
          </b:Person>
          <b:Person>
            <b:Last>Chatterjee</b:Last>
            <b:First>Boishampayan</b:First>
          </b:Person>
        </b:NameList>
      </b:Author>
      <b:BookAuthor>
        <b:NameList>
          <b:Person>
            <b:Last>Verkuil</b:Last>
            <b:First>Arie</b:First>
            <b:Middle>Hans</b:Middle>
          </b:Person>
          <b:Person>
            <b:Last>Milow</b:Last>
            <b:First>Uta</b:First>
          </b:Person>
          <b:Person>
            <b:Last>Hinz</b:Last>
            <b:First>Andreas</b:First>
          </b:Person>
          <b:Person>
            <b:Last>Al-Kilani</b:Last>
            <b:First>Mahmoud</b:First>
          </b:Person>
        </b:NameList>
      </b:BookAuthor>
    </b:Author>
    <b:Title>From Values to Practice: Evaluating the Intention of Indian MSMEs to Adopt Sustainable Business Practises</b:Title>
    <b:BookTitle>Core Values and Decission Making for Sustainable Business</b:BookTitle>
    <b:Year>2024</b:Year>
    <b:Pages>115-126</b:Pages>
    <b:City>Cham</b:City>
    <b:Publisher>Springer Nature Switzerland AG</b:Publisher>
    <b:CountryRegion>Switzerland</b:CountryRegion>
    <b:ChapterNumber>6</b:ChapterNumber>
    <b:StandardNumber>978-3-031-78361-6</b:StandardNumber>
    <b:YearAccessed>2026</b:YearAccessed>
    <b:MonthAccessed>March</b:MonthAccessed>
    <b:DayAccessed>26</b:DayAccessed>
    <b:URL>https://link.springer.com/book/10.1007/978-3-031-78361-6</b:URL>
    <b:DOI>https://doi.org/10.1007/978-3-031-78361-6</b:DOI>
    <b:RefOrder>4</b:RefOrder>
  </b:Source>
  <b:Source>
    <b:Tag>Yad25</b:Tag>
    <b:SourceType>JournalArticle</b:SourceType>
    <b:Guid>{F3628247-81B1-440B-96C9-E6648C568AD2}</b:Guid>
    <b:Title>Impact of sustainable management, and ESG performance on small and comunity performance in India in the current scenario</b:Title>
    <b:Year>2025</b:Year>
    <b:Pages>1-15</b:Pages>
    <b:JournalName>European Journal of Sustainable Development Research</b:JournalName>
    <b:Month>July</b:Month>
    <b:Day>22</b:Day>
    <b:Author>
      <b:Author>
        <b:NameList>
          <b:Person>
            <b:Last>Yadav</b:Last>
            <b:First>Uma</b:First>
            <b:Middle>Shankar</b:Middle>
          </b:Person>
          <b:Person>
            <b:Last>Yadav</b:Last>
            <b:First>Ajay</b:First>
            <b:Middle>Kumar</b:Middle>
          </b:Person>
          <b:Person>
            <b:Last>Ghosal</b:Last>
            <b:First>Indrajit</b:First>
          </b:Person>
          <b:Person>
            <b:Last>Yadav</b:Last>
            <b:First>Sanjay</b:First>
            <b:Middle>Kumar</b:Middle>
          </b:Person>
          <b:Person>
            <b:Last>Verma</b:Last>
            <b:First>Atul</b:First>
            <b:Middle>Kumar</b:Middle>
          </b:Person>
        </b:NameList>
      </b:Author>
    </b:Author>
    <b:Volume>9</b:Volume>
    <b:Issue>4</b:Issue>
    <b:StandardNumber>em0335</b:StandardNumber>
    <b:YearAccessed>2026</b:YearAccessed>
    <b:MonthAccessed>March </b:MonthAccessed>
    <b:DayAccessed>26</b:DayAccessed>
    <b:URL>https://www.ejosdr.com/article/impact-of-sustainable-management-and-esg-performance-on-small-and-community-performance-in-india-in-16897</b:URL>
    <b:DOI>https://doi.org/10.29333/ejosdr/16897</b:DOI>
    <b:RefOrder>5</b:RefOrder>
  </b:Source>
  <b:Source>
    <b:Tag>DrD24</b:Tag>
    <b:SourceType>JournalArticle</b:SourceType>
    <b:Guid>{3EBDF731-05A2-40CA-B86F-B05B3EB52BF8}</b:Guid>
    <b:Author>
      <b:Author>
        <b:NameList>
          <b:Person>
            <b:Last>Baghel</b:Last>
            <b:First>Dr.</b:First>
            <b:Middle>Deepmala</b:Middle>
          </b:Person>
        </b:NameList>
      </b:Author>
    </b:Author>
    <b:Title>Trends and Patterns of Sustainability in SMES: A Bibliometric Analysis of ESG (Enviornmental, Social, and Governance) Literatures</b:Title>
    <b:JournalName>Accounting Buisness And the Public Interest</b:JournalName>
    <b:Year>2024</b:Year>
    <b:Pages>1-20</b:Pages>
    <b:Volume>40</b:Volume>
    <b:Issue>11</b:Issue>
    <b:StandardNumber>1745-7718</b:StandardNumber>
    <b:Medium>Google Scholar</b:Medium>
    <b:YearAccessed>2026 </b:YearAccessed>
    <b:MonthAccessed>March</b:MonthAccessed>
    <b:DayAccessed>26</b:DayAccessed>
    <b:URL>https://scholar.google.com/scholar?hl=en&amp;as_sdt=0%2C5&amp;q=TRENDS+AND+PATTERNS+OF+SUSTAINABILITY+IN+SMES%3A+A++BIBLIOMETRIC+ANALYSIS+OF+ESG+%28ENVIRONMENTAL%2C+SOCIAL%2C++AND+GOVERNANCE%29+LITERATURE&amp;btnG=</b:URL>
    <b:RefOrder>6</b:RefOrder>
  </b:Source>
  <b:Source>
    <b:Tag>Vat25</b:Tag>
    <b:SourceType>ConferenceProceedings</b:SourceType>
    <b:Guid>{600EEDFF-3467-4038-8CCC-59694E3C9927}</b:Guid>
    <b:Author>
      <b:Author>
        <b:NameList>
          <b:Person>
            <b:Last>Vats</b:Last>
            <b:First>Insha</b:First>
            <b:Middle>Goel</b:Middle>
          </b:Person>
          <b:Person>
            <b:Last>Lata</b:Last>
            <b:First>Kusum</b:First>
          </b:Person>
          <b:Person>
            <b:Last>Sharma</b:Last>
            <b:First>Honey</b:First>
          </b:Person>
        </b:NameList>
      </b:Author>
    </b:Author>
    <b:Title>The Role of ESG in Driving Sustainable Economic Development: The Indian Perspective</b:Title>
    <b:Year>2025</b:Year>
    <b:Pages>352-368</b:Pages>
    <b:ConferenceName>Proceedings of the International Conference on Policies</b:ConferenceName>
    <b:City>New Delhi</b:City>
    <b:Publisher>Advances in Economics, Business and Management Research</b:Publisher>
    <b:YearAccessed>2026</b:YearAccessed>
    <b:MonthAccessed>March</b:MonthAccessed>
    <b:DayAccessed>26</b:DayAccessed>
    <b:DOI>https://doi.org/10.2991/978-94-6463-894-3_25</b:DOI>
    <b:RefOrder>7</b:RefOrder>
  </b:Source>
  <b:Source>
    <b:Tag>Ari25</b:Tag>
    <b:SourceType>JournalArticle</b:SourceType>
    <b:Guid>{7C1B4626-6047-4E97-912D-D38B0C82578F}</b:Guid>
    <b:Title>Enviornmental Sustainability in SMEs: A Study of Emerging Patterns and Sectoral Trends</b:Title>
    <b:Pages>28-44</b:Pages>
    <b:Year>2025</b:Year>
    <b:Author>
      <b:Author>
        <b:NameList>
          <b:Person>
            <b:Last>Arindra</b:Last>
            <b:First>Ican</b:First>
            <b:Middle>Feriano</b:Middle>
          </b:Person>
          <b:Person>
            <b:Last>latief</b:Last>
            <b:First>Mahummad</b:First>
            <b:Middle>fahmi</b:Middle>
          </b:Person>
        </b:NameList>
      </b:Author>
    </b:Author>
    <b:JournalName>Resilience of Small and Medium Business</b:JournalName>
    <b:Month>September</b:Month>
    <b:Day>09</b:Day>
    <b:Volume>1</b:Volume>
    <b:Issue>1</b:Issue>
    <b:YearAccessed>2026</b:YearAccessed>
    <b:MonthAccessed>March</b:MonthAccessed>
    <b:DayAccessed>26</b:DayAccessed>
    <b:URL>https://generatedp.com/index.php/rsmb/article/view/74</b:URL>
    <b:DOI>http://doi.org/10.70764/gdpu-rsmb.2025.1(1)-02</b:DOI>
    <b:RefOrder>8</b:RefOrder>
  </b:Source>
  <b:Source>
    <b:Tag>Sri25</b:Tag>
    <b:SourceType>JournalArticle</b:SourceType>
    <b:Guid>{291DB6DA-7B39-46BA-9C08-7D764341CBEE}</b:Guid>
    <b:Author>
      <b:Author>
        <b:NameList>
          <b:Person>
            <b:Last>Sridar</b:Last>
            <b:First>S.</b:First>
          </b:Person>
          <b:Person>
            <b:Last>Kumar</b:Last>
            <b:First>B.</b:First>
            <b:Middle>Dinesh</b:Middle>
          </b:Person>
          <b:Person>
            <b:Last>R.S.</b:Last>
            <b:First>Aswanth</b:First>
          </b:Person>
          <b:Person>
            <b:Last>Patro</b:Last>
            <b:First>Udaya</b:First>
            <b:Middle>Sankar</b:Middle>
          </b:Person>
        </b:NameList>
      </b:Author>
    </b:Author>
    <b:Title>Integrating Sustainable Practises in Indian Manufacturing Small Medium Enterprises: A BASLR Approach</b:Title>
    <b:JournalName>Electronic Green Journal</b:JournalName>
    <b:Year>2025</b:Year>
    <b:Pages>1-29</b:Pages>
    <b:Volume>1</b:Volume>
    <b:Issue>52</b:Issue>
    <b:YearAccessed>2026</b:YearAccessed>
    <b:MonthAccessed>March</b:MonthAccessed>
    <b:DayAccessed>26</b:DayAccessed>
    <b:URL>https://www.semanticscholar.org/paper/Integrating-Sustainable-Practices-in-Indian-Small-A-Ganesan-Sridar/37891005fa23276dcadc06038677b05321a37452</b:URL>
    <b:DOI>10.5070/G3.40099</b:DOI>
    <b:RefOrder>9</b:RefOrder>
  </b:Source>
  <b:Source>
    <b:Tag>Lin25</b:Tag>
    <b:SourceType>JournalArticle</b:SourceType>
    <b:Guid>{B360C80F-8A16-4390-81B6-068B6D13A459}</b:Guid>
    <b:Author>
      <b:Author>
        <b:NameList>
          <b:Person>
            <b:Last>Lin</b:Last>
            <b:First>Jujie</b:First>
          </b:Person>
          <b:Person>
            <b:Last>Jaiswal</b:Last>
            <b:First>Amit</b:First>
            <b:Middle>K</b:Middle>
          </b:Person>
          <b:Person>
            <b:Last>Jaiswal</b:Last>
            <b:First>Swarna</b:First>
          </b:Person>
        </b:NameList>
      </b:Author>
    </b:Author>
    <b:Title>A Critical Review of Consumer Perception and Enviornmental Impact of Bioplastic in Sustainable Food Packaging</b:Title>
    <b:JournalName>Sustainability</b:JournalName>
    <b:Year>2025</b:Year>
    <b:Pages>1-19</b:Pages>
    <b:Month>February</b:Month>
    <b:Day>7</b:Day>
    <b:Volume>17</b:Volume>
    <b:Issue>1358</b:Issue>
    <b:YearAccessed>2026</b:YearAccessed>
    <b:MonthAccessed>March</b:MonthAccessed>
    <b:DayAccessed>26</b:DayAccessed>
    <b:URL>https://www.mdpi.com/2071-1050/17/4/1358</b:URL>
    <b:DOI>https://doi.org/10.3390/su17041358</b:DOI>
    <b:RefOrder>10</b:RefOrder>
  </b:Source>
  <b:Source>
    <b:Tag>Kha22</b:Tag>
    <b:SourceType>JournalArticle</b:SourceType>
    <b:Guid>{1384536C-B27A-4C78-9C3C-91B169ECAED5}</b:Guid>
    <b:Author>
      <b:Author>
        <b:NameList>
          <b:Person>
            <b:Last>Khandelwal</b:Last>
            <b:First>Nikita</b:First>
          </b:Person>
          <b:Person>
            <b:Last>Kulkarni</b:Last>
            <b:First>Dhananjay</b:First>
          </b:Person>
          <b:Person>
            <b:Last>Sinha</b:Last>
            <b:First>Dr.</b:First>
            <b:Middle>Binod</b:Middle>
          </b:Person>
        </b:NameList>
      </b:Author>
    </b:Author>
    <b:Title>Consumer Perception and preference towards Sustainable Food in India</b:Title>
    <b:JournalName>Pacific Business Review</b:JournalName>
    <b:Year>2022</b:Year>
    <b:Pages>23-36</b:Pages>
    <b:Month>January</b:Month>
    <b:Volume>14</b:Volume>
    <b:Issue>7</b:Issue>
    <b:YearAccessed>2026 </b:YearAccessed>
    <b:MonthAccessed>March</b:MonthAccessed>
    <b:DayAccessed>26</b:DayAccessed>
    <b:URL>https://scholar.google.com/scholar?hl=en&amp;as_sdt=0%2C5&amp;q=Consumer+Perception+and+Preference+towards+Sustainable+Food+in++India&amp;btnG=</b:URL>
    <b:RefOrder>11</b:RefOrder>
  </b:Source>
</b:Sources>
</file>

<file path=customXml/itemProps1.xml><?xml version="1.0" encoding="utf-8"?>
<ds:datastoreItem xmlns:ds="http://schemas.openxmlformats.org/officeDocument/2006/customXml" ds:itemID="{0580C10C-0486-4956-A117-036ABFCD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20</Pages>
  <Words>6111</Words>
  <Characters>34833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Anubhav Vishwakarma</dc:creator>
  <cp:keywords/>
  <dc:description/>
  <cp:lastModifiedBy>Anubhav Vishwakarma</cp:lastModifiedBy>
  <cp:revision>20</cp:revision>
  <cp:lastPrinted>2026-04-01T15:00:00Z</cp:lastPrinted>
  <dcterms:created xsi:type="dcterms:W3CDTF">2026-03-26T07:03:00Z</dcterms:created>
  <dcterms:modified xsi:type="dcterms:W3CDTF">2026-06-10T18:32:00Z</dcterms:modified>
</cp:coreProperties>
</file>