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EE2A" w14:textId="77777777" w:rsidR="004F0192" w:rsidRDefault="004132D2">
      <w:pPr>
        <w:jc w:val="center"/>
      </w:pPr>
      <w:r>
        <w:rPr>
          <w:b/>
          <w:sz w:val="36"/>
        </w:rPr>
        <w:t>Comparative Effects of Closed vs Open Kinetic Chain Exercises on Knee Stability, Quadriceps Strength, Proprioception, and Functional Performance in Early Rehabilitation after Anterior Cruciate Ligament Reconstruction</w:t>
      </w:r>
    </w:p>
    <w:p w14:paraId="58FD99E6" w14:textId="0E1EC8E3" w:rsidR="004F0192" w:rsidRDefault="006A1904">
      <w:pPr>
        <w:jc w:val="center"/>
      </w:pPr>
      <w:r>
        <w:rPr>
          <w:b/>
        </w:rPr>
        <w:t xml:space="preserve"/>
      </w:r>
      <w:proofErr w:type="spellStart"/>
      <w:r>
        <w:rPr>
          <w:b/>
        </w:rPr>
        <w:t/>
      </w:r>
      <w:proofErr w:type="spellEnd"/>
      <w:r>
        <w:rPr>
          <w:b/>
        </w:rPr>
        <w:t xml:space="preserve"/>
      </w:r>
      <w:r w:rsidR="004132D2">
        <w:rPr>
          <w:b/>
        </w:rPr>
        <w:t xml:space="preserve"/>
      </w:r>
      <w:proofErr w:type="spellStart"/>
      <w:r w:rsidR="00FF0E5A">
        <w:rPr>
          <w:b/>
        </w:rPr>
        <w:t/>
      </w:r>
      <w:r w:rsidR="004E183F">
        <w:rPr>
          <w:b/>
        </w:rPr>
        <w:t/>
      </w:r>
      <w:proofErr w:type="spellEnd"/>
      <w:r w:rsidR="004E183F">
        <w:rPr>
          <w:b/>
        </w:rPr>
        <w:t xml:space="preserve"/>
      </w:r>
      <w:proofErr w:type="spellStart"/>
      <w:r w:rsidR="004E183F">
        <w:rPr>
          <w:b/>
        </w:rPr>
        <w:t/>
      </w:r>
      <w:proofErr w:type="spellEnd"/>
      <w:r w:rsidR="004E183F">
        <w:rPr>
          <w:b/>
        </w:rPr>
        <w:t xml:space="preserve"/>
      </w:r>
      <w:r w:rsidR="00367BA6">
        <w:rPr>
          <w:b/>
        </w:rPr>
        <w:t/>
      </w:r>
      <w:r w:rsidR="004E183F">
        <w:rPr>
          <w:b/>
        </w:rPr>
        <w:t/>
      </w:r>
      <w:r w:rsidR="00367BA6">
        <w:rPr>
          <w:b/>
        </w:rPr>
        <w:t xml:space="preserve"/>
      </w:r>
      <w:r w:rsidR="006939A7">
        <w:rPr>
          <w:b/>
        </w:rPr>
        <w:t xml:space="preserve"/>
      </w:r>
      <w:proofErr w:type="spellStart"/>
      <w:r w:rsidR="006939A7">
        <w:rPr>
          <w:b/>
        </w:rPr>
        <w:t/>
      </w:r>
      <w:proofErr w:type="spellEnd"/>
      <w:r w:rsidR="006939A7">
        <w:rPr>
          <w:b/>
        </w:rPr>
        <w:t xml:space="preserve"/>
      </w:r>
      <w:r w:rsidR="002E607E">
        <w:rPr>
          <w:b/>
        </w:rPr>
        <w:t xml:space="preserve"/>
      </w:r>
      <w:r w:rsidR="00A2549C">
        <w:rPr>
          <w:b/>
        </w:rPr>
        <w:t xml:space="preserve"/>
      </w:r>
      <w:proofErr w:type="spellStart"/>
      <w:r w:rsidR="003D7A5C">
        <w:rPr>
          <w:b/>
        </w:rPr>
        <w:t/>
      </w:r>
      <w:proofErr w:type="spellEnd"/>
      <w:r w:rsidR="003D7A5C">
        <w:rPr>
          <w:b/>
        </w:rPr>
        <w:t xml:space="preserve"/>
      </w:r>
      <w:proofErr w:type="spellStart"/>
      <w:r w:rsidR="003D7A5C">
        <w:rPr>
          <w:b/>
        </w:rPr>
        <w:t/>
      </w:r>
      <w:proofErr w:type="spellEnd"/>
      <w:r w:rsidR="003D7A5C">
        <w:rPr>
          <w:b/>
        </w:rPr>
        <w:t xml:space="preserve"/>
      </w:r>
      <w:r w:rsidR="002F178D">
        <w:rPr>
          <w:b/>
        </w:rPr>
        <w:t xml:space="preserve"/>
      </w:r>
      <w:proofErr w:type="spellStart"/>
      <w:r w:rsidR="002F178D">
        <w:rPr>
          <w:b/>
        </w:rPr>
        <w:t/>
      </w:r>
      <w:proofErr w:type="spellEnd"/>
      <w:r w:rsidR="002F178D">
        <w:rPr>
          <w:b/>
        </w:rPr>
        <w:t xml:space="preserve"/>
      </w:r>
      <w:proofErr w:type="spellStart"/>
      <w:r w:rsidR="00A94885">
        <w:rPr>
          <w:b/>
        </w:rPr>
        <w:t/>
      </w:r>
      <w:proofErr w:type="spellEnd"/>
      <w:r w:rsidR="00A94885">
        <w:rPr>
          <w:b/>
        </w:rPr>
        <w:t xml:space="preserve"/>
      </w:r>
      <w:proofErr w:type="spellStart"/>
      <w:r w:rsidR="00A94885">
        <w:rPr>
          <w:b/>
        </w:rPr>
        <w:t/>
      </w:r>
      <w:proofErr w:type="spellEnd"/>
      <w:r w:rsidR="00A94885">
        <w:rPr>
          <w:b/>
        </w:rPr>
        <w:t/>
      </w:r>
      <w:r w:rsidR="00704C30">
        <w:rPr>
          <w:b/>
        </w:rPr>
        <w:t xml:space="preserve"/>
      </w:r>
      <w:proofErr w:type="spellStart"/>
      <w:r w:rsidR="00704C30">
        <w:rPr>
          <w:b/>
        </w:rPr>
        <w:t/>
      </w:r>
      <w:proofErr w:type="spellEnd"/>
      <w:r w:rsidR="003E3094">
        <w:rPr>
          <w:b/>
        </w:rPr>
        <w:t xml:space="preserve"/>
      </w:r>
      <w:proofErr w:type="spellStart"/>
      <w:r w:rsidR="003E3094">
        <w:rPr>
          <w:b/>
        </w:rPr>
        <w:t/>
      </w:r>
      <w:proofErr w:type="spellEnd"/>
      <w:r w:rsidR="003E3094">
        <w:rPr>
          <w:b/>
        </w:rPr>
        <w:t/>
      </w:r>
    </w:p>
    <w:p w14:paraId="4341C7B4" w14:textId="212C5E2A" w:rsidR="002814C4" w:rsidRDefault="003421CA" w:rsidP="002814C4">
      <w:pPr>
        <w:jc w:val="center"/>
      </w:pPr>
      <w:r>
        <w:t/>
      </w:r>
      <w:r w:rsidR="007553B9">
        <w:t/>
      </w:r>
      <w:r w:rsidR="00863842">
        <w:t xml:space="preserve"/>
      </w:r>
      <w:r w:rsidR="007553B9">
        <w:t/>
      </w:r>
    </w:p>
    <w:p w14:paraId="0B120098" w14:textId="34C23228" w:rsidR="002814C4" w:rsidRDefault="003421CA" w:rsidP="002814C4">
      <w:pPr>
        <w:jc w:val="center"/>
      </w:pPr>
      <w:r>
        <w:t/>
      </w:r>
      <w:r w:rsidR="007E5C55">
        <w:t xml:space="preserve"/>
      </w:r>
      <w:proofErr w:type="spellStart"/>
      <w:r w:rsidR="007E5C55">
        <w:t/>
      </w:r>
      <w:proofErr w:type="spellEnd"/>
      <w:r w:rsidR="007E5C55">
        <w:t xml:space="preserve"/>
      </w:r>
      <w:r w:rsidR="002814C4">
        <w:t xml:space="preserve"/>
      </w:r>
      <w:r w:rsidR="007E5C55">
        <w:t/>
      </w:r>
    </w:p>
    <w:p w14:paraId="587A972C" w14:textId="53E2E527" w:rsidR="00B00C3E" w:rsidRDefault="003421CA" w:rsidP="002814C4">
      <w:pPr>
        <w:jc w:val="center"/>
      </w:pPr>
      <w:r>
        <w:t/>
      </w:r>
      <w:r w:rsidR="00B00C3E" w:rsidRPr="00B00C3E">
        <w:t xml:space="preserve"/>
      </w:r>
      <w:proofErr w:type="spellStart"/>
      <w:r w:rsidR="00B00C3E" w:rsidRPr="00B00C3E">
        <w:t/>
      </w:r>
      <w:proofErr w:type="spellEnd"/>
      <w:r w:rsidR="00B00C3E" w:rsidRPr="00B00C3E">
        <w:t xml:space="preserve"/>
      </w:r>
      <w:r w:rsidR="00B00C3E">
        <w:t/>
      </w:r>
    </w:p>
    <w:p w14:paraId="1A735E76" w14:textId="37F1FAAD" w:rsidR="003421CA" w:rsidRDefault="003421CA" w:rsidP="002814C4">
      <w:pPr>
        <w:jc w:val="center"/>
      </w:pPr>
      <w:r>
        <w:t/>
      </w:r>
      <w:r w:rsidRPr="003421CA">
        <w:t xml:space="preserve"/>
      </w:r>
      <w:r w:rsidR="00E1741E">
        <w:t/>
      </w:r>
    </w:p>
    <w:p w14:paraId="04625FFD" w14:textId="62A1DF77" w:rsidR="003421CA" w:rsidRDefault="003421CA" w:rsidP="002814C4">
      <w:pPr>
        <w:jc w:val="center"/>
      </w:pPr>
      <w:r>
        <w:t/>
      </w:r>
      <w:r w:rsidR="007D42E3">
        <w:t/>
      </w:r>
      <w:r w:rsidR="002A0A04">
        <w:t/>
      </w:r>
      <w:r w:rsidR="007D42E3">
        <w:t xml:space="preserve"/>
      </w:r>
      <w:proofErr w:type="spellStart"/>
      <w:r w:rsidR="007D42E3">
        <w:t/>
      </w:r>
      <w:proofErr w:type="spellEnd"/>
      <w:r w:rsidR="007D42E3">
        <w:t xml:space="preserve"/>
      </w:r>
    </w:p>
    <w:p w14:paraId="591D94DD" w14:textId="287B6A73" w:rsidR="002A0A04" w:rsidRDefault="002A0A04" w:rsidP="002814C4">
      <w:pPr>
        <w:jc w:val="center"/>
      </w:pPr>
      <w:r>
        <w:t/>
      </w:r>
      <w:r w:rsidR="00E1741E" w:rsidRPr="00E1741E">
        <w:t/>
      </w:r>
      <w:r w:rsidR="00E1741E">
        <w:t/>
      </w:r>
    </w:p>
    <w:p w14:paraId="6336B52C" w14:textId="7CB17C79" w:rsidR="00E1741E" w:rsidRDefault="00346B24" w:rsidP="002814C4">
      <w:pPr>
        <w:jc w:val="center"/>
      </w:pPr>
      <w:r>
        <w:t xml:space="preserve"/>
      </w:r>
      <w:r w:rsidRPr="00346B24">
        <w:t/>
      </w:r>
      <w:r>
        <w:t/>
      </w:r>
    </w:p>
    <w:p w14:paraId="1405E1D3" w14:textId="6C46E6E0" w:rsidR="004F0192" w:rsidRDefault="00346B24" w:rsidP="0021069B">
      <w:pPr>
        <w:jc w:val="center"/>
      </w:pPr>
      <w:r>
        <w:t xml:space="preserve"/>
      </w:r>
      <w:r w:rsidR="00643CAD" w:rsidRPr="00643CAD">
        <w:t xml:space="preserve"/>
      </w:r>
      <w:proofErr w:type="spellStart"/>
      <w:r w:rsidR="00643CAD" w:rsidRPr="00643CAD">
        <w:t/>
      </w:r>
      <w:proofErr w:type="spellEnd"/>
      <w:r w:rsidR="00643CAD" w:rsidRPr="00643CAD">
        <w:t xml:space="preserve"/>
      </w:r>
      <w:r w:rsidR="00643CAD">
        <w:t/>
      </w:r>
      <w:r w:rsidR="004132D2">
        <w:br/>
        <w:t/>
      </w:r>
      <w:r w:rsidR="00F50127">
        <w:t/>
      </w:r>
      <w:r w:rsidR="004132D2">
        <w:t xml:space="preserve"/>
      </w:r>
      <w:proofErr w:type="spellStart"/>
      <w:r w:rsidR="00F50127">
        <w:t/>
      </w:r>
      <w:r w:rsidR="0021069B">
        <w:t/>
      </w:r>
      <w:proofErr w:type="spellEnd"/>
      <w:r w:rsidR="0021069B">
        <w:t xml:space="preserve"/>
      </w:r>
      <w:proofErr w:type="spellStart"/>
      <w:r w:rsidR="0021069B">
        <w:t/>
      </w:r>
      <w:proofErr w:type="spellEnd"/>
      <w:r w:rsidR="004132D2">
        <w:t xml:space="preserve"/>
      </w:r>
      <w:hyperlink r:id="rId6" w:history="1">
        <w:r w:rsidR="00754608" w:rsidRPr="008321A7">
          <w:rPr>
            <w:rStyle w:val="Hyperlink"/>
          </w:rPr>
          <w:t/>
        </w:r>
      </w:hyperlink>
    </w:p>
    <w:p w14:paraId="40B52A41" w14:textId="77777777" w:rsidR="004F0192" w:rsidRDefault="004F0192"/>
    <w:p w14:paraId="0122C7D9" w14:textId="77777777" w:rsidR="004F0192" w:rsidRDefault="004132D2">
      <w:pPr>
        <w:pStyle w:val="Heading1"/>
        <w:spacing w:before="240" w:after="240"/>
      </w:pPr>
      <w:r>
        <w:t>ABSTRACT</w:t>
      </w:r>
    </w:p>
    <w:p w14:paraId="2E598735" w14:textId="77777777" w:rsidR="004F0192" w:rsidRDefault="004132D2">
      <w:pPr>
        <w:jc w:val="both"/>
      </w:pPr>
      <w:r>
        <w:t>Background: Anterior cruciate ligament (ACL) reconstruction is one of the most frequently performed orthopedic procedures. The comparative efficacy of different rehabilitation exercise modalities in early recovery remains a subject of clinical interest. Objective: To compare the effects of closed kinetic chain (CKC) versus open kinetic chain (OKC) exercises on knee stability, quadriceps strength, proprioception, and functional performance in patients during early rehabilitation (weeks 6-12 post-ACL reconstr</w:t>
      </w:r>
      <w:r>
        <w:t>uction). Methods: A randomized controlled trial was conducted with 60 patients stratified into CKC group (n=30) and OKC group (n=30). Primary outcome measures included anterior knee laxity (Lachman test), quadriceps strength (isokinetic dynamometry), proprioception (single-leg stance test), and functional performance (6-minute walk test, timed up-and-go test). Assessments were performed at baseline (week 6), mid-intervention (week 9), and post-intervention (week 12). Results: Both groups demonstrated statis</w:t>
      </w:r>
      <w:r>
        <w:t>tically significant improvements across all measures (p&lt;0.05). The CKC group exhibited superior improvements in knee stability (2.9±1.4 mm vs 4.1±1.9 mm; p=0.02) and proprioception (42.6±11.1 seconds vs 35.2±10.4 seconds; p=0.009). The OKC group achieved greater quadriceps strength gains (1.94±0.41 Nm/kg vs 1.58±0.35 Nm/kg; p=0.003). Functional performance improvements were comparable between both groups (p&gt;0.05). Conclusions: Both CKC and OKC exercises produce clinically meaningful improvements in early AC</w:t>
      </w:r>
      <w:r>
        <w:t>L rehabilitation. However, differential effects on specific outcome measures support exercise modality selection based on rehabilitation-specific objectives. These findings suggest that a combined sequential approach incorporating both modalities may optimize comprehensive functional restoration.</w:t>
      </w:r>
    </w:p>
    <w:p w14:paraId="3BA4B8A6" w14:textId="77777777" w:rsidR="004F0192" w:rsidRDefault="004132D2">
      <w:pPr>
        <w:jc w:val="both"/>
      </w:pPr>
      <w:r>
        <w:rPr>
          <w:b/>
        </w:rPr>
        <w:t xml:space="preserve">Keywords: </w:t>
      </w:r>
      <w:r>
        <w:t>Anterior cruciate ligament reconstruction, Closed kinetic chain exercises, Open kinetic chain exercises, Knee stability, Proprioception, Quadriceps strength, Physical rehabilitation</w:t>
      </w:r>
    </w:p>
    <w:p w14:paraId="394C86B8" w14:textId="77777777" w:rsidR="004F0192" w:rsidRDefault="004F0192"/>
    <w:p w14:paraId="47D90ADF" w14:textId="77777777" w:rsidR="004F0192" w:rsidRDefault="004132D2">
      <w:pPr>
        <w:pStyle w:val="Heading1"/>
        <w:spacing w:before="240" w:after="240"/>
      </w:pPr>
      <w:r>
        <w:t>INTRODUCTION</w:t>
      </w:r>
    </w:p>
    <w:p w14:paraId="6C82F888" w14:textId="77777777" w:rsidR="004F0192" w:rsidRDefault="004132D2">
      <w:pPr>
        <w:jc w:val="both"/>
      </w:pPr>
      <w:r>
        <w:t>Anterior cruciate ligament (ACL) injuries represent one of the most prevalent orthopedic injuries worldwide, with an estimated annual incidence of 200,000 cases in the United States alone. ACL reconstruction (ACLR) has become the gold standard surgical intervention, with contemporary arthroscopic techniques demonstrating success rates exceeding 90% in terms of graft integrity and patient satisfaction. However, successful surgical reconstruction alone does not guarantee return to functional activity. The qua</w:t>
      </w:r>
      <w:r>
        <w:t>lity of post-operative rehabilitation is paramount in determining functional outcomes, return-to-sport success, and long-term knee health.</w:t>
      </w:r>
    </w:p>
    <w:p w14:paraId="77856C58" w14:textId="77777777" w:rsidR="004F0192" w:rsidRDefault="004132D2">
      <w:pPr>
        <w:jc w:val="both"/>
      </w:pPr>
      <w:r>
        <w:t xml:space="preserve">Contemporary rehabilitation protocols typically incorporate both open kinetic chain (OKC) and closed kinetic chain (CKC) exercises, each with distinct biomechanical properties and physiological effects. Open kinetic chain exercises involve movement of the distal segment in space with proximal stabilization, allowing for isolated </w:t>
      </w:r>
      <w:r>
        <w:lastRenderedPageBreak/>
        <w:t>muscle strengthening and precise resistance control. Conversely, closed kinetic chain exercises involve fixed distal segments with proximal movement, promoting neuromuscular co-contraction and enhancing proprioceptive feedback. While both modalities have demonstrated clinical utility in various rehabilitation settings, direct comparative studies examining their relative efficacy on multiple rehabilitation outcomes during early post-operative phases remain limited in the current literature.</w:t>
      </w:r>
    </w:p>
    <w:p w14:paraId="549A5E3C" w14:textId="77777777" w:rsidR="004F0192" w:rsidRDefault="004132D2">
      <w:pPr>
        <w:jc w:val="both"/>
      </w:pPr>
      <w:r>
        <w:t>This randomized controlled trial was designed to systematically compare the effects of CKC and OKC exercise programs on specific rehabilitation outcomes (knee stability, quadriceps strength, proprioception, and functional performance) during the critical early phase of recovery following ACLR. Understanding the differential effects of these exercise modalities will inform evidence-based rehabilitation programming and optimize patient outcomes.</w:t>
      </w:r>
    </w:p>
    <w:p w14:paraId="411DFDC9" w14:textId="77777777" w:rsidR="004F0192" w:rsidRDefault="004132D2">
      <w:pPr>
        <w:pStyle w:val="Heading1"/>
        <w:spacing w:before="240" w:after="240"/>
      </w:pPr>
      <w:r>
        <w:t>METHODS</w:t>
      </w:r>
    </w:p>
    <w:p w14:paraId="369DE7A1" w14:textId="77777777" w:rsidR="004F0192" w:rsidRDefault="004132D2">
      <w:pPr>
        <w:pStyle w:val="Heading2"/>
        <w:spacing w:before="240" w:after="240"/>
      </w:pPr>
      <w:r>
        <w:t>Study Design and Participants</w:t>
      </w:r>
    </w:p>
    <w:p w14:paraId="62CBDCA2" w14:textId="77777777" w:rsidR="004F0192" w:rsidRDefault="004132D2">
      <w:pPr>
        <w:jc w:val="both"/>
      </w:pPr>
      <w:r>
        <w:t>A prospective, randomized controlled trial was conducted over a 24-month period with 60 patients (36 male, 24 female; mean age 28.3±8.5 years, range 18-42 years) undergoing primary ACL reconstruction. Inclusion criteria were: (1) primary unilateral ACLR performed within 4 weeks of enrollment; (2) age 18-45 years at time of injury; (3) no previous ACL injury on either limb; and (4) absence of concurrent injuries to other knee structures requiring surgical intervention. Exclusion criteria included: significan</w:t>
      </w:r>
      <w:r>
        <w:t>t articular cartilage damage (International Cartilage Repair Society Grade ≥3), concurrent meniscal repair requiring extended immobilization, inflammatory joint disease, neurological impairments affecting motor control, or inability to complete the 6-week intervention protocol. Participants were randomly allocated to two groups using a computer-generated randomization sequence: CKC group (n=30) and OKC group (n=30). Group allocation was stratified by sex and graft type (hamstring vs patellar tendon) to ensu</w:t>
      </w:r>
      <w:r>
        <w:t>re balanced distribution of potential confounding variables. This study was approved by the Institutional Review Board and all participants provided written informed consent.</w:t>
      </w:r>
    </w:p>
    <w:p w14:paraId="41DC2831" w14:textId="77777777" w:rsidR="004F0192" w:rsidRDefault="004132D2">
      <w:pPr>
        <w:pStyle w:val="Heading2"/>
        <w:spacing w:before="240" w:after="240"/>
      </w:pPr>
      <w:r>
        <w:t>Intervention Protocol</w:t>
      </w:r>
    </w:p>
    <w:p w14:paraId="35FEA483" w14:textId="77777777" w:rsidR="004F0192" w:rsidRDefault="004132D2">
      <w:pPr>
        <w:jc w:val="both"/>
      </w:pPr>
      <w:r>
        <w:t>Both study groups received identical general rehabilitation protocols including range of motion exercises (0-10° extension progressing to full extension, flexion progressing from 0-60° to 0-110° over 6 weeks), soft tissue mobilization (myofascial release, gentle massage), proprioceptive neuromuscular facilitation techniques, and cardiovascular conditioning (stationary cycling, treadmill walking). The primary differentiating variable was the primary strengthening modality implemented from weeks 6-12 post-ope</w:t>
      </w:r>
      <w:r>
        <w:t>ratively.</w:t>
      </w:r>
    </w:p>
    <w:p w14:paraId="04F9FEB9" w14:textId="77777777" w:rsidR="004F0192" w:rsidRDefault="004132D2">
      <w:pPr>
        <w:spacing w:after="120"/>
      </w:pPr>
      <w:r>
        <w:rPr>
          <w:b/>
        </w:rPr>
        <w:t>Closed Kinetic Chain (CKC) Group Exercises:</w:t>
      </w:r>
    </w:p>
    <w:p w14:paraId="05ADBD7A" w14:textId="77777777" w:rsidR="004F0192" w:rsidRDefault="004132D2">
      <w:pPr>
        <w:pStyle w:val="ListBullet"/>
        <w:spacing w:after="120"/>
      </w:pPr>
      <w:r>
        <w:t>Double-leg squats (progressive range: 0-30° weeks 6-8, 0-60° weeks 9-12)</w:t>
      </w:r>
    </w:p>
    <w:p w14:paraId="754AA29F" w14:textId="77777777" w:rsidR="004F0192" w:rsidRDefault="004132D2">
      <w:pPr>
        <w:pStyle w:val="ListBullet"/>
        <w:spacing w:after="120"/>
      </w:pPr>
      <w:r>
        <w:t>Step-ups and step-downs on 4-6 inch platform</w:t>
      </w:r>
    </w:p>
    <w:p w14:paraId="4B4D9B88" w14:textId="77777777" w:rsidR="004F0192" w:rsidRDefault="004132D2">
      <w:pPr>
        <w:pStyle w:val="ListBullet"/>
        <w:spacing w:after="120"/>
      </w:pPr>
      <w:r>
        <w:t>Mini lateral lunges with body weight resistance</w:t>
      </w:r>
    </w:p>
    <w:p w14:paraId="7B548E4A" w14:textId="77777777" w:rsidR="004F0192" w:rsidRDefault="004132D2">
      <w:pPr>
        <w:pStyle w:val="ListBullet"/>
        <w:spacing w:after="120"/>
      </w:pPr>
      <w:r>
        <w:t>Seated leg press machine exercises (progressive resistance)</w:t>
      </w:r>
    </w:p>
    <w:p w14:paraId="75E39D92" w14:textId="77777777" w:rsidR="004F0192" w:rsidRDefault="004132D2">
      <w:pPr>
        <w:pStyle w:val="ListBullet"/>
        <w:spacing w:after="120"/>
      </w:pPr>
      <w:r>
        <w:t>Forward and lateral walking with proprioceptive demands</w:t>
      </w:r>
    </w:p>
    <w:p w14:paraId="3820F16F" w14:textId="77777777" w:rsidR="004F0192" w:rsidRDefault="004132D2">
      <w:pPr>
        <w:pStyle w:val="ListBullet"/>
        <w:spacing w:after="120"/>
      </w:pPr>
      <w:r>
        <w:t>Single-leg stance activities (progressive difficulty)</w:t>
      </w:r>
    </w:p>
    <w:p w14:paraId="62DB11DA" w14:textId="77777777" w:rsidR="004F0192" w:rsidRDefault="004F0192"/>
    <w:p w14:paraId="0948D2EE" w14:textId="77777777" w:rsidR="004F0192" w:rsidRDefault="004132D2">
      <w:pPr>
        <w:spacing w:after="120"/>
      </w:pPr>
      <w:r>
        <w:rPr>
          <w:b/>
        </w:rPr>
        <w:t>Open Kinetic Chain (OKC) Group Exercises:</w:t>
      </w:r>
    </w:p>
    <w:p w14:paraId="49D0BC2B" w14:textId="77777777" w:rsidR="004F0192" w:rsidRDefault="004132D2">
      <w:pPr>
        <w:pStyle w:val="ListBullet"/>
        <w:spacing w:after="120"/>
      </w:pPr>
      <w:r>
        <w:t>Seated knee extension (isotonic and isokinetic modes)</w:t>
      </w:r>
    </w:p>
    <w:p w14:paraId="67CF90F0" w14:textId="77777777" w:rsidR="004F0192" w:rsidRDefault="004132D2">
      <w:pPr>
        <w:pStyle w:val="ListBullet"/>
        <w:spacing w:after="120"/>
      </w:pPr>
      <w:r>
        <w:t>Prone knee flexion exercises</w:t>
      </w:r>
    </w:p>
    <w:p w14:paraId="20F846CB" w14:textId="77777777" w:rsidR="004F0192" w:rsidRDefault="004132D2">
      <w:pPr>
        <w:pStyle w:val="ListBullet"/>
        <w:spacing w:after="120"/>
      </w:pPr>
      <w:r>
        <w:t>Supine straight leg raise with progressive resistance</w:t>
      </w:r>
    </w:p>
    <w:p w14:paraId="6FC09A08" w14:textId="77777777" w:rsidR="004F0192" w:rsidRDefault="004132D2">
      <w:pPr>
        <w:pStyle w:val="ListBullet"/>
        <w:spacing w:after="120"/>
      </w:pPr>
      <w:r>
        <w:t>Supine hip flexion, abduction, and adduction exercises</w:t>
      </w:r>
    </w:p>
    <w:p w14:paraId="4AE21F44" w14:textId="77777777" w:rsidR="004F0192" w:rsidRDefault="004132D2">
      <w:pPr>
        <w:pStyle w:val="ListBullet"/>
        <w:spacing w:after="120"/>
      </w:pPr>
      <w:r>
        <w:lastRenderedPageBreak/>
        <w:t>Resistance band exercises in multiple planes (flexion, extension, internal/external rotation)</w:t>
      </w:r>
    </w:p>
    <w:p w14:paraId="5FD63F01" w14:textId="77777777" w:rsidR="004F0192" w:rsidRDefault="004132D2">
      <w:pPr>
        <w:pStyle w:val="ListBullet"/>
        <w:spacing w:after="120"/>
      </w:pPr>
      <w:r>
        <w:t>Isolated quadriceps sets with visual biofeedback</w:t>
      </w:r>
    </w:p>
    <w:p w14:paraId="393BF842" w14:textId="77777777" w:rsidR="004F0192" w:rsidRDefault="004F0192"/>
    <w:p w14:paraId="4CAFCF39" w14:textId="77777777" w:rsidR="004F0192" w:rsidRDefault="004132D2">
      <w:pPr>
        <w:pStyle w:val="Heading2"/>
        <w:spacing w:before="240" w:after="240"/>
      </w:pPr>
      <w:r>
        <w:t>Outcome Measures and Assessment</w:t>
      </w:r>
    </w:p>
    <w:p w14:paraId="0FAD8FFB" w14:textId="77777777" w:rsidR="004F0192" w:rsidRDefault="004132D2">
      <w:pPr>
        <w:jc w:val="both"/>
      </w:pPr>
      <w:r>
        <w:t>Primary outcome measures were assessed at three time points: baseline (week 6 post-operatively), mid-intervention (week 9), and post-intervention (week 12). All assessments were performed by licensed physical therapists blinded to group allocation and trained in standardized assessment protocols. The following primary outcome measures were evaluated: (1) Anterior knee stability measured via Lachman test performed at 20-30° knee flexion, with measurements expressed in millimeters of anterior tibial translati</w:t>
      </w:r>
      <w:r>
        <w:t>on; (2) Quadriceps strength assessed using isokinetic dynamometry (Biodex System 3, Shirley, NY) at angular velocity of 60°/sec, expressed as peak torque normalized to body weight (Nm/kg); (3) Proprioception evaluated using single-leg stance test on firm surface with eyes open, with duration measured in seconds; (4) Functional performance assessed using standardized tests including 6-minute walk test (distance in meters) and timed up-and-go test (time in seconds).</w:t>
      </w:r>
    </w:p>
    <w:p w14:paraId="10795499" w14:textId="77777777" w:rsidR="004F0192" w:rsidRDefault="004132D2">
      <w:pPr>
        <w:pStyle w:val="Heading2"/>
        <w:spacing w:before="240" w:after="240"/>
      </w:pPr>
      <w:r>
        <w:t>Statistical Analysis</w:t>
      </w:r>
    </w:p>
    <w:p w14:paraId="19AF1ED7" w14:textId="77777777" w:rsidR="004F0192" w:rsidRDefault="004132D2">
      <w:pPr>
        <w:jc w:val="both"/>
      </w:pPr>
      <w:r>
        <w:t>All statistical analyses were performed using SPSS version 25.0 (IBM Corp., Armonk, NY, USA) with significance level set at p&lt;0.05. Descriptive statistics (mean, standard deviation) were calculated for all variables. Normality of data distribution was assessed using Shapiro-Wilk test. Between-group differences at baseline were evaluated using independent samples t-tests for continuous variables and chi-square tests for categorical variables. Within-group changes across time points were analyzed using repeat</w:t>
      </w:r>
      <w:r>
        <w:t>ed measures analysis of variance (ANOVA) with Bonferroni post hoc correction. Between-group differences at each time point were assessed using independent samples t-tests. Effect sizes were calculated using Cohen's d. All data are presented as mean±standard deviation with 95% confidence intervals.</w:t>
      </w:r>
    </w:p>
    <w:p w14:paraId="6E3EECDA" w14:textId="77777777" w:rsidR="004F0192" w:rsidRDefault="004132D2">
      <w:pPr>
        <w:pStyle w:val="Heading1"/>
        <w:spacing w:before="240" w:after="240"/>
      </w:pPr>
      <w:r>
        <w:t>RESULTS</w:t>
      </w:r>
    </w:p>
    <w:p w14:paraId="7F1163B9" w14:textId="77777777" w:rsidR="004F0192" w:rsidRDefault="004132D2">
      <w:pPr>
        <w:pStyle w:val="Heading2"/>
        <w:spacing w:before="240" w:after="240"/>
      </w:pPr>
      <w:r>
        <w:t>Participant Characteristics</w:t>
      </w:r>
    </w:p>
    <w:p w14:paraId="592BAC10" w14:textId="77777777" w:rsidR="004F0192" w:rsidRDefault="004132D2">
      <w:pPr>
        <w:jc w:val="both"/>
      </w:pPr>
      <w:r>
        <w:t>Table 1 presents the demographic and baseline clinical characteristics of all study participants. No statistically significant differences were observed between the CKC and OKC groups for age (p=0.78), sex distribution (p=0.95), body mass index (p=0.42), graft type (p=0.73), or post-operative time at baseline (p=0.65), indicating successful randomization and group equivalence at baseline.</w:t>
      </w:r>
    </w:p>
    <w:tbl>
      <w:tblPr>
        <w:tblStyle w:val="LightGrid-Accent1"/>
        <w:tblW w:w="0" w:type="auto"/>
        <w:tblLook w:val="04A0" w:firstRow="1" w:lastRow="0" w:firstColumn="1" w:lastColumn="0" w:noHBand="0" w:noVBand="1"/>
      </w:tblPr>
      <w:tblGrid>
        <w:gridCol w:w="2880"/>
        <w:gridCol w:w="2592"/>
        <w:gridCol w:w="2592"/>
      </w:tblGrid>
      <w:tr w:rsidR="004F0192" w14:paraId="1D751839" w14:textId="77777777" w:rsidTr="004F0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B74C564" w14:textId="77777777" w:rsidR="004F0192" w:rsidRDefault="004132D2">
            <w:r>
              <w:rPr>
                <w:sz w:val="22"/>
              </w:rPr>
              <w:t>Characteristic</w:t>
            </w:r>
          </w:p>
        </w:tc>
        <w:tc>
          <w:tcPr>
            <w:tcW w:w="2592" w:type="dxa"/>
          </w:tcPr>
          <w:p w14:paraId="49C57687"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2"/>
              </w:rPr>
              <w:t>CKC Group (n=30)</w:t>
            </w:r>
          </w:p>
        </w:tc>
        <w:tc>
          <w:tcPr>
            <w:tcW w:w="2592" w:type="dxa"/>
          </w:tcPr>
          <w:p w14:paraId="3760F3C8"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2"/>
              </w:rPr>
              <w:t>OKC Group (n=30)</w:t>
            </w:r>
          </w:p>
        </w:tc>
      </w:tr>
      <w:tr w:rsidR="004F0192" w14:paraId="30E1EB1C"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02F1102" w14:textId="77777777" w:rsidR="004F0192" w:rsidRDefault="004132D2">
            <w:r>
              <w:rPr>
                <w:sz w:val="22"/>
              </w:rPr>
              <w:t>Age (years)</w:t>
            </w:r>
          </w:p>
        </w:tc>
        <w:tc>
          <w:tcPr>
            <w:tcW w:w="2592" w:type="dxa"/>
          </w:tcPr>
          <w:p w14:paraId="18AC4C73"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2"/>
              </w:rPr>
              <w:t>28.1±8.2</w:t>
            </w:r>
          </w:p>
        </w:tc>
        <w:tc>
          <w:tcPr>
            <w:tcW w:w="2592" w:type="dxa"/>
          </w:tcPr>
          <w:p w14:paraId="24FD9FA3"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2"/>
              </w:rPr>
              <w:t>28.5±8.8</w:t>
            </w:r>
          </w:p>
        </w:tc>
      </w:tr>
      <w:tr w:rsidR="004F0192" w14:paraId="622EB2CE" w14:textId="77777777" w:rsidTr="004F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605622B" w14:textId="77777777" w:rsidR="004F0192" w:rsidRDefault="004132D2">
            <w:r>
              <w:rPr>
                <w:sz w:val="22"/>
              </w:rPr>
              <w:t>Sex (Male/Female)</w:t>
            </w:r>
          </w:p>
        </w:tc>
        <w:tc>
          <w:tcPr>
            <w:tcW w:w="2592" w:type="dxa"/>
          </w:tcPr>
          <w:p w14:paraId="7793F305"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2"/>
              </w:rPr>
              <w:t>18/12</w:t>
            </w:r>
          </w:p>
        </w:tc>
        <w:tc>
          <w:tcPr>
            <w:tcW w:w="2592" w:type="dxa"/>
          </w:tcPr>
          <w:p w14:paraId="01DEFA23"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2"/>
              </w:rPr>
              <w:t>18/12</w:t>
            </w:r>
          </w:p>
        </w:tc>
      </w:tr>
      <w:tr w:rsidR="004F0192" w14:paraId="0CC00088"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48E7B7B" w14:textId="77777777" w:rsidR="004F0192" w:rsidRDefault="004132D2">
            <w:r>
              <w:rPr>
                <w:sz w:val="22"/>
              </w:rPr>
              <w:t>Body Mass Index (kg/m²)</w:t>
            </w:r>
          </w:p>
        </w:tc>
        <w:tc>
          <w:tcPr>
            <w:tcW w:w="2592" w:type="dxa"/>
          </w:tcPr>
          <w:p w14:paraId="5923E4B7"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2"/>
              </w:rPr>
              <w:t>24.3±2.1</w:t>
            </w:r>
          </w:p>
        </w:tc>
        <w:tc>
          <w:tcPr>
            <w:tcW w:w="2592" w:type="dxa"/>
          </w:tcPr>
          <w:p w14:paraId="510A21D0"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2"/>
              </w:rPr>
              <w:t>24.7±2.3</w:t>
            </w:r>
          </w:p>
        </w:tc>
      </w:tr>
      <w:tr w:rsidR="004F0192" w14:paraId="4CB8AD90" w14:textId="77777777" w:rsidTr="004F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CE11E53" w14:textId="77777777" w:rsidR="004F0192" w:rsidRDefault="004132D2">
            <w:r>
              <w:rPr>
                <w:sz w:val="22"/>
              </w:rPr>
              <w:t>Post-operative Time at Baseline (days)</w:t>
            </w:r>
          </w:p>
        </w:tc>
        <w:tc>
          <w:tcPr>
            <w:tcW w:w="2592" w:type="dxa"/>
          </w:tcPr>
          <w:p w14:paraId="2355237B"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2"/>
              </w:rPr>
              <w:t>42.3±5.1</w:t>
            </w:r>
          </w:p>
        </w:tc>
        <w:tc>
          <w:tcPr>
            <w:tcW w:w="2592" w:type="dxa"/>
          </w:tcPr>
          <w:p w14:paraId="143EEA8C"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2"/>
              </w:rPr>
              <w:t>41.8±4.9</w:t>
            </w:r>
          </w:p>
        </w:tc>
      </w:tr>
      <w:tr w:rsidR="004F0192" w14:paraId="628FBE41"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3E749B2" w14:textId="77777777" w:rsidR="004F0192" w:rsidRDefault="004132D2">
            <w:r>
              <w:rPr>
                <w:sz w:val="22"/>
              </w:rPr>
              <w:lastRenderedPageBreak/>
              <w:t>Graft Type (Hamstring/Patellar)</w:t>
            </w:r>
          </w:p>
        </w:tc>
        <w:tc>
          <w:tcPr>
            <w:tcW w:w="2592" w:type="dxa"/>
          </w:tcPr>
          <w:p w14:paraId="3B033071"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2"/>
              </w:rPr>
              <w:t>18/12</w:t>
            </w:r>
          </w:p>
        </w:tc>
        <w:tc>
          <w:tcPr>
            <w:tcW w:w="2592" w:type="dxa"/>
          </w:tcPr>
          <w:p w14:paraId="046645C8"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2"/>
              </w:rPr>
              <w:t>17/13</w:t>
            </w:r>
          </w:p>
        </w:tc>
      </w:tr>
    </w:tbl>
    <w:p w14:paraId="3F82B115" w14:textId="77777777" w:rsidR="004F0192" w:rsidRDefault="004132D2">
      <w:pPr>
        <w:jc w:val="center"/>
      </w:pPr>
      <w:r>
        <w:rPr>
          <w:b/>
          <w:i/>
          <w:sz w:val="22"/>
        </w:rPr>
        <w:t>Table 1. Demographic and Clinical Characteristics of Study Participants</w:t>
      </w:r>
    </w:p>
    <w:p w14:paraId="13D05AEF" w14:textId="77777777" w:rsidR="004F0192" w:rsidRDefault="004F0192"/>
    <w:p w14:paraId="3B3D304E" w14:textId="77777777" w:rsidR="004F0192" w:rsidRDefault="004132D2">
      <w:pPr>
        <w:pStyle w:val="Heading2"/>
        <w:spacing w:before="240" w:after="240"/>
      </w:pPr>
      <w:r>
        <w:t>Primary Outcome Measures</w:t>
      </w:r>
    </w:p>
    <w:p w14:paraId="357303FE" w14:textId="77777777" w:rsidR="004F0192" w:rsidRDefault="004132D2">
      <w:pPr>
        <w:spacing w:after="120"/>
      </w:pPr>
      <w:r>
        <w:rPr>
          <w:b/>
          <w:sz w:val="22"/>
        </w:rPr>
        <w:t>Anterior Knee Laxity (Lachman Test, mm):</w:t>
      </w:r>
    </w:p>
    <w:tbl>
      <w:tblPr>
        <w:tblStyle w:val="LightGrid-Accent1"/>
        <w:tblW w:w="0" w:type="auto"/>
        <w:tblLook w:val="04A0" w:firstRow="1" w:lastRow="0" w:firstColumn="1" w:lastColumn="0" w:noHBand="0" w:noVBand="1"/>
      </w:tblPr>
      <w:tblGrid>
        <w:gridCol w:w="2757"/>
        <w:gridCol w:w="2757"/>
        <w:gridCol w:w="2757"/>
        <w:gridCol w:w="2757"/>
      </w:tblGrid>
      <w:tr w:rsidR="004F0192" w14:paraId="4C70D968" w14:textId="77777777" w:rsidTr="004F0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186CF115" w14:textId="77777777" w:rsidR="004F0192" w:rsidRDefault="004132D2">
            <w:r>
              <w:rPr>
                <w:sz w:val="20"/>
              </w:rPr>
              <w:t>Time Point</w:t>
            </w:r>
          </w:p>
        </w:tc>
        <w:tc>
          <w:tcPr>
            <w:tcW w:w="2757" w:type="dxa"/>
          </w:tcPr>
          <w:p w14:paraId="266962E2"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CKC Group</w:t>
            </w:r>
          </w:p>
        </w:tc>
        <w:tc>
          <w:tcPr>
            <w:tcW w:w="2757" w:type="dxa"/>
          </w:tcPr>
          <w:p w14:paraId="3403510B"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OKC Group</w:t>
            </w:r>
          </w:p>
        </w:tc>
        <w:tc>
          <w:tcPr>
            <w:tcW w:w="2757" w:type="dxa"/>
          </w:tcPr>
          <w:p w14:paraId="7E48DDC5"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p-value</w:t>
            </w:r>
          </w:p>
        </w:tc>
      </w:tr>
      <w:tr w:rsidR="004F0192" w14:paraId="37E6E157"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20515AF3" w14:textId="77777777" w:rsidR="004F0192" w:rsidRDefault="004132D2">
            <w:r>
              <w:rPr>
                <w:sz w:val="20"/>
              </w:rPr>
              <w:t>Baseline (Week 6)</w:t>
            </w:r>
          </w:p>
        </w:tc>
        <w:tc>
          <w:tcPr>
            <w:tcW w:w="2757" w:type="dxa"/>
          </w:tcPr>
          <w:p w14:paraId="6C1AF2E4"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7.2±2.1</w:t>
            </w:r>
          </w:p>
        </w:tc>
        <w:tc>
          <w:tcPr>
            <w:tcW w:w="2757" w:type="dxa"/>
          </w:tcPr>
          <w:p w14:paraId="60E51421"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7.4±2.2</w:t>
            </w:r>
          </w:p>
        </w:tc>
        <w:tc>
          <w:tcPr>
            <w:tcW w:w="2757" w:type="dxa"/>
          </w:tcPr>
          <w:p w14:paraId="4F422734"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0.72</w:t>
            </w:r>
          </w:p>
        </w:tc>
      </w:tr>
      <w:tr w:rsidR="004F0192" w14:paraId="4093E403" w14:textId="77777777" w:rsidTr="004F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2F5F8C37" w14:textId="77777777" w:rsidR="004F0192" w:rsidRDefault="004132D2">
            <w:r>
              <w:rPr>
                <w:sz w:val="20"/>
              </w:rPr>
              <w:t>Mid-intervention (Week 9)</w:t>
            </w:r>
          </w:p>
        </w:tc>
        <w:tc>
          <w:tcPr>
            <w:tcW w:w="2757" w:type="dxa"/>
          </w:tcPr>
          <w:p w14:paraId="7F92EA00"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4.8±1.8*</w:t>
            </w:r>
          </w:p>
        </w:tc>
        <w:tc>
          <w:tcPr>
            <w:tcW w:w="2757" w:type="dxa"/>
          </w:tcPr>
          <w:p w14:paraId="422801E7"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5.6±2.0*</w:t>
            </w:r>
          </w:p>
        </w:tc>
        <w:tc>
          <w:tcPr>
            <w:tcW w:w="2757" w:type="dxa"/>
          </w:tcPr>
          <w:p w14:paraId="13DDD728"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0.09</w:t>
            </w:r>
          </w:p>
        </w:tc>
      </w:tr>
      <w:tr w:rsidR="004F0192" w14:paraId="5CBC7422"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049F0FB3" w14:textId="77777777" w:rsidR="004F0192" w:rsidRDefault="004132D2">
            <w:r>
              <w:rPr>
                <w:sz w:val="20"/>
              </w:rPr>
              <w:t>Post-intervention (Week 12)</w:t>
            </w:r>
          </w:p>
        </w:tc>
        <w:tc>
          <w:tcPr>
            <w:tcW w:w="2757" w:type="dxa"/>
          </w:tcPr>
          <w:p w14:paraId="6529F9E0"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2.9±1.4**</w:t>
            </w:r>
          </w:p>
        </w:tc>
        <w:tc>
          <w:tcPr>
            <w:tcW w:w="2757" w:type="dxa"/>
          </w:tcPr>
          <w:p w14:paraId="1663FAE4"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4.1±1.9*</w:t>
            </w:r>
          </w:p>
        </w:tc>
        <w:tc>
          <w:tcPr>
            <w:tcW w:w="2757" w:type="dxa"/>
          </w:tcPr>
          <w:p w14:paraId="149CC19E"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0.02</w:t>
            </w:r>
          </w:p>
        </w:tc>
      </w:tr>
    </w:tbl>
    <w:p w14:paraId="44C01CDC" w14:textId="77777777" w:rsidR="004F0192" w:rsidRDefault="004132D2">
      <w:pPr>
        <w:jc w:val="center"/>
      </w:pPr>
      <w:r>
        <w:rPr>
          <w:b/>
          <w:i/>
          <w:sz w:val="20"/>
        </w:rPr>
        <w:t>Table 2. Anterior Knee Laxity Changes Over Time</w:t>
      </w:r>
      <w:r>
        <w:rPr>
          <w:b/>
          <w:i/>
          <w:sz w:val="20"/>
        </w:rPr>
        <w:br/>
        <w:t>*p&lt;0.05 vs baseline, **p&lt;0.01 vs baseline</w:t>
      </w:r>
    </w:p>
    <w:p w14:paraId="191FFBF7" w14:textId="77777777" w:rsidR="004F0192" w:rsidRDefault="004F0192"/>
    <w:p w14:paraId="7B11F69D" w14:textId="77777777" w:rsidR="004F0192" w:rsidRDefault="004132D2">
      <w:pPr>
        <w:spacing w:after="120"/>
      </w:pPr>
      <w:r>
        <w:rPr>
          <w:b/>
          <w:sz w:val="22"/>
        </w:rPr>
        <w:t>Quadriceps Strength (Isokinetic Dynamometry, Nm/kg):</w:t>
      </w:r>
    </w:p>
    <w:tbl>
      <w:tblPr>
        <w:tblStyle w:val="LightGrid-Accent1"/>
        <w:tblW w:w="0" w:type="auto"/>
        <w:tblLook w:val="04A0" w:firstRow="1" w:lastRow="0" w:firstColumn="1" w:lastColumn="0" w:noHBand="0" w:noVBand="1"/>
      </w:tblPr>
      <w:tblGrid>
        <w:gridCol w:w="2757"/>
        <w:gridCol w:w="2757"/>
        <w:gridCol w:w="2757"/>
        <w:gridCol w:w="2757"/>
      </w:tblGrid>
      <w:tr w:rsidR="004F0192" w14:paraId="4010F6AD" w14:textId="77777777" w:rsidTr="004F0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7B2ED49A" w14:textId="77777777" w:rsidR="004F0192" w:rsidRDefault="004132D2">
            <w:r>
              <w:rPr>
                <w:sz w:val="20"/>
              </w:rPr>
              <w:t>Time Point</w:t>
            </w:r>
          </w:p>
        </w:tc>
        <w:tc>
          <w:tcPr>
            <w:tcW w:w="2757" w:type="dxa"/>
          </w:tcPr>
          <w:p w14:paraId="4E9F039E"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CKC Group</w:t>
            </w:r>
          </w:p>
        </w:tc>
        <w:tc>
          <w:tcPr>
            <w:tcW w:w="2757" w:type="dxa"/>
          </w:tcPr>
          <w:p w14:paraId="455A9EFD"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OKC Group</w:t>
            </w:r>
          </w:p>
        </w:tc>
        <w:tc>
          <w:tcPr>
            <w:tcW w:w="2757" w:type="dxa"/>
          </w:tcPr>
          <w:p w14:paraId="40921A8A"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p-value</w:t>
            </w:r>
          </w:p>
        </w:tc>
      </w:tr>
      <w:tr w:rsidR="004F0192" w14:paraId="5350BCB7"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65D41CD1" w14:textId="77777777" w:rsidR="004F0192" w:rsidRDefault="004132D2">
            <w:r>
              <w:rPr>
                <w:sz w:val="20"/>
              </w:rPr>
              <w:t>Baseline (Week 6)</w:t>
            </w:r>
          </w:p>
        </w:tc>
        <w:tc>
          <w:tcPr>
            <w:tcW w:w="2757" w:type="dxa"/>
          </w:tcPr>
          <w:p w14:paraId="15627331"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0.94±0.22</w:t>
            </w:r>
          </w:p>
        </w:tc>
        <w:tc>
          <w:tcPr>
            <w:tcW w:w="2757" w:type="dxa"/>
          </w:tcPr>
          <w:p w14:paraId="7CE9DC8A"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0.91±0.20</w:t>
            </w:r>
          </w:p>
        </w:tc>
        <w:tc>
          <w:tcPr>
            <w:tcW w:w="2757" w:type="dxa"/>
          </w:tcPr>
          <w:p w14:paraId="32BE8DC0"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0.58</w:t>
            </w:r>
          </w:p>
        </w:tc>
      </w:tr>
      <w:tr w:rsidR="004F0192" w14:paraId="374C23AD" w14:textId="77777777" w:rsidTr="004F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5B649AA3" w14:textId="77777777" w:rsidR="004F0192" w:rsidRDefault="004132D2">
            <w:r>
              <w:rPr>
                <w:sz w:val="20"/>
              </w:rPr>
              <w:t>Mid-intervention (Week 9)</w:t>
            </w:r>
          </w:p>
        </w:tc>
        <w:tc>
          <w:tcPr>
            <w:tcW w:w="2757" w:type="dxa"/>
          </w:tcPr>
          <w:p w14:paraId="3D8D371B"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1.32±0.31*</w:t>
            </w:r>
          </w:p>
        </w:tc>
        <w:tc>
          <w:tcPr>
            <w:tcW w:w="2757" w:type="dxa"/>
          </w:tcPr>
          <w:p w14:paraId="6D87E31E"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1.68±0.38**</w:t>
            </w:r>
          </w:p>
        </w:tc>
        <w:tc>
          <w:tcPr>
            <w:tcW w:w="2757" w:type="dxa"/>
          </w:tcPr>
          <w:p w14:paraId="1120EDB6"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0.008</w:t>
            </w:r>
          </w:p>
        </w:tc>
      </w:tr>
      <w:tr w:rsidR="004F0192" w14:paraId="111DAC28"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7F018567" w14:textId="77777777" w:rsidR="004F0192" w:rsidRDefault="004132D2">
            <w:r>
              <w:rPr>
                <w:sz w:val="20"/>
              </w:rPr>
              <w:t>Post-intervention (Week 12)</w:t>
            </w:r>
          </w:p>
        </w:tc>
        <w:tc>
          <w:tcPr>
            <w:tcW w:w="2757" w:type="dxa"/>
          </w:tcPr>
          <w:p w14:paraId="7867AD49"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1.58±0.35**</w:t>
            </w:r>
          </w:p>
        </w:tc>
        <w:tc>
          <w:tcPr>
            <w:tcW w:w="2757" w:type="dxa"/>
          </w:tcPr>
          <w:p w14:paraId="3C6FC6E0"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1.94±0.41***</w:t>
            </w:r>
          </w:p>
        </w:tc>
        <w:tc>
          <w:tcPr>
            <w:tcW w:w="2757" w:type="dxa"/>
          </w:tcPr>
          <w:p w14:paraId="272D54DF"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0.003</w:t>
            </w:r>
          </w:p>
        </w:tc>
      </w:tr>
    </w:tbl>
    <w:p w14:paraId="3A623666" w14:textId="77777777" w:rsidR="004F0192" w:rsidRDefault="004132D2">
      <w:pPr>
        <w:jc w:val="center"/>
      </w:pPr>
      <w:r>
        <w:rPr>
          <w:b/>
          <w:i/>
          <w:sz w:val="20"/>
        </w:rPr>
        <w:t>Table 3. Quadriceps Strength Progression</w:t>
      </w:r>
      <w:r>
        <w:rPr>
          <w:b/>
          <w:i/>
          <w:sz w:val="20"/>
        </w:rPr>
        <w:br/>
        <w:t>*p&lt;0.05, **p&lt;0.01, ***p&lt;0.001 vs baseline</w:t>
      </w:r>
    </w:p>
    <w:p w14:paraId="64CDC5E9" w14:textId="77777777" w:rsidR="004F0192" w:rsidRDefault="004F0192"/>
    <w:p w14:paraId="452E7A33" w14:textId="77777777" w:rsidR="004F0192" w:rsidRDefault="004132D2">
      <w:pPr>
        <w:spacing w:after="120"/>
      </w:pPr>
      <w:r>
        <w:rPr>
          <w:b/>
          <w:sz w:val="22"/>
        </w:rPr>
        <w:t>Proprioception Assessment (Single-Leg Stance, seconds):</w:t>
      </w:r>
    </w:p>
    <w:tbl>
      <w:tblPr>
        <w:tblStyle w:val="LightGrid-Accent1"/>
        <w:tblW w:w="0" w:type="auto"/>
        <w:tblLook w:val="04A0" w:firstRow="1" w:lastRow="0" w:firstColumn="1" w:lastColumn="0" w:noHBand="0" w:noVBand="1"/>
      </w:tblPr>
      <w:tblGrid>
        <w:gridCol w:w="2757"/>
        <w:gridCol w:w="2757"/>
        <w:gridCol w:w="2757"/>
        <w:gridCol w:w="2757"/>
      </w:tblGrid>
      <w:tr w:rsidR="004F0192" w14:paraId="1A0C3909" w14:textId="77777777" w:rsidTr="004F0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2312C85A" w14:textId="77777777" w:rsidR="004F0192" w:rsidRDefault="004132D2">
            <w:r>
              <w:rPr>
                <w:sz w:val="20"/>
              </w:rPr>
              <w:t>Time Point</w:t>
            </w:r>
          </w:p>
        </w:tc>
        <w:tc>
          <w:tcPr>
            <w:tcW w:w="2757" w:type="dxa"/>
          </w:tcPr>
          <w:p w14:paraId="229CE5A9"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CKC Group</w:t>
            </w:r>
          </w:p>
        </w:tc>
        <w:tc>
          <w:tcPr>
            <w:tcW w:w="2757" w:type="dxa"/>
          </w:tcPr>
          <w:p w14:paraId="78234A60"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OKC Group</w:t>
            </w:r>
          </w:p>
        </w:tc>
        <w:tc>
          <w:tcPr>
            <w:tcW w:w="2757" w:type="dxa"/>
          </w:tcPr>
          <w:p w14:paraId="7CE937BD"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p-value</w:t>
            </w:r>
          </w:p>
        </w:tc>
      </w:tr>
      <w:tr w:rsidR="004F0192" w14:paraId="74B885FA"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61F4CCFC" w14:textId="77777777" w:rsidR="004F0192" w:rsidRDefault="004132D2">
            <w:r>
              <w:rPr>
                <w:sz w:val="20"/>
              </w:rPr>
              <w:t>Baseline (Week 6)</w:t>
            </w:r>
          </w:p>
        </w:tc>
        <w:tc>
          <w:tcPr>
            <w:tcW w:w="2757" w:type="dxa"/>
          </w:tcPr>
          <w:p w14:paraId="0768BAAA"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18.2±6.3</w:t>
            </w:r>
          </w:p>
        </w:tc>
        <w:tc>
          <w:tcPr>
            <w:tcW w:w="2757" w:type="dxa"/>
          </w:tcPr>
          <w:p w14:paraId="57CDBA70"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17.9±6.1</w:t>
            </w:r>
          </w:p>
        </w:tc>
        <w:tc>
          <w:tcPr>
            <w:tcW w:w="2757" w:type="dxa"/>
          </w:tcPr>
          <w:p w14:paraId="0A763AC0"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0.83</w:t>
            </w:r>
          </w:p>
        </w:tc>
      </w:tr>
      <w:tr w:rsidR="004F0192" w14:paraId="01E92641" w14:textId="77777777" w:rsidTr="004F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65F8CACB" w14:textId="77777777" w:rsidR="004F0192" w:rsidRDefault="004132D2">
            <w:r>
              <w:rPr>
                <w:sz w:val="20"/>
              </w:rPr>
              <w:lastRenderedPageBreak/>
              <w:t>Mid-intervention (Week 9)</w:t>
            </w:r>
          </w:p>
        </w:tc>
        <w:tc>
          <w:tcPr>
            <w:tcW w:w="2757" w:type="dxa"/>
          </w:tcPr>
          <w:p w14:paraId="1488BB12"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32.4±9.2*</w:t>
            </w:r>
          </w:p>
        </w:tc>
        <w:tc>
          <w:tcPr>
            <w:tcW w:w="2757" w:type="dxa"/>
          </w:tcPr>
          <w:p w14:paraId="5C7D558A"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26.8±8.5*</w:t>
            </w:r>
          </w:p>
        </w:tc>
        <w:tc>
          <w:tcPr>
            <w:tcW w:w="2757" w:type="dxa"/>
          </w:tcPr>
          <w:p w14:paraId="4F476B38"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0.04</w:t>
            </w:r>
          </w:p>
        </w:tc>
      </w:tr>
      <w:tr w:rsidR="004F0192" w14:paraId="0F5319A2"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686D3618" w14:textId="77777777" w:rsidR="004F0192" w:rsidRDefault="004132D2">
            <w:r>
              <w:rPr>
                <w:sz w:val="20"/>
              </w:rPr>
              <w:t>Post-intervention (Week 12)</w:t>
            </w:r>
          </w:p>
        </w:tc>
        <w:tc>
          <w:tcPr>
            <w:tcW w:w="2757" w:type="dxa"/>
          </w:tcPr>
          <w:p w14:paraId="40C1368D"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42.6±11.1**</w:t>
            </w:r>
          </w:p>
        </w:tc>
        <w:tc>
          <w:tcPr>
            <w:tcW w:w="2757" w:type="dxa"/>
          </w:tcPr>
          <w:p w14:paraId="4F56850E"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35.2±10.4**</w:t>
            </w:r>
          </w:p>
        </w:tc>
        <w:tc>
          <w:tcPr>
            <w:tcW w:w="2757" w:type="dxa"/>
          </w:tcPr>
          <w:p w14:paraId="453B4F04"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0.009</w:t>
            </w:r>
          </w:p>
        </w:tc>
      </w:tr>
    </w:tbl>
    <w:p w14:paraId="020B12C7" w14:textId="77777777" w:rsidR="004F0192" w:rsidRDefault="004132D2">
      <w:pPr>
        <w:jc w:val="center"/>
      </w:pPr>
      <w:r>
        <w:rPr>
          <w:b/>
          <w:i/>
          <w:sz w:val="20"/>
        </w:rPr>
        <w:t>Table 4. Proprioception Improvement Over Time</w:t>
      </w:r>
      <w:r>
        <w:rPr>
          <w:b/>
          <w:i/>
          <w:sz w:val="20"/>
        </w:rPr>
        <w:br/>
        <w:t>*p&lt;0.05, **p&lt;0.01 vs baseline</w:t>
      </w:r>
    </w:p>
    <w:p w14:paraId="7DDC153C" w14:textId="77777777" w:rsidR="004F0192" w:rsidRDefault="004F0192"/>
    <w:p w14:paraId="7F27A0CC" w14:textId="77777777" w:rsidR="004F0192" w:rsidRDefault="004132D2">
      <w:pPr>
        <w:spacing w:after="120"/>
      </w:pPr>
      <w:r>
        <w:rPr>
          <w:b/>
          <w:sz w:val="22"/>
        </w:rPr>
        <w:t>Functional Performance Measures (Post-intervention, Week 12):</w:t>
      </w:r>
    </w:p>
    <w:tbl>
      <w:tblPr>
        <w:tblStyle w:val="LightGrid-Accent1"/>
        <w:tblW w:w="0" w:type="auto"/>
        <w:tblLook w:val="04A0" w:firstRow="1" w:lastRow="0" w:firstColumn="1" w:lastColumn="0" w:noHBand="0" w:noVBand="1"/>
      </w:tblPr>
      <w:tblGrid>
        <w:gridCol w:w="2757"/>
        <w:gridCol w:w="2757"/>
        <w:gridCol w:w="2757"/>
        <w:gridCol w:w="2757"/>
      </w:tblGrid>
      <w:tr w:rsidR="004F0192" w14:paraId="7F93043D" w14:textId="77777777" w:rsidTr="004F0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2E50A893" w14:textId="77777777" w:rsidR="004F0192" w:rsidRDefault="004132D2">
            <w:r>
              <w:rPr>
                <w:sz w:val="20"/>
              </w:rPr>
              <w:t>Measure</w:t>
            </w:r>
          </w:p>
        </w:tc>
        <w:tc>
          <w:tcPr>
            <w:tcW w:w="2757" w:type="dxa"/>
          </w:tcPr>
          <w:p w14:paraId="675FC99F"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CKC Group</w:t>
            </w:r>
          </w:p>
        </w:tc>
        <w:tc>
          <w:tcPr>
            <w:tcW w:w="2757" w:type="dxa"/>
          </w:tcPr>
          <w:p w14:paraId="60C6B7C5"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OKC Group</w:t>
            </w:r>
          </w:p>
        </w:tc>
        <w:tc>
          <w:tcPr>
            <w:tcW w:w="2757" w:type="dxa"/>
          </w:tcPr>
          <w:p w14:paraId="4284E6B2" w14:textId="77777777" w:rsidR="004F0192" w:rsidRDefault="004132D2">
            <w:pPr>
              <w:cnfStyle w:val="100000000000" w:firstRow="1" w:lastRow="0" w:firstColumn="0" w:lastColumn="0" w:oddVBand="0" w:evenVBand="0" w:oddHBand="0" w:evenHBand="0" w:firstRowFirstColumn="0" w:firstRowLastColumn="0" w:lastRowFirstColumn="0" w:lastRowLastColumn="0"/>
            </w:pPr>
            <w:r>
              <w:rPr>
                <w:sz w:val="20"/>
              </w:rPr>
              <w:t>p-value</w:t>
            </w:r>
          </w:p>
        </w:tc>
      </w:tr>
      <w:tr w:rsidR="004F0192" w14:paraId="50E045EF"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4616A699" w14:textId="77777777" w:rsidR="004F0192" w:rsidRDefault="004132D2">
            <w:r>
              <w:rPr>
                <w:sz w:val="20"/>
              </w:rPr>
              <w:t>6-Minute Walk Test (m)</w:t>
            </w:r>
          </w:p>
        </w:tc>
        <w:tc>
          <w:tcPr>
            <w:tcW w:w="2757" w:type="dxa"/>
          </w:tcPr>
          <w:p w14:paraId="6E0220F5"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521±48</w:t>
            </w:r>
          </w:p>
        </w:tc>
        <w:tc>
          <w:tcPr>
            <w:tcW w:w="2757" w:type="dxa"/>
          </w:tcPr>
          <w:p w14:paraId="62B74DFD"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528±52</w:t>
            </w:r>
          </w:p>
        </w:tc>
        <w:tc>
          <w:tcPr>
            <w:tcW w:w="2757" w:type="dxa"/>
          </w:tcPr>
          <w:p w14:paraId="2D37CDD6"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0.52</w:t>
            </w:r>
          </w:p>
        </w:tc>
      </w:tr>
      <w:tr w:rsidR="004F0192" w14:paraId="0DDB9A37" w14:textId="77777777" w:rsidTr="004F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46E7CEB2" w14:textId="77777777" w:rsidR="004F0192" w:rsidRDefault="004132D2">
            <w:r>
              <w:rPr>
                <w:sz w:val="20"/>
              </w:rPr>
              <w:t>Timed Up-and-Go Test (s)</w:t>
            </w:r>
          </w:p>
        </w:tc>
        <w:tc>
          <w:tcPr>
            <w:tcW w:w="2757" w:type="dxa"/>
          </w:tcPr>
          <w:p w14:paraId="45F15995"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8.3±1.2</w:t>
            </w:r>
          </w:p>
        </w:tc>
        <w:tc>
          <w:tcPr>
            <w:tcW w:w="2757" w:type="dxa"/>
          </w:tcPr>
          <w:p w14:paraId="57067794"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8.5±1.4</w:t>
            </w:r>
          </w:p>
        </w:tc>
        <w:tc>
          <w:tcPr>
            <w:tcW w:w="2757" w:type="dxa"/>
          </w:tcPr>
          <w:p w14:paraId="2E26496D"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0.47</w:t>
            </w:r>
          </w:p>
        </w:tc>
      </w:tr>
      <w:tr w:rsidR="004F0192" w14:paraId="2294C771" w14:textId="77777777" w:rsidTr="004F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3CB7EBA0" w14:textId="77777777" w:rsidR="004F0192" w:rsidRDefault="004132D2">
            <w:r>
              <w:rPr>
                <w:sz w:val="20"/>
              </w:rPr>
              <w:t>Single-Leg Hop Test (% limb symmetry)</w:t>
            </w:r>
          </w:p>
        </w:tc>
        <w:tc>
          <w:tcPr>
            <w:tcW w:w="2757" w:type="dxa"/>
          </w:tcPr>
          <w:p w14:paraId="76D72314"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78.2±8.6</w:t>
            </w:r>
          </w:p>
        </w:tc>
        <w:tc>
          <w:tcPr>
            <w:tcW w:w="2757" w:type="dxa"/>
          </w:tcPr>
          <w:p w14:paraId="36699AD2"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76.9±9.2</w:t>
            </w:r>
          </w:p>
        </w:tc>
        <w:tc>
          <w:tcPr>
            <w:tcW w:w="2757" w:type="dxa"/>
          </w:tcPr>
          <w:p w14:paraId="0C653AFE" w14:textId="77777777" w:rsidR="004F0192" w:rsidRDefault="004132D2">
            <w:pPr>
              <w:cnfStyle w:val="000000100000" w:firstRow="0" w:lastRow="0" w:firstColumn="0" w:lastColumn="0" w:oddVBand="0" w:evenVBand="0" w:oddHBand="1" w:evenHBand="0" w:firstRowFirstColumn="0" w:firstRowLastColumn="0" w:lastRowFirstColumn="0" w:lastRowLastColumn="0"/>
            </w:pPr>
            <w:r>
              <w:rPr>
                <w:sz w:val="20"/>
              </w:rPr>
              <w:t>0.58</w:t>
            </w:r>
          </w:p>
        </w:tc>
      </w:tr>
      <w:tr w:rsidR="004F0192" w14:paraId="3252ECA0" w14:textId="77777777" w:rsidTr="004F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7" w:type="dxa"/>
          </w:tcPr>
          <w:p w14:paraId="40B3F120" w14:textId="77777777" w:rsidR="004F0192" w:rsidRDefault="004132D2">
            <w:r>
              <w:rPr>
                <w:sz w:val="20"/>
              </w:rPr>
              <w:t>Y-Balance Test (cm)</w:t>
            </w:r>
          </w:p>
        </w:tc>
        <w:tc>
          <w:tcPr>
            <w:tcW w:w="2757" w:type="dxa"/>
          </w:tcPr>
          <w:p w14:paraId="52361F82"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94.3±7.8</w:t>
            </w:r>
          </w:p>
        </w:tc>
        <w:tc>
          <w:tcPr>
            <w:tcW w:w="2757" w:type="dxa"/>
          </w:tcPr>
          <w:p w14:paraId="016391A0"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92.5±8.4</w:t>
            </w:r>
          </w:p>
        </w:tc>
        <w:tc>
          <w:tcPr>
            <w:tcW w:w="2757" w:type="dxa"/>
          </w:tcPr>
          <w:p w14:paraId="63D660F8" w14:textId="77777777" w:rsidR="004F0192" w:rsidRDefault="004132D2">
            <w:pPr>
              <w:cnfStyle w:val="000000010000" w:firstRow="0" w:lastRow="0" w:firstColumn="0" w:lastColumn="0" w:oddVBand="0" w:evenVBand="0" w:oddHBand="0" w:evenHBand="1" w:firstRowFirstColumn="0" w:firstRowLastColumn="0" w:lastRowFirstColumn="0" w:lastRowLastColumn="0"/>
            </w:pPr>
            <w:r>
              <w:rPr>
                <w:sz w:val="20"/>
              </w:rPr>
              <w:t>0.34</w:t>
            </w:r>
          </w:p>
        </w:tc>
      </w:tr>
    </w:tbl>
    <w:p w14:paraId="324C95F6" w14:textId="77777777" w:rsidR="004F0192" w:rsidRDefault="004132D2">
      <w:pPr>
        <w:jc w:val="center"/>
      </w:pPr>
      <w:r>
        <w:rPr>
          <w:b/>
          <w:i/>
          <w:sz w:val="20"/>
        </w:rPr>
        <w:t>Table 5. Functional Performance Outcomes at Week 12</w:t>
      </w:r>
      <w:r>
        <w:rPr>
          <w:b/>
          <w:i/>
          <w:sz w:val="20"/>
        </w:rPr>
        <w:br/>
        <w:t>No statistically significant differences between groups (p&gt;0.05)</w:t>
      </w:r>
    </w:p>
    <w:p w14:paraId="3F21BE0E" w14:textId="77777777" w:rsidR="004F0192" w:rsidRDefault="004132D2">
      <w:r>
        <w:br w:type="page"/>
      </w:r>
    </w:p>
    <w:p w14:paraId="0C850810" w14:textId="77777777" w:rsidR="004F0192" w:rsidRDefault="004132D2">
      <w:pPr>
        <w:pStyle w:val="Heading1"/>
        <w:spacing w:before="240" w:after="240"/>
      </w:pPr>
      <w:r>
        <w:lastRenderedPageBreak/>
        <w:t>RESULTS (Continued): FIGURES</w:t>
      </w:r>
    </w:p>
    <w:p w14:paraId="669313A5" w14:textId="77777777" w:rsidR="004F0192" w:rsidRDefault="004132D2">
      <w:pPr>
        <w:jc w:val="center"/>
      </w:pPr>
      <w:r>
        <w:rPr>
          <w:b/>
          <w:sz w:val="22"/>
        </w:rPr>
        <w:t>Figure 1: Anterior Knee Laxity Progression Comparing CKC and OKC Groups</w:t>
      </w:r>
    </w:p>
    <w:p w14:paraId="336585DF" w14:textId="77777777" w:rsidR="004F0192" w:rsidRDefault="004132D2">
      <w:pPr>
        <w:jc w:val="center"/>
      </w:pPr>
      <w:r>
        <w:rPr>
          <w:noProof/>
        </w:rPr>
        <w:drawing>
          <wp:inline distT="0" distB="0" distL="0" distR="0" wp14:anchorId="498F9E1B" wp14:editId="25B15850">
            <wp:extent cx="4572000" cy="272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stability.png"/>
                    <pic:cNvPicPr/>
                  </pic:nvPicPr>
                  <pic:blipFill>
                    <a:blip r:embed="rId7"/>
                    <a:stretch>
                      <a:fillRect/>
                    </a:stretch>
                  </pic:blipFill>
                  <pic:spPr>
                    <a:xfrm>
                      <a:off x="0" y="0"/>
                      <a:ext cx="4572000" cy="2727806"/>
                    </a:xfrm>
                    <a:prstGeom prst="rect">
                      <a:avLst/>
                    </a:prstGeom>
                  </pic:spPr>
                </pic:pic>
              </a:graphicData>
            </a:graphic>
          </wp:inline>
        </w:drawing>
      </w:r>
    </w:p>
    <w:p w14:paraId="58CD8930" w14:textId="77777777" w:rsidR="004F0192" w:rsidRDefault="004F0192"/>
    <w:p w14:paraId="6014D3B9" w14:textId="77777777" w:rsidR="004F0192" w:rsidRDefault="004132D2">
      <w:pPr>
        <w:jc w:val="center"/>
      </w:pPr>
      <w:r>
        <w:rPr>
          <w:b/>
          <w:sz w:val="22"/>
        </w:rPr>
        <w:t>Figure 2: Quadriceps Strength Development Over Time</w:t>
      </w:r>
    </w:p>
    <w:p w14:paraId="1A0B3F85" w14:textId="77777777" w:rsidR="004F0192" w:rsidRDefault="004132D2">
      <w:pPr>
        <w:jc w:val="center"/>
      </w:pPr>
      <w:r>
        <w:rPr>
          <w:noProof/>
        </w:rPr>
        <w:drawing>
          <wp:inline distT="0" distB="0" distL="0" distR="0" wp14:anchorId="1F95BB1F" wp14:editId="4E3867BB">
            <wp:extent cx="4572000" cy="27278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strength.png"/>
                    <pic:cNvPicPr/>
                  </pic:nvPicPr>
                  <pic:blipFill>
                    <a:blip r:embed="rId8"/>
                    <a:stretch>
                      <a:fillRect/>
                    </a:stretch>
                  </pic:blipFill>
                  <pic:spPr>
                    <a:xfrm>
                      <a:off x="0" y="0"/>
                      <a:ext cx="4572000" cy="2727806"/>
                    </a:xfrm>
                    <a:prstGeom prst="rect">
                      <a:avLst/>
                    </a:prstGeom>
                  </pic:spPr>
                </pic:pic>
              </a:graphicData>
            </a:graphic>
          </wp:inline>
        </w:drawing>
      </w:r>
    </w:p>
    <w:p w14:paraId="3C908697" w14:textId="77777777" w:rsidR="004F0192" w:rsidRDefault="004F0192"/>
    <w:p w14:paraId="0F882E51" w14:textId="77777777" w:rsidR="004F0192" w:rsidRDefault="004132D2">
      <w:pPr>
        <w:jc w:val="center"/>
      </w:pPr>
      <w:r>
        <w:rPr>
          <w:b/>
          <w:sz w:val="22"/>
        </w:rPr>
        <w:t>Figure 3: Proprioception Improvement: Single-Leg Stance Balance Control</w:t>
      </w:r>
    </w:p>
    <w:p w14:paraId="76659CA2" w14:textId="77777777" w:rsidR="004F0192" w:rsidRDefault="004132D2">
      <w:pPr>
        <w:jc w:val="center"/>
      </w:pPr>
      <w:r>
        <w:rPr>
          <w:noProof/>
        </w:rPr>
        <w:lastRenderedPageBreak/>
        <w:drawing>
          <wp:inline distT="0" distB="0" distL="0" distR="0" wp14:anchorId="64F0581C" wp14:editId="73710894">
            <wp:extent cx="4572000" cy="2727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proprioception.png"/>
                    <pic:cNvPicPr/>
                  </pic:nvPicPr>
                  <pic:blipFill>
                    <a:blip r:embed="rId9"/>
                    <a:stretch>
                      <a:fillRect/>
                    </a:stretch>
                  </pic:blipFill>
                  <pic:spPr>
                    <a:xfrm>
                      <a:off x="0" y="0"/>
                      <a:ext cx="4572000" cy="2727806"/>
                    </a:xfrm>
                    <a:prstGeom prst="rect">
                      <a:avLst/>
                    </a:prstGeom>
                  </pic:spPr>
                </pic:pic>
              </a:graphicData>
            </a:graphic>
          </wp:inline>
        </w:drawing>
      </w:r>
    </w:p>
    <w:p w14:paraId="3336F06F" w14:textId="77777777" w:rsidR="004F0192" w:rsidRDefault="004132D2">
      <w:r>
        <w:br w:type="page"/>
      </w:r>
    </w:p>
    <w:p w14:paraId="5DB29648" w14:textId="77777777" w:rsidR="004F0192" w:rsidRDefault="004132D2">
      <w:pPr>
        <w:jc w:val="center"/>
      </w:pPr>
      <w:r>
        <w:rPr>
          <w:b/>
          <w:sz w:val="22"/>
        </w:rPr>
        <w:lastRenderedPageBreak/>
        <w:t>Figure 4: Comparative Progression Trends of All Measures (Normalized to Baseline = 100%)</w:t>
      </w:r>
    </w:p>
    <w:p w14:paraId="273C3EB2" w14:textId="77777777" w:rsidR="004F0192" w:rsidRDefault="004132D2">
      <w:pPr>
        <w:jc w:val="center"/>
      </w:pPr>
      <w:r>
        <w:rPr>
          <w:noProof/>
        </w:rPr>
        <w:drawing>
          <wp:inline distT="0" distB="0" distL="0" distR="0" wp14:anchorId="526310DF" wp14:editId="3D8B25A3">
            <wp:extent cx="5029200" cy="29189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combined.png"/>
                    <pic:cNvPicPr/>
                  </pic:nvPicPr>
                  <pic:blipFill>
                    <a:blip r:embed="rId10"/>
                    <a:stretch>
                      <a:fillRect/>
                    </a:stretch>
                  </pic:blipFill>
                  <pic:spPr>
                    <a:xfrm>
                      <a:off x="0" y="0"/>
                      <a:ext cx="5029200" cy="2918908"/>
                    </a:xfrm>
                    <a:prstGeom prst="rect">
                      <a:avLst/>
                    </a:prstGeom>
                  </pic:spPr>
                </pic:pic>
              </a:graphicData>
            </a:graphic>
          </wp:inline>
        </w:drawing>
      </w:r>
    </w:p>
    <w:p w14:paraId="4D3DF3C7" w14:textId="77777777" w:rsidR="004F0192" w:rsidRDefault="004F0192"/>
    <w:p w14:paraId="5CBDED36" w14:textId="77777777" w:rsidR="004F0192" w:rsidRDefault="004132D2">
      <w:pPr>
        <w:jc w:val="center"/>
      </w:pPr>
      <w:r>
        <w:rPr>
          <w:b/>
          <w:sz w:val="22"/>
        </w:rPr>
        <w:t>Figure 5: Overall Improvement Comparison Across All Outcome Measures at Week 12</w:t>
      </w:r>
    </w:p>
    <w:p w14:paraId="7D421B3D" w14:textId="77777777" w:rsidR="004F0192" w:rsidRDefault="004132D2">
      <w:pPr>
        <w:jc w:val="center"/>
      </w:pPr>
      <w:r>
        <w:rPr>
          <w:noProof/>
        </w:rPr>
        <w:drawing>
          <wp:inline distT="0" distB="0" distL="0" distR="0" wp14:anchorId="1E2FA3E7" wp14:editId="24AF858C">
            <wp:extent cx="4572000" cy="27216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5_improvements.png"/>
                    <pic:cNvPicPr/>
                  </pic:nvPicPr>
                  <pic:blipFill>
                    <a:blip r:embed="rId11"/>
                    <a:stretch>
                      <a:fillRect/>
                    </a:stretch>
                  </pic:blipFill>
                  <pic:spPr>
                    <a:xfrm>
                      <a:off x="0" y="0"/>
                      <a:ext cx="4572000" cy="2721648"/>
                    </a:xfrm>
                    <a:prstGeom prst="rect">
                      <a:avLst/>
                    </a:prstGeom>
                  </pic:spPr>
                </pic:pic>
              </a:graphicData>
            </a:graphic>
          </wp:inline>
        </w:drawing>
      </w:r>
    </w:p>
    <w:p w14:paraId="6C1BDF34" w14:textId="77777777" w:rsidR="004F0192" w:rsidRDefault="004132D2">
      <w:r>
        <w:br w:type="page"/>
      </w:r>
    </w:p>
    <w:p w14:paraId="044ECB40" w14:textId="77777777" w:rsidR="004F0192" w:rsidRDefault="004132D2">
      <w:pPr>
        <w:pStyle w:val="Heading1"/>
        <w:spacing w:before="240" w:after="240"/>
      </w:pPr>
      <w:r>
        <w:t>DISCUSSION</w:t>
      </w:r>
    </w:p>
    <w:p w14:paraId="5DD80561" w14:textId="77777777" w:rsidR="004F0192" w:rsidRDefault="004132D2">
      <w:pPr>
        <w:jc w:val="both"/>
      </w:pPr>
      <w:r>
        <w:t>This randomized controlled trial provides comparative evidence regarding the differential efficacy of closed kinetic chain and open kinetic chain exercise modalities in early post-ACL reconstruction rehabilitation. The findings support our primary hypothesis that different exercise modalities produce differential effects on specific rehabilitation outcomes, suggesting that exercise selection should be strategically based on rehabilitation-specific objectives.</w:t>
      </w:r>
    </w:p>
    <w:p w14:paraId="43533DBE" w14:textId="77777777" w:rsidR="004F0192" w:rsidRDefault="004132D2">
      <w:pPr>
        <w:jc w:val="both"/>
      </w:pPr>
      <w:r>
        <w:t>The superior knee stability improvements observed in the CKC group (59.7% reduction from baseline versus 44.6% in OKC group) likely reflect the distinct biomechanical properties of closed chain activities. In closed kinetic chain exercises, the fixed distal foot position creates a stable base against which proximal segments move, facilitating co-contraction of protective musculature including the gluteus maximus, vastus medialis obliquus, and hamstring muscle group. This coordinated muscle activation patter</w:t>
      </w:r>
      <w:r>
        <w:t>n appears particularly effective at reducing anterior knee translation and enhancing dynamic knee stability through muscular protection of the healing ACL ligament. These findings are consistent with previous investigations demonstrating that CKC exercises promote integrated neuromuscular stabilization patterns superior for functional knee protection.</w:t>
      </w:r>
    </w:p>
    <w:p w14:paraId="6B748441" w14:textId="77777777" w:rsidR="004F0192" w:rsidRDefault="004132D2">
      <w:pPr>
        <w:jc w:val="both"/>
      </w:pPr>
      <w:r>
        <w:t>The open kinetic chain group's substantially superior quadriceps strength gains (113.2% improvement from baseline versus 68.1% in CKC group) are entirely consistent with established principles of exercise specificity and progressive resistance training. Open kinetic chain exercises allow for isolated, focused loading of the quadriceps muscle group with precise control of movement patterns, resistance magnitude, and exercise volume. This highly specific, isolated resistance stimulus effectively stimulates st</w:t>
      </w:r>
      <w:r>
        <w:t>rength adaptations in the target musculature through classical mechanisms of progressive overload and neuromuscular adaptation. The differential strength gains underscore the importance of matching exercise selection to specific rehabilitation objectives.</w:t>
      </w:r>
    </w:p>
    <w:p w14:paraId="70029078" w14:textId="77777777" w:rsidR="004F0192" w:rsidRDefault="004132D2">
      <w:pPr>
        <w:jc w:val="both"/>
      </w:pPr>
      <w:r>
        <w:t>The proprioceptive advantages observed in the CKC group (234.1% improvement versus 196.1% in OKC group) are noteworthy from a neurophysiological perspective. Proprioceptive sensory receptors, including muscle spindles, Golgi tendon organs, joint mechanoreceptors, and cutaneous mechanoreceptors, are abundantly stimulated through dynamic weight-bearing activities and multisensory input. Closed kinetic chain exercises, which involve ground contact forces and dynamic whole-body stabilization demands, provide ri</w:t>
      </w:r>
      <w:r>
        <w:t>ch proprioceptive feedback through multiple complementary sensory modalities. This multisensory proprioceptive input results in superior proprioceptive adaptation, enhanced postural control, and dynamic balance capacity. These findings support the early integration of CKC exercises in rehabilitation protocols when proprioceptive restoration is a rehabilitation priority.</w:t>
      </w:r>
    </w:p>
    <w:p w14:paraId="2D6D4A26" w14:textId="77777777" w:rsidR="004F0192" w:rsidRDefault="004132D2">
      <w:pPr>
        <w:jc w:val="both"/>
      </w:pPr>
      <w:r>
        <w:t>Notably, both exercise modalities produced comparable functional performance improvements, with no statistically significant differences observed between groups in any functional test (6-minute walk, timed up-and-go, single-leg hop, Y-balance). This observation suggests that while differential effects exist for specific biomechanical measures, both exercise approaches contribute meaningfully and equivalently to overall functional recovery during the early rehabilitation phase. These findings support the cli</w:t>
      </w:r>
      <w:r>
        <w:t>nical concept that appropriately progressed and properly sequenced exercise interventions, regardless of kinetic chain classification, can effectively restore functional capacity in early post-operative ACL rehabilitation.</w:t>
      </w:r>
    </w:p>
    <w:p w14:paraId="54C265B3" w14:textId="77777777" w:rsidR="004F0192" w:rsidRDefault="004132D2">
      <w:pPr>
        <w:pStyle w:val="Heading1"/>
        <w:spacing w:before="240" w:after="240"/>
      </w:pPr>
      <w:r>
        <w:t>CONCLUSIONS</w:t>
      </w:r>
    </w:p>
    <w:p w14:paraId="40C47252" w14:textId="77777777" w:rsidR="004F0192" w:rsidRDefault="004132D2">
      <w:pPr>
        <w:jc w:val="both"/>
      </w:pPr>
      <w:r>
        <w:t>This randomized controlled trial provides robust evidence that both closed kinetic chain and open kinetic chain exercises produce statistically significant and clinically meaningful improvements in knee function during early post-ACL reconstruction rehabilitation. However, differential effects on specific outcome measures provide important guidance for exercise modality selection based on rehabilitation-specific goals and priorities.</w:t>
      </w:r>
    </w:p>
    <w:p w14:paraId="4B629C04" w14:textId="77777777" w:rsidR="004F0192" w:rsidRDefault="004132D2">
      <w:pPr>
        <w:jc w:val="both"/>
      </w:pPr>
      <w:r>
        <w:t>Clinical implications of these findings include: (1) closed kinetic chain exercises should be prioritized when maximal improvements in knee stability and proprioceptive capacity are rehabilitation objectives; (2) open kinetic chain exercises should be incorporated when isolated quadriceps strength development is a primary goal; (3) a combined sequential approach incorporating both modalities throughout the rehabilitation continuum appears optimal for comprehensive functional restoration; (4) both modalities</w:t>
      </w:r>
      <w:r>
        <w:t xml:space="preserve"> support equivalent functional performance improvements, suggesting clinician flexibility in programming. Future research should investigate optimal temporal sequencing and integration of these modalities throughout the entire rehabilitation continuum, as well as their long-term effects on return-to-sport outcomes, re-injury rates, and prevention of post-traumatic knee osteoarthritis.</w:t>
      </w:r>
    </w:p>
    <w:p w14:paraId="21081255" w14:textId="77777777" w:rsidR="004F0192" w:rsidRDefault="004F0192"/>
    <w:p w14:paraId="4DB4084A" w14:textId="77777777" w:rsidR="004F0192" w:rsidRDefault="004132D2">
      <w:pPr>
        <w:pStyle w:val="Heading1"/>
        <w:spacing w:before="240" w:after="240"/>
      </w:pPr>
      <w:r>
        <w:t>ACKNOWLEDGMENTS</w:t>
      </w:r>
    </w:p>
    <w:p w14:paraId="0EAEEEAE" w14:textId="4C587CA6" w:rsidR="004F0192" w:rsidRDefault="004132D2">
      <w:pPr>
        <w:jc w:val="both"/>
      </w:pPr>
      <w:r>
        <w:t xml:space="preserve">The authors extend gratitude to all study participants for their commitment to this investigation. We acknowledge the contributions of the physical therapy and surgical teams for their excellent patient care and clinical </w:t>
      </w:r>
      <w:proofErr w:type="spellStart"/>
      <w:r>
        <w:t>expertise.</w:t>
      </w:r>
      <w:r>
        <w:t>The</w:t>
      </w:r>
      <w:proofErr w:type="spellEnd"/>
      <w:r>
        <w:t xml:space="preserve"> funders had no role in study design, data collection, analysis, or </w:t>
      </w:r>
      <w:proofErr w:type="spellStart"/>
      <w:r>
        <w:t>m</w:t>
      </w:r>
      <w:r w:rsidR="00812FFC">
        <w:t>p</w:t>
      </w:r>
      <w:r>
        <w:t>anuscript</w:t>
      </w:r>
      <w:proofErr w:type="spellEnd"/>
      <w:r>
        <w:t xml:space="preserve"> preparation.</w:t>
      </w:r>
    </w:p>
    <w:p w14:paraId="68073CFC" w14:textId="77777777" w:rsidR="004F0192" w:rsidRDefault="004132D2">
      <w:pPr>
        <w:pStyle w:val="Heading1"/>
        <w:spacing w:before="240" w:after="240"/>
      </w:pPr>
      <w:r>
        <w:t>CONFLICT OF INTEREST</w:t>
      </w:r>
    </w:p>
    <w:p w14:paraId="78BB7D17" w14:textId="77777777" w:rsidR="004F0192" w:rsidRDefault="004132D2">
      <w:pPr>
        <w:jc w:val="both"/>
      </w:pPr>
      <w:r>
        <w:t>The authors declare no competing financial interests or personal relationships that could appear to influence the work reported in this manuscript. All authors contributed substantially to this research and approve the final manuscript.</w:t>
      </w:r>
    </w:p>
    <w:p w14:paraId="4BBACAA0" w14:textId="77777777" w:rsidR="004F0192" w:rsidRDefault="004132D2">
      <w:pPr>
        <w:pStyle w:val="Heading1"/>
        <w:spacing w:before="240" w:after="240"/>
      </w:pPr>
      <w:r>
        <w:t>ETHICAL APPROVAL</w:t>
      </w:r>
    </w:p>
    <w:p w14:paraId="57FC2BEC" w14:textId="0897F79E" w:rsidR="004F0192" w:rsidRDefault="004132D2">
      <w:pPr>
        <w:jc w:val="both"/>
      </w:pPr>
      <w:r>
        <w:t>This study was approved by the Institutional Review Board (IRB Protocol</w:t>
      </w:r>
      <w:r>
        <w:t xml:space="preserve"> and conforms to the principles outlined in the Declaration of </w:t>
      </w:r>
      <w:r w:rsidR="00754608">
        <w:t>p</w:t>
      </w:r>
      <w:r>
        <w:t>. All participants provided written informed consent prior to enrollment.</w:t>
      </w:r>
    </w:p>
    <w:p w14:paraId="002DE7BC" w14:textId="77777777" w:rsidR="004F0192" w:rsidRDefault="004132D2">
      <w:pPr>
        <w:pStyle w:val="Heading1"/>
        <w:spacing w:before="240" w:after="240"/>
      </w:pPr>
      <w:r>
        <w:t>DATA AVAILABILITY</w:t>
      </w:r>
    </w:p>
    <w:p w14:paraId="7C1FD975" w14:textId="77777777" w:rsidR="004F0192" w:rsidRDefault="004132D2">
      <w:pPr>
        <w:jc w:val="both"/>
      </w:pPr>
      <w:r>
        <w:t>The datasets generated and analyzed during this study are available from the corresponding author upon reasonable request, subject to institutional data protection policies and ethical constraints.</w:t>
      </w:r>
    </w:p>
    <w:p w14:paraId="6CE64641" w14:textId="77777777" w:rsidR="004F0192" w:rsidRDefault="004F0192"/>
    <w:p w14:paraId="5922114A" w14:textId="77777777" w:rsidR="004F0192" w:rsidRDefault="004132D2">
      <w:pPr>
        <w:pStyle w:val="Heading1"/>
        <w:spacing w:before="240" w:after="240"/>
      </w:pPr>
      <w:r>
        <w:t>REFERENCES</w:t>
      </w:r>
    </w:p>
    <w:p w14:paraId="0AFE3075" w14:textId="77777777" w:rsidR="004F0192" w:rsidRDefault="004132D2">
      <w:pPr>
        <w:spacing w:after="120"/>
        <w:jc w:val="both"/>
      </w:pPr>
      <w:r>
        <w:rPr>
          <w:sz w:val="22"/>
        </w:rPr>
        <w:t>1. Barber-Westin, S. D., &amp; Noyes, F. R. (2011). Long-term durability, function, and quality of life of the knee after early surgical reconstruction for acute rupture of the anterior cruciate ligament. American Journal of Sports Medicine, 39(12), 2536-2544. https://doi.org/10.1177/0363546511406882</w:t>
      </w:r>
    </w:p>
    <w:p w14:paraId="5495B38C" w14:textId="77777777" w:rsidR="004F0192" w:rsidRDefault="004132D2">
      <w:pPr>
        <w:spacing w:after="120"/>
        <w:jc w:val="both"/>
      </w:pPr>
      <w:r>
        <w:rPr>
          <w:sz w:val="22"/>
        </w:rPr>
        <w:t>2. Kibler, W. B., Press, J., &amp; Sciascia, A. (2006). The role of core stability in athletic function. Sports Medicine, 36(3), 189-198. https://doi.org/10.2165/00007256-200636030-00001</w:t>
      </w:r>
    </w:p>
    <w:p w14:paraId="0E15E0CC" w14:textId="77777777" w:rsidR="004F0192" w:rsidRDefault="004132D2">
      <w:pPr>
        <w:spacing w:after="120"/>
        <w:jc w:val="both"/>
      </w:pPr>
      <w:r>
        <w:rPr>
          <w:sz w:val="22"/>
        </w:rPr>
        <w:t>3. Lephart, S. M., &amp; Henry, T. J. (1996). Functional rehabilitation for the upper and lower extremity. Orthopedic Clinics of North America, 26(3), 579-592.</w:t>
      </w:r>
    </w:p>
    <w:p w14:paraId="785DAAE7" w14:textId="77777777" w:rsidR="004F0192" w:rsidRDefault="004132D2">
      <w:pPr>
        <w:spacing w:after="120"/>
        <w:jc w:val="both"/>
      </w:pPr>
      <w:r>
        <w:rPr>
          <w:sz w:val="22"/>
        </w:rPr>
        <w:t>4. Risberg, M. A., Holm, I., Myklebust, G., &amp; Engebretsen, L. (2007). Neuromuscular training versus strength training during the first season after anterior cruciate ligament reconstruction. European Journal of Physical and Rehabilitation Medicine, 43(3), 303-313.</w:t>
      </w:r>
    </w:p>
    <w:p w14:paraId="3C7253FC" w14:textId="77777777" w:rsidR="004F0192" w:rsidRDefault="004132D2">
      <w:pPr>
        <w:spacing w:after="120"/>
        <w:jc w:val="both"/>
      </w:pPr>
      <w:r>
        <w:rPr>
          <w:sz w:val="22"/>
        </w:rPr>
        <w:t>5. Shelbourne, K. D., &amp; Nitz, P. (1990). The O'Donoghue triad revisited. Combined intra-articular and extra-articular reconstruction in acute ACL tears. Journal of Orthopedic Surgery and Sports Medicine, 8(3), 110-116.</w:t>
      </w:r>
    </w:p>
    <w:p w14:paraId="090CABF7" w14:textId="77777777" w:rsidR="004F0192" w:rsidRDefault="004132D2">
      <w:pPr>
        <w:spacing w:after="120"/>
        <w:jc w:val="both"/>
      </w:pPr>
      <w:r>
        <w:rPr>
          <w:sz w:val="22"/>
        </w:rPr>
        <w:t>6. Steindler, A. (1955). Kinesiology of the Human Body Under Normal and Pathological Conditions. Charles C. Thomas Publisher.</w:t>
      </w:r>
    </w:p>
    <w:p w14:paraId="462DC5CC" w14:textId="77777777" w:rsidR="004F0192" w:rsidRDefault="004132D2">
      <w:pPr>
        <w:spacing w:after="120"/>
        <w:jc w:val="both"/>
      </w:pPr>
      <w:r>
        <w:rPr>
          <w:sz w:val="22"/>
        </w:rPr>
        <w:t>7. Wilder, R. P., &amp; Sethi, S. (1992). Rheumatologic aspects of painful overuse injuries in the athlete. Clinics in Sports Medicine, 11(4), 739-750.</w:t>
      </w:r>
    </w:p>
    <w:p w14:paraId="6509FD3F" w14:textId="77777777" w:rsidR="004F0192" w:rsidRDefault="004132D2">
      <w:pPr>
        <w:spacing w:after="120"/>
        <w:jc w:val="both"/>
      </w:pPr>
      <w:r>
        <w:rPr>
          <w:sz w:val="22"/>
        </w:rPr>
        <w:t>8. Yusof, A., &amp; Kamis, Z. A. (2007). Anterior cruciate ligament reconstruction: From basic science to clinical application. Asia Pacific Journal of Sports Medicine, Arthroscopy, Rehabilitation and Technology, 1(2), 66-72.</w:t>
      </w:r>
    </w:p>
    <w:p w14:paraId="4B45476E" w14:textId="77777777" w:rsidR="004F0192" w:rsidRDefault="004132D2">
      <w:pPr>
        <w:spacing w:after="120"/>
        <w:jc w:val="both"/>
      </w:pPr>
      <w:r>
        <w:rPr>
          <w:sz w:val="22"/>
        </w:rPr>
        <w:t>9. Hewett, T. E., Myer, G. D., Ford, K. R., et al. (2005). Biomechanical measures of neuromuscular control and valgus loading of the knee predict anterior cruciate ligament injury risk in female athletes. American Journal of Sports Medicine, 33(4), 492-501. https://doi.org/10.1177/0363546504271910</w:t>
      </w:r>
    </w:p>
    <w:p w14:paraId="3BD2363B" w14:textId="77777777" w:rsidR="004F0192" w:rsidRDefault="004132D2">
      <w:pPr>
        <w:spacing w:after="120"/>
        <w:jc w:val="both"/>
      </w:pPr>
      <w:r>
        <w:rPr>
          <w:sz w:val="22"/>
        </w:rPr>
        <w:t>10. Grindem, H., Eitzen, I., Engebretsen, L., Snyder-Mackler, L., &amp; Risberg, M. A. (2014). Sensorimotor training and strength testing after anterior cruciate ligament injury: a prospective randomized controlled trial. Journal of Orthopaedic &amp; Sports Physical Therapy, 44(5), 394-404. https://doi.org/10.2519/jospt.2014.5220</w:t>
      </w:r>
    </w:p>
    <w:p w14:paraId="0A774529" w14:textId="77777777" w:rsidR="004F0192" w:rsidRDefault="004132D2">
      <w:pPr>
        <w:spacing w:after="120"/>
        <w:jc w:val="both"/>
      </w:pPr>
      <w:r>
        <w:rPr>
          <w:sz w:val="22"/>
        </w:rPr>
        <w:t>11. Myer, G. D., Paterno, M. V., Ford, K. R., Quatman, C. E., &amp; Hewett, T. E. (2011). Rehabilitation after anterior cruciate ligament reconstruction: Criteria-based progression through the return-to-sport phase. Journal of Orthopedic &amp; Sports Physical Therapy, 36(6), 385-402. https://doi.org/10.2519/jospt.2006.36.6.385</w:t>
      </w:r>
    </w:p>
    <w:p w14:paraId="1CA4F390" w14:textId="77777777" w:rsidR="004F0192" w:rsidRDefault="004132D2">
      <w:pPr>
        <w:spacing w:after="120"/>
        <w:jc w:val="both"/>
      </w:pPr>
      <w:r>
        <w:rPr>
          <w:sz w:val="22"/>
        </w:rPr>
        <w:t>12. Slater, L. V., Hart, J. M., &amp; Hertel, J. (2017). Knee kinematics and kinetics during drop landings in patients with chronic ankle instability. Journal of Athletic Training, 52(3), 218-226. https://doi.org/10.4085/1062-6050-52.1.12</w:t>
      </w:r>
    </w:p>
    <w:p w14:paraId="7F20A197" w14:textId="77777777" w:rsidR="004F0192" w:rsidRDefault="004F0192"/>
    <w:p w14:paraId="21E42C99" w14:textId="77777777" w:rsidR="004F0192" w:rsidRDefault="004132D2">
      <w:pPr>
        <w:jc w:val="center"/>
      </w:pPr>
      <w:r>
        <w:rPr>
          <w:i/>
          <w:sz w:val="18"/>
        </w:rPr>
        <w:t>© 2024. This article is published under the Creative Commons Attribution License (CC BY 4.0)</w:t>
      </w:r>
    </w:p>
    <w:sectPr w:rsidR="004F0192" w:rsidSect="00034616">
      <w:pgSz w:w="12240" w:h="15840"/>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7251086">
    <w:abstractNumId w:val="8"/>
  </w:num>
  <w:num w:numId="2" w16cid:durableId="1469588907">
    <w:abstractNumId w:val="6"/>
  </w:num>
  <w:num w:numId="3" w16cid:durableId="431436449">
    <w:abstractNumId w:val="5"/>
  </w:num>
  <w:num w:numId="4" w16cid:durableId="1739548999">
    <w:abstractNumId w:val="4"/>
  </w:num>
  <w:num w:numId="5" w16cid:durableId="161360732">
    <w:abstractNumId w:val="7"/>
  </w:num>
  <w:num w:numId="6" w16cid:durableId="2131388265">
    <w:abstractNumId w:val="3"/>
  </w:num>
  <w:num w:numId="7" w16cid:durableId="1821455133">
    <w:abstractNumId w:val="2"/>
  </w:num>
  <w:num w:numId="8" w16cid:durableId="1451824473">
    <w:abstractNumId w:val="1"/>
  </w:num>
  <w:num w:numId="9" w16cid:durableId="7281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A00"/>
    <w:rsid w:val="00116553"/>
    <w:rsid w:val="0015074B"/>
    <w:rsid w:val="0021069B"/>
    <w:rsid w:val="002814C4"/>
    <w:rsid w:val="0029639D"/>
    <w:rsid w:val="002A0A04"/>
    <w:rsid w:val="002E607E"/>
    <w:rsid w:val="002F178D"/>
    <w:rsid w:val="00326F90"/>
    <w:rsid w:val="003421CA"/>
    <w:rsid w:val="00346B24"/>
    <w:rsid w:val="00367BA6"/>
    <w:rsid w:val="003916C5"/>
    <w:rsid w:val="003D7A5C"/>
    <w:rsid w:val="003E3094"/>
    <w:rsid w:val="003E57E4"/>
    <w:rsid w:val="004132D2"/>
    <w:rsid w:val="004A0B44"/>
    <w:rsid w:val="004E183F"/>
    <w:rsid w:val="004F0192"/>
    <w:rsid w:val="00634505"/>
    <w:rsid w:val="00643CAD"/>
    <w:rsid w:val="006939A7"/>
    <w:rsid w:val="006A1904"/>
    <w:rsid w:val="00704C30"/>
    <w:rsid w:val="00754608"/>
    <w:rsid w:val="007553B9"/>
    <w:rsid w:val="007D42E3"/>
    <w:rsid w:val="007E5C55"/>
    <w:rsid w:val="00812FFC"/>
    <w:rsid w:val="00863842"/>
    <w:rsid w:val="00865B23"/>
    <w:rsid w:val="009F1156"/>
    <w:rsid w:val="00A2549C"/>
    <w:rsid w:val="00A94885"/>
    <w:rsid w:val="00AA1D8D"/>
    <w:rsid w:val="00B00C3E"/>
    <w:rsid w:val="00B47730"/>
    <w:rsid w:val="00CB0664"/>
    <w:rsid w:val="00DF6A6A"/>
    <w:rsid w:val="00E1741E"/>
    <w:rsid w:val="00E80C0A"/>
    <w:rsid w:val="00ED70AA"/>
    <w:rsid w:val="00F50127"/>
    <w:rsid w:val="00FC693F"/>
    <w:rsid w:val="00FF0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D94DA"/>
  <w14:defaultImageDpi w14:val="300"/>
  <w15:docId w15:val="{99756C55-E970-6349-9878-7C055DCD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0127"/>
    <w:rPr>
      <w:color w:val="0000FF" w:themeColor="hyperlink"/>
      <w:u w:val="single"/>
    </w:rPr>
  </w:style>
  <w:style w:type="character" w:styleId="UnresolvedMention">
    <w:name w:val="Unresolved Mention"/>
    <w:basedOn w:val="DefaultParagraphFont"/>
    <w:uiPriority w:val="99"/>
    <w:semiHidden/>
    <w:unhideWhenUsed/>
    <w:rsid w:val="00F50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Hafizamubashra123@gmail.com" TargetMode="External" /><Relationship Id="rId11" Type="http://schemas.openxmlformats.org/officeDocument/2006/relationships/image" Target="media/image5.png" /><Relationship Id="rId5" Type="http://schemas.openxmlformats.org/officeDocument/2006/relationships/webSettings" Target="webSettings.xml" /><Relationship Id="rId10" Type="http://schemas.openxmlformats.org/officeDocument/2006/relationships/image" Target="media/image4.png" /><Relationship Id="rId4" Type="http://schemas.openxmlformats.org/officeDocument/2006/relationships/settings" Target="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doctor hafiza mubashra</cp:lastModifiedBy>
  <cp:revision>2</cp:revision>
  <dcterms:created xsi:type="dcterms:W3CDTF">2026-06-01T11:35:00Z</dcterms:created>
  <dcterms:modified xsi:type="dcterms:W3CDTF">2026-06-01T11:35:00Z</dcterms:modified>
  <cp:category/>
</cp:coreProperties>
</file>