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1217" w14:textId="7ACF1661" w:rsidR="00187695" w:rsidRPr="003E037C" w:rsidRDefault="00467E12">
      <w:pPr>
        <w:spacing w:before="157" w:after="157" w:line="270" w:lineRule="auto"/>
        <w:rPr>
          <w:rFonts w:ascii="Times New Roman" w:eastAsia="source serif 4" w:hAnsi="Times New Roman" w:cs="Times New Roman"/>
          <w:b/>
          <w:color w:val="000000"/>
          <w:sz w:val="39"/>
        </w:rPr>
      </w:pPr>
      <w:bookmarkStart w:id="0" w:name="artificial_intelligence_and_digit_ee39f4"/>
      <w:r w:rsidRPr="003E037C">
        <w:rPr>
          <w:rFonts w:ascii="Times New Roman" w:eastAsia="source serif 4" w:hAnsi="Times New Roman" w:cs="Times New Roman"/>
          <w:b/>
          <w:color w:val="000000"/>
          <w:sz w:val="39"/>
        </w:rPr>
        <w:t>Artificial Intelligence and Digital Transformation in Educational Management</w:t>
      </w:r>
      <w:bookmarkEnd w:id="0"/>
    </w:p>
    <w:p w14:paraId="678C6738" w14:textId="4EC073E7" w:rsidR="00187695" w:rsidRPr="003E037C" w:rsidRDefault="00344E52" w:rsidP="00E507C4">
      <w:pPr>
        <w:spacing w:after="0" w:line="240" w:lineRule="auto"/>
        <w:jc w:val="center"/>
        <w:rPr>
          <w:rFonts w:ascii="Times New Roman" w:eastAsia="source serif 4" w:hAnsi="Times New Roman" w:cs="Times New Roman"/>
          <w:b/>
          <w:color w:val="000000"/>
          <w:sz w:val="24"/>
          <w:szCs w:val="24"/>
          <w:vertAlign w:val="superscript"/>
        </w:rPr>
      </w:pPr>
      <w:r w:rsidRPr="003E037C">
        <w:rPr>
          <w:rFonts w:ascii="Times New Roman" w:eastAsia="source serif 4" w:hAnsi="Times New Roman" w:cs="Times New Roman"/>
          <w:b/>
          <w:color w:val="000000"/>
          <w:sz w:val="24"/>
          <w:szCs w:val="24"/>
        </w:rPr>
        <w:t xml:space="preserve"/>
      </w:r>
      <w:r w:rsidR="00187695" w:rsidRPr="003E037C">
        <w:rPr>
          <w:rFonts w:ascii="Times New Roman" w:eastAsia="source serif 4" w:hAnsi="Times New Roman" w:cs="Times New Roman"/>
          <w:b/>
          <w:color w:val="000000"/>
          <w:sz w:val="24"/>
          <w:szCs w:val="24"/>
        </w:rPr>
        <w:t/>
      </w:r>
      <w:r w:rsidR="0018785E" w:rsidRPr="003E037C">
        <w:rPr>
          <w:rFonts w:ascii="Times New Roman" w:eastAsia="source serif 4" w:hAnsi="Times New Roman" w:cs="Times New Roman"/>
          <w:b/>
          <w:color w:val="000000"/>
          <w:sz w:val="24"/>
          <w:szCs w:val="24"/>
          <w:vertAlign w:val="superscript"/>
        </w:rPr>
        <w:t/>
      </w:r>
      <w:r w:rsidR="0018785E" w:rsidRPr="003E037C">
        <w:rPr>
          <w:rFonts w:ascii="Times New Roman" w:eastAsia="source serif 4" w:hAnsi="Times New Roman" w:cs="Times New Roman"/>
          <w:b/>
          <w:color w:val="000000"/>
          <w:sz w:val="24"/>
          <w:szCs w:val="24"/>
        </w:rPr>
        <w:t/>
      </w:r>
      <w:r w:rsidR="00187695" w:rsidRPr="003E037C">
        <w:rPr>
          <w:rFonts w:ascii="Times New Roman" w:eastAsia="source serif 4" w:hAnsi="Times New Roman" w:cs="Times New Roman"/>
          <w:b/>
          <w:color w:val="000000"/>
          <w:sz w:val="24"/>
          <w:szCs w:val="24"/>
        </w:rPr>
        <w:t xml:space="preserve"/>
      </w:r>
      <w:r w:rsidR="00187695" w:rsidRPr="003E037C">
        <w:rPr>
          <w:rFonts w:ascii="Times New Roman" w:eastAsia="source serif 4" w:hAnsi="Times New Roman" w:cs="Times New Roman"/>
          <w:b/>
          <w:color w:val="000000"/>
          <w:sz w:val="24"/>
          <w:szCs w:val="24"/>
          <w:vertAlign w:val="superscript"/>
        </w:rPr>
        <w:t/>
      </w:r>
    </w:p>
    <w:p w14:paraId="6B2773AE" w14:textId="38E7C00F" w:rsidR="00187695" w:rsidRPr="003E037C" w:rsidRDefault="00187695" w:rsidP="00E507C4">
      <w:pPr>
        <w:spacing w:after="0" w:line="240" w:lineRule="auto"/>
        <w:jc w:val="center"/>
        <w:rPr>
          <w:rFonts w:ascii="Times New Roman" w:eastAsia="source serif 4" w:hAnsi="Times New Roman" w:cs="Times New Roman"/>
          <w:b/>
          <w:color w:val="000000"/>
          <w:sz w:val="36"/>
          <w:szCs w:val="36"/>
          <w:vertAlign w:val="superscript"/>
        </w:rPr>
      </w:pPr>
      <w:hyperlink r:id="rId8" w:history="1">
        <w:r w:rsidRPr="003E037C">
          <w:rPr>
            <w:rStyle w:val="Hyperlink"/>
            <w:rFonts w:ascii="Times New Roman" w:eastAsia="source serif 4" w:hAnsi="Times New Roman" w:cs="Times New Roman"/>
            <w:b/>
            <w:sz w:val="36"/>
            <w:szCs w:val="36"/>
            <w:vertAlign w:val="superscript"/>
          </w:rPr>
          <w:t/>
        </w:r>
      </w:hyperlink>
    </w:p>
    <w:p w14:paraId="45AF3BC3" w14:textId="71318A38" w:rsidR="00187695" w:rsidRPr="003E037C" w:rsidRDefault="00187695" w:rsidP="00E507C4">
      <w:pPr>
        <w:spacing w:after="0" w:line="240" w:lineRule="auto"/>
        <w:jc w:val="center"/>
        <w:rPr>
          <w:rFonts w:ascii="Times New Roman" w:eastAsia="source serif 4" w:hAnsi="Times New Roman" w:cs="Times New Roman"/>
          <w:bCs/>
          <w:color w:val="000000"/>
          <w:sz w:val="24"/>
          <w:szCs w:val="24"/>
          <w:vertAlign w:val="superscript"/>
        </w:rPr>
      </w:pPr>
      <w:r w:rsidRPr="003E037C">
        <w:rPr>
          <w:rFonts w:ascii="Times New Roman" w:eastAsia="source serif 4" w:hAnsi="Times New Roman" w:cs="Times New Roman"/>
          <w:bCs/>
          <w:color w:val="000000"/>
          <w:sz w:val="24"/>
          <w:szCs w:val="24"/>
        </w:rPr>
        <w:t xml:space="preserve"/>
      </w:r>
      <w:r w:rsidR="0018785E" w:rsidRPr="003E037C">
        <w:rPr>
          <w:rFonts w:ascii="Times New Roman" w:eastAsia="source serif 4" w:hAnsi="Times New Roman" w:cs="Times New Roman"/>
          <w:bCs/>
          <w:color w:val="000000"/>
          <w:sz w:val="24"/>
          <w:szCs w:val="24"/>
        </w:rPr>
        <w:t/>
      </w:r>
      <w:r w:rsidR="0018785E" w:rsidRPr="003E037C">
        <w:rPr>
          <w:rFonts w:ascii="Times New Roman" w:eastAsia="source serif 4" w:hAnsi="Times New Roman" w:cs="Times New Roman"/>
          <w:bCs/>
          <w:color w:val="000000"/>
          <w:sz w:val="24"/>
          <w:szCs w:val="24"/>
          <w:vertAlign w:val="superscript"/>
        </w:rPr>
        <w:t/>
      </w:r>
      <w:r w:rsidR="0018785E" w:rsidRPr="003E037C">
        <w:rPr>
          <w:rFonts w:ascii="Times New Roman" w:eastAsia="source serif 4" w:hAnsi="Times New Roman" w:cs="Times New Roman"/>
          <w:bCs/>
          <w:color w:val="000000"/>
          <w:sz w:val="24"/>
          <w:szCs w:val="24"/>
        </w:rPr>
        <w:t/>
      </w:r>
      <w:r w:rsidRPr="003E037C">
        <w:rPr>
          <w:rFonts w:ascii="Times New Roman" w:eastAsia="source serif 4" w:hAnsi="Times New Roman" w:cs="Times New Roman"/>
          <w:bCs/>
          <w:color w:val="000000"/>
          <w:sz w:val="24"/>
          <w:szCs w:val="24"/>
        </w:rPr>
        <w:t xml:space="preserve"/>
      </w:r>
      <w:r w:rsidRPr="003E037C">
        <w:rPr>
          <w:rFonts w:ascii="Times New Roman" w:eastAsia="source serif 4" w:hAnsi="Times New Roman" w:cs="Times New Roman"/>
          <w:bCs/>
          <w:color w:val="000000"/>
          <w:sz w:val="24"/>
          <w:szCs w:val="24"/>
          <w:vertAlign w:val="superscript"/>
        </w:rPr>
        <w:t/>
      </w:r>
    </w:p>
    <w:p w14:paraId="27D622C9" w14:textId="44591AF2" w:rsidR="00187695" w:rsidRPr="003E037C" w:rsidRDefault="00187695" w:rsidP="00E507C4">
      <w:pPr>
        <w:spacing w:after="0" w:line="240" w:lineRule="auto"/>
        <w:rPr>
          <w:rFonts w:ascii="Times New Roman" w:eastAsia="source serif 4" w:hAnsi="Times New Roman" w:cs="Times New Roman"/>
          <w:bCs/>
          <w:color w:val="000000"/>
          <w:sz w:val="24"/>
          <w:szCs w:val="24"/>
          <w:vertAlign w:val="superscript"/>
        </w:rPr>
      </w:pPr>
      <w:r w:rsidRPr="003E037C">
        <w:rPr>
          <w:rFonts w:ascii="Times New Roman" w:eastAsia="source serif 4" w:hAnsi="Times New Roman" w:cs="Times New Roman"/>
          <w:bCs/>
          <w:color w:val="000000"/>
          <w:sz w:val="24"/>
          <w:szCs w:val="24"/>
          <w:vertAlign w:val="superscript"/>
        </w:rPr>
        <w:t xml:space="preserve"/>
      </w:r>
      <w:r w:rsidR="00E507C4" w:rsidRPr="003E037C">
        <w:rPr>
          <w:rFonts w:ascii="Times New Roman" w:eastAsia="source serif 4" w:hAnsi="Times New Roman" w:cs="Times New Roman"/>
          <w:bCs/>
          <w:color w:val="000000"/>
          <w:sz w:val="24"/>
          <w:szCs w:val="24"/>
          <w:vertAlign w:val="superscript"/>
        </w:rPr>
        <w:t xml:space="preserve"/>
      </w:r>
      <w:r w:rsidRPr="003E037C">
        <w:rPr>
          <w:rFonts w:ascii="Times New Roman" w:eastAsia="source serif 4" w:hAnsi="Times New Roman" w:cs="Times New Roman"/>
          <w:bCs/>
          <w:color w:val="000000"/>
          <w:sz w:val="24"/>
          <w:szCs w:val="24"/>
          <w:vertAlign w:val="superscript"/>
        </w:rPr>
        <w:t xml:space="preserve"/>
      </w:r>
      <w:r w:rsidR="001C4A75" w:rsidRPr="003E037C">
        <w:rPr>
          <w:rFonts w:ascii="Times New Roman" w:eastAsia="source serif 4" w:hAnsi="Times New Roman" w:cs="Times New Roman"/>
          <w:bCs/>
          <w:color w:val="000000"/>
          <w:sz w:val="24"/>
          <w:szCs w:val="24"/>
          <w:vertAlign w:val="superscript"/>
        </w:rPr>
        <w:t xml:space="preserve"/>
      </w:r>
      <w:r w:rsidRPr="003E037C">
        <w:rPr>
          <w:rFonts w:ascii="Times New Roman" w:eastAsia="source serif 4" w:hAnsi="Times New Roman" w:cs="Times New Roman"/>
          <w:bCs/>
          <w:color w:val="000000"/>
          <w:sz w:val="24"/>
          <w:szCs w:val="24"/>
          <w:vertAlign w:val="superscript"/>
        </w:rPr>
        <w:t xml:space="preserve"/>
      </w:r>
      <w:r w:rsidRPr="003E037C">
        <w:rPr>
          <w:rFonts w:ascii="Times New Roman" w:eastAsia="source serif 4" w:hAnsi="Times New Roman" w:cs="Times New Roman"/>
          <w:bCs/>
          <w:color w:val="000000"/>
          <w:sz w:val="24"/>
          <w:szCs w:val="24"/>
        </w:rPr>
        <w:t/>
      </w:r>
      <w:r w:rsidR="0018785E" w:rsidRPr="003E037C">
        <w:rPr>
          <w:rFonts w:ascii="Times New Roman" w:eastAsia="source serif 4" w:hAnsi="Times New Roman" w:cs="Times New Roman"/>
          <w:bCs/>
          <w:color w:val="000000"/>
          <w:sz w:val="24"/>
          <w:szCs w:val="24"/>
          <w:vertAlign w:val="superscript"/>
        </w:rPr>
        <w:t/>
      </w:r>
      <w:r w:rsidR="0018785E" w:rsidRPr="003E037C">
        <w:rPr>
          <w:rFonts w:ascii="Times New Roman" w:eastAsia="source serif 4" w:hAnsi="Times New Roman" w:cs="Times New Roman"/>
          <w:bCs/>
          <w:color w:val="000000"/>
          <w:sz w:val="24"/>
          <w:szCs w:val="24"/>
        </w:rPr>
        <w:t/>
      </w:r>
      <w:r w:rsidRPr="003E037C">
        <w:rPr>
          <w:rFonts w:ascii="Times New Roman" w:eastAsia="source serif 4" w:hAnsi="Times New Roman" w:cs="Times New Roman"/>
          <w:bCs/>
          <w:color w:val="000000"/>
          <w:sz w:val="24"/>
          <w:szCs w:val="24"/>
        </w:rPr>
        <w:t xml:space="preserve"/>
      </w:r>
      <w:r w:rsidRPr="003E037C">
        <w:rPr>
          <w:rFonts w:ascii="Times New Roman" w:eastAsia="source serif 4" w:hAnsi="Times New Roman" w:cs="Times New Roman"/>
          <w:bCs/>
          <w:color w:val="000000"/>
          <w:sz w:val="24"/>
          <w:szCs w:val="24"/>
          <w:vertAlign w:val="superscript"/>
        </w:rPr>
        <w:t/>
      </w:r>
    </w:p>
    <w:p w14:paraId="396FFBB6" w14:textId="7F92F8A0" w:rsidR="00E507C4" w:rsidRPr="003E037C" w:rsidRDefault="009E3212" w:rsidP="001C4A75">
      <w:pPr>
        <w:spacing w:after="0" w:line="240" w:lineRule="auto"/>
        <w:rPr>
          <w:rFonts w:ascii="Times New Roman" w:eastAsia="source serif 4" w:hAnsi="Times New Roman" w:cs="Times New Roman"/>
          <w:bCs/>
          <w:color w:val="000000"/>
          <w:sz w:val="24"/>
          <w:szCs w:val="24"/>
          <w:vertAlign w:val="superscript"/>
        </w:rPr>
      </w:pPr>
      <w:r w:rsidRPr="003E037C">
        <w:rPr>
          <w:rFonts w:ascii="Times New Roman" w:eastAsia="source serif 4" w:hAnsi="Times New Roman" w:cs="Times New Roman"/>
          <w:bCs/>
          <w:color w:val="000000"/>
          <w:sz w:val="24"/>
          <w:szCs w:val="24"/>
        </w:rPr>
        <w:t xml:space="preserve"/>
      </w:r>
      <w:r w:rsidR="001C4A75" w:rsidRPr="003E037C">
        <w:rPr>
          <w:rFonts w:ascii="Times New Roman" w:eastAsia="source serif 4" w:hAnsi="Times New Roman" w:cs="Times New Roman"/>
          <w:bCs/>
          <w:color w:val="000000"/>
          <w:sz w:val="24"/>
          <w:szCs w:val="24"/>
          <w:vertAlign w:val="superscript"/>
        </w:rPr>
        <w:t xml:space="preserve"/>
      </w:r>
      <w:r w:rsidR="001C4A75" w:rsidRPr="003E037C">
        <w:rPr>
          <w:rFonts w:ascii="Times New Roman" w:hAnsi="Times New Roman" w:cs="Times New Roman"/>
          <w:bCs/>
          <w:noProof/>
          <w:sz w:val="24"/>
          <w:szCs w:val="24"/>
        </w:rPr>
        <w:t xml:space="preserve"/>
      </w:r>
      <w:r w:rsidR="00E507C4" w:rsidRPr="003E037C">
        <w:rPr>
          <w:rFonts w:ascii="Times New Roman" w:hAnsi="Times New Roman" w:cs="Times New Roman"/>
          <w:bCs/>
          <w:noProof/>
          <w:sz w:val="24"/>
          <w:szCs w:val="24"/>
        </w:rPr>
        <w:t/>
      </w:r>
      <w:r w:rsidR="001C4A75" w:rsidRPr="003E037C">
        <w:rPr>
          <w:rFonts w:ascii="Times New Roman" w:hAnsi="Times New Roman" w:cs="Times New Roman"/>
          <w:bCs/>
          <w:noProof/>
          <w:sz w:val="24"/>
          <w:szCs w:val="24"/>
          <w:vertAlign w:val="superscript"/>
        </w:rPr>
        <w:t/>
      </w:r>
      <w:r w:rsidR="00E507C4" w:rsidRPr="003E037C">
        <w:rPr>
          <w:rFonts w:ascii="Times New Roman" w:hAnsi="Times New Roman" w:cs="Times New Roman"/>
          <w:bCs/>
          <w:noProof/>
          <w:sz w:val="24"/>
          <w:szCs w:val="24"/>
        </w:rPr>
        <w:t/>
      </w:r>
      <w:r w:rsidR="001C4A75" w:rsidRPr="003E037C">
        <w:rPr>
          <w:rFonts w:ascii="Times New Roman" w:hAnsi="Times New Roman" w:cs="Times New Roman"/>
          <w:bCs/>
          <w:noProof/>
          <w:sz w:val="24"/>
          <w:szCs w:val="24"/>
          <w:vertAlign w:val="superscript"/>
        </w:rPr>
        <w:t/>
      </w:r>
    </w:p>
    <w:p w14:paraId="3A1AFFF1" w14:textId="62378F7D" w:rsidR="00E507C4" w:rsidRPr="003E037C" w:rsidRDefault="00E507C4" w:rsidP="00E507C4">
      <w:pPr>
        <w:spacing w:after="0" w:line="240" w:lineRule="auto"/>
        <w:jc w:val="center"/>
        <w:rPr>
          <w:rFonts w:ascii="Times New Roman" w:hAnsi="Times New Roman" w:cs="Times New Roman"/>
          <w:bCs/>
          <w:sz w:val="28"/>
          <w:szCs w:val="28"/>
          <w:vertAlign w:val="superscript"/>
        </w:rPr>
      </w:pPr>
      <w:r w:rsidRPr="003E037C">
        <w:rPr>
          <w:rFonts w:ascii="Times New Roman" w:hAnsi="Times New Roman" w:cs="Times New Roman"/>
          <w:bCs/>
          <w:noProof/>
          <w:sz w:val="28"/>
          <w:szCs w:val="28"/>
          <w:vertAlign w:val="superscript"/>
        </w:rPr>
        <w:t xml:space="preserve"/>
      </w:r>
      <w:r w:rsidRPr="003E037C">
        <w:rPr>
          <w:rFonts w:ascii="Times New Roman" w:hAnsi="Times New Roman" w:cs="Times New Roman"/>
          <w:bCs/>
          <w:sz w:val="28"/>
          <w:szCs w:val="28"/>
          <w:vertAlign w:val="superscript"/>
        </w:rPr>
        <w:t/>
      </w:r>
      <w:r w:rsidR="00174DAF" w:rsidRPr="003E037C">
        <w:rPr>
          <w:rFonts w:ascii="Times New Roman" w:hAnsi="Times New Roman" w:cs="Times New Roman"/>
          <w:bCs/>
          <w:sz w:val="28"/>
          <w:szCs w:val="28"/>
          <w:vertAlign w:val="superscript"/>
        </w:rPr>
        <w:t/>
      </w:r>
      <w:r w:rsidRPr="003E037C">
        <w:rPr>
          <w:rFonts w:ascii="Times New Roman" w:hAnsi="Times New Roman" w:cs="Times New Roman"/>
          <w:bCs/>
          <w:sz w:val="28"/>
          <w:szCs w:val="28"/>
          <w:vertAlign w:val="superscript"/>
        </w:rPr>
        <w:t/>
      </w:r>
    </w:p>
    <w:p w14:paraId="0E1ED140" w14:textId="77777777" w:rsidR="003F7707" w:rsidRPr="003E037C" w:rsidRDefault="00467E12">
      <w:pPr>
        <w:spacing w:before="315" w:after="105" w:line="360" w:lineRule="auto"/>
        <w:ind w:left="-30"/>
        <w:rPr>
          <w:rFonts w:ascii="Times New Roman" w:hAnsi="Times New Roman" w:cs="Times New Roman"/>
          <w:b/>
          <w:bCs/>
          <w:sz w:val="22"/>
          <w:szCs w:val="24"/>
        </w:rPr>
      </w:pPr>
      <w:bookmarkStart w:id="1" w:name="abstract"/>
      <w:r w:rsidRPr="003E037C">
        <w:rPr>
          <w:rFonts w:ascii="Times New Roman" w:hAnsi="Times New Roman" w:cs="Times New Roman"/>
          <w:b/>
          <w:bCs/>
          <w:sz w:val="22"/>
          <w:szCs w:val="24"/>
        </w:rPr>
        <w:t>Abstract</w:t>
      </w:r>
      <w:bookmarkEnd w:id="1"/>
    </w:p>
    <w:p w14:paraId="4F4E3CF8" w14:textId="77777777" w:rsidR="003F7707" w:rsidRPr="003E037C" w:rsidRDefault="00467E12">
      <w:pPr>
        <w:spacing w:after="210" w:line="360" w:lineRule="auto"/>
        <w:rPr>
          <w:rFonts w:ascii="Times New Roman" w:hAnsi="Times New Roman" w:cs="Times New Roman"/>
        </w:rPr>
      </w:pPr>
      <w:r w:rsidRPr="003E037C">
        <w:rPr>
          <w:rFonts w:ascii="Times New Roman" w:hAnsi="Times New Roman" w:cs="Times New Roman"/>
        </w:rPr>
        <w:t>The convergence of Artificial Intelligence (AI) and digital transformation is reshaping the landscape of educational management at an unprecedented pace. This paper examines how AI-driven technologies—ranging from intelligent tutoring systems and predictive analytics to natural language processing and automated administrative tools—are being integrated into educational institutions at both the K-12 and higher education levels. Drawing on recent peer-reviewed literature, policy frameworks, and global market data, this paper explores the core applications, benefits, challenges, and ethical imperatives of this transformation. It further situates these developments within the context of India's National Education Policy 2020 (NEP 2020) and international frameworks such as UNESCO's AI Ethics Recommendations, offering policy implications and a roadmap for responsible, equitable AI adoption in educational management.</w:t>
      </w:r>
    </w:p>
    <w:p w14:paraId="362A580C" w14:textId="77777777" w:rsidR="00E81AFC" w:rsidRPr="003E037C" w:rsidRDefault="00467E12" w:rsidP="00E81AFC">
      <w:pPr>
        <w:spacing w:after="210" w:line="360" w:lineRule="auto"/>
        <w:rPr>
          <w:rFonts w:ascii="Times New Roman" w:hAnsi="Times New Roman" w:cs="Times New Roman"/>
          <w:sz w:val="24"/>
          <w:szCs w:val="28"/>
        </w:rPr>
      </w:pPr>
      <w:r w:rsidRPr="003E037C">
        <w:rPr>
          <w:rFonts w:ascii="Times New Roman" w:eastAsia="source serif 4" w:hAnsi="Times New Roman" w:cs="Times New Roman"/>
          <w:b/>
          <w:color w:val="000000"/>
          <w:sz w:val="24"/>
          <w:szCs w:val="28"/>
        </w:rPr>
        <w:t>Keywords:</w:t>
      </w:r>
      <w:r w:rsidRPr="003E037C">
        <w:rPr>
          <w:rFonts w:ascii="Times New Roman" w:eastAsia="source serif 4" w:hAnsi="Times New Roman" w:cs="Times New Roman"/>
          <w:color w:val="000000"/>
          <w:sz w:val="24"/>
          <w:szCs w:val="28"/>
        </w:rPr>
        <w:t xml:space="preserve"> Artificial Intelligence, Digital Transformation, Educational Management, Predictive Analytics, Learning Management Systems, NEP 2020, EdTech, Academic Integrity, Algorithmic Bias</w:t>
      </w:r>
      <w:r w:rsidR="00E81AFC" w:rsidRPr="003E037C">
        <w:rPr>
          <w:rFonts w:ascii="Times New Roman" w:hAnsi="Times New Roman" w:cs="Times New Roman"/>
          <w:sz w:val="24"/>
          <w:szCs w:val="28"/>
        </w:rPr>
        <w:t>.</w:t>
      </w:r>
      <w:bookmarkStart w:id="2" w:name="bm_1_introduction"/>
    </w:p>
    <w:p w14:paraId="0B69906E" w14:textId="0634E463" w:rsidR="003F7707" w:rsidRPr="003E037C" w:rsidRDefault="00467E12" w:rsidP="00E81AFC">
      <w:pPr>
        <w:spacing w:after="210" w:line="360" w:lineRule="auto"/>
        <w:rPr>
          <w:rFonts w:ascii="Times New Roman" w:hAnsi="Times New Roman" w:cs="Times New Roman"/>
          <w:sz w:val="24"/>
          <w:szCs w:val="28"/>
        </w:rPr>
      </w:pPr>
      <w:r w:rsidRPr="003E037C">
        <w:rPr>
          <w:rFonts w:ascii="Times New Roman" w:eastAsia="source serif 4" w:hAnsi="Times New Roman" w:cs="Times New Roman"/>
          <w:b/>
          <w:color w:val="000000"/>
          <w:sz w:val="24"/>
        </w:rPr>
        <w:t>1. Introduction</w:t>
      </w:r>
      <w:bookmarkEnd w:id="2"/>
    </w:p>
    <w:p w14:paraId="6BD68760" w14:textId="5BC0ED29" w:rsidR="003F7707" w:rsidRPr="003E037C" w:rsidRDefault="00467E12">
      <w:pPr>
        <w:spacing w:after="210" w:line="360" w:lineRule="auto"/>
        <w:rPr>
          <w:rFonts w:ascii="Times New Roman" w:hAnsi="Times New Roman" w:cs="Times New Roman"/>
          <w:sz w:val="24"/>
          <w:szCs w:val="28"/>
        </w:rPr>
      </w:pPr>
      <w:r w:rsidRPr="003E037C">
        <w:rPr>
          <w:rFonts w:ascii="Times New Roman" w:eastAsia="source serif 4" w:hAnsi="Times New Roman" w:cs="Times New Roman"/>
          <w:color w:val="000000"/>
          <w:sz w:val="24"/>
          <w:szCs w:val="28"/>
        </w:rPr>
        <w:t>Education has always been at the frontier of societal change, but the current wave of digital transformation—powered by AI—represents a paradigm shift that is qualitatively different from previous technological revolutions. Unlike the introduction of computers or the internet, AI is not merely a tool for storing or transmitting information; it actively processes, learns from, and generates content, enabling levels of personalization, automation, and decision support that were previously impossible</w:t>
      </w:r>
      <w:r w:rsidR="00E81AFC" w:rsidRPr="003E037C">
        <w:rPr>
          <w:rFonts w:ascii="Times New Roman" w:eastAsia="source serif 4" w:hAnsi="Times New Roman" w:cs="Times New Roman"/>
          <w:color w:val="000000"/>
          <w:sz w:val="24"/>
          <w:szCs w:val="28"/>
        </w:rPr>
        <w:t>.</w:t>
      </w:r>
    </w:p>
    <w:p w14:paraId="20146FA7" w14:textId="15D2F85C" w:rsidR="003F7707" w:rsidRPr="003E037C" w:rsidRDefault="00467E12">
      <w:pPr>
        <w:spacing w:after="210" w:line="360" w:lineRule="auto"/>
        <w:rPr>
          <w:rFonts w:ascii="Times New Roman" w:hAnsi="Times New Roman" w:cs="Times New Roman"/>
          <w:sz w:val="24"/>
          <w:szCs w:val="28"/>
        </w:rPr>
      </w:pPr>
      <w:r w:rsidRPr="003E037C">
        <w:rPr>
          <w:rFonts w:ascii="Times New Roman" w:eastAsia="source serif 4" w:hAnsi="Times New Roman" w:cs="Times New Roman"/>
          <w:color w:val="000000"/>
          <w:sz w:val="24"/>
          <w:szCs w:val="28"/>
        </w:rPr>
        <w:t xml:space="preserve">The global AI-in-education market underscores this momentum. Valued at approximately USD 5.88 billion in 2024, it is projected to reach USD 32.27 billion by 2030, growing at a compound </w:t>
      </w:r>
      <w:r w:rsidRPr="003E037C">
        <w:rPr>
          <w:rFonts w:ascii="Times New Roman" w:eastAsia="source serif 4" w:hAnsi="Times New Roman" w:cs="Times New Roman"/>
          <w:color w:val="000000"/>
          <w:sz w:val="24"/>
          <w:szCs w:val="28"/>
        </w:rPr>
        <w:lastRenderedPageBreak/>
        <w:t>annual growth rate (CAGR) of 31.2%. The Asia Pacific region has been identified as the fastest-growing market, making this trend highly relevant to countries like India. At the same time, the global education market itself was valued at USD 7.3 trillion in 2025 and is projected to reach USD 10 trillion by 2030, with digital education representing a particularly dynamic growth segment growing at a CAGR of 16.3%.</w:t>
      </w:r>
    </w:p>
    <w:p w14:paraId="4B0C2439" w14:textId="09389F8B" w:rsidR="003F7707" w:rsidRPr="003E037C" w:rsidRDefault="00467E12">
      <w:pPr>
        <w:spacing w:after="210" w:line="360" w:lineRule="auto"/>
        <w:rPr>
          <w:rFonts w:ascii="Times New Roman" w:hAnsi="Times New Roman" w:cs="Times New Roman"/>
          <w:sz w:val="24"/>
          <w:szCs w:val="28"/>
        </w:rPr>
      </w:pPr>
      <w:r w:rsidRPr="003E037C">
        <w:rPr>
          <w:rFonts w:ascii="Times New Roman" w:eastAsia="source serif 4" w:hAnsi="Times New Roman" w:cs="Times New Roman"/>
          <w:color w:val="000000"/>
          <w:sz w:val="24"/>
          <w:szCs w:val="28"/>
        </w:rPr>
        <w:t>Educational management—the administration, planning, governance, and decision-making processes of educational institutions—stands to benefit enormously from AI and digital transformation. Institutions face mounting pressure to do more with constrained resources: serve growing student populations, improve learning outcomes, reduce dropout rates, manage complex administrative workflows, and remain accountable to diverse stakeholders. AI and digital platforms offer tools to address all these demands simultaneously.</w:t>
      </w:r>
    </w:p>
    <w:p w14:paraId="49C21685" w14:textId="77777777" w:rsidR="00E81AFC" w:rsidRPr="003E037C" w:rsidRDefault="00467E12" w:rsidP="00E81AFC">
      <w:pPr>
        <w:spacing w:after="210" w:line="360" w:lineRule="auto"/>
        <w:rPr>
          <w:rFonts w:ascii="Times New Roman" w:hAnsi="Times New Roman" w:cs="Times New Roman"/>
          <w:sz w:val="24"/>
          <w:szCs w:val="28"/>
        </w:rPr>
      </w:pPr>
      <w:r w:rsidRPr="003E037C">
        <w:rPr>
          <w:rFonts w:ascii="Times New Roman" w:eastAsia="source serif 4" w:hAnsi="Times New Roman" w:cs="Times New Roman"/>
          <w:color w:val="000000"/>
          <w:sz w:val="24"/>
          <w:szCs w:val="28"/>
        </w:rPr>
        <w:t>This paper is organized as follows: Section 2 reviews the conceptual foundations of digital transformation in education. Section 3 surveys key AI applications in educational management. Section 4 analyses the role of Learning Management Systems (LMS) as a cornerstone of digital management. Section 5 examines predictive analytics and early intervention. Section 6 addresses the challenge of automated assessment. Section 7 discusses the ethical and implementation challenges. Section 8 situates these developments within India's policy context, particularly NEP 2020. Section 9 offers conclusions and recommendations.</w:t>
      </w:r>
      <w:bookmarkStart w:id="3" w:name="bm_2_digital_transformation_in_ed_e57858"/>
    </w:p>
    <w:p w14:paraId="40FDE3C6" w14:textId="1087EDFF" w:rsidR="003F7707" w:rsidRPr="003E037C" w:rsidRDefault="00467E12" w:rsidP="00E81AFC">
      <w:pPr>
        <w:spacing w:after="210" w:line="360" w:lineRule="auto"/>
        <w:rPr>
          <w:rFonts w:ascii="Times New Roman" w:hAnsi="Times New Roman" w:cs="Times New Roman"/>
          <w:sz w:val="24"/>
          <w:szCs w:val="28"/>
        </w:rPr>
      </w:pPr>
      <w:r w:rsidRPr="003E037C">
        <w:rPr>
          <w:rFonts w:ascii="Times New Roman" w:eastAsia="source serif 4" w:hAnsi="Times New Roman" w:cs="Times New Roman"/>
          <w:b/>
          <w:color w:val="000000"/>
          <w:sz w:val="24"/>
        </w:rPr>
        <w:t>2. Digital Transformation in Educational Management: Conceptual Foundations</w:t>
      </w:r>
      <w:bookmarkEnd w:id="3"/>
    </w:p>
    <w:p w14:paraId="1CBA7A75" w14:textId="47806FFB" w:rsidR="00ED6E5F" w:rsidRPr="003E037C" w:rsidRDefault="00467E12" w:rsidP="00ED6E5F">
      <w:pPr>
        <w:spacing w:after="210" w:line="360" w:lineRule="auto"/>
        <w:rPr>
          <w:rFonts w:ascii="Times New Roman" w:hAnsi="Times New Roman" w:cs="Times New Roman"/>
          <w:sz w:val="24"/>
          <w:szCs w:val="28"/>
        </w:rPr>
      </w:pPr>
      <w:r w:rsidRPr="003E037C">
        <w:rPr>
          <w:rFonts w:ascii="Times New Roman" w:eastAsia="source serif 4" w:hAnsi="Times New Roman" w:cs="Times New Roman"/>
          <w:color w:val="000000"/>
          <w:sz w:val="24"/>
          <w:szCs w:val="28"/>
        </w:rPr>
        <w:t xml:space="preserve">Digital transformation in education is not merely the adoption of individual digital tools; it represents a fundamental re-engineering of institutional processes, culture, and value creation. Higher Education Institutions (HEIs) are evolving toward a new model known as the "digital university," which implies not only adopting new technologies but also developing an organizational strategic transformation that encompasses information systems, processes, human capital, and institutional </w:t>
      </w:r>
      <w:r w:rsidR="003E037C" w:rsidRPr="003E037C">
        <w:rPr>
          <w:rFonts w:ascii="Times New Roman" w:eastAsia="source serif 4" w:hAnsi="Times New Roman" w:cs="Times New Roman"/>
          <w:color w:val="000000"/>
          <w:sz w:val="24"/>
          <w:szCs w:val="28"/>
        </w:rPr>
        <w:t>governance. Research</w:t>
      </w:r>
      <w:r w:rsidRPr="003E037C">
        <w:rPr>
          <w:rFonts w:ascii="Times New Roman" w:eastAsia="source serif 4" w:hAnsi="Times New Roman" w:cs="Times New Roman"/>
          <w:color w:val="000000"/>
          <w:sz w:val="24"/>
          <w:szCs w:val="28"/>
        </w:rPr>
        <w:t xml:space="preserve"> from </w:t>
      </w:r>
      <w:r w:rsidR="003E037C" w:rsidRPr="003E037C">
        <w:rPr>
          <w:rFonts w:ascii="Times New Roman" w:eastAsia="source serif 4" w:hAnsi="Times New Roman" w:cs="Times New Roman"/>
          <w:color w:val="000000"/>
          <w:sz w:val="24"/>
          <w:szCs w:val="28"/>
        </w:rPr>
        <w:t>Jisr’s</w:t>
      </w:r>
      <w:r w:rsidRPr="003E037C">
        <w:rPr>
          <w:rFonts w:ascii="Times New Roman" w:eastAsia="source serif 4" w:hAnsi="Times New Roman" w:cs="Times New Roman"/>
          <w:color w:val="000000"/>
          <w:sz w:val="24"/>
          <w:szCs w:val="28"/>
        </w:rPr>
        <w:t xml:space="preserve"> 2024 digital transformation pilot, which collaborated with 24 higher education providers, identified a set of critical success factors for effective digital transformation, including institutional digital maturity benchmarking, strategic alignment, and organizational digital culture. Case studies from universities such as Bath Spa, Queen's University Belfast, and Sheffield Hallam University illustrated how digital transformation </w:t>
      </w:r>
      <w:r w:rsidRPr="003E037C">
        <w:rPr>
          <w:rFonts w:ascii="Times New Roman" w:eastAsia="source serif 4" w:hAnsi="Times New Roman" w:cs="Times New Roman"/>
          <w:color w:val="000000"/>
          <w:sz w:val="24"/>
          <w:szCs w:val="28"/>
        </w:rPr>
        <w:lastRenderedPageBreak/>
        <w:t xml:space="preserve">is being deployed to achieve strategic goals—from redeveloping digital strategy to integrating AI into academic </w:t>
      </w:r>
      <w:r w:rsidR="00BD6BF3" w:rsidRPr="003E037C">
        <w:rPr>
          <w:rFonts w:ascii="Times New Roman" w:eastAsia="source serif 4" w:hAnsi="Times New Roman" w:cs="Times New Roman"/>
          <w:color w:val="000000"/>
          <w:sz w:val="24"/>
          <w:szCs w:val="28"/>
        </w:rPr>
        <w:t>processes. The</w:t>
      </w:r>
      <w:r w:rsidRPr="003E037C">
        <w:rPr>
          <w:rFonts w:ascii="Times New Roman" w:eastAsia="source serif 4" w:hAnsi="Times New Roman" w:cs="Times New Roman"/>
          <w:color w:val="000000"/>
          <w:sz w:val="24"/>
          <w:szCs w:val="28"/>
        </w:rPr>
        <w:t xml:space="preserve"> OECD's 2025 Policy Survey on digital transformation of school education further reinforces the need for evidence-based policy, facilitating international peer learning and supporting public authorities in developing coherent strategies for school-level digital change. UNESCO, for its part, emphasizes a human-</w:t>
      </w:r>
      <w:r w:rsidR="00BD6BF3" w:rsidRPr="003E037C">
        <w:rPr>
          <w:rFonts w:ascii="Times New Roman" w:eastAsia="source serif 4" w:hAnsi="Times New Roman" w:cs="Times New Roman"/>
          <w:color w:val="000000"/>
          <w:sz w:val="24"/>
          <w:szCs w:val="28"/>
        </w:rPr>
        <w:t>centered</w:t>
      </w:r>
      <w:r w:rsidRPr="003E037C">
        <w:rPr>
          <w:rFonts w:ascii="Times New Roman" w:eastAsia="source serif 4" w:hAnsi="Times New Roman" w:cs="Times New Roman"/>
          <w:color w:val="000000"/>
          <w:sz w:val="24"/>
          <w:szCs w:val="28"/>
        </w:rPr>
        <w:t xml:space="preserve"> approach: rather than allowing technology to dictate educational outcomes, UNESCO's frameworks prioritize human agency, critical thinking, and ethics in an age of generative AI.</w:t>
      </w:r>
      <w:r w:rsidR="00381F32" w:rsidRPr="003E037C">
        <w:rPr>
          <w:rFonts w:ascii="Times New Roman" w:hAnsi="Times New Roman" w:cs="Times New Roman"/>
          <w:sz w:val="24"/>
          <w:szCs w:val="28"/>
        </w:rPr>
        <w:t xml:space="preserve"> </w:t>
      </w:r>
      <w:r w:rsidRPr="003E037C">
        <w:rPr>
          <w:rFonts w:ascii="Times New Roman" w:eastAsia="source serif 4" w:hAnsi="Times New Roman" w:cs="Times New Roman"/>
          <w:color w:val="000000"/>
          <w:sz w:val="24"/>
          <w:szCs w:val="28"/>
        </w:rPr>
        <w:t>A study analyzing the strategic plans of 18 top Turkish universities found that digital transformation themes clustered into four areas: diversity and flexibility of learning technologies, education themes, distance and open learning, and digital infrastructure. This finding suggests that while institutions globally recognize the imperative, the depth of strategic integration varies widely, and many have not yet moved beyond technology-enhanced versions of traditional pedagogical models.</w:t>
      </w:r>
      <w:bookmarkStart w:id="4" w:name="bm_3_key_ai_applications_in_educa_73335d"/>
    </w:p>
    <w:p w14:paraId="1170D40E" w14:textId="77777777" w:rsidR="00ED6E5F" w:rsidRPr="003E037C" w:rsidRDefault="00467E12" w:rsidP="00ED6E5F">
      <w:pPr>
        <w:spacing w:after="210" w:line="360" w:lineRule="auto"/>
        <w:rPr>
          <w:rFonts w:ascii="Times New Roman" w:hAnsi="Times New Roman" w:cs="Times New Roman"/>
          <w:sz w:val="24"/>
          <w:szCs w:val="28"/>
        </w:rPr>
      </w:pPr>
      <w:r w:rsidRPr="003E037C">
        <w:rPr>
          <w:rFonts w:ascii="Times New Roman" w:eastAsia="source serif 4" w:hAnsi="Times New Roman" w:cs="Times New Roman"/>
          <w:b/>
          <w:color w:val="000000"/>
          <w:sz w:val="24"/>
        </w:rPr>
        <w:t>3. Key AI Applications in Educational Management</w:t>
      </w:r>
      <w:bookmarkEnd w:id="4"/>
      <w:r w:rsidR="00ED6E5F" w:rsidRPr="003E037C">
        <w:rPr>
          <w:rFonts w:ascii="Times New Roman" w:hAnsi="Times New Roman" w:cs="Times New Roman"/>
          <w:sz w:val="24"/>
          <w:szCs w:val="28"/>
        </w:rPr>
        <w:t xml:space="preserve"> </w:t>
      </w:r>
      <w:r w:rsidRPr="003E037C">
        <w:rPr>
          <w:rFonts w:ascii="Times New Roman" w:eastAsia="source serif 4" w:hAnsi="Times New Roman" w:cs="Times New Roman"/>
          <w:color w:val="000000"/>
        </w:rPr>
        <w:t>A</w:t>
      </w:r>
      <w:r w:rsidRPr="00422412">
        <w:rPr>
          <w:rFonts w:ascii="Times New Roman" w:eastAsia="source serif 4" w:hAnsi="Times New Roman" w:cs="Times New Roman"/>
          <w:color w:val="000000"/>
          <w:sz w:val="24"/>
          <w:szCs w:val="28"/>
        </w:rPr>
        <w:t>I is being applied across the full spectrum of educational management, from front-end learning experiences to back-office administrative functions. The following subsections map the major application areas.</w:t>
      </w:r>
      <w:bookmarkStart w:id="5" w:name="bm_3_1_ai_driven_personalized_learning"/>
    </w:p>
    <w:p w14:paraId="18ACFE6B" w14:textId="0ADB12E7" w:rsidR="003F7707" w:rsidRPr="003E037C" w:rsidRDefault="00467E12" w:rsidP="00ED6E5F">
      <w:pPr>
        <w:spacing w:after="210" w:line="360" w:lineRule="auto"/>
        <w:rPr>
          <w:rFonts w:ascii="Times New Roman" w:hAnsi="Times New Roman" w:cs="Times New Roman"/>
          <w:sz w:val="24"/>
          <w:szCs w:val="28"/>
        </w:rPr>
      </w:pPr>
      <w:r w:rsidRPr="003E037C">
        <w:rPr>
          <w:rFonts w:ascii="Times New Roman" w:eastAsia="source serif 4" w:hAnsi="Times New Roman" w:cs="Times New Roman"/>
          <w:b/>
          <w:color w:val="000000"/>
          <w:sz w:val="24"/>
        </w:rPr>
        <w:t>3.1 AI-Driven Personalized Learning</w:t>
      </w:r>
      <w:bookmarkEnd w:id="5"/>
    </w:p>
    <w:p w14:paraId="561BB057" w14:textId="6B7C68AE" w:rsidR="003F7707" w:rsidRPr="00422412" w:rsidRDefault="00467E12">
      <w:pPr>
        <w:spacing w:after="210" w:line="360" w:lineRule="auto"/>
        <w:rPr>
          <w:rFonts w:ascii="Times New Roman" w:hAnsi="Times New Roman" w:cs="Times New Roman"/>
          <w:sz w:val="24"/>
          <w:szCs w:val="28"/>
        </w:rPr>
      </w:pPr>
      <w:r w:rsidRPr="00422412">
        <w:rPr>
          <w:rFonts w:ascii="Times New Roman" w:eastAsia="source serif 4" w:hAnsi="Times New Roman" w:cs="Times New Roman"/>
          <w:color w:val="000000"/>
          <w:sz w:val="24"/>
          <w:szCs w:val="28"/>
        </w:rPr>
        <w:t>One of the most transformative applications of AI in education is the creation of personalized learning pathways. AI-powered systems analyze student performance data to customize content, pacing, and delivery to individual learners' needs. This is referred to as mass customization—the ability to tailor educational experiences for every student at scale, something that would be logistically impossible for human educators alone.</w:t>
      </w:r>
      <w:r w:rsidR="00E5489A" w:rsidRPr="00422412">
        <w:rPr>
          <w:rFonts w:ascii="Times New Roman" w:hAnsi="Times New Roman" w:cs="Times New Roman"/>
          <w:sz w:val="24"/>
          <w:szCs w:val="28"/>
        </w:rPr>
        <w:t xml:space="preserve"> </w:t>
      </w:r>
      <w:r w:rsidRPr="00422412">
        <w:rPr>
          <w:rFonts w:ascii="Times New Roman" w:eastAsia="source serif 4" w:hAnsi="Times New Roman" w:cs="Times New Roman"/>
          <w:color w:val="000000"/>
          <w:sz w:val="24"/>
          <w:szCs w:val="28"/>
        </w:rPr>
        <w:t xml:space="preserve">The practical impact of such systems is already visible. Khan Academy's </w:t>
      </w:r>
      <w:r w:rsidR="003E037C" w:rsidRPr="00422412">
        <w:rPr>
          <w:rFonts w:ascii="Times New Roman" w:eastAsia="source serif 4" w:hAnsi="Times New Roman" w:cs="Times New Roman"/>
          <w:color w:val="000000"/>
          <w:sz w:val="24"/>
          <w:szCs w:val="28"/>
        </w:rPr>
        <w:t>Khan Migo</w:t>
      </w:r>
      <w:r w:rsidRPr="00422412">
        <w:rPr>
          <w:rFonts w:ascii="Times New Roman" w:eastAsia="source serif 4" w:hAnsi="Times New Roman" w:cs="Times New Roman"/>
          <w:color w:val="000000"/>
          <w:sz w:val="24"/>
          <w:szCs w:val="28"/>
        </w:rPr>
        <w:t>, powered by GPT-4, is being piloted across multiple U.S. schools and has shown early evidence of a 20–30% increase in student engagement compared to standard digital learning platforms. AI-powered learning systems can adapt in real-time: for example, a mathematics application that adjusts problem difficulty based on the student's demonstrated performance, ensuring continuous challenge without inducing frustration.</w:t>
      </w:r>
    </w:p>
    <w:p w14:paraId="7F48EFC4" w14:textId="77777777" w:rsidR="003F7707" w:rsidRPr="003E037C" w:rsidRDefault="00467E12">
      <w:pPr>
        <w:spacing w:before="315" w:after="105" w:line="360" w:lineRule="auto"/>
        <w:ind w:left="-30"/>
        <w:rPr>
          <w:rFonts w:ascii="Times New Roman" w:hAnsi="Times New Roman" w:cs="Times New Roman"/>
        </w:rPr>
      </w:pPr>
      <w:bookmarkStart w:id="6" w:name="bm_3_2_ai_powered_administrative_c918d0"/>
      <w:r w:rsidRPr="003E037C">
        <w:rPr>
          <w:rFonts w:ascii="Times New Roman" w:eastAsia="source serif 4" w:hAnsi="Times New Roman" w:cs="Times New Roman"/>
          <w:b/>
          <w:color w:val="000000"/>
          <w:sz w:val="24"/>
        </w:rPr>
        <w:t>3.2 AI-Powered Administrative Automation</w:t>
      </w:r>
      <w:bookmarkEnd w:id="6"/>
    </w:p>
    <w:p w14:paraId="356ED979" w14:textId="6643C2AA"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 xml:space="preserve">Beyond the classroom, AI is fundamentally transforming how educational institutions are managed. AI-powered administrative systems can automate a wide range of tasks that traditionally </w:t>
      </w:r>
      <w:r w:rsidRPr="00422412">
        <w:rPr>
          <w:rFonts w:ascii="Times New Roman" w:eastAsia="source serif 4" w:hAnsi="Times New Roman" w:cs="Times New Roman"/>
          <w:color w:val="000000"/>
          <w:sz w:val="24"/>
          <w:szCs w:val="24"/>
        </w:rPr>
        <w:lastRenderedPageBreak/>
        <w:t>demanded significant human labour: attendance tracking, fee management, admissions processing, timetable scheduling, and examination management.</w:t>
      </w:r>
      <w:r w:rsidR="00E5489A" w:rsidRPr="00422412">
        <w:rPr>
          <w:rFonts w:ascii="Times New Roman" w:hAnsi="Times New Roman" w:cs="Times New Roman"/>
          <w:sz w:val="24"/>
          <w:szCs w:val="24"/>
        </w:rPr>
        <w:t xml:space="preserve"> </w:t>
      </w:r>
      <w:r w:rsidRPr="00422412">
        <w:rPr>
          <w:rFonts w:ascii="Times New Roman" w:eastAsia="source serif 4" w:hAnsi="Times New Roman" w:cs="Times New Roman"/>
          <w:color w:val="000000"/>
          <w:sz w:val="24"/>
          <w:szCs w:val="24"/>
        </w:rPr>
        <w:t>Next-generation school management systems leverage cloud computing, AI-based fee prediction and dues alerts, Admission CRM with lead scoring, dynamic timetable and resource allocation, and performance dashboards—all integrated into a single mobile-first platform accessible to administrators, teachers, students, and parents. By automating routine processes, these systems allow educators to redirect their time and cognitive energy toward higher-value tasks such as mentoring, curriculum innovation, and student support.</w:t>
      </w:r>
      <w:r w:rsidR="00E5489A" w:rsidRPr="00422412">
        <w:rPr>
          <w:rFonts w:ascii="Times New Roman" w:hAnsi="Times New Roman" w:cs="Times New Roman"/>
          <w:sz w:val="24"/>
          <w:szCs w:val="24"/>
        </w:rPr>
        <w:t xml:space="preserve"> </w:t>
      </w:r>
      <w:r w:rsidRPr="00422412">
        <w:rPr>
          <w:rFonts w:ascii="Times New Roman" w:eastAsia="source serif 4" w:hAnsi="Times New Roman" w:cs="Times New Roman"/>
          <w:color w:val="000000"/>
          <w:sz w:val="24"/>
          <w:szCs w:val="24"/>
        </w:rPr>
        <w:t>At Aspen University in the United States, AI-powered internal chatbots answer routine queries from academic advisors and records coordinators, while AI tools identify students who may be at academic risk—enabling timely corrective action. These capabilities represent a broader trend toward data-driven institutional decision-making, where administrators act on real-time, evidence-based insights rather than retrospective reports.</w:t>
      </w:r>
    </w:p>
    <w:p w14:paraId="7899CE3F" w14:textId="77777777" w:rsidR="003F7707" w:rsidRPr="00422412" w:rsidRDefault="00467E12">
      <w:pPr>
        <w:spacing w:before="315" w:after="105" w:line="360" w:lineRule="auto"/>
        <w:ind w:left="-30"/>
        <w:rPr>
          <w:rFonts w:ascii="Times New Roman" w:hAnsi="Times New Roman" w:cs="Times New Roman"/>
          <w:sz w:val="24"/>
          <w:szCs w:val="24"/>
        </w:rPr>
      </w:pPr>
      <w:bookmarkStart w:id="7" w:name="bm_3_3_generative_ai_and_curricul_f4a919"/>
      <w:r w:rsidRPr="00422412">
        <w:rPr>
          <w:rFonts w:ascii="Times New Roman" w:eastAsia="source serif 4" w:hAnsi="Times New Roman" w:cs="Times New Roman"/>
          <w:b/>
          <w:color w:val="000000"/>
          <w:sz w:val="24"/>
          <w:szCs w:val="24"/>
        </w:rPr>
        <w:t>3.3 Generative AI and Curriculum Development</w:t>
      </w:r>
      <w:bookmarkEnd w:id="7"/>
    </w:p>
    <w:p w14:paraId="144F08B2" w14:textId="0E2C59F8"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The arrival of large language model-based tools such as ChatGPT has accelerated the pace of AI adoption in education. A comprehensive bibliometric and content analysis of 817 peer-reviewed articles published between 2021 and 2024 identified four key thematic clusters in the research on generative AI in education: (1) Generative AI as a driver of educational transformation, (2) its impact on curriculum and pedagogy, (3) ethical and integrity considerations in higher education, and (4) its role in enhancing creativity and knowledge.</w:t>
      </w:r>
      <w:r w:rsidR="00E5489A" w:rsidRPr="00422412">
        <w:rPr>
          <w:rFonts w:ascii="Times New Roman" w:hAnsi="Times New Roman" w:cs="Times New Roman"/>
          <w:sz w:val="24"/>
          <w:szCs w:val="24"/>
        </w:rPr>
        <w:t xml:space="preserve"> </w:t>
      </w:r>
      <w:r w:rsidRPr="00422412">
        <w:rPr>
          <w:rFonts w:ascii="Times New Roman" w:eastAsia="source serif 4" w:hAnsi="Times New Roman" w:cs="Times New Roman"/>
          <w:color w:val="000000"/>
          <w:sz w:val="24"/>
          <w:szCs w:val="24"/>
        </w:rPr>
        <w:t>Stanford University's 2025 research initiative, in collaboration with OpenAI, is among the most significant efforts to empirically study how ChatGPT is used in K-12 classrooms and whether its use affects proficiency skills, knowledge retention, and engagement. The research acknowledges that "AI tools are flooding K-12 classrooms—some offer real promise, others raise serious concerns—but few have been evaluated in any meaningful way," highlighting the critical gap between rapid adoption and rigorous evidence.</w:t>
      </w:r>
      <w:r w:rsidR="00E5489A" w:rsidRPr="00422412">
        <w:rPr>
          <w:rFonts w:ascii="Times New Roman" w:hAnsi="Times New Roman" w:cs="Times New Roman"/>
          <w:sz w:val="24"/>
          <w:szCs w:val="24"/>
        </w:rPr>
        <w:t xml:space="preserve"> </w:t>
      </w:r>
      <w:r w:rsidRPr="00422412">
        <w:rPr>
          <w:rFonts w:ascii="Times New Roman" w:eastAsia="source serif 4" w:hAnsi="Times New Roman" w:cs="Times New Roman"/>
          <w:color w:val="000000"/>
          <w:sz w:val="24"/>
          <w:szCs w:val="24"/>
        </w:rPr>
        <w:t>By 2025, 67% of U.S. universities were already piloting or integrating generative AI tools into teaching workflows. Meanwhile, a 2025 student survey in the UK found that the proportion of students using generative AI tools such as ChatGPT for assessments has jumped from 53% to 88% in a single year, demonstrating that student adoption is outpacing institutional policy responses.</w:t>
      </w:r>
    </w:p>
    <w:p w14:paraId="370D3EB3" w14:textId="77777777" w:rsidR="003F7707" w:rsidRPr="00422412" w:rsidRDefault="00467E12">
      <w:pPr>
        <w:spacing w:before="315" w:after="105" w:line="360" w:lineRule="auto"/>
        <w:ind w:left="-30"/>
        <w:rPr>
          <w:rFonts w:ascii="Times New Roman" w:hAnsi="Times New Roman" w:cs="Times New Roman"/>
          <w:sz w:val="24"/>
          <w:szCs w:val="24"/>
        </w:rPr>
      </w:pPr>
      <w:bookmarkStart w:id="8" w:name="bm_3_4_chatbots_and_conversational_ai"/>
      <w:r w:rsidRPr="00422412">
        <w:rPr>
          <w:rFonts w:ascii="Times New Roman" w:eastAsia="source serif 4" w:hAnsi="Times New Roman" w:cs="Times New Roman"/>
          <w:b/>
          <w:color w:val="000000"/>
          <w:sz w:val="24"/>
          <w:szCs w:val="24"/>
        </w:rPr>
        <w:t>3.4 Chatbots and Conversational AI</w:t>
      </w:r>
      <w:bookmarkEnd w:id="8"/>
    </w:p>
    <w:p w14:paraId="1DB8A6EB" w14:textId="1905E2C0"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lastRenderedPageBreak/>
        <w:t xml:space="preserve">Conversational AI, powered by Natural Language Processing (NLP) and Natural Language Generation (NLG), is enabling 24/7 student interaction through voice interfaces and chatbots. These systems can answer queries about course materials, administrative processes, admission requirements, and deadlines, freeing up institutional staff for complex, high-touch </w:t>
      </w:r>
      <w:r w:rsidR="00AC1B5C" w:rsidRPr="00422412">
        <w:rPr>
          <w:rFonts w:ascii="Times New Roman" w:eastAsia="source serif 4" w:hAnsi="Times New Roman" w:cs="Times New Roman"/>
          <w:color w:val="000000"/>
          <w:sz w:val="24"/>
          <w:szCs w:val="24"/>
        </w:rPr>
        <w:t xml:space="preserve">interactions. </w:t>
      </w:r>
      <w:r w:rsidRPr="00422412">
        <w:rPr>
          <w:rFonts w:ascii="Times New Roman" w:eastAsia="source serif 4" w:hAnsi="Times New Roman" w:cs="Times New Roman"/>
          <w:color w:val="000000"/>
          <w:sz w:val="24"/>
          <w:szCs w:val="24"/>
        </w:rPr>
        <w:t>A global case study from Tecnológico de Monterrey, one of Latin America's most prestigious universities, illustrated how a virtual chatbot with AI functionality was deployed during undergraduate registration to handle over 14,000 student queries—a task that previously required a team of 10 full-time staff—dramatically improving service quality and response speed</w:t>
      </w:r>
      <w:r w:rsidR="00AC1B5C" w:rsidRPr="00422412">
        <w:rPr>
          <w:rFonts w:ascii="Times New Roman" w:eastAsia="source serif 4" w:hAnsi="Times New Roman" w:cs="Times New Roman"/>
          <w:color w:val="000000"/>
          <w:sz w:val="24"/>
          <w:szCs w:val="24"/>
        </w:rPr>
        <w:t>.</w:t>
      </w:r>
    </w:p>
    <w:p w14:paraId="4FE84AC1" w14:textId="77777777" w:rsidR="003F7707" w:rsidRPr="00422412" w:rsidRDefault="00283268">
      <w:pPr>
        <w:spacing w:before="210" w:after="0" w:line="360" w:lineRule="auto"/>
        <w:rPr>
          <w:rFonts w:ascii="Times New Roman" w:hAnsi="Times New Roman" w:cs="Times New Roman"/>
          <w:sz w:val="24"/>
          <w:szCs w:val="24"/>
        </w:rPr>
      </w:pPr>
      <w:r w:rsidRPr="00422412">
        <w:rPr>
          <w:rFonts w:ascii="Times New Roman" w:hAnsi="Times New Roman" w:cs="Times New Roman"/>
          <w:noProof/>
          <w:sz w:val="24"/>
          <w:szCs w:val="24"/>
        </w:rPr>
      </w:r>
      <w:r w:rsidRPr="00422412">
        <w:rPr>
          <w:rFonts w:ascii="Times New Roman" w:hAnsi="Times New Roman" w:cs="Times New Roman"/>
          <w:noProof/>
          <w:sz w:val="24"/>
          <w:szCs w:val="24"/>
        </w:rPr>
        <w:pict w14:anchorId="424CACFD">
          <v:rect id="_x0000_s1034"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D88AF99" w14:textId="77777777" w:rsidR="003F7707" w:rsidRPr="00422412" w:rsidRDefault="00467E12">
      <w:pPr>
        <w:spacing w:before="315" w:after="105" w:line="360" w:lineRule="auto"/>
        <w:ind w:left="-30"/>
        <w:rPr>
          <w:rFonts w:ascii="Times New Roman" w:hAnsi="Times New Roman" w:cs="Times New Roman"/>
          <w:sz w:val="24"/>
          <w:szCs w:val="24"/>
        </w:rPr>
      </w:pPr>
      <w:bookmarkStart w:id="9" w:name="bm_4_learning_management_systems_882273"/>
      <w:r w:rsidRPr="00422412">
        <w:rPr>
          <w:rFonts w:ascii="Times New Roman" w:eastAsia="source serif 4" w:hAnsi="Times New Roman" w:cs="Times New Roman"/>
          <w:b/>
          <w:color w:val="000000"/>
          <w:sz w:val="24"/>
          <w:szCs w:val="24"/>
        </w:rPr>
        <w:t>4. Learning Management Systems as the Backbone of Digital Management</w:t>
      </w:r>
      <w:bookmarkEnd w:id="9"/>
    </w:p>
    <w:p w14:paraId="5B93180C" w14:textId="52E8260E"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 xml:space="preserve">Learning Management Systems (LMS) represent the infrastructural core of digital educational management. A next-generation, AI-enhanced LMS transcends its origins as a content repository, evolving into a dynamic environment where AI guides learning journeys, generates course materials, offers real-time feedback, and provides administrators with actionable intelligence.AI integration within LMS platforms enables several critical capabilities: intelligent content recommendations based on learner </w:t>
      </w:r>
      <w:r w:rsidR="00F53FD1" w:rsidRPr="00422412">
        <w:rPr>
          <w:rFonts w:ascii="Times New Roman" w:eastAsia="source serif 4" w:hAnsi="Times New Roman" w:cs="Times New Roman"/>
          <w:color w:val="000000"/>
          <w:sz w:val="24"/>
          <w:szCs w:val="24"/>
        </w:rPr>
        <w:t>behavior</w:t>
      </w:r>
      <w:r w:rsidRPr="00422412">
        <w:rPr>
          <w:rFonts w:ascii="Times New Roman" w:eastAsia="source serif 4" w:hAnsi="Times New Roman" w:cs="Times New Roman"/>
          <w:color w:val="000000"/>
          <w:sz w:val="24"/>
          <w:szCs w:val="24"/>
        </w:rPr>
        <w:t xml:space="preserve">, automated quiz generation aligned with course objectives, adaptive learning paths that respond to student progress, and administrative dashboards that surface at-risk students and track institutional performance metrics. As Mary Smith, Director of Instructional Design and Technology at the Medical University of South Carolina, observed, AI within the LMS can create adaptive learning paths tailored to individual student needs and automate personalized support messages based on performance and engagement </w:t>
      </w:r>
      <w:r w:rsidR="00F53FD1" w:rsidRPr="00422412">
        <w:rPr>
          <w:rFonts w:ascii="Times New Roman" w:eastAsia="source serif 4" w:hAnsi="Times New Roman" w:cs="Times New Roman"/>
          <w:color w:val="000000"/>
          <w:sz w:val="24"/>
          <w:szCs w:val="24"/>
        </w:rPr>
        <w:t>levels. Curriculum</w:t>
      </w:r>
      <w:r w:rsidRPr="00422412">
        <w:rPr>
          <w:rFonts w:ascii="Times New Roman" w:eastAsia="source serif 4" w:hAnsi="Times New Roman" w:cs="Times New Roman"/>
          <w:color w:val="000000"/>
          <w:sz w:val="24"/>
          <w:szCs w:val="24"/>
        </w:rPr>
        <w:t xml:space="preserve"> developers also benefit from AI-enhanced LMS capabilities. At Aspen University, AI tools </w:t>
      </w:r>
      <w:r w:rsidR="00F53FD1" w:rsidRPr="00422412">
        <w:rPr>
          <w:rFonts w:ascii="Times New Roman" w:eastAsia="source serif 4" w:hAnsi="Times New Roman" w:cs="Times New Roman"/>
          <w:color w:val="000000"/>
          <w:sz w:val="24"/>
          <w:szCs w:val="24"/>
        </w:rPr>
        <w:t>analyses</w:t>
      </w:r>
      <w:r w:rsidRPr="00422412">
        <w:rPr>
          <w:rFonts w:ascii="Times New Roman" w:eastAsia="source serif 4" w:hAnsi="Times New Roman" w:cs="Times New Roman"/>
          <w:color w:val="000000"/>
          <w:sz w:val="24"/>
          <w:szCs w:val="24"/>
        </w:rPr>
        <w:t xml:space="preserve"> student performance data to identify areas of difficulty and suggest curriculum improvements, ensuring that instructional content remains effective and current. The integration of Claude AI (Anthropic) with learning platforms such as Canvas LTI, Panopto, and Wiley signals a new phase in LMS evolution—where AI is not an add-on but a core component of the learning environment.</w:t>
      </w:r>
    </w:p>
    <w:p w14:paraId="350E68B0" w14:textId="77777777" w:rsidR="003F7707" w:rsidRPr="00422412" w:rsidRDefault="00467E12">
      <w:pPr>
        <w:spacing w:before="315" w:after="105" w:line="360" w:lineRule="auto"/>
        <w:ind w:left="-30"/>
        <w:rPr>
          <w:rFonts w:ascii="Times New Roman" w:hAnsi="Times New Roman" w:cs="Times New Roman"/>
          <w:sz w:val="24"/>
          <w:szCs w:val="24"/>
        </w:rPr>
      </w:pPr>
      <w:bookmarkStart w:id="10" w:name="lms_capabilities_traditional_vs_a_8e8416"/>
      <w:r w:rsidRPr="00422412">
        <w:rPr>
          <w:rFonts w:ascii="Times New Roman" w:eastAsia="source serif 4" w:hAnsi="Times New Roman" w:cs="Times New Roman"/>
          <w:b/>
          <w:color w:val="000000"/>
          <w:sz w:val="24"/>
          <w:szCs w:val="24"/>
        </w:rPr>
        <w:t>LMS Capabilities: Traditional vs. AI-Enhanced</w:t>
      </w:r>
      <w:bookmarkEnd w:id="10"/>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322"/>
        <w:gridCol w:w="3127"/>
        <w:gridCol w:w="4055"/>
      </w:tblGrid>
      <w:tr w:rsidR="003F7707" w:rsidRPr="00422412" w14:paraId="00CB830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4D30A19"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lastRenderedPageBreak/>
              <w:t>Dimension</w:t>
            </w:r>
          </w:p>
        </w:tc>
        <w:tc>
          <w:tcPr>
            <w:tcW w:w="0" w:type="auto"/>
            <w:tcBorders>
              <w:top w:val="single" w:sz="1" w:space="0" w:color="000000"/>
              <w:bottom w:val="single" w:sz="1" w:space="0" w:color="000000"/>
              <w:right w:val="single" w:sz="1" w:space="0" w:color="000000"/>
            </w:tcBorders>
          </w:tcPr>
          <w:p w14:paraId="2F37129C"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Traditional LMS</w:t>
            </w:r>
          </w:p>
        </w:tc>
        <w:tc>
          <w:tcPr>
            <w:tcW w:w="0" w:type="auto"/>
            <w:tcBorders>
              <w:top w:val="single" w:sz="1" w:space="0" w:color="000000"/>
              <w:bottom w:val="single" w:sz="1" w:space="0" w:color="000000"/>
            </w:tcBorders>
          </w:tcPr>
          <w:p w14:paraId="6ED1C6FB"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AI-Enhanced LMS</w:t>
            </w:r>
          </w:p>
        </w:tc>
      </w:tr>
      <w:tr w:rsidR="003F7707" w:rsidRPr="00422412" w14:paraId="301D429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6D3533"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Content Delivery</w:t>
            </w:r>
          </w:p>
        </w:tc>
        <w:tc>
          <w:tcPr>
            <w:tcW w:w="0" w:type="auto"/>
            <w:tcBorders>
              <w:top w:val="single" w:sz="1" w:space="0" w:color="000000"/>
              <w:bottom w:val="single" w:sz="1" w:space="0" w:color="000000"/>
              <w:right w:val="single" w:sz="1" w:space="0" w:color="000000"/>
            </w:tcBorders>
          </w:tcPr>
          <w:p w14:paraId="6A9EA0B8"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Static, uniform for all students</w:t>
            </w:r>
          </w:p>
        </w:tc>
        <w:tc>
          <w:tcPr>
            <w:tcW w:w="0" w:type="auto"/>
            <w:tcBorders>
              <w:top w:val="single" w:sz="1" w:space="0" w:color="000000"/>
              <w:bottom w:val="single" w:sz="1" w:space="0" w:color="000000"/>
            </w:tcBorders>
          </w:tcPr>
          <w:p w14:paraId="6288AB37" w14:textId="6E56F9FB"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 xml:space="preserve">Adaptive, personalized per </w:t>
            </w:r>
            <w:r w:rsidR="00F53FD1" w:rsidRPr="00422412">
              <w:rPr>
                <w:rFonts w:ascii="Times New Roman" w:eastAsia="source sans 3" w:hAnsi="Times New Roman" w:cs="Times New Roman"/>
                <w:color w:val="000000"/>
                <w:sz w:val="24"/>
                <w:szCs w:val="24"/>
              </w:rPr>
              <w:t xml:space="preserve">learner </w:t>
            </w:r>
          </w:p>
        </w:tc>
      </w:tr>
      <w:tr w:rsidR="003F7707" w:rsidRPr="00422412" w14:paraId="2D2662D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D9033A7"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Assessment</w:t>
            </w:r>
          </w:p>
        </w:tc>
        <w:tc>
          <w:tcPr>
            <w:tcW w:w="0" w:type="auto"/>
            <w:tcBorders>
              <w:top w:val="single" w:sz="1" w:space="0" w:color="000000"/>
              <w:bottom w:val="single" w:sz="1" w:space="0" w:color="000000"/>
              <w:right w:val="single" w:sz="1" w:space="0" w:color="000000"/>
            </w:tcBorders>
          </w:tcPr>
          <w:p w14:paraId="501A9297"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Manual grading, fixed rubrics</w:t>
            </w:r>
          </w:p>
        </w:tc>
        <w:tc>
          <w:tcPr>
            <w:tcW w:w="0" w:type="auto"/>
            <w:tcBorders>
              <w:top w:val="single" w:sz="1" w:space="0" w:color="000000"/>
              <w:bottom w:val="single" w:sz="1" w:space="0" w:color="000000"/>
            </w:tcBorders>
          </w:tcPr>
          <w:p w14:paraId="26768DB0" w14:textId="14DDEE93"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Automated grading, AI-generated quizzes</w:t>
            </w:r>
          </w:p>
        </w:tc>
      </w:tr>
      <w:tr w:rsidR="003F7707" w:rsidRPr="00422412" w14:paraId="5572E2A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4A9C983"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Student Support</w:t>
            </w:r>
          </w:p>
        </w:tc>
        <w:tc>
          <w:tcPr>
            <w:tcW w:w="0" w:type="auto"/>
            <w:tcBorders>
              <w:top w:val="single" w:sz="1" w:space="0" w:color="000000"/>
              <w:bottom w:val="single" w:sz="1" w:space="0" w:color="000000"/>
              <w:right w:val="single" w:sz="1" w:space="0" w:color="000000"/>
            </w:tcBorders>
          </w:tcPr>
          <w:p w14:paraId="70A47B68"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Scheduled office hours</w:t>
            </w:r>
          </w:p>
        </w:tc>
        <w:tc>
          <w:tcPr>
            <w:tcW w:w="0" w:type="auto"/>
            <w:tcBorders>
              <w:top w:val="single" w:sz="1" w:space="0" w:color="000000"/>
              <w:bottom w:val="single" w:sz="1" w:space="0" w:color="000000"/>
            </w:tcBorders>
          </w:tcPr>
          <w:p w14:paraId="711F364C" w14:textId="195CB053"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 xml:space="preserve">24/7 AI chatbot </w:t>
            </w:r>
            <w:r w:rsidR="0098782E" w:rsidRPr="00422412">
              <w:rPr>
                <w:rFonts w:ascii="Times New Roman" w:eastAsia="source sans 3" w:hAnsi="Times New Roman" w:cs="Times New Roman"/>
                <w:color w:val="000000"/>
                <w:sz w:val="24"/>
                <w:szCs w:val="24"/>
              </w:rPr>
              <w:t>support</w:t>
            </w:r>
          </w:p>
        </w:tc>
      </w:tr>
      <w:tr w:rsidR="003F7707" w:rsidRPr="00422412" w14:paraId="08E1D03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6D901C"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Analytics</w:t>
            </w:r>
          </w:p>
        </w:tc>
        <w:tc>
          <w:tcPr>
            <w:tcW w:w="0" w:type="auto"/>
            <w:tcBorders>
              <w:top w:val="single" w:sz="1" w:space="0" w:color="000000"/>
              <w:bottom w:val="single" w:sz="1" w:space="0" w:color="000000"/>
              <w:right w:val="single" w:sz="1" w:space="0" w:color="000000"/>
            </w:tcBorders>
          </w:tcPr>
          <w:p w14:paraId="0D3E568B"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Retrospective reports</w:t>
            </w:r>
          </w:p>
        </w:tc>
        <w:tc>
          <w:tcPr>
            <w:tcW w:w="0" w:type="auto"/>
            <w:tcBorders>
              <w:top w:val="single" w:sz="1" w:space="0" w:color="000000"/>
              <w:bottom w:val="single" w:sz="1" w:space="0" w:color="000000"/>
            </w:tcBorders>
          </w:tcPr>
          <w:p w14:paraId="2B8ADA34" w14:textId="1D655483"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Real-time predictive dashboard</w:t>
            </w:r>
          </w:p>
        </w:tc>
      </w:tr>
      <w:tr w:rsidR="003F7707" w:rsidRPr="00422412" w14:paraId="3A50A95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FD80DB"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Administrative Tasks</w:t>
            </w:r>
          </w:p>
        </w:tc>
        <w:tc>
          <w:tcPr>
            <w:tcW w:w="0" w:type="auto"/>
            <w:tcBorders>
              <w:top w:val="single" w:sz="1" w:space="0" w:color="000000"/>
              <w:bottom w:val="single" w:sz="1" w:space="0" w:color="000000"/>
              <w:right w:val="single" w:sz="1" w:space="0" w:color="000000"/>
            </w:tcBorders>
          </w:tcPr>
          <w:p w14:paraId="6D453835"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Manual scheduling, attendance</w:t>
            </w:r>
          </w:p>
        </w:tc>
        <w:tc>
          <w:tcPr>
            <w:tcW w:w="0" w:type="auto"/>
            <w:tcBorders>
              <w:top w:val="single" w:sz="1" w:space="0" w:color="000000"/>
              <w:bottom w:val="single" w:sz="1" w:space="0" w:color="000000"/>
            </w:tcBorders>
          </w:tcPr>
          <w:p w14:paraId="138A439D" w14:textId="6AE0BB12"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Automated timetabling, AI alerts</w:t>
            </w:r>
          </w:p>
        </w:tc>
      </w:tr>
      <w:tr w:rsidR="003F7707" w:rsidRPr="00422412" w14:paraId="1C5256F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37D3723"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Course Creation</w:t>
            </w:r>
          </w:p>
        </w:tc>
        <w:tc>
          <w:tcPr>
            <w:tcW w:w="0" w:type="auto"/>
            <w:tcBorders>
              <w:top w:val="single" w:sz="1" w:space="0" w:color="000000"/>
              <w:bottom w:val="single" w:sz="1" w:space="0" w:color="000000"/>
              <w:right w:val="single" w:sz="1" w:space="0" w:color="000000"/>
            </w:tcBorders>
          </w:tcPr>
          <w:p w14:paraId="35B90CF6" w14:textId="77777777"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Fully manual</w:t>
            </w:r>
          </w:p>
        </w:tc>
        <w:tc>
          <w:tcPr>
            <w:tcW w:w="0" w:type="auto"/>
            <w:tcBorders>
              <w:top w:val="single" w:sz="1" w:space="0" w:color="000000"/>
              <w:bottom w:val="single" w:sz="1" w:space="0" w:color="000000"/>
            </w:tcBorders>
          </w:tcPr>
          <w:p w14:paraId="17330BA4" w14:textId="59FD7CC1" w:rsidR="003F7707" w:rsidRPr="00422412" w:rsidRDefault="00467E12">
            <w:pPr>
              <w:spacing w:line="360" w:lineRule="auto"/>
              <w:rPr>
                <w:rFonts w:ascii="Times New Roman" w:hAnsi="Times New Roman" w:cs="Times New Roman"/>
                <w:sz w:val="24"/>
                <w:szCs w:val="24"/>
              </w:rPr>
            </w:pPr>
            <w:r w:rsidRPr="00422412">
              <w:rPr>
                <w:rFonts w:ascii="Times New Roman" w:eastAsia="source sans 3" w:hAnsi="Times New Roman" w:cs="Times New Roman"/>
                <w:color w:val="000000"/>
                <w:sz w:val="24"/>
                <w:szCs w:val="24"/>
              </w:rPr>
              <w:t>AI-assisted content generation</w:t>
            </w:r>
          </w:p>
        </w:tc>
      </w:tr>
    </w:tbl>
    <w:p w14:paraId="1DDFFB88" w14:textId="77777777" w:rsidR="003F7707" w:rsidRPr="00422412" w:rsidRDefault="003F7707">
      <w:pPr>
        <w:rPr>
          <w:rFonts w:ascii="Times New Roman" w:hAnsi="Times New Roman" w:cs="Times New Roman"/>
          <w:sz w:val="24"/>
          <w:szCs w:val="24"/>
        </w:rPr>
      </w:pPr>
    </w:p>
    <w:p w14:paraId="796C57B2" w14:textId="53959982" w:rsidR="003F7707" w:rsidRPr="00422412" w:rsidRDefault="00467E12" w:rsidP="008F4EA9">
      <w:pPr>
        <w:spacing w:before="210" w:after="0" w:line="360" w:lineRule="auto"/>
        <w:rPr>
          <w:rFonts w:ascii="Times New Roman" w:hAnsi="Times New Roman" w:cs="Times New Roman"/>
          <w:sz w:val="24"/>
          <w:szCs w:val="24"/>
        </w:rPr>
      </w:pPr>
      <w:bookmarkStart w:id="11" w:name="bm_5_predictive_analytics_and_ear_e5499b"/>
      <w:r w:rsidRPr="00422412">
        <w:rPr>
          <w:rFonts w:ascii="Times New Roman" w:eastAsia="source serif 4" w:hAnsi="Times New Roman" w:cs="Times New Roman"/>
          <w:b/>
          <w:color w:val="000000"/>
          <w:sz w:val="24"/>
          <w:szCs w:val="24"/>
        </w:rPr>
        <w:t>5. Predictive Analytics and Early Intervention</w:t>
      </w:r>
      <w:bookmarkEnd w:id="11"/>
    </w:p>
    <w:p w14:paraId="4C6D4385" w14:textId="7FB704F4"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One of the most consequential applications of AI in educational management is predictive analytics—the use of historical and real-time data to forecast student outcomes and enable proactive institutional responses. Predictive analytics applies statistical models and machine learning algorithms to data streams including grades, attendance records, assignment completion rates, engagement metrics, and socio-demographic information to identify students at risk of academic failure or dropout.</w:t>
      </w:r>
    </w:p>
    <w:p w14:paraId="076B5112" w14:textId="5B7D0131"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 xml:space="preserve">A landmark study published in </w:t>
      </w:r>
      <w:r w:rsidRPr="00422412">
        <w:rPr>
          <w:rFonts w:ascii="Times New Roman" w:eastAsia="source serif 4" w:hAnsi="Times New Roman" w:cs="Times New Roman"/>
          <w:i/>
          <w:color w:val="000000"/>
          <w:sz w:val="24"/>
          <w:szCs w:val="24"/>
        </w:rPr>
        <w:t>Scientific Reports</w:t>
      </w:r>
      <w:r w:rsidRPr="00422412">
        <w:rPr>
          <w:rFonts w:ascii="Times New Roman" w:eastAsia="source serif 4" w:hAnsi="Times New Roman" w:cs="Times New Roman"/>
          <w:color w:val="000000"/>
          <w:sz w:val="24"/>
          <w:szCs w:val="24"/>
        </w:rPr>
        <w:t xml:space="preserve"> (2025) developed a predictive model using four machine learning algorithms—C5.0, CART, Support Vector Machine (SVM), and Random Forest—to assess student performance and identify key success variables. The Random Forest algorithm achieved the most consistent cross-validation results, while C5.0 provided the highest test-set accuracy. The study proposed a new classification model designed to detect academic failure at an early stage and enable timely intervention, with the goal of ensuring equity in the classroom and providing cost-effective solutions for education </w:t>
      </w:r>
      <w:r w:rsidR="008F4EA9" w:rsidRPr="00422412">
        <w:rPr>
          <w:rFonts w:ascii="Times New Roman" w:eastAsia="source serif 4" w:hAnsi="Times New Roman" w:cs="Times New Roman"/>
          <w:color w:val="000000"/>
          <w:sz w:val="24"/>
          <w:szCs w:val="24"/>
        </w:rPr>
        <w:t>policymakers. Predictive</w:t>
      </w:r>
      <w:r w:rsidRPr="00422412">
        <w:rPr>
          <w:rFonts w:ascii="Times New Roman" w:eastAsia="source serif 4" w:hAnsi="Times New Roman" w:cs="Times New Roman"/>
          <w:color w:val="000000"/>
          <w:sz w:val="24"/>
          <w:szCs w:val="24"/>
        </w:rPr>
        <w:t xml:space="preserve"> models can also be used for curriculum design and resource allocation. Universities can use time-series forecasting to predict demand for specific courses, ensuring adequate instructor availability and efficient resource deployment. Adaptive learning platforms leverage these models to personalize </w:t>
      </w:r>
      <w:r w:rsidRPr="00422412">
        <w:rPr>
          <w:rFonts w:ascii="Times New Roman" w:eastAsia="source serif 4" w:hAnsi="Times New Roman" w:cs="Times New Roman"/>
          <w:color w:val="000000"/>
          <w:sz w:val="24"/>
          <w:szCs w:val="24"/>
        </w:rPr>
        <w:lastRenderedPageBreak/>
        <w:t>content delivery—for example, adjusting problem difficulty in real-time based on a student's performance history.</w:t>
      </w:r>
      <w:r w:rsidR="008F4EA9" w:rsidRPr="00422412">
        <w:rPr>
          <w:rFonts w:ascii="Times New Roman" w:hAnsi="Times New Roman" w:cs="Times New Roman"/>
          <w:sz w:val="24"/>
          <w:szCs w:val="24"/>
        </w:rPr>
        <w:t xml:space="preserve"> </w:t>
      </w:r>
      <w:r w:rsidRPr="00422412">
        <w:rPr>
          <w:rFonts w:ascii="Times New Roman" w:eastAsia="source serif 4" w:hAnsi="Times New Roman" w:cs="Times New Roman"/>
          <w:color w:val="000000"/>
          <w:sz w:val="24"/>
          <w:szCs w:val="24"/>
        </w:rPr>
        <w:t xml:space="preserve">The </w:t>
      </w:r>
      <w:r w:rsidR="008F4EA9" w:rsidRPr="00422412">
        <w:rPr>
          <w:rFonts w:ascii="Times New Roman" w:eastAsia="source serif 4" w:hAnsi="Times New Roman" w:cs="Times New Roman"/>
          <w:color w:val="000000"/>
          <w:sz w:val="24"/>
          <w:szCs w:val="24"/>
        </w:rPr>
        <w:t>Advisory</w:t>
      </w:r>
      <w:r w:rsidRPr="00422412">
        <w:rPr>
          <w:rFonts w:ascii="Times New Roman" w:eastAsia="source serif 4" w:hAnsi="Times New Roman" w:cs="Times New Roman"/>
          <w:color w:val="000000"/>
          <w:sz w:val="24"/>
          <w:szCs w:val="24"/>
        </w:rPr>
        <w:t xml:space="preserve"> platform and similar tools have demonstrated that predictive analytics in higher education can meaningfully improve retention, academic performance, and institutional resource efficiency when deployed with appropriate data governance frameworks. Early warning systems derived from LMS interaction data (e.g., login frequency, assignment submission patterns, discussion board participation) have proven particularly effective because they can identify risk as early as the second or third week of a semester—well before traditional academic reviews would capture the problem.</w:t>
      </w:r>
    </w:p>
    <w:p w14:paraId="1717EC05" w14:textId="77777777" w:rsidR="008F4EA9" w:rsidRPr="00422412" w:rsidRDefault="00467E12" w:rsidP="008F4EA9">
      <w:pPr>
        <w:spacing w:before="210" w:after="0" w:line="360" w:lineRule="auto"/>
        <w:rPr>
          <w:rFonts w:ascii="Times New Roman" w:hAnsi="Times New Roman" w:cs="Times New Roman"/>
          <w:sz w:val="24"/>
          <w:szCs w:val="24"/>
        </w:rPr>
      </w:pPr>
      <w:bookmarkStart w:id="12" w:name="bm_6_ai_in_assessment_automated_g_2c0f38"/>
      <w:r w:rsidRPr="00422412">
        <w:rPr>
          <w:rFonts w:ascii="Times New Roman" w:eastAsia="source serif 4" w:hAnsi="Times New Roman" w:cs="Times New Roman"/>
          <w:b/>
          <w:color w:val="000000"/>
          <w:sz w:val="24"/>
          <w:szCs w:val="24"/>
        </w:rPr>
        <w:t>6. AI in Assessment: Automated Grading and Academic Integrity</w:t>
      </w:r>
      <w:bookmarkStart w:id="13" w:name="bm_6_1_automated_grading_and_nlp_b0daf7"/>
      <w:bookmarkEnd w:id="12"/>
    </w:p>
    <w:p w14:paraId="7F3290C3" w14:textId="3294F215" w:rsidR="003F7707" w:rsidRPr="00422412" w:rsidRDefault="00467E12" w:rsidP="008F4EA9">
      <w:pPr>
        <w:spacing w:before="210" w:after="0" w:line="360" w:lineRule="auto"/>
        <w:rPr>
          <w:rFonts w:ascii="Times New Roman" w:hAnsi="Times New Roman" w:cs="Times New Roman"/>
          <w:sz w:val="24"/>
          <w:szCs w:val="24"/>
        </w:rPr>
      </w:pPr>
      <w:r w:rsidRPr="00422412">
        <w:rPr>
          <w:rFonts w:ascii="Times New Roman" w:eastAsia="source serif 4" w:hAnsi="Times New Roman" w:cs="Times New Roman"/>
          <w:b/>
          <w:color w:val="000000"/>
          <w:sz w:val="24"/>
          <w:szCs w:val="24"/>
        </w:rPr>
        <w:t>6.1 Automated Grading and NLP-Based Assessment</w:t>
      </w:r>
      <w:bookmarkEnd w:id="13"/>
    </w:p>
    <w:p w14:paraId="0E271135" w14:textId="0E6C69F7" w:rsidR="003F7707" w:rsidRPr="00422412" w:rsidRDefault="00467E12">
      <w:pPr>
        <w:spacing w:after="210" w:line="360" w:lineRule="auto"/>
        <w:rPr>
          <w:rFonts w:ascii="Times New Roman" w:eastAsia="source serif 4" w:hAnsi="Times New Roman" w:cs="Times New Roman"/>
          <w:color w:val="000000"/>
          <w:sz w:val="24"/>
          <w:szCs w:val="24"/>
        </w:rPr>
      </w:pPr>
      <w:r w:rsidRPr="00422412">
        <w:rPr>
          <w:rFonts w:ascii="Times New Roman" w:eastAsia="source serif 4" w:hAnsi="Times New Roman" w:cs="Times New Roman"/>
          <w:color w:val="000000"/>
          <w:sz w:val="24"/>
          <w:szCs w:val="24"/>
        </w:rPr>
        <w:t>The automation of grading and assessment represents one of the most technically sophisticated and pedagogically significant applications of AI in educational management. AI-based automated grading systems leverage NLP techniques to evaluate student responses across a range of modalities: multiple-choice questions, short-answer responses, essays, and open-book examinations.</w:t>
      </w:r>
      <w:r w:rsidR="008F4EA9" w:rsidRPr="00422412">
        <w:rPr>
          <w:rFonts w:ascii="Times New Roman" w:hAnsi="Times New Roman" w:cs="Times New Roman"/>
          <w:sz w:val="24"/>
          <w:szCs w:val="24"/>
        </w:rPr>
        <w:t xml:space="preserve"> </w:t>
      </w:r>
      <w:r w:rsidRPr="00422412">
        <w:rPr>
          <w:rFonts w:ascii="Times New Roman" w:eastAsia="source serif 4" w:hAnsi="Times New Roman" w:cs="Times New Roman"/>
          <w:color w:val="000000"/>
          <w:sz w:val="24"/>
          <w:szCs w:val="24"/>
        </w:rPr>
        <w:t xml:space="preserve">Research published in </w:t>
      </w:r>
      <w:r w:rsidRPr="00422412">
        <w:rPr>
          <w:rFonts w:ascii="Times New Roman" w:eastAsia="source serif 4" w:hAnsi="Times New Roman" w:cs="Times New Roman"/>
          <w:i/>
          <w:color w:val="000000"/>
          <w:sz w:val="24"/>
          <w:szCs w:val="24"/>
        </w:rPr>
        <w:t>ScienceDirect</w:t>
      </w:r>
      <w:r w:rsidRPr="00422412">
        <w:rPr>
          <w:rFonts w:ascii="Times New Roman" w:eastAsia="source serif 4" w:hAnsi="Times New Roman" w:cs="Times New Roman"/>
          <w:color w:val="000000"/>
          <w:sz w:val="24"/>
          <w:szCs w:val="24"/>
        </w:rPr>
        <w:t xml:space="preserve"> (2025) implemented a novel NLP-based automatic grading system that combines multiple similarity measures—edit similarity, cosine similarity, Jaccard similarity, normalized word count, and semantic similarity—using TensorFlow's Universal Sentence Encoder. Experiments demonstrated that the system could evaluate student responses with accuracy comparable to human expert assessments while dramatically reducing grading time. An IEEE study further validated AI-based grading for open-book examinations—a format increasingly adopted in higher education for its reflection of real-world problem-solving—showing strong alignment between automated and human grading </w:t>
      </w:r>
      <w:r w:rsidR="00257E4D" w:rsidRPr="00422412">
        <w:rPr>
          <w:rFonts w:ascii="Times New Roman" w:eastAsia="source serif 4" w:hAnsi="Times New Roman" w:cs="Times New Roman"/>
          <w:color w:val="000000"/>
          <w:sz w:val="24"/>
          <w:szCs w:val="24"/>
        </w:rPr>
        <w:t>results</w:t>
      </w:r>
      <w:r w:rsidR="00DE31E0" w:rsidRPr="00422412">
        <w:rPr>
          <w:rFonts w:ascii="Times New Roman" w:eastAsia="source serif 4" w:hAnsi="Times New Roman" w:cs="Times New Roman"/>
          <w:color w:val="000000"/>
          <w:sz w:val="24"/>
          <w:szCs w:val="24"/>
        </w:rPr>
        <w:t xml:space="preserve"> </w:t>
      </w:r>
      <w:r w:rsidRPr="00422412">
        <w:rPr>
          <w:rFonts w:ascii="Times New Roman" w:eastAsia="source serif 4" w:hAnsi="Times New Roman" w:cs="Times New Roman"/>
          <w:color w:val="000000"/>
          <w:sz w:val="24"/>
          <w:szCs w:val="24"/>
        </w:rPr>
        <w:t>-based systems deployed in eLearning environments can provide not only scores but also personalized, constructive feedback to students, identifying areas for improvement with specificity that most overworked instructors cannot routinely provide at scale. Optical Character Recognition (OCR) integrated with NLP systems extends these capabilities to handwritten submissions, allowing educators to automate the processing of physical answer sheets alongside digital submissions.</w:t>
      </w:r>
    </w:p>
    <w:p w14:paraId="6C4D0805" w14:textId="77777777" w:rsidR="005D66BB" w:rsidRPr="00422412" w:rsidRDefault="005D66BB">
      <w:pPr>
        <w:spacing w:after="210" w:line="360" w:lineRule="auto"/>
        <w:rPr>
          <w:rFonts w:ascii="Times New Roman" w:hAnsi="Times New Roman" w:cs="Times New Roman"/>
          <w:sz w:val="24"/>
          <w:szCs w:val="24"/>
        </w:rPr>
      </w:pPr>
    </w:p>
    <w:p w14:paraId="0BCBE12B" w14:textId="77777777" w:rsidR="003F7707" w:rsidRPr="00422412" w:rsidRDefault="00467E12">
      <w:pPr>
        <w:spacing w:before="315" w:after="105" w:line="360" w:lineRule="auto"/>
        <w:ind w:left="-30"/>
        <w:rPr>
          <w:rFonts w:ascii="Times New Roman" w:hAnsi="Times New Roman" w:cs="Times New Roman"/>
          <w:sz w:val="24"/>
          <w:szCs w:val="24"/>
        </w:rPr>
      </w:pPr>
      <w:bookmarkStart w:id="14" w:name="bm_6_2_academic_integrity_in_the_98fb29"/>
      <w:r w:rsidRPr="00422412">
        <w:rPr>
          <w:rFonts w:ascii="Times New Roman" w:eastAsia="source serif 4" w:hAnsi="Times New Roman" w:cs="Times New Roman"/>
          <w:b/>
          <w:color w:val="000000"/>
          <w:sz w:val="24"/>
          <w:szCs w:val="24"/>
        </w:rPr>
        <w:lastRenderedPageBreak/>
        <w:t>6.2 Academic Integrity in the Age of Generative AI</w:t>
      </w:r>
      <w:bookmarkEnd w:id="14"/>
    </w:p>
    <w:p w14:paraId="70E17D2C" w14:textId="3ED13544"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 xml:space="preserve">The widespread adoption of generative AI has created acute challenges for academic integrity in educational institutions. AI detection tools are now being deployed at scale: Turnitin reported that in Spring 2024 alone, its AI detection tool reviewed over 65 million student submissions, flagging approximately 11% as likely AI-generated. A qualitative analysis of 40 peer-reviewed articles found that while ChatGPT enhances student productivity by streamlining drafting, editing, and citation processes, it simultaneously raises serious concerns about plagiarism, authorship attribution, and the erosion of critical thinking </w:t>
      </w:r>
      <w:r w:rsidR="00DE31E0" w:rsidRPr="00422412">
        <w:rPr>
          <w:rFonts w:ascii="Times New Roman" w:eastAsia="source serif 4" w:hAnsi="Times New Roman" w:cs="Times New Roman"/>
          <w:color w:val="000000"/>
          <w:sz w:val="24"/>
          <w:szCs w:val="24"/>
        </w:rPr>
        <w:t>skills. Educational</w:t>
      </w:r>
      <w:r w:rsidRPr="00422412">
        <w:rPr>
          <w:rFonts w:ascii="Times New Roman" w:eastAsia="source serif 4" w:hAnsi="Times New Roman" w:cs="Times New Roman"/>
          <w:color w:val="000000"/>
          <w:sz w:val="24"/>
          <w:szCs w:val="24"/>
        </w:rPr>
        <w:t xml:space="preserve"> managers must navigate a delicate balance: harnessing the pedagogical benefits of generative AI while safeguarding assessment validity. This requires not only detection technologies but also redesigned assessment frameworks—moving toward tasks that privilege process, reflection, and application over purely knowledge-recall outputs.</w:t>
      </w:r>
    </w:p>
    <w:p w14:paraId="356A1388" w14:textId="0C2ACEE2" w:rsidR="003F7707" w:rsidRPr="00422412" w:rsidRDefault="00467E12" w:rsidP="005D66BB">
      <w:pPr>
        <w:spacing w:before="210" w:after="0" w:line="360" w:lineRule="auto"/>
        <w:rPr>
          <w:rFonts w:ascii="Times New Roman" w:hAnsi="Times New Roman" w:cs="Times New Roman"/>
          <w:sz w:val="24"/>
          <w:szCs w:val="24"/>
        </w:rPr>
      </w:pPr>
      <w:bookmarkStart w:id="15" w:name="bm_7_challenges_and_ethical_consi_24fefd"/>
      <w:r w:rsidRPr="00422412">
        <w:rPr>
          <w:rFonts w:ascii="Times New Roman" w:eastAsia="source serif 4" w:hAnsi="Times New Roman" w:cs="Times New Roman"/>
          <w:b/>
          <w:color w:val="000000"/>
          <w:sz w:val="24"/>
          <w:szCs w:val="24"/>
        </w:rPr>
        <w:t>7. Challenges and Ethical Considerations</w:t>
      </w:r>
      <w:bookmarkEnd w:id="15"/>
    </w:p>
    <w:p w14:paraId="417C0998" w14:textId="77777777" w:rsidR="003F7707" w:rsidRPr="00422412" w:rsidRDefault="00467E12">
      <w:pPr>
        <w:spacing w:before="315" w:after="105" w:line="360" w:lineRule="auto"/>
        <w:ind w:left="-30"/>
        <w:rPr>
          <w:rFonts w:ascii="Times New Roman" w:hAnsi="Times New Roman" w:cs="Times New Roman"/>
          <w:sz w:val="24"/>
          <w:szCs w:val="24"/>
        </w:rPr>
      </w:pPr>
      <w:bookmarkStart w:id="16" w:name="bm_7_1_implementation_barriers"/>
      <w:r w:rsidRPr="00422412">
        <w:rPr>
          <w:rFonts w:ascii="Times New Roman" w:eastAsia="source serif 4" w:hAnsi="Times New Roman" w:cs="Times New Roman"/>
          <w:b/>
          <w:color w:val="000000"/>
          <w:sz w:val="24"/>
          <w:szCs w:val="24"/>
        </w:rPr>
        <w:t>7.1 Implementation Barriers</w:t>
      </w:r>
      <w:bookmarkEnd w:id="16"/>
    </w:p>
    <w:p w14:paraId="7B896507" w14:textId="7AF53B21" w:rsidR="005D66BB" w:rsidRPr="00422412" w:rsidRDefault="00467E12" w:rsidP="005D66BB">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Despite the transformative potential of AI in educational management, significant barriers impede adoption—particularly in resource-constrained or developing-country contexts. A systematic review guided by the PRISMA 2020 framework identified the following primary barriers to educator acceptance of AI in education: insufficient training, infrastructure limitations, ethical concerns, technophobia, and a perceived misalignment between AI tools and pedagogical goals. The review further found that demographic factors—age, gender, and digital literacy—significantly moderate educators' readiness to embrace AI</w:t>
      </w:r>
      <w:r w:rsidR="005D66BB" w:rsidRPr="00422412">
        <w:rPr>
          <w:rFonts w:ascii="Times New Roman" w:eastAsia="source serif 4" w:hAnsi="Times New Roman" w:cs="Times New Roman"/>
          <w:color w:val="000000"/>
          <w:sz w:val="24"/>
          <w:szCs w:val="24"/>
        </w:rPr>
        <w:t>.</w:t>
      </w:r>
      <w:r w:rsidR="005D66BB" w:rsidRPr="00422412">
        <w:rPr>
          <w:rFonts w:ascii="Times New Roman" w:hAnsi="Times New Roman" w:cs="Times New Roman"/>
          <w:sz w:val="24"/>
          <w:szCs w:val="24"/>
        </w:rPr>
        <w:t xml:space="preserve"> </w:t>
      </w:r>
      <w:r w:rsidRPr="00422412">
        <w:rPr>
          <w:rFonts w:ascii="Times New Roman" w:eastAsia="source serif 4" w:hAnsi="Times New Roman" w:cs="Times New Roman"/>
          <w:color w:val="000000"/>
          <w:sz w:val="24"/>
          <w:szCs w:val="24"/>
        </w:rPr>
        <w:t xml:space="preserve">Financial and infrastructure constraints are equally significant. Building AI-ready infrastructure—including cloud computing resources, data storage, AI simulation labs, and broadband connectivity—entails substantial capital expenditure. </w:t>
      </w:r>
      <w:bookmarkStart w:id="17" w:name="bm_7_2_algorithmic_bias_and_fairness"/>
    </w:p>
    <w:p w14:paraId="531ED4CE" w14:textId="56970AE2" w:rsidR="003F7707" w:rsidRPr="00422412" w:rsidRDefault="00467E12" w:rsidP="005D66BB">
      <w:pPr>
        <w:spacing w:after="210" w:line="360" w:lineRule="auto"/>
        <w:rPr>
          <w:rFonts w:ascii="Times New Roman" w:hAnsi="Times New Roman" w:cs="Times New Roman"/>
          <w:sz w:val="24"/>
          <w:szCs w:val="24"/>
        </w:rPr>
      </w:pPr>
      <w:r w:rsidRPr="00422412">
        <w:rPr>
          <w:rFonts w:ascii="Times New Roman" w:eastAsia="source serif 4" w:hAnsi="Times New Roman" w:cs="Times New Roman"/>
          <w:b/>
          <w:color w:val="000000"/>
          <w:sz w:val="24"/>
          <w:szCs w:val="24"/>
        </w:rPr>
        <w:t>7.2 Algorithmic Bias and Fairness</w:t>
      </w:r>
      <w:bookmarkEnd w:id="17"/>
    </w:p>
    <w:p w14:paraId="2C1C0779" w14:textId="32A0667D"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 xml:space="preserve">AI systems trained on historical data inevitably risk encoding and amplifying pre-existing social inequalities. In educational contexts, biased algorithms could systematically disadvantage students from marginalized groups by misidentifying them as at-risk based on demographic proxies, delivering lower-quality content recommendations, or applying discriminatory admissions </w:t>
      </w:r>
      <w:r w:rsidR="005D66BB" w:rsidRPr="00422412">
        <w:rPr>
          <w:rFonts w:ascii="Times New Roman" w:eastAsia="source serif 4" w:hAnsi="Times New Roman" w:cs="Times New Roman"/>
          <w:color w:val="000000"/>
          <w:sz w:val="24"/>
          <w:szCs w:val="24"/>
        </w:rPr>
        <w:t xml:space="preserve">criteria. </w:t>
      </w:r>
      <w:r w:rsidR="005D66BB" w:rsidRPr="00422412">
        <w:rPr>
          <w:rFonts w:ascii="Times New Roman" w:eastAsia="source serif 4" w:hAnsi="Times New Roman" w:cs="Times New Roman"/>
          <w:color w:val="000000"/>
          <w:sz w:val="24"/>
          <w:szCs w:val="24"/>
        </w:rPr>
        <w:lastRenderedPageBreak/>
        <w:t>UNESCO’s</w:t>
      </w:r>
      <w:r w:rsidRPr="00422412">
        <w:rPr>
          <w:rFonts w:ascii="Times New Roman" w:eastAsia="source serif 4" w:hAnsi="Times New Roman" w:cs="Times New Roman"/>
          <w:color w:val="000000"/>
          <w:sz w:val="24"/>
          <w:szCs w:val="24"/>
        </w:rPr>
        <w:t xml:space="preserve"> Recommendation on the Ethics of AI—adopted by 193 member states—establishes a framework of core values that directly apply to educational AI: respect for human rights and fundamental freedoms, non-discrimination, fairness, transparency, accountability, and the protection of privacy throughout the AI lifecycle. </w:t>
      </w:r>
    </w:p>
    <w:p w14:paraId="4A578213" w14:textId="77777777" w:rsidR="003F7707" w:rsidRPr="00422412" w:rsidRDefault="00467E12">
      <w:pPr>
        <w:spacing w:before="315" w:after="105" w:line="360" w:lineRule="auto"/>
        <w:ind w:left="-30"/>
        <w:rPr>
          <w:rFonts w:ascii="Times New Roman" w:hAnsi="Times New Roman" w:cs="Times New Roman"/>
          <w:sz w:val="24"/>
          <w:szCs w:val="24"/>
        </w:rPr>
      </w:pPr>
      <w:bookmarkStart w:id="18" w:name="bm_7_3_data_privacy_and_student_rights"/>
      <w:r w:rsidRPr="00422412">
        <w:rPr>
          <w:rFonts w:ascii="Times New Roman" w:eastAsia="source serif 4" w:hAnsi="Times New Roman" w:cs="Times New Roman"/>
          <w:b/>
          <w:color w:val="000000"/>
          <w:sz w:val="24"/>
          <w:szCs w:val="24"/>
        </w:rPr>
        <w:t>7.3 Data Privacy and Student Rights</w:t>
      </w:r>
      <w:bookmarkEnd w:id="18"/>
    </w:p>
    <w:p w14:paraId="3DF1EFEF" w14:textId="438028D1"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 xml:space="preserve">The extensive data collection required by AI-enabled educational management systems raises profound questions about student privacy and data rights. AI tools in education collect and process highly sensitive information—academic performance, </w:t>
      </w:r>
      <w:r w:rsidR="005D66BB" w:rsidRPr="00422412">
        <w:rPr>
          <w:rFonts w:ascii="Times New Roman" w:eastAsia="source serif 4" w:hAnsi="Times New Roman" w:cs="Times New Roman"/>
          <w:color w:val="000000"/>
          <w:sz w:val="24"/>
          <w:szCs w:val="24"/>
        </w:rPr>
        <w:t>behavioral</w:t>
      </w:r>
      <w:r w:rsidRPr="00422412">
        <w:rPr>
          <w:rFonts w:ascii="Times New Roman" w:eastAsia="source serif 4" w:hAnsi="Times New Roman" w:cs="Times New Roman"/>
          <w:color w:val="000000"/>
          <w:sz w:val="24"/>
          <w:szCs w:val="24"/>
        </w:rPr>
        <w:t xml:space="preserve"> patterns, demographic characteristics, and in some cases biometric data. One of the biggest ethical issues in K-12 AI adoption relates specifically to the privacy of student data and the need for clear parental consent and regulatory </w:t>
      </w:r>
      <w:r w:rsidR="005D66BB" w:rsidRPr="00422412">
        <w:rPr>
          <w:rFonts w:ascii="Times New Roman" w:eastAsia="source serif 4" w:hAnsi="Times New Roman" w:cs="Times New Roman"/>
          <w:color w:val="000000"/>
          <w:sz w:val="24"/>
          <w:szCs w:val="24"/>
        </w:rPr>
        <w:t>compliance</w:t>
      </w:r>
      <w:r w:rsidR="005D66BB" w:rsidRPr="00422412">
        <w:rPr>
          <w:rFonts w:ascii="Times New Roman" w:hAnsi="Times New Roman" w:cs="Times New Roman"/>
          <w:sz w:val="24"/>
          <w:szCs w:val="24"/>
        </w:rPr>
        <w:t>.</w:t>
      </w:r>
      <w:r w:rsidR="005D66BB" w:rsidRPr="00422412">
        <w:rPr>
          <w:rFonts w:ascii="Times New Roman" w:eastAsia="source serif 4" w:hAnsi="Times New Roman" w:cs="Times New Roman"/>
          <w:color w:val="000000"/>
          <w:sz w:val="24"/>
          <w:szCs w:val="24"/>
        </w:rPr>
        <w:t xml:space="preserve"> Educational</w:t>
      </w:r>
      <w:r w:rsidRPr="00422412">
        <w:rPr>
          <w:rFonts w:ascii="Times New Roman" w:eastAsia="source serif 4" w:hAnsi="Times New Roman" w:cs="Times New Roman"/>
          <w:color w:val="000000"/>
          <w:sz w:val="24"/>
          <w:szCs w:val="24"/>
        </w:rPr>
        <w:t xml:space="preserve"> institutions must ensure that their AI deployments comply with applicable data protection regulations (e.g., GDPR in Europe, FERPA in the United States, and India's Digital Personal Data Protection Act). Clear data governance policies, privacy-by-design principles, and transparent consent mechanisms are essential components of responsible AI implementation.</w:t>
      </w:r>
    </w:p>
    <w:p w14:paraId="59C5A86F" w14:textId="137D7686" w:rsidR="003F7707" w:rsidRPr="00422412" w:rsidRDefault="00467E12" w:rsidP="005D66BB">
      <w:pPr>
        <w:spacing w:before="210" w:after="0" w:line="360" w:lineRule="auto"/>
        <w:rPr>
          <w:rFonts w:ascii="Times New Roman" w:hAnsi="Times New Roman" w:cs="Times New Roman"/>
          <w:sz w:val="24"/>
          <w:szCs w:val="24"/>
        </w:rPr>
      </w:pPr>
      <w:bookmarkStart w:id="19" w:name="bm_8_india_s_policy_context_nep_2_dc1bdd"/>
      <w:r w:rsidRPr="00422412">
        <w:rPr>
          <w:rFonts w:ascii="Times New Roman" w:eastAsia="source serif 4" w:hAnsi="Times New Roman" w:cs="Times New Roman"/>
          <w:b/>
          <w:color w:val="000000"/>
          <w:sz w:val="24"/>
          <w:szCs w:val="24"/>
        </w:rPr>
        <w:t>8. India's Policy Context: NEP 2020 and the Digital Education Agenda</w:t>
      </w:r>
      <w:bookmarkEnd w:id="19"/>
    </w:p>
    <w:p w14:paraId="26FA5120" w14:textId="3FF6B4EB"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India's National Education Policy (NEP) 2020 provides the overarching strategic framework within which AI and digital transformation are being pursued in the world's largest educational system—comprising 1.5 million schools, 900+ higher education institutions, 85 lakh teachers, and approximately 33 crore students. NEP 2020 explicitly advocates for the extensive use of technology to enhance teaching-learning practices, address language barriers, provide personalized learning, support continuous and holistic assessment, develop teachers professionally, and improve educational administration and planning</w:t>
      </w:r>
      <w:r w:rsidR="005D66BB" w:rsidRPr="00422412">
        <w:rPr>
          <w:rFonts w:ascii="Times New Roman" w:eastAsia="source serif 4" w:hAnsi="Times New Roman" w:cs="Times New Roman"/>
          <w:color w:val="000000"/>
          <w:sz w:val="24"/>
          <w:szCs w:val="24"/>
        </w:rPr>
        <w:t>.</w:t>
      </w:r>
      <w:r w:rsidR="004C3257" w:rsidRPr="00422412">
        <w:rPr>
          <w:rFonts w:ascii="Times New Roman" w:hAnsi="Times New Roman" w:cs="Times New Roman"/>
          <w:sz w:val="24"/>
          <w:szCs w:val="24"/>
        </w:rPr>
        <w:t xml:space="preserve"> </w:t>
      </w:r>
    </w:p>
    <w:p w14:paraId="6131EC64" w14:textId="4C1B433D" w:rsidR="003F7707" w:rsidRPr="00422412" w:rsidRDefault="00467E12" w:rsidP="004C3257">
      <w:pPr>
        <w:spacing w:before="210" w:after="0" w:line="360" w:lineRule="auto"/>
        <w:rPr>
          <w:rFonts w:ascii="Times New Roman" w:hAnsi="Times New Roman" w:cs="Times New Roman"/>
          <w:sz w:val="24"/>
          <w:szCs w:val="24"/>
        </w:rPr>
      </w:pPr>
      <w:bookmarkStart w:id="20" w:name="bm_9_a_framework_for_responsible_fbe6b6"/>
      <w:r w:rsidRPr="00422412">
        <w:rPr>
          <w:rFonts w:ascii="Times New Roman" w:eastAsia="source serif 4" w:hAnsi="Times New Roman" w:cs="Times New Roman"/>
          <w:b/>
          <w:color w:val="000000"/>
          <w:sz w:val="24"/>
          <w:szCs w:val="24"/>
        </w:rPr>
        <w:t>9. A Framework for Responsible AI Integration in Educational Management</w:t>
      </w:r>
      <w:bookmarkEnd w:id="20"/>
    </w:p>
    <w:p w14:paraId="5346A1C0" w14:textId="77777777"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Based on the evidence reviewed in this paper, a four-dimensional framework for responsible AI integration in educational management is proposed:</w:t>
      </w:r>
    </w:p>
    <w:p w14:paraId="57B83264" w14:textId="77777777" w:rsidR="003F7707" w:rsidRPr="00422412" w:rsidRDefault="00467E12">
      <w:pPr>
        <w:spacing w:before="315" w:after="105" w:line="360" w:lineRule="auto"/>
        <w:ind w:left="-30"/>
        <w:rPr>
          <w:rFonts w:ascii="Times New Roman" w:hAnsi="Times New Roman" w:cs="Times New Roman"/>
          <w:sz w:val="24"/>
          <w:szCs w:val="24"/>
        </w:rPr>
      </w:pPr>
      <w:bookmarkStart w:id="21" w:name="bm_9_1_pedagogical_alignment"/>
      <w:r w:rsidRPr="00422412">
        <w:rPr>
          <w:rFonts w:ascii="Times New Roman" w:eastAsia="source serif 4" w:hAnsi="Times New Roman" w:cs="Times New Roman"/>
          <w:b/>
          <w:color w:val="000000"/>
          <w:sz w:val="24"/>
          <w:szCs w:val="24"/>
        </w:rPr>
        <w:t>9.1 Pedagogical Alignment</w:t>
      </w:r>
      <w:bookmarkEnd w:id="21"/>
    </w:p>
    <w:p w14:paraId="41C0AA52" w14:textId="08EA6BBF" w:rsidR="0033651D" w:rsidRPr="00422412" w:rsidRDefault="00467E12">
      <w:pPr>
        <w:spacing w:after="210" w:line="360" w:lineRule="auto"/>
        <w:rPr>
          <w:rFonts w:ascii="Times New Roman" w:eastAsia="source serif 4" w:hAnsi="Times New Roman" w:cs="Times New Roman"/>
          <w:color w:val="000000"/>
          <w:sz w:val="24"/>
          <w:szCs w:val="24"/>
        </w:rPr>
      </w:pPr>
      <w:r w:rsidRPr="00422412">
        <w:rPr>
          <w:rFonts w:ascii="Times New Roman" w:eastAsia="source serif 4" w:hAnsi="Times New Roman" w:cs="Times New Roman"/>
          <w:color w:val="000000"/>
          <w:sz w:val="24"/>
          <w:szCs w:val="24"/>
        </w:rPr>
        <w:lastRenderedPageBreak/>
        <w:t>AI tools must be selected and deployed in alignment with pedagogical goals, not the reverse. The risk of "technology-first" approaches—where institutions adopt AI because it is available rather than because it addresses a defined educational challenge—is well-documented. Educational managers must define learning outcomes, identify gaps, and then evaluate whether AI solutions address those gaps effectively and equitably.</w:t>
      </w:r>
    </w:p>
    <w:p w14:paraId="4431D89E" w14:textId="77777777" w:rsidR="003F7707" w:rsidRPr="00422412" w:rsidRDefault="00467E12">
      <w:pPr>
        <w:spacing w:before="315" w:after="105" w:line="360" w:lineRule="auto"/>
        <w:ind w:left="-30"/>
        <w:rPr>
          <w:rFonts w:ascii="Times New Roman" w:hAnsi="Times New Roman" w:cs="Times New Roman"/>
          <w:sz w:val="24"/>
          <w:szCs w:val="24"/>
        </w:rPr>
      </w:pPr>
      <w:bookmarkStart w:id="22" w:name="bm_9_2_inclusive_design_and_equity"/>
      <w:r w:rsidRPr="00422412">
        <w:rPr>
          <w:rFonts w:ascii="Times New Roman" w:eastAsia="source serif 4" w:hAnsi="Times New Roman" w:cs="Times New Roman"/>
          <w:b/>
          <w:color w:val="000000"/>
          <w:sz w:val="24"/>
          <w:szCs w:val="24"/>
        </w:rPr>
        <w:t>9.2 Inclusive Design and Equity</w:t>
      </w:r>
      <w:bookmarkEnd w:id="22"/>
    </w:p>
    <w:p w14:paraId="474FED8E" w14:textId="47EE4DEC"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AI systems must be designed and audited for equity. This requires diverse training datasets, regular algorithmic audits, mechanisms for human override, and inclusive co-design processes that include students, parents, and educators from marginalized communities. UNESCO's Women4Ethical AI platform and the Global AI Ethics and Governance Observatory provide institutional models for embedding equity into AI governance.</w:t>
      </w:r>
    </w:p>
    <w:p w14:paraId="6059375A" w14:textId="77777777" w:rsidR="003F7707" w:rsidRPr="00422412" w:rsidRDefault="00467E12">
      <w:pPr>
        <w:spacing w:before="315" w:after="105" w:line="360" w:lineRule="auto"/>
        <w:ind w:left="-30"/>
        <w:rPr>
          <w:rFonts w:ascii="Times New Roman" w:hAnsi="Times New Roman" w:cs="Times New Roman"/>
          <w:sz w:val="24"/>
          <w:szCs w:val="24"/>
        </w:rPr>
      </w:pPr>
      <w:bookmarkStart w:id="23" w:name="bm_9_3_capacity_building"/>
      <w:r w:rsidRPr="00422412">
        <w:rPr>
          <w:rFonts w:ascii="Times New Roman" w:eastAsia="source serif 4" w:hAnsi="Times New Roman" w:cs="Times New Roman"/>
          <w:b/>
          <w:color w:val="000000"/>
          <w:sz w:val="24"/>
          <w:szCs w:val="24"/>
        </w:rPr>
        <w:t>9.3 Capacity Building</w:t>
      </w:r>
      <w:bookmarkEnd w:id="23"/>
    </w:p>
    <w:p w14:paraId="221C8C5B" w14:textId="77777777" w:rsidR="003B1407" w:rsidRPr="00422412" w:rsidRDefault="00467E12" w:rsidP="003B1407">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No AI deployment can succeed without commensurate investment in human capacity. Faculty development, digital literacy training for students and parents, and change management for administrative staff are prerequisites, not afterthoughts. Harvard Business School's model—launching an internal faculty development initiative offering workshops and AI certifications covering AI ethics, NLP, and predictive analytics—offers a scalable template.</w:t>
      </w:r>
      <w:bookmarkStart w:id="24" w:name="bm_9_4_governance_and_ethics"/>
    </w:p>
    <w:p w14:paraId="6197409F" w14:textId="644E0C55" w:rsidR="003F7707" w:rsidRPr="00422412" w:rsidRDefault="00467E12" w:rsidP="00D3714D">
      <w:pPr>
        <w:spacing w:before="210" w:after="0" w:line="360" w:lineRule="auto"/>
        <w:rPr>
          <w:rFonts w:ascii="Times New Roman" w:hAnsi="Times New Roman" w:cs="Times New Roman"/>
          <w:sz w:val="24"/>
          <w:szCs w:val="24"/>
        </w:rPr>
      </w:pPr>
      <w:bookmarkStart w:id="25" w:name="bm_10_conclusion"/>
      <w:bookmarkEnd w:id="24"/>
      <w:r w:rsidRPr="00422412">
        <w:rPr>
          <w:rFonts w:ascii="Times New Roman" w:eastAsia="source serif 4" w:hAnsi="Times New Roman" w:cs="Times New Roman"/>
          <w:b/>
          <w:color w:val="000000"/>
          <w:sz w:val="24"/>
          <w:szCs w:val="24"/>
        </w:rPr>
        <w:t>10. Conclusion</w:t>
      </w:r>
      <w:bookmarkEnd w:id="25"/>
    </w:p>
    <w:p w14:paraId="58022E51" w14:textId="6B6EEE32" w:rsidR="003F7707" w:rsidRPr="00422412" w:rsidRDefault="00467E12">
      <w:pPr>
        <w:spacing w:after="210" w:line="360" w:lineRule="auto"/>
        <w:rPr>
          <w:rFonts w:ascii="Times New Roman" w:hAnsi="Times New Roman" w:cs="Times New Roman"/>
          <w:sz w:val="24"/>
          <w:szCs w:val="24"/>
        </w:rPr>
      </w:pPr>
      <w:r w:rsidRPr="00422412">
        <w:rPr>
          <w:rFonts w:ascii="Times New Roman" w:eastAsia="source serif 4" w:hAnsi="Times New Roman" w:cs="Times New Roman"/>
          <w:color w:val="000000"/>
          <w:sz w:val="24"/>
          <w:szCs w:val="24"/>
        </w:rPr>
        <w:t>Artificial Intelligence and digital transformation are not peripheral developments in the evolution of educational management—they are foundational to how the educational institutions of the 21st century will operate, govern themselves, and serve their communities.</w:t>
      </w:r>
      <w:r w:rsidR="003B1407" w:rsidRPr="00422412">
        <w:rPr>
          <w:rFonts w:ascii="Times New Roman" w:eastAsia="source serif 4" w:hAnsi="Times New Roman" w:cs="Times New Roman"/>
          <w:color w:val="000000"/>
          <w:sz w:val="24"/>
          <w:szCs w:val="24"/>
        </w:rPr>
        <w:t>. Ultimately</w:t>
      </w:r>
      <w:r w:rsidRPr="00422412">
        <w:rPr>
          <w:rFonts w:ascii="Times New Roman" w:eastAsia="source serif 4" w:hAnsi="Times New Roman" w:cs="Times New Roman"/>
          <w:color w:val="000000"/>
          <w:sz w:val="24"/>
          <w:szCs w:val="24"/>
        </w:rPr>
        <w:t>, the measure of success for AI and digital transformation in educational management will not be the sophistication of the technology deployed, but the quality, equity, and inclusivity of the learning experiences they enable. As UNESCO reminds us, the goal must be "AI for all"—ensuring that every student can take advantage of the technological revolution underway and access its fruits in terms of innovation, knowledge, and opportunity.</w:t>
      </w:r>
    </w:p>
    <w:p w14:paraId="66B7AFD1" w14:textId="77777777" w:rsidR="003F7707" w:rsidRPr="00422412" w:rsidRDefault="00283268">
      <w:pPr>
        <w:spacing w:before="210" w:after="0" w:line="360" w:lineRule="auto"/>
        <w:rPr>
          <w:rFonts w:ascii="Times New Roman" w:hAnsi="Times New Roman" w:cs="Times New Roman"/>
          <w:sz w:val="24"/>
          <w:szCs w:val="24"/>
        </w:rPr>
      </w:pPr>
      <w:r w:rsidRPr="00422412">
        <w:rPr>
          <w:rFonts w:ascii="Times New Roman" w:hAnsi="Times New Roman" w:cs="Times New Roman"/>
          <w:noProof/>
          <w:sz w:val="24"/>
          <w:szCs w:val="24"/>
        </w:rPr>
      </w:r>
      <w:r w:rsidRPr="00422412">
        <w:rPr>
          <w:rFonts w:ascii="Times New Roman" w:hAnsi="Times New Roman" w:cs="Times New Roman"/>
          <w:noProof/>
          <w:sz w:val="24"/>
          <w:szCs w:val="24"/>
        </w:rPr>
        <w:pict w14:anchorId="4CC241BB">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F07523E" w14:textId="6445233E" w:rsidR="003F7707" w:rsidRPr="00422412" w:rsidRDefault="003F7707" w:rsidP="0033651D">
      <w:pPr>
        <w:spacing w:before="210" w:after="0" w:line="360" w:lineRule="auto"/>
        <w:rPr>
          <w:rFonts w:ascii="Times New Roman" w:hAnsi="Times New Roman" w:cs="Times New Roman"/>
          <w:sz w:val="24"/>
          <w:szCs w:val="24"/>
        </w:rPr>
      </w:pPr>
    </w:p>
    <w:sectPr w:rsidR="003F7707" w:rsidRPr="00422412">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8B7A" w14:textId="77777777" w:rsidR="00283268" w:rsidRDefault="00283268" w:rsidP="005D66BB">
      <w:pPr>
        <w:spacing w:after="0" w:line="240" w:lineRule="auto"/>
      </w:pPr>
      <w:r>
        <w:separator/>
      </w:r>
    </w:p>
  </w:endnote>
  <w:endnote w:type="continuationSeparator" w:id="0">
    <w:p w14:paraId="0E738E5B" w14:textId="77777777" w:rsidR="00283268" w:rsidRDefault="00283268" w:rsidP="005D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erif 4">
    <w:altName w:val="Cambria"/>
    <w:panose1 w:val="00000000000000000000"/>
    <w:charset w:val="00"/>
    <w:family w:val="roman"/>
    <w:notTrueType/>
    <w:pitch w:val="default"/>
  </w:font>
  <w:font w:name="source sans 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1AD1" w14:textId="77777777" w:rsidR="00283268" w:rsidRDefault="00283268" w:rsidP="005D66BB">
      <w:pPr>
        <w:spacing w:after="0" w:line="240" w:lineRule="auto"/>
      </w:pPr>
      <w:r>
        <w:separator/>
      </w:r>
    </w:p>
  </w:footnote>
  <w:footnote w:type="continuationSeparator" w:id="0">
    <w:p w14:paraId="3C590B27" w14:textId="77777777" w:rsidR="00283268" w:rsidRDefault="00283268" w:rsidP="005D6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873BA"/>
    <w:multiLevelType w:val="hybridMultilevel"/>
    <w:tmpl w:val="065412A0"/>
    <w:lvl w:ilvl="0" w:tplc="D2F6AFC4">
      <w:start w:val="1"/>
      <w:numFmt w:val="decimal"/>
      <w:lvlText w:val="%1."/>
      <w:lvlJc w:val="left"/>
      <w:pPr>
        <w:tabs>
          <w:tab w:val="num" w:pos="900"/>
        </w:tabs>
        <w:ind w:left="540" w:hanging="360"/>
      </w:pPr>
    </w:lvl>
    <w:lvl w:ilvl="1" w:tplc="731C93D6">
      <w:numFmt w:val="decimal"/>
      <w:lvlText w:val=""/>
      <w:lvlJc w:val="left"/>
    </w:lvl>
    <w:lvl w:ilvl="2" w:tplc="F75E8194">
      <w:numFmt w:val="decimal"/>
      <w:lvlText w:val=""/>
      <w:lvlJc w:val="left"/>
    </w:lvl>
    <w:lvl w:ilvl="3" w:tplc="9CA62540">
      <w:numFmt w:val="decimal"/>
      <w:lvlText w:val=""/>
      <w:lvlJc w:val="left"/>
    </w:lvl>
    <w:lvl w:ilvl="4" w:tplc="831C4430">
      <w:numFmt w:val="decimal"/>
      <w:lvlText w:val=""/>
      <w:lvlJc w:val="left"/>
    </w:lvl>
    <w:lvl w:ilvl="5" w:tplc="5B0A15A4">
      <w:numFmt w:val="decimal"/>
      <w:lvlText w:val=""/>
      <w:lvlJc w:val="left"/>
    </w:lvl>
    <w:lvl w:ilvl="6" w:tplc="AFF021E6">
      <w:numFmt w:val="decimal"/>
      <w:lvlText w:val=""/>
      <w:lvlJc w:val="left"/>
    </w:lvl>
    <w:lvl w:ilvl="7" w:tplc="BB6CA2FA">
      <w:numFmt w:val="decimal"/>
      <w:lvlText w:val=""/>
      <w:lvlJc w:val="left"/>
    </w:lvl>
    <w:lvl w:ilvl="8" w:tplc="EF147D6C">
      <w:numFmt w:val="decimal"/>
      <w:lvlText w:val=""/>
      <w:lvlJc w:val="left"/>
    </w:lvl>
  </w:abstractNum>
  <w:num w:numId="1" w16cid:durableId="208201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07"/>
    <w:rsid w:val="000B03FC"/>
    <w:rsid w:val="00174DAF"/>
    <w:rsid w:val="00187695"/>
    <w:rsid w:val="0018785E"/>
    <w:rsid w:val="001C4A75"/>
    <w:rsid w:val="001E66D3"/>
    <w:rsid w:val="002335DD"/>
    <w:rsid w:val="00257E4D"/>
    <w:rsid w:val="00283268"/>
    <w:rsid w:val="0033651D"/>
    <w:rsid w:val="00344E52"/>
    <w:rsid w:val="00381F32"/>
    <w:rsid w:val="003B1407"/>
    <w:rsid w:val="003E037C"/>
    <w:rsid w:val="003F7707"/>
    <w:rsid w:val="00422412"/>
    <w:rsid w:val="004520BA"/>
    <w:rsid w:val="00467E12"/>
    <w:rsid w:val="004C3257"/>
    <w:rsid w:val="004C6809"/>
    <w:rsid w:val="00540CE5"/>
    <w:rsid w:val="00580087"/>
    <w:rsid w:val="00591215"/>
    <w:rsid w:val="005D66BB"/>
    <w:rsid w:val="007F23E1"/>
    <w:rsid w:val="00872478"/>
    <w:rsid w:val="008D4FB5"/>
    <w:rsid w:val="008E7DC6"/>
    <w:rsid w:val="008F4EA9"/>
    <w:rsid w:val="0098782E"/>
    <w:rsid w:val="00991D57"/>
    <w:rsid w:val="009C022D"/>
    <w:rsid w:val="009E3212"/>
    <w:rsid w:val="00A36741"/>
    <w:rsid w:val="00AC11D3"/>
    <w:rsid w:val="00AC1B5C"/>
    <w:rsid w:val="00B73B8A"/>
    <w:rsid w:val="00B96A26"/>
    <w:rsid w:val="00B97873"/>
    <w:rsid w:val="00BA5128"/>
    <w:rsid w:val="00BD6BF3"/>
    <w:rsid w:val="00BE5DD5"/>
    <w:rsid w:val="00D04152"/>
    <w:rsid w:val="00D3714D"/>
    <w:rsid w:val="00D72328"/>
    <w:rsid w:val="00DE31E0"/>
    <w:rsid w:val="00E507C4"/>
    <w:rsid w:val="00E5489A"/>
    <w:rsid w:val="00E81AFC"/>
    <w:rsid w:val="00ED6E5F"/>
    <w:rsid w:val="00F53FD1"/>
    <w:rsid w:val="00F754F6"/>
    <w:rsid w:val="00FC2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1279ACA"/>
  <w15:docId w15:val="{D0BFD4D3-FF4D-45C0-9EC6-4464624E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187695"/>
    <w:rPr>
      <w:color w:val="0563C1" w:themeColor="hyperlink"/>
      <w:u w:val="single"/>
    </w:rPr>
  </w:style>
  <w:style w:type="character" w:styleId="UnresolvedMention">
    <w:name w:val="Unresolved Mention"/>
    <w:basedOn w:val="DefaultParagraphFont"/>
    <w:uiPriority w:val="99"/>
    <w:semiHidden/>
    <w:unhideWhenUsed/>
    <w:rsid w:val="00187695"/>
    <w:rPr>
      <w:color w:val="605E5C"/>
      <w:shd w:val="clear" w:color="auto" w:fill="E1DFDD"/>
    </w:rPr>
  </w:style>
  <w:style w:type="paragraph" w:styleId="Header">
    <w:name w:val="header"/>
    <w:basedOn w:val="Normal"/>
    <w:link w:val="HeaderChar"/>
    <w:uiPriority w:val="99"/>
    <w:unhideWhenUsed/>
    <w:rsid w:val="005D6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6BB"/>
  </w:style>
  <w:style w:type="paragraph" w:styleId="Footer">
    <w:name w:val="footer"/>
    <w:basedOn w:val="Normal"/>
    <w:link w:val="FooterChar"/>
    <w:uiPriority w:val="99"/>
    <w:unhideWhenUsed/>
    <w:rsid w:val="005D6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itikhare9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F89A-5FF8-45AD-8A55-85CDC3A2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3494</Words>
  <Characters>19919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Aditi Khare</cp:lastModifiedBy>
  <cp:revision>39</cp:revision>
  <dcterms:created xsi:type="dcterms:W3CDTF">2026-06-10T04:12:00Z</dcterms:created>
  <dcterms:modified xsi:type="dcterms:W3CDTF">2026-06-22T05:25:00Z</dcterms:modified>
</cp:coreProperties>
</file>