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A0" w:rsidRPr="00E45065" w:rsidRDefault="002A6B36">
      <w:pPr>
        <w:pStyle w:val="Title"/>
        <w:jc w:val="both"/>
        <w:rPr>
          <w:rFonts w:ascii="Times New Roman" w:hAnsi="Times New Roman" w:cs="Times New Roman"/>
          <w:sz w:val="24"/>
          <w:szCs w:val="24"/>
        </w:rPr>
      </w:pPr>
      <w:r w:rsidRPr="00E45065">
        <w:rPr>
          <w:rFonts w:ascii="Times New Roman" w:hAnsi="Times New Roman" w:cs="Times New Roman"/>
          <w:sz w:val="24"/>
          <w:szCs w:val="24"/>
        </w:rPr>
        <w:t>The Effectiveness of Khan Academy in Enhancing Higher-Order Thinking Skills (HOTs) of Grade 10 Students</w:t>
      </w:r>
    </w:p>
    <w:p w:rsidR="000E68A0" w:rsidRPr="00E45065" w:rsidRDefault="002A6B36">
      <w:pPr>
        <w:jc w:val="both"/>
        <w:rPr>
          <w:rFonts w:ascii="Times New Roman" w:hAnsi="Times New Roman" w:cs="Times New Roman"/>
          <w:sz w:val="24"/>
          <w:szCs w:val="24"/>
        </w:rPr>
      </w:pPr>
      <w:r w:rsidRPr="00E45065">
        <w:rPr>
          <w:rFonts w:ascii="Times New Roman" w:hAnsi="Times New Roman" w:cs="Times New Roman"/>
          <w:sz w:val="24"/>
          <w:szCs w:val="24"/>
        </w:rPr>
        <w:t/>
      </w:r>
    </w:p>
    <w:p w:rsidR="000E68A0" w:rsidRPr="00E45065" w:rsidRDefault="002A6B36">
      <w:pPr>
        <w:jc w:val="both"/>
        <w:rPr>
          <w:rFonts w:ascii="Times New Roman" w:hAnsi="Times New Roman" w:cs="Times New Roman"/>
          <w:sz w:val="24"/>
          <w:szCs w:val="24"/>
        </w:rPr>
      </w:pPr>
      <w:r w:rsidRPr="00E45065">
        <w:rPr>
          <w:rFonts w:ascii="Times New Roman" w:hAnsi="Times New Roman" w:cs="Times New Roman"/>
          <w:sz w:val="24"/>
          <w:szCs w:val="24"/>
        </w:rPr>
        <w:t/>
      </w:r>
    </w:p>
    <w:p w:rsidR="000E68A0" w:rsidRPr="00E45065" w:rsidRDefault="002A6B36">
      <w:pPr>
        <w:jc w:val="both"/>
        <w:rPr>
          <w:rFonts w:ascii="Times New Roman" w:hAnsi="Times New Roman" w:cs="Times New Roman"/>
          <w:sz w:val="24"/>
          <w:szCs w:val="24"/>
        </w:rPr>
      </w:pPr>
      <w:r w:rsidRPr="00E45065">
        <w:rPr>
          <w:rFonts w:ascii="Times New Roman" w:hAnsi="Times New Roman" w:cs="Times New Roman"/>
          <w:sz w:val="24"/>
          <w:szCs w:val="24"/>
        </w:rPr>
        <w:t/>
      </w:r>
      <w:r w:rsidR="00916AE4" w:rsidRPr="00E45065">
        <w:rPr>
          <w:rFonts w:ascii="Times New Roman" w:hAnsi="Times New Roman" w:cs="Times New Roman"/>
          <w:sz w:val="24"/>
          <w:szCs w:val="24"/>
        </w:rPr>
        <w:t xml:space="preserve"/>
      </w:r>
      <w:hyperlink r:id="rId8" w:history="1">
        <w:r w:rsidR="00916AE4" w:rsidRPr="00E45065">
          <w:rPr>
            <w:rStyle w:val="Hyperlink"/>
            <w:rFonts w:ascii="Times New Roman" w:hAnsi="Times New Roman" w:cs="Times New Roman"/>
            <w:sz w:val="24"/>
            <w:szCs w:val="24"/>
          </w:rPr>
          <w:t/>
        </w:r>
      </w:hyperlink>
    </w:p>
    <w:p w:rsidR="00916AE4" w:rsidRPr="00E45065" w:rsidRDefault="00916AE4">
      <w:pPr>
        <w:jc w:val="both"/>
        <w:rPr>
          <w:rFonts w:ascii="Times New Roman" w:hAnsi="Times New Roman" w:cs="Times New Roman"/>
          <w:sz w:val="24"/>
          <w:szCs w:val="24"/>
        </w:rPr>
      </w:pPr>
      <w:r w:rsidRPr="00E45065">
        <w:rPr>
          <w:rFonts w:ascii="Times New Roman" w:hAnsi="Times New Roman" w:cs="Times New Roman"/>
          <w:sz w:val="24"/>
          <w:szCs w:val="24"/>
        </w:rPr>
        <w:tab/>
      </w:r>
      <w:r w:rsidRPr="00E45065">
        <w:rPr>
          <w:rFonts w:ascii="Times New Roman" w:hAnsi="Times New Roman" w:cs="Times New Roman"/>
          <w:sz w:val="24"/>
          <w:szCs w:val="24"/>
        </w:rPr>
        <w:tab/>
      </w:r>
      <w:r w:rsidRPr="00E45065">
        <w:rPr>
          <w:rFonts w:ascii="Times New Roman" w:hAnsi="Times New Roman" w:cs="Times New Roman"/>
          <w:sz w:val="24"/>
          <w:szCs w:val="24"/>
        </w:rPr>
        <w:tab/>
        <w:t xml:space="preserve"/>
      </w:r>
      <w:r w:rsidR="00FD7A61" w:rsidRPr="00E45065">
        <w:rPr>
          <w:rFonts w:ascii="Times New Roman" w:hAnsi="Times New Roman" w:cs="Times New Roman"/>
          <w:sz w:val="24"/>
          <w:szCs w:val="24"/>
        </w:rPr>
        <w:t xml:space="preserve"/>
      </w:r>
      <w:r w:rsidRPr="00E45065">
        <w:rPr>
          <w:rFonts w:ascii="Times New Roman" w:hAnsi="Times New Roman" w:cs="Times New Roman"/>
          <w:sz w:val="24"/>
          <w:szCs w:val="24"/>
        </w:rPr>
        <w:t xml:space="preserve"/>
      </w:r>
      <w:hyperlink r:id="rId9" w:history="1">
        <w:r w:rsidRPr="00E45065">
          <w:rPr>
            <w:rStyle w:val="Hyperlink"/>
            <w:rFonts w:ascii="Times New Roman" w:hAnsi="Times New Roman" w:cs="Times New Roman"/>
            <w:sz w:val="24"/>
            <w:szCs w:val="24"/>
          </w:rPr>
          <w:t/>
        </w:r>
      </w:hyperlink>
    </w:p>
    <w:p w:rsidR="00916AE4" w:rsidRPr="00E45065" w:rsidRDefault="00916AE4">
      <w:pPr>
        <w:jc w:val="both"/>
        <w:rPr>
          <w:rFonts w:ascii="Times New Roman" w:hAnsi="Times New Roman" w:cs="Times New Roman"/>
          <w:sz w:val="24"/>
          <w:szCs w:val="24"/>
        </w:rPr>
      </w:pPr>
    </w:p>
    <w:p w:rsidR="000E68A0" w:rsidRPr="00E45065" w:rsidRDefault="002A6B36">
      <w:pPr>
        <w:jc w:val="both"/>
        <w:rPr>
          <w:rFonts w:ascii="Times New Roman" w:hAnsi="Times New Roman" w:cs="Times New Roman"/>
          <w:sz w:val="24"/>
          <w:szCs w:val="24"/>
        </w:rPr>
      </w:pPr>
      <w:r w:rsidRPr="00E45065">
        <w:rPr>
          <w:rFonts w:ascii="Times New Roman" w:hAnsi="Times New Roman" w:cs="Times New Roman"/>
          <w:sz w:val="24"/>
          <w:szCs w:val="24"/>
        </w:rPr>
        <w:br w:type="page"/>
      </w:r>
    </w:p>
    <w:p w:rsidR="000E68A0" w:rsidRPr="00E45065" w:rsidRDefault="002A6B36">
      <w:pPr>
        <w:pStyle w:val="Heading1"/>
        <w:jc w:val="both"/>
        <w:rPr>
          <w:rFonts w:ascii="Times New Roman" w:hAnsi="Times New Roman" w:cs="Times New Roman"/>
          <w:color w:val="auto"/>
          <w:sz w:val="24"/>
          <w:szCs w:val="24"/>
        </w:rPr>
      </w:pPr>
      <w:r w:rsidRPr="00E45065">
        <w:rPr>
          <w:rFonts w:ascii="Times New Roman" w:hAnsi="Times New Roman" w:cs="Times New Roman"/>
          <w:color w:val="auto"/>
          <w:sz w:val="24"/>
          <w:szCs w:val="24"/>
        </w:rPr>
        <w:lastRenderedPageBreak/>
        <w:t>Abstract</w:t>
      </w:r>
    </w:p>
    <w:p w:rsidR="00916AE4" w:rsidRPr="00E45065" w:rsidRDefault="00916AE4" w:rsidP="00916AE4">
      <w:pPr>
        <w:rPr>
          <w:rFonts w:ascii="Times New Roman" w:hAnsi="Times New Roman" w:cs="Times New Roman"/>
          <w:sz w:val="24"/>
          <w:szCs w:val="24"/>
        </w:rPr>
      </w:pPr>
    </w:p>
    <w:p w:rsidR="000E68A0" w:rsidRPr="00E45065" w:rsidRDefault="002A6B36" w:rsidP="00916AE4">
      <w:pPr>
        <w:spacing w:line="480" w:lineRule="auto"/>
        <w:ind w:firstLine="720"/>
        <w:jc w:val="both"/>
        <w:rPr>
          <w:rFonts w:ascii="Times New Roman" w:hAnsi="Times New Roman" w:cs="Times New Roman"/>
          <w:sz w:val="24"/>
          <w:szCs w:val="24"/>
        </w:rPr>
      </w:pPr>
      <w:r w:rsidRPr="00E45065">
        <w:rPr>
          <w:rFonts w:ascii="Times New Roman" w:hAnsi="Times New Roman" w:cs="Times New Roman"/>
          <w:sz w:val="24"/>
          <w:szCs w:val="24"/>
        </w:rPr>
        <w:t>This study investigates the effectiveness of Khan Academy in enhancing the higher-order thinking skills (HOTs) of Grade 10 students of DSPMNHS from 12 sections that are randomly selected as control group and experimental group. With the growing emphasis on 21st-century competencies, educators are exploring digital tools that promote critical, analytical, and problem-solving abilities. This research utilized a quasi-experimental design involving two groups of Grade 10 students: one using Khan Academy for Science instruction and the other receiving traditional instruction. Pre- and post-tests were administered to assess HOTs. The findings reveal a statistically significant improvement in the HOTs of students exposed to Khan Academy. The study concludes that Khan Academy is an effective digital platform for enhancing HOTs in secondary education and recommends its integration into teaching strategies.</w:t>
      </w:r>
    </w:p>
    <w:p w:rsidR="000E68A0" w:rsidRPr="00E45065" w:rsidRDefault="002A6B36" w:rsidP="00916AE4">
      <w:pPr>
        <w:spacing w:line="480" w:lineRule="auto"/>
        <w:jc w:val="both"/>
        <w:rPr>
          <w:rFonts w:ascii="Times New Roman" w:hAnsi="Times New Roman" w:cs="Times New Roman"/>
          <w:b/>
          <w:i/>
          <w:sz w:val="24"/>
          <w:szCs w:val="24"/>
        </w:rPr>
      </w:pPr>
      <w:r w:rsidRPr="00E45065">
        <w:rPr>
          <w:rFonts w:ascii="Times New Roman" w:hAnsi="Times New Roman" w:cs="Times New Roman"/>
          <w:b/>
          <w:i/>
          <w:sz w:val="24"/>
          <w:szCs w:val="24"/>
        </w:rPr>
        <w:t>Keywords: Khan Academy, Higher-Order Thinking Skills, Digital Learning, Grade 10, Quasi-Experimental Design</w:t>
      </w:r>
    </w:p>
    <w:p w:rsidR="000E68A0" w:rsidRPr="00E45065" w:rsidRDefault="002A6B36">
      <w:pPr>
        <w:jc w:val="both"/>
        <w:rPr>
          <w:rFonts w:ascii="Times New Roman" w:hAnsi="Times New Roman" w:cs="Times New Roman"/>
          <w:sz w:val="24"/>
          <w:szCs w:val="24"/>
        </w:rPr>
      </w:pPr>
      <w:r w:rsidRPr="00E45065">
        <w:rPr>
          <w:rFonts w:ascii="Times New Roman" w:hAnsi="Times New Roman" w:cs="Times New Roman"/>
          <w:sz w:val="24"/>
          <w:szCs w:val="24"/>
        </w:rPr>
        <w:br w:type="page"/>
      </w:r>
    </w:p>
    <w:p w:rsidR="000E68A0" w:rsidRPr="00E45065" w:rsidRDefault="002A6B36">
      <w:pPr>
        <w:pStyle w:val="Heading1"/>
        <w:jc w:val="both"/>
        <w:rPr>
          <w:rFonts w:ascii="Times New Roman" w:hAnsi="Times New Roman" w:cs="Times New Roman"/>
          <w:color w:val="auto"/>
          <w:sz w:val="24"/>
          <w:szCs w:val="24"/>
        </w:rPr>
      </w:pPr>
      <w:r w:rsidRPr="00E45065">
        <w:rPr>
          <w:rFonts w:ascii="Times New Roman" w:hAnsi="Times New Roman" w:cs="Times New Roman"/>
          <w:color w:val="auto"/>
          <w:sz w:val="24"/>
          <w:szCs w:val="24"/>
        </w:rPr>
        <w:t>Introduction</w:t>
      </w:r>
    </w:p>
    <w:p w:rsidR="00C7765E" w:rsidRPr="00E45065" w:rsidRDefault="00C7765E" w:rsidP="00C7765E">
      <w:pPr>
        <w:rPr>
          <w:rFonts w:ascii="Times New Roman" w:hAnsi="Times New Roman" w:cs="Times New Roman"/>
          <w:sz w:val="24"/>
          <w:szCs w:val="24"/>
        </w:rPr>
      </w:pPr>
    </w:p>
    <w:p w:rsidR="005E4931" w:rsidRPr="00E45065" w:rsidRDefault="005E4931" w:rsidP="005E4931">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color w:val="000000"/>
          <w:sz w:val="24"/>
          <w:szCs w:val="24"/>
        </w:rPr>
        <w:t xml:space="preserve">In the digital age, integrating technology into education has become essential. As schools aim to develop students’ higher-order thinking skills—critical, analytical, and creative thinking—understanding the impact of such platforms is important. The integration of technology modifies </w:t>
      </w:r>
      <w:r w:rsidRPr="00E45065">
        <w:rPr>
          <w:rFonts w:ascii="Times New Roman" w:eastAsia="Times New Roman" w:hAnsi="Times New Roman" w:cs="Times New Roman"/>
          <w:sz w:val="24"/>
          <w:szCs w:val="24"/>
        </w:rPr>
        <w:t xml:space="preserve">collaborative, adaptive learning and applies the teacher's role as a facilitator (Fiqry, 2021). It also facilitates the learning process as a supporting medium and a means of obtaining an overview to improve the quality of education (Makiyah et al., 2019) and support the improvement of 21st century skills (Dash, 2019). </w:t>
      </w:r>
    </w:p>
    <w:p w:rsidR="005E4931" w:rsidRPr="00E45065" w:rsidRDefault="005E4931" w:rsidP="005E4931">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E45065">
        <w:rPr>
          <w:rFonts w:ascii="Times New Roman" w:eastAsia="Times New Roman" w:hAnsi="Times New Roman" w:cs="Times New Roman"/>
          <w:sz w:val="24"/>
          <w:szCs w:val="24"/>
        </w:rPr>
        <w:t xml:space="preserve">The application of digital technology in education assists the teacher and students in understanding materials that are abstract and requires reasoning. There are various online learning programs that can be used to support online learning such as Moodle, Edmodo, Blackboard. SEVIMA, EdLink, Schoology and Google Classroom (Widiyatmoko, 2021). Moreover, </w:t>
      </w:r>
      <w:r w:rsidRPr="00E45065">
        <w:rPr>
          <w:rFonts w:ascii="Times New Roman" w:eastAsia="Times New Roman" w:hAnsi="Times New Roman" w:cs="Times New Roman"/>
          <w:color w:val="000000"/>
          <w:sz w:val="24"/>
          <w:szCs w:val="24"/>
        </w:rPr>
        <w:t>(Hague, C. 2024) explores how online and blended learning support creativity and critical thinking in higher education, finding that while in-person learning often yields better results, blended and flipped approaches show promise, with effectiveness linked to interactive methods, quality feedback, and well-structured tasks—though further research and policy support are needed to enhance equity and impact.</w:t>
      </w:r>
    </w:p>
    <w:p w:rsidR="005E4931" w:rsidRPr="00E45065" w:rsidRDefault="005E4931" w:rsidP="005E4931">
      <w:pPr>
        <w:spacing w:line="480" w:lineRule="auto"/>
        <w:ind w:firstLine="720"/>
        <w:jc w:val="both"/>
        <w:rPr>
          <w:rFonts w:ascii="Times New Roman" w:eastAsia="Times New Roman" w:hAnsi="Times New Roman" w:cs="Times New Roman"/>
          <w:sz w:val="24"/>
          <w:szCs w:val="24"/>
          <w:highlight w:val="white"/>
        </w:rPr>
      </w:pPr>
      <w:r w:rsidRPr="00E45065">
        <w:rPr>
          <w:rFonts w:ascii="Times New Roman" w:eastAsia="Times New Roman" w:hAnsi="Times New Roman" w:cs="Times New Roman"/>
          <w:sz w:val="24"/>
          <w:szCs w:val="24"/>
          <w:highlight w:val="white"/>
        </w:rPr>
        <w:t xml:space="preserve">One of the online platforms that can be used to support online learning in English, science and mathematics is Khan Academy. This platform was launched in 2006 by a non-profit company which is now the most popular education site in the world (Hernawati, 2012). It is a free online learning platform, offers self-paced instructional videos and exercises, particularly in English, Mathematics and Science. These features allow users to determine preferred material for students and automatically sends electronic alerts about new assignments and provides a dashboard that allows teachers to monitor student progress (Murphy et al., 2015). The learning experience derived using Khan Academy is described to aid the creation of effective and efficient, fun-learning for the students. This learning process is able to build students’ critical and creative thinking and increase their independence and motivation to learn (Monteiro et al., 2015). Khan Academy provides 5,500 learning videos, more than 10,000 practice questions that can support features which include materials to guide teachers, tutors, parents to meet student learning goals. </w:t>
      </w:r>
    </w:p>
    <w:p w:rsidR="005E4931" w:rsidRPr="00E45065" w:rsidRDefault="005E4931" w:rsidP="005E4931">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highlight w:val="white"/>
        </w:rPr>
        <w:t xml:space="preserve">Data from the World Economic Forum (WEF) 2020 recorded 15 skills needed by today’s working world (World Economic Forum, 2020). WEF data records show that 7 out of 15 abilities characterize higher-order thinking skills (HOTs). By this year HOTs are predicted to become the required skills. The world economy requires people with analytical, creative, problem-solving skills, and critical thinking about problems. Thus, </w:t>
      </w:r>
      <w:r w:rsidRPr="00E45065">
        <w:rPr>
          <w:rFonts w:ascii="Times New Roman" w:eastAsia="Times New Roman" w:hAnsi="Times New Roman" w:cs="Times New Roman"/>
          <w:color w:val="2E2E2E"/>
          <w:sz w:val="24"/>
          <w:szCs w:val="24"/>
          <w:highlight w:val="white"/>
        </w:rPr>
        <w:t>HOTS is an important element in education because of its benefits in improving students' learning performance, reducing weakness, interpreting, synthesizing, solving problems, and controlling information, ideas and day-to-day activities (Ahmad, et al., 2017). Zohar and Dori (2003) also emphasized the development of HOTS is one of the important objectives of educational institutions because of its influences on learning performance. Furthermore, the findings from the study of Zohar and Dori noted that students with high learning outcomes achieved higher thinking scores in comparison with peers who have lower learning performance.</w:t>
      </w:r>
      <w:r w:rsidRPr="00E45065">
        <w:rPr>
          <w:rFonts w:ascii="Times New Roman" w:eastAsia="Times New Roman" w:hAnsi="Times New Roman" w:cs="Times New Roman"/>
          <w:sz w:val="24"/>
          <w:szCs w:val="24"/>
          <w:highlight w:val="white"/>
        </w:rPr>
        <w:t xml:space="preserve"> On the other hand, the Philippines lagged behi</w:t>
      </w:r>
      <w:r w:rsidRPr="00E45065">
        <w:rPr>
          <w:rFonts w:ascii="Times New Roman" w:eastAsia="Times New Roman" w:hAnsi="Times New Roman" w:cs="Times New Roman"/>
          <w:sz w:val="24"/>
          <w:szCs w:val="24"/>
        </w:rPr>
        <w:t>nd international assessment as reflected in its current standing in  Program for International Assessment (PISA); 347 in  reading, 355 in mathematics and 356 in science are significantly below the OECD average; . Our country ranked 76th out of 81 countries in reading comprehension, mathematics and science.</w:t>
      </w:r>
    </w:p>
    <w:p w:rsidR="005E4931" w:rsidRPr="00E45065" w:rsidRDefault="005E4931" w:rsidP="005E4931">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ab/>
        <w:t>While the concept of higher order thinking skills in education has become popular and essential, the Don Servillano Platon Memorial National High School seems deliberate in integrating HOTS in their teaching strategies. Several efforts have been exerted by the teachers and schools in improving the HOTS of the students, however assessment results revealed that the students experience difficulties in comprehending scientific concepts and mathematical problems. This study aims to integrate Khan Academy in enhancing the HOTS level of the Grade students and determine its extent by comparing the difference between the students exposed to Khan Academy and those under traditional instruction. This will help inform the teachers to improve their teaching strategies and consider formulating problem-solving questions that elicit students' critical thinking and generate ideas and consider multiple perspectives in solving problems.</w:t>
      </w:r>
    </w:p>
    <w:p w:rsidR="000E68A0" w:rsidRPr="00E45065" w:rsidRDefault="002A6B36">
      <w:pPr>
        <w:pStyle w:val="Heading1"/>
        <w:jc w:val="both"/>
        <w:rPr>
          <w:rFonts w:ascii="Times New Roman" w:hAnsi="Times New Roman" w:cs="Times New Roman"/>
          <w:color w:val="auto"/>
          <w:sz w:val="24"/>
          <w:szCs w:val="24"/>
        </w:rPr>
      </w:pPr>
      <w:r w:rsidRPr="00E45065">
        <w:rPr>
          <w:rFonts w:ascii="Times New Roman" w:hAnsi="Times New Roman" w:cs="Times New Roman"/>
          <w:color w:val="auto"/>
          <w:sz w:val="24"/>
          <w:szCs w:val="24"/>
        </w:rPr>
        <w:t>Materials and Methods</w:t>
      </w:r>
    </w:p>
    <w:p w:rsidR="00C84EBB" w:rsidRPr="00E45065" w:rsidRDefault="00C84EBB" w:rsidP="00C84EBB">
      <w:pPr>
        <w:rPr>
          <w:rFonts w:ascii="Times New Roman" w:hAnsi="Times New Roman" w:cs="Times New Roman"/>
          <w:sz w:val="24"/>
          <w:szCs w:val="24"/>
        </w:rPr>
      </w:pPr>
    </w:p>
    <w:p w:rsidR="000E68A0" w:rsidRPr="00E45065" w:rsidRDefault="002A6B36" w:rsidP="005E4931">
      <w:pPr>
        <w:spacing w:line="480" w:lineRule="auto"/>
        <w:ind w:firstLine="720"/>
        <w:jc w:val="both"/>
        <w:rPr>
          <w:rFonts w:ascii="Times New Roman" w:hAnsi="Times New Roman" w:cs="Times New Roman"/>
          <w:sz w:val="24"/>
          <w:szCs w:val="24"/>
        </w:rPr>
      </w:pPr>
      <w:r w:rsidRPr="00E45065">
        <w:rPr>
          <w:rFonts w:ascii="Times New Roman" w:hAnsi="Times New Roman" w:cs="Times New Roman"/>
          <w:sz w:val="24"/>
          <w:szCs w:val="24"/>
        </w:rPr>
        <w:t>The study employed a quasi-experimental design with a control group (traditional instruction) and an experimental group (Khan Academy-integrated instruction). Sixty Grade 10 students from Don Servillano Platon Memorial National High School were selected through random sampling—30 in each group. A validated HOTs assessment tool was administered as a pre-test and post-test. The experimental group used Khan Academy over a six-week intervention, focusing on sample PISA questions, multiple topics and biology. Data were analyzed using descriptive statistics and inferential statistics, including paired and independent t-tests, to determine significant differences in HOTs.</w:t>
      </w:r>
    </w:p>
    <w:p w:rsidR="000E68A0" w:rsidRPr="00E45065" w:rsidRDefault="002A6B36">
      <w:pPr>
        <w:pStyle w:val="Heading1"/>
        <w:jc w:val="both"/>
        <w:rPr>
          <w:rFonts w:ascii="Times New Roman" w:hAnsi="Times New Roman" w:cs="Times New Roman"/>
          <w:color w:val="auto"/>
          <w:sz w:val="24"/>
          <w:szCs w:val="24"/>
        </w:rPr>
      </w:pPr>
      <w:r w:rsidRPr="00E45065">
        <w:rPr>
          <w:rFonts w:ascii="Times New Roman" w:hAnsi="Times New Roman" w:cs="Times New Roman"/>
          <w:color w:val="auto"/>
          <w:sz w:val="24"/>
          <w:szCs w:val="24"/>
        </w:rPr>
        <w:t>Results and Discussion</w:t>
      </w:r>
    </w:p>
    <w:p w:rsidR="00C84EBB" w:rsidRPr="00E45065" w:rsidRDefault="00C84EBB" w:rsidP="00C84EBB">
      <w:pPr>
        <w:rPr>
          <w:rFonts w:ascii="Times New Roman" w:hAnsi="Times New Roman" w:cs="Times New Roman"/>
          <w:sz w:val="24"/>
          <w:szCs w:val="24"/>
        </w:rPr>
      </w:pPr>
    </w:p>
    <w:p w:rsidR="0003674D" w:rsidRPr="00E45065" w:rsidRDefault="002A6B36" w:rsidP="00520567">
      <w:pPr>
        <w:spacing w:line="480" w:lineRule="auto"/>
        <w:ind w:firstLine="720"/>
        <w:jc w:val="both"/>
        <w:rPr>
          <w:rFonts w:ascii="Times New Roman" w:hAnsi="Times New Roman" w:cs="Times New Roman"/>
          <w:sz w:val="24"/>
          <w:szCs w:val="24"/>
        </w:rPr>
      </w:pPr>
      <w:r w:rsidRPr="00E45065">
        <w:rPr>
          <w:rFonts w:ascii="Times New Roman" w:hAnsi="Times New Roman" w:cs="Times New Roman"/>
          <w:sz w:val="24"/>
          <w:szCs w:val="24"/>
        </w:rPr>
        <w:t>The study sought to evaluate the effectiveness of Khan Academy in enhancing HOTs by comparing the academic performance of a control group and an experimental group using pre-test and post-test assessments. Table 1 and Table 2 summarize the findings.</w:t>
      </w:r>
    </w:p>
    <w:p w:rsidR="00BD0410" w:rsidRPr="00E45065" w:rsidRDefault="00BD0410" w:rsidP="00BD0410">
      <w:pPr>
        <w:pStyle w:val="NoSpacing"/>
        <w:jc w:val="both"/>
        <w:rPr>
          <w:rFonts w:ascii="Times New Roman" w:hAnsi="Times New Roman" w:cs="Times New Roman"/>
          <w:b/>
          <w:i/>
          <w:sz w:val="24"/>
          <w:szCs w:val="24"/>
        </w:rPr>
      </w:pPr>
      <w:r w:rsidRPr="00E45065">
        <w:rPr>
          <w:rFonts w:ascii="Times New Roman" w:hAnsi="Times New Roman" w:cs="Times New Roman"/>
          <w:b/>
          <w:i/>
          <w:sz w:val="24"/>
          <w:szCs w:val="24"/>
        </w:rPr>
        <w:t>Table 1: Extent of the effectiveness of Khan Academy in enhancing HOTs</w:t>
      </w:r>
    </w:p>
    <w:tbl>
      <w:tblPr>
        <w:tblStyle w:val="TableGrid"/>
        <w:tblW w:w="0" w:type="auto"/>
        <w:tblLook w:val="04A0" w:firstRow="1" w:lastRow="0" w:firstColumn="1" w:lastColumn="0" w:noHBand="0" w:noVBand="1"/>
      </w:tblPr>
      <w:tblGrid>
        <w:gridCol w:w="1720"/>
        <w:gridCol w:w="1693"/>
        <w:gridCol w:w="1693"/>
        <w:gridCol w:w="1711"/>
        <w:gridCol w:w="1705"/>
      </w:tblGrid>
      <w:tr w:rsidR="000E68A0" w:rsidRPr="00E45065">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Group</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MPL Post-test</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MPL Pre-test</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Difference</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 Increase</w:t>
            </w:r>
          </w:p>
        </w:tc>
      </w:tr>
      <w:tr w:rsidR="000E68A0" w:rsidRPr="00E45065">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Control Group</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34.20</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33.33</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0.87</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Increase</w:t>
            </w:r>
          </w:p>
        </w:tc>
      </w:tr>
      <w:tr w:rsidR="000E68A0" w:rsidRPr="00E45065">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Experimental Group</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58.20</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39.33</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18.87</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Highly Effective</w:t>
            </w:r>
          </w:p>
        </w:tc>
      </w:tr>
    </w:tbl>
    <w:p w:rsidR="00F1302C" w:rsidRPr="00520567" w:rsidRDefault="00F1302C" w:rsidP="00F1302C">
      <w:pPr>
        <w:spacing w:after="0" w:line="240" w:lineRule="auto"/>
        <w:ind w:firstLine="20"/>
        <w:rPr>
          <w:rFonts w:ascii="Times New Roman" w:eastAsia="Times New Roman" w:hAnsi="Times New Roman" w:cs="Times New Roman"/>
          <w:i/>
          <w:szCs w:val="24"/>
        </w:rPr>
      </w:pPr>
      <w:r w:rsidRPr="00520567">
        <w:rPr>
          <w:rFonts w:ascii="Times New Roman" w:eastAsia="Times New Roman" w:hAnsi="Times New Roman" w:cs="Times New Roman"/>
          <w:i/>
          <w:szCs w:val="24"/>
        </w:rPr>
        <w:t>Legend:    5 % increase &amp; above – Highly Effective</w:t>
      </w:r>
      <w:r w:rsidRPr="00520567">
        <w:rPr>
          <w:rFonts w:ascii="Times New Roman" w:eastAsia="Times New Roman" w:hAnsi="Times New Roman" w:cs="Times New Roman"/>
          <w:i/>
          <w:szCs w:val="24"/>
        </w:rPr>
        <w:tab/>
        <w:t>2.00 – 2.99 – Less  Effective</w:t>
      </w:r>
    </w:p>
    <w:p w:rsidR="00F1302C" w:rsidRPr="00520567" w:rsidRDefault="00F1302C" w:rsidP="00F1302C">
      <w:pPr>
        <w:spacing w:after="0" w:line="240" w:lineRule="auto"/>
        <w:rPr>
          <w:rFonts w:ascii="Times New Roman" w:eastAsia="Times New Roman" w:hAnsi="Times New Roman" w:cs="Times New Roman"/>
          <w:i/>
          <w:szCs w:val="24"/>
        </w:rPr>
      </w:pPr>
      <w:r w:rsidRPr="00520567">
        <w:rPr>
          <w:rFonts w:ascii="Times New Roman" w:eastAsia="Times New Roman" w:hAnsi="Times New Roman" w:cs="Times New Roman"/>
          <w:i/>
          <w:szCs w:val="24"/>
        </w:rPr>
        <w:t xml:space="preserve">                  4.00 – 4.99 % – Effective  </w:t>
      </w:r>
      <w:r w:rsidRPr="00520567">
        <w:rPr>
          <w:rFonts w:ascii="Times New Roman" w:eastAsia="Times New Roman" w:hAnsi="Times New Roman" w:cs="Times New Roman"/>
          <w:i/>
          <w:szCs w:val="24"/>
        </w:rPr>
        <w:tab/>
      </w:r>
      <w:r w:rsidRPr="00520567">
        <w:rPr>
          <w:rFonts w:ascii="Times New Roman" w:eastAsia="Times New Roman" w:hAnsi="Times New Roman" w:cs="Times New Roman"/>
          <w:i/>
          <w:szCs w:val="24"/>
        </w:rPr>
        <w:tab/>
      </w:r>
      <w:r w:rsidRPr="00520567">
        <w:rPr>
          <w:rFonts w:ascii="Times New Roman" w:eastAsia="Times New Roman" w:hAnsi="Times New Roman" w:cs="Times New Roman"/>
          <w:i/>
          <w:szCs w:val="24"/>
        </w:rPr>
        <w:tab/>
        <w:t>Below 2% increase – Not Effective</w:t>
      </w:r>
    </w:p>
    <w:p w:rsidR="00F1302C" w:rsidRPr="00520567" w:rsidRDefault="00F1302C" w:rsidP="00F1302C">
      <w:pPr>
        <w:spacing w:after="0" w:line="240" w:lineRule="auto"/>
        <w:rPr>
          <w:rFonts w:ascii="Times New Roman" w:eastAsia="Arial" w:hAnsi="Times New Roman" w:cs="Times New Roman"/>
          <w:i/>
          <w:szCs w:val="24"/>
        </w:rPr>
      </w:pPr>
      <w:r w:rsidRPr="00520567">
        <w:rPr>
          <w:rFonts w:ascii="Times New Roman" w:eastAsia="Times New Roman" w:hAnsi="Times New Roman" w:cs="Times New Roman"/>
          <w:i/>
          <w:szCs w:val="24"/>
        </w:rPr>
        <w:t xml:space="preserve">                  3.00 – 3.99 %– Moderately Effective  </w:t>
      </w:r>
      <w:r w:rsidRPr="00520567">
        <w:rPr>
          <w:rFonts w:ascii="Times New Roman" w:eastAsia="Arial" w:hAnsi="Times New Roman" w:cs="Times New Roman"/>
          <w:i/>
          <w:szCs w:val="24"/>
        </w:rPr>
        <w:t xml:space="preserve"> </w:t>
      </w:r>
    </w:p>
    <w:p w:rsidR="007A0A99" w:rsidRPr="00E45065" w:rsidRDefault="007A0A99" w:rsidP="007A0A99">
      <w:pPr>
        <w:spacing w:before="240" w:after="240"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The control group, which was taught using conventional instructional strategies without technological intervention, recorded a mean percentage level (MPL) of 33.33 in the pre-test and 34.20 in the post-test. This reflects a minimal increase of 0.87 percentage points, which is below the 2% threshold used to determine effectiveness. Based on the predefined criteria, this outcome is categorized as "Not Effective". The data suggest that traditional instruction alone may not have been sufficient to significantly enhance students’ HOTs within the period of the study.</w:t>
      </w:r>
    </w:p>
    <w:p w:rsidR="007A0A99" w:rsidRPr="00E45065" w:rsidRDefault="007A0A99" w:rsidP="007A0A99">
      <w:pPr>
        <w:spacing w:before="240" w:after="240"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In comparison, the experimental group engaged with Khan Academy as a supplementary learning tool, showed a pre-test MPL of 39.33 and a post-test MPL of 58.20, resulting in a substantial increase of 18.87 percentage points. This gain far exceeds the 5% benchmark and is classified as "Highly Effective". This notable improvement indicates that the use of Khan Academy had a significant positive impact on students’ ability to apply higher-order cognitive skills, such as analyzing, evaluating, and creating—skills aligned with the upper levels of Bloom’s taxonomy.</w:t>
      </w:r>
    </w:p>
    <w:p w:rsidR="004D67DD" w:rsidRPr="00E45065" w:rsidRDefault="007A0A99" w:rsidP="00520567">
      <w:pPr>
        <w:spacing w:before="240" w:after="240"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The findings demonstrate that Khan Academy serves as an effective platform for supporting HOTs development among learners. Its interactive videos, adaptive learning features, and practice-based approach likely contributed to better comprehension and application of complex concepts. These features may have fostered independent learning, critical thinking, and sustained engagement, thereby promoting measurable cognitive gains.</w:t>
      </w:r>
      <w:bookmarkStart w:id="0" w:name="_GoBack"/>
      <w:bookmarkEnd w:id="0"/>
    </w:p>
    <w:p w:rsidR="000E68A0" w:rsidRPr="00E45065" w:rsidRDefault="000E68A0" w:rsidP="00BD0410">
      <w:pPr>
        <w:pStyle w:val="NoSpacing"/>
        <w:rPr>
          <w:rFonts w:ascii="Times New Roman" w:hAnsi="Times New Roman" w:cs="Times New Roman"/>
          <w:b/>
          <w:i/>
          <w:sz w:val="24"/>
          <w:szCs w:val="24"/>
        </w:rPr>
      </w:pPr>
    </w:p>
    <w:p w:rsidR="00BD0410" w:rsidRPr="00E45065" w:rsidRDefault="00BD0410" w:rsidP="00BD0410">
      <w:pPr>
        <w:pStyle w:val="NoSpacing"/>
        <w:rPr>
          <w:rFonts w:ascii="Times New Roman" w:hAnsi="Times New Roman" w:cs="Times New Roman"/>
          <w:b/>
          <w:i/>
          <w:sz w:val="24"/>
          <w:szCs w:val="24"/>
        </w:rPr>
      </w:pPr>
      <w:r w:rsidRPr="00E45065">
        <w:rPr>
          <w:rFonts w:ascii="Times New Roman" w:hAnsi="Times New Roman" w:cs="Times New Roman"/>
          <w:b/>
          <w:i/>
          <w:sz w:val="24"/>
          <w:szCs w:val="24"/>
        </w:rPr>
        <w:t>Table 2: Experimental Group vs. Control Group</w:t>
      </w:r>
    </w:p>
    <w:p w:rsidR="00BD0410" w:rsidRPr="00E45065" w:rsidRDefault="00BD0410" w:rsidP="00BD0410">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1711"/>
        <w:gridCol w:w="1720"/>
        <w:gridCol w:w="1701"/>
        <w:gridCol w:w="1695"/>
        <w:gridCol w:w="1695"/>
      </w:tblGrid>
      <w:tr w:rsidR="000E68A0" w:rsidRPr="00E45065">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Metric</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Experimental Group</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Control Group</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Pre-test Mean</w:t>
            </w:r>
          </w:p>
        </w:tc>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Post-test Mean</w:t>
            </w:r>
          </w:p>
        </w:tc>
      </w:tr>
      <w:tr w:rsidR="000E68A0" w:rsidRPr="00E45065">
        <w:tc>
          <w:tcPr>
            <w:tcW w:w="1728" w:type="dxa"/>
          </w:tcPr>
          <w:p w:rsidR="000E68A0" w:rsidRPr="00E45065" w:rsidRDefault="002A6B36">
            <w:pPr>
              <w:rPr>
                <w:rFonts w:ascii="Times New Roman" w:hAnsi="Times New Roman" w:cs="Times New Roman"/>
                <w:sz w:val="24"/>
                <w:szCs w:val="24"/>
              </w:rPr>
            </w:pPr>
            <w:r w:rsidRPr="00E45065">
              <w:rPr>
                <w:rFonts w:ascii="Times New Roman" w:hAnsi="Times New Roman" w:cs="Times New Roman"/>
                <w:sz w:val="24"/>
                <w:szCs w:val="24"/>
              </w:rPr>
              <w:t>Mean Difference</w:t>
            </w:r>
          </w:p>
        </w:tc>
        <w:tc>
          <w:tcPr>
            <w:tcW w:w="1728" w:type="dxa"/>
          </w:tcPr>
          <w:p w:rsidR="000E68A0" w:rsidRPr="00E45065" w:rsidRDefault="002A6B36" w:rsidP="006E06C7">
            <w:pPr>
              <w:jc w:val="center"/>
              <w:rPr>
                <w:rFonts w:ascii="Times New Roman" w:hAnsi="Times New Roman" w:cs="Times New Roman"/>
                <w:sz w:val="24"/>
                <w:szCs w:val="24"/>
              </w:rPr>
            </w:pPr>
            <w:r w:rsidRPr="00E45065">
              <w:rPr>
                <w:rFonts w:ascii="Times New Roman" w:hAnsi="Times New Roman" w:cs="Times New Roman"/>
                <w:sz w:val="24"/>
                <w:szCs w:val="24"/>
              </w:rPr>
              <w:t>+2.83</w:t>
            </w:r>
          </w:p>
        </w:tc>
        <w:tc>
          <w:tcPr>
            <w:tcW w:w="1728" w:type="dxa"/>
          </w:tcPr>
          <w:p w:rsidR="000E68A0" w:rsidRPr="00E45065" w:rsidRDefault="002A6B36" w:rsidP="006E06C7">
            <w:pPr>
              <w:jc w:val="center"/>
              <w:rPr>
                <w:rFonts w:ascii="Times New Roman" w:hAnsi="Times New Roman" w:cs="Times New Roman"/>
                <w:sz w:val="24"/>
                <w:szCs w:val="24"/>
              </w:rPr>
            </w:pPr>
            <w:r w:rsidRPr="00E45065">
              <w:rPr>
                <w:rFonts w:ascii="Times New Roman" w:hAnsi="Times New Roman" w:cs="Times New Roman"/>
                <w:sz w:val="24"/>
                <w:szCs w:val="24"/>
              </w:rPr>
              <w:t>+0.13</w:t>
            </w:r>
          </w:p>
        </w:tc>
        <w:tc>
          <w:tcPr>
            <w:tcW w:w="1728" w:type="dxa"/>
          </w:tcPr>
          <w:p w:rsidR="000E68A0" w:rsidRPr="00E45065" w:rsidRDefault="002A6B36" w:rsidP="006E06C7">
            <w:pPr>
              <w:jc w:val="center"/>
              <w:rPr>
                <w:rFonts w:ascii="Times New Roman" w:hAnsi="Times New Roman" w:cs="Times New Roman"/>
                <w:sz w:val="24"/>
                <w:szCs w:val="24"/>
              </w:rPr>
            </w:pPr>
            <w:r w:rsidRPr="00E45065">
              <w:rPr>
                <w:rFonts w:ascii="Times New Roman" w:hAnsi="Times New Roman" w:cs="Times New Roman"/>
                <w:sz w:val="24"/>
                <w:szCs w:val="24"/>
              </w:rPr>
              <w:t>5.90</w:t>
            </w:r>
          </w:p>
        </w:tc>
        <w:tc>
          <w:tcPr>
            <w:tcW w:w="1728" w:type="dxa"/>
          </w:tcPr>
          <w:p w:rsidR="000E68A0" w:rsidRPr="00E45065" w:rsidRDefault="002A6B36" w:rsidP="006E06C7">
            <w:pPr>
              <w:jc w:val="center"/>
              <w:rPr>
                <w:rFonts w:ascii="Times New Roman" w:hAnsi="Times New Roman" w:cs="Times New Roman"/>
                <w:sz w:val="24"/>
                <w:szCs w:val="24"/>
              </w:rPr>
            </w:pPr>
            <w:r w:rsidRPr="00E45065">
              <w:rPr>
                <w:rFonts w:ascii="Times New Roman" w:hAnsi="Times New Roman" w:cs="Times New Roman"/>
                <w:sz w:val="24"/>
                <w:szCs w:val="24"/>
              </w:rPr>
              <w:t>8.73</w:t>
            </w:r>
          </w:p>
        </w:tc>
      </w:tr>
    </w:tbl>
    <w:p w:rsidR="007A0A99" w:rsidRPr="00E45065" w:rsidRDefault="007A0A99" w:rsidP="007A0A99">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p>
    <w:p w:rsidR="007A0A99" w:rsidRPr="00E45065" w:rsidRDefault="007A0A99" w:rsidP="007A0A99">
      <w:pPr>
        <w:pBdr>
          <w:top w:val="nil"/>
          <w:left w:val="nil"/>
          <w:bottom w:val="nil"/>
          <w:right w:val="nil"/>
          <w:between w:val="nil"/>
        </w:pBdr>
        <w:spacing w:line="480" w:lineRule="auto"/>
        <w:ind w:firstLine="360"/>
        <w:jc w:val="both"/>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 xml:space="preserve">Table </w:t>
      </w:r>
      <w:r w:rsidRPr="00E45065">
        <w:rPr>
          <w:rFonts w:ascii="Times New Roman" w:eastAsia="Times New Roman" w:hAnsi="Times New Roman" w:cs="Times New Roman"/>
          <w:sz w:val="24"/>
          <w:szCs w:val="24"/>
        </w:rPr>
        <w:t>2</w:t>
      </w:r>
      <w:r w:rsidRPr="00E45065">
        <w:rPr>
          <w:rFonts w:ascii="Times New Roman" w:eastAsia="Times New Roman" w:hAnsi="Times New Roman" w:cs="Times New Roman"/>
          <w:color w:val="000000"/>
          <w:sz w:val="24"/>
          <w:szCs w:val="24"/>
        </w:rPr>
        <w:t xml:space="preserve"> shows that the experimental group demonstrated a statistically significant increase in HOTs after using Khan Academy. In contrast, the control group showed marginal improvement. A </w:t>
      </w:r>
      <w:r w:rsidRPr="00E45065">
        <w:rPr>
          <w:rFonts w:ascii="Times New Roman" w:eastAsia="Times New Roman" w:hAnsi="Times New Roman" w:cs="Times New Roman"/>
          <w:b/>
          <w:color w:val="000000"/>
          <w:sz w:val="24"/>
          <w:szCs w:val="24"/>
        </w:rPr>
        <w:t>paired sample t-test</w:t>
      </w:r>
      <w:r w:rsidRPr="00E45065">
        <w:rPr>
          <w:rFonts w:ascii="Times New Roman" w:eastAsia="Times New Roman" w:hAnsi="Times New Roman" w:cs="Times New Roman"/>
          <w:color w:val="000000"/>
          <w:sz w:val="24"/>
          <w:szCs w:val="24"/>
        </w:rPr>
        <w:t xml:space="preserve"> was conducted to evaluate the significance of improvement within each group. The </w:t>
      </w:r>
      <w:r w:rsidRPr="00E45065">
        <w:rPr>
          <w:rFonts w:ascii="Times New Roman" w:eastAsia="Times New Roman" w:hAnsi="Times New Roman" w:cs="Times New Roman"/>
          <w:b/>
          <w:color w:val="000000"/>
          <w:sz w:val="24"/>
          <w:szCs w:val="24"/>
        </w:rPr>
        <w:t>experimental group</w:t>
      </w:r>
      <w:r w:rsidRPr="00E45065">
        <w:rPr>
          <w:rFonts w:ascii="Times New Roman" w:eastAsia="Times New Roman" w:hAnsi="Times New Roman" w:cs="Times New Roman"/>
          <w:color w:val="000000"/>
          <w:sz w:val="24"/>
          <w:szCs w:val="24"/>
        </w:rPr>
        <w:t xml:space="preserve"> showed a </w:t>
      </w:r>
      <w:r w:rsidRPr="00E45065">
        <w:rPr>
          <w:rFonts w:ascii="Times New Roman" w:eastAsia="Times New Roman" w:hAnsi="Times New Roman" w:cs="Times New Roman"/>
          <w:b/>
          <w:color w:val="000000"/>
          <w:sz w:val="24"/>
          <w:szCs w:val="24"/>
        </w:rPr>
        <w:t>statistically significant improvement</w:t>
      </w:r>
      <w:r w:rsidRPr="00E45065">
        <w:rPr>
          <w:rFonts w:ascii="Times New Roman" w:eastAsia="Times New Roman" w:hAnsi="Times New Roman" w:cs="Times New Roman"/>
          <w:color w:val="000000"/>
          <w:sz w:val="24"/>
          <w:szCs w:val="24"/>
        </w:rPr>
        <w:t xml:space="preserve"> in post-test scores (</w:t>
      </w:r>
      <w:r w:rsidRPr="00E45065">
        <w:rPr>
          <w:rFonts w:ascii="Times New Roman" w:eastAsia="Times New Roman" w:hAnsi="Times New Roman" w:cs="Times New Roman"/>
          <w:i/>
          <w:color w:val="000000"/>
          <w:sz w:val="24"/>
          <w:szCs w:val="24"/>
        </w:rPr>
        <w:t>t</w:t>
      </w:r>
      <w:r w:rsidRPr="00E45065">
        <w:rPr>
          <w:rFonts w:ascii="Times New Roman" w:eastAsia="Times New Roman" w:hAnsi="Times New Roman" w:cs="Times New Roman"/>
          <w:color w:val="000000"/>
          <w:sz w:val="24"/>
          <w:szCs w:val="24"/>
        </w:rPr>
        <w:t xml:space="preserve">(29) = 5.97, </w:t>
      </w:r>
      <w:r w:rsidRPr="00E45065">
        <w:rPr>
          <w:rFonts w:ascii="Times New Roman" w:eastAsia="Times New Roman" w:hAnsi="Times New Roman" w:cs="Times New Roman"/>
          <w:i/>
          <w:color w:val="000000"/>
          <w:sz w:val="24"/>
          <w:szCs w:val="24"/>
        </w:rPr>
        <w:t>p</w:t>
      </w:r>
      <w:r w:rsidRPr="00E45065">
        <w:rPr>
          <w:rFonts w:ascii="Times New Roman" w:eastAsia="Times New Roman" w:hAnsi="Times New Roman" w:cs="Times New Roman"/>
          <w:color w:val="000000"/>
          <w:sz w:val="24"/>
          <w:szCs w:val="24"/>
        </w:rPr>
        <w:t xml:space="preserve"> &lt; 0.001). The </w:t>
      </w:r>
      <w:r w:rsidRPr="00E45065">
        <w:rPr>
          <w:rFonts w:ascii="Times New Roman" w:eastAsia="Times New Roman" w:hAnsi="Times New Roman" w:cs="Times New Roman"/>
          <w:b/>
          <w:color w:val="000000"/>
          <w:sz w:val="24"/>
          <w:szCs w:val="24"/>
        </w:rPr>
        <w:t>control group</w:t>
      </w:r>
      <w:r w:rsidRPr="00E45065">
        <w:rPr>
          <w:rFonts w:ascii="Times New Roman" w:eastAsia="Times New Roman" w:hAnsi="Times New Roman" w:cs="Times New Roman"/>
          <w:color w:val="000000"/>
          <w:sz w:val="24"/>
          <w:szCs w:val="24"/>
        </w:rPr>
        <w:t xml:space="preserve"> showed a </w:t>
      </w:r>
      <w:r w:rsidRPr="00E45065">
        <w:rPr>
          <w:rFonts w:ascii="Times New Roman" w:eastAsia="Times New Roman" w:hAnsi="Times New Roman" w:cs="Times New Roman"/>
          <w:b/>
          <w:color w:val="000000"/>
          <w:sz w:val="24"/>
          <w:szCs w:val="24"/>
        </w:rPr>
        <w:t>non-significant</w:t>
      </w:r>
      <w:r w:rsidRPr="00E45065">
        <w:rPr>
          <w:rFonts w:ascii="Times New Roman" w:eastAsia="Times New Roman" w:hAnsi="Times New Roman" w:cs="Times New Roman"/>
          <w:color w:val="000000"/>
          <w:sz w:val="24"/>
          <w:szCs w:val="24"/>
        </w:rPr>
        <w:t xml:space="preserve"> change (</w:t>
      </w:r>
      <w:r w:rsidRPr="00E45065">
        <w:rPr>
          <w:rFonts w:ascii="Times New Roman" w:eastAsia="Times New Roman" w:hAnsi="Times New Roman" w:cs="Times New Roman"/>
          <w:i/>
          <w:color w:val="000000"/>
          <w:sz w:val="24"/>
          <w:szCs w:val="24"/>
        </w:rPr>
        <w:t>t</w:t>
      </w:r>
      <w:r w:rsidRPr="00E45065">
        <w:rPr>
          <w:rFonts w:ascii="Times New Roman" w:eastAsia="Times New Roman" w:hAnsi="Times New Roman" w:cs="Times New Roman"/>
          <w:color w:val="000000"/>
          <w:sz w:val="24"/>
          <w:szCs w:val="24"/>
        </w:rPr>
        <w:t xml:space="preserve">(29) = 1.68, </w:t>
      </w:r>
      <w:r w:rsidRPr="00E45065">
        <w:rPr>
          <w:rFonts w:ascii="Times New Roman" w:eastAsia="Times New Roman" w:hAnsi="Times New Roman" w:cs="Times New Roman"/>
          <w:i/>
          <w:color w:val="000000"/>
          <w:sz w:val="24"/>
          <w:szCs w:val="24"/>
        </w:rPr>
        <w:t>p</w:t>
      </w:r>
      <w:r w:rsidRPr="00E45065">
        <w:rPr>
          <w:rFonts w:ascii="Times New Roman" w:eastAsia="Times New Roman" w:hAnsi="Times New Roman" w:cs="Times New Roman"/>
          <w:color w:val="000000"/>
          <w:sz w:val="24"/>
          <w:szCs w:val="24"/>
        </w:rPr>
        <w:t xml:space="preserve"> = 0.133).</w:t>
      </w:r>
    </w:p>
    <w:p w:rsidR="007A0A99" w:rsidRPr="00E45065" w:rsidRDefault="007A0A99" w:rsidP="007A0A99">
      <w:pPr>
        <w:pBdr>
          <w:top w:val="nil"/>
          <w:left w:val="nil"/>
          <w:bottom w:val="nil"/>
          <w:right w:val="nil"/>
          <w:between w:val="nil"/>
        </w:pBdr>
        <w:spacing w:line="480" w:lineRule="auto"/>
        <w:ind w:firstLine="360"/>
        <w:jc w:val="both"/>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The results clearly indicate that the use of Khan Academy as an educational tool had a substantial and statistically significant effect</w:t>
      </w:r>
      <w:r w:rsidRPr="00E45065">
        <w:rPr>
          <w:rFonts w:ascii="Times New Roman" w:eastAsia="Times New Roman" w:hAnsi="Times New Roman" w:cs="Times New Roman"/>
          <w:b/>
          <w:color w:val="000000"/>
          <w:sz w:val="24"/>
          <w:szCs w:val="24"/>
        </w:rPr>
        <w:t xml:space="preserve"> </w:t>
      </w:r>
      <w:r w:rsidRPr="00E45065">
        <w:rPr>
          <w:rFonts w:ascii="Times New Roman" w:eastAsia="Times New Roman" w:hAnsi="Times New Roman" w:cs="Times New Roman"/>
          <w:color w:val="000000"/>
          <w:sz w:val="24"/>
          <w:szCs w:val="24"/>
        </w:rPr>
        <w:t xml:space="preserve">on student performance. In contrast, the traditional teaching method resulted in only a minimal, statistically insignificant improvement. The large effect size in the experimental group further supports the practical significance of Khan Academy as an effective intervention for enhancing learning outcomes. (Brief, R. 2014) has clarified what schools and teachers need to effectively use personalized learning tools like Khan Academy, including content alignment and necessary teacher training and support. </w:t>
      </w:r>
    </w:p>
    <w:p w:rsidR="00BD0410" w:rsidRDefault="002A6B36" w:rsidP="00C7765E">
      <w:pPr>
        <w:pStyle w:val="Heading1"/>
        <w:jc w:val="both"/>
        <w:rPr>
          <w:rFonts w:ascii="Times New Roman" w:hAnsi="Times New Roman" w:cs="Times New Roman"/>
          <w:color w:val="auto"/>
          <w:sz w:val="24"/>
          <w:szCs w:val="24"/>
        </w:rPr>
      </w:pPr>
      <w:r w:rsidRPr="00E45065">
        <w:rPr>
          <w:rFonts w:ascii="Times New Roman" w:hAnsi="Times New Roman" w:cs="Times New Roman"/>
          <w:color w:val="auto"/>
          <w:sz w:val="24"/>
          <w:szCs w:val="24"/>
        </w:rPr>
        <w:t>Conclusion</w:t>
      </w:r>
    </w:p>
    <w:p w:rsidR="00E45065" w:rsidRPr="00E45065" w:rsidRDefault="00E45065" w:rsidP="00E45065"/>
    <w:p w:rsidR="00C7765E" w:rsidRPr="00E45065" w:rsidRDefault="00C7765E" w:rsidP="00C7765E">
      <w:pPr>
        <w:spacing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This study aimed to evaluate the effectiveness of Khan Academy as an intervention tool compared to the</w:t>
      </w:r>
      <w:r w:rsidRPr="00E45065">
        <w:rPr>
          <w:rFonts w:ascii="Times New Roman" w:eastAsia="Times New Roman" w:hAnsi="Times New Roman" w:cs="Times New Roman"/>
          <w:b/>
          <w:sz w:val="24"/>
          <w:szCs w:val="24"/>
        </w:rPr>
        <w:t xml:space="preserve"> </w:t>
      </w:r>
      <w:r w:rsidRPr="00E45065">
        <w:rPr>
          <w:rFonts w:ascii="Times New Roman" w:eastAsia="Times New Roman" w:hAnsi="Times New Roman" w:cs="Times New Roman"/>
          <w:sz w:val="24"/>
          <w:szCs w:val="24"/>
        </w:rPr>
        <w:t>traditional method</w:t>
      </w:r>
      <w:r w:rsidRPr="00E45065">
        <w:rPr>
          <w:rFonts w:ascii="Times New Roman" w:eastAsia="Times New Roman" w:hAnsi="Times New Roman" w:cs="Times New Roman"/>
          <w:b/>
          <w:sz w:val="24"/>
          <w:szCs w:val="24"/>
        </w:rPr>
        <w:t xml:space="preserve"> </w:t>
      </w:r>
      <w:r w:rsidRPr="00E45065">
        <w:rPr>
          <w:rFonts w:ascii="Times New Roman" w:eastAsia="Times New Roman" w:hAnsi="Times New Roman" w:cs="Times New Roman"/>
          <w:sz w:val="24"/>
          <w:szCs w:val="24"/>
        </w:rPr>
        <w:t xml:space="preserve">in improving students’ HOTs. Two groups of students (n = 30 each) participated in pre-test and post-test assessments. Khan Academy significantly enhances the HOTs of Grade 10 students. The experimental group outperformed the control group in post-intervention assessments. Hence, educators should consider incorporating Khan Academy into lesson plans to foster critical and creative thinking. Moreover, Educators and school leaders are encouraged to adopt such innovative tools to foster more effective and engaging learning experiences. Future researchers may explore its application across subjects and grade levels, and examine long-term effects on student cognition. </w:t>
      </w:r>
    </w:p>
    <w:p w:rsidR="00E45065" w:rsidRPr="00E45065" w:rsidRDefault="00C7765E" w:rsidP="00E45065">
      <w:pPr>
        <w:spacing w:line="480" w:lineRule="auto"/>
        <w:ind w:firstLine="720"/>
        <w:jc w:val="both"/>
        <w:rPr>
          <w:rFonts w:ascii="Times New Roman" w:eastAsia="Times New Roman" w:hAnsi="Times New Roman" w:cs="Times New Roman"/>
          <w:sz w:val="24"/>
          <w:szCs w:val="24"/>
        </w:rPr>
      </w:pPr>
      <w:r w:rsidRPr="00E45065">
        <w:rPr>
          <w:rFonts w:ascii="Times New Roman" w:eastAsia="Times New Roman" w:hAnsi="Times New Roman" w:cs="Times New Roman"/>
          <w:sz w:val="24"/>
          <w:szCs w:val="24"/>
        </w:rPr>
        <w:t>In summary, the results indicate that integrating Khan Academy into classroom instruction can significantly enhance students' higher-order thinking abilities. The data supports the conclusion that technology-assisted learning platforms, when used strategically, are effective in cultivating deeper levels of understanding and problem-solving among high school learners. The study supports digital learning as a supplement to traditional instruction. However, limitations include a small sample size and limited duration of intervention. Longitudinal studies are needed for deeper insights.</w:t>
      </w:r>
    </w:p>
    <w:p w:rsidR="00453C85" w:rsidRPr="00E45065" w:rsidRDefault="00453C85" w:rsidP="00453C85">
      <w:pPr>
        <w:pStyle w:val="Heading1"/>
        <w:rPr>
          <w:rFonts w:ascii="Times New Roman" w:eastAsia="Times New Roman" w:hAnsi="Times New Roman" w:cs="Times New Roman"/>
          <w:b w:val="0"/>
          <w:color w:val="000000"/>
          <w:sz w:val="24"/>
          <w:szCs w:val="24"/>
        </w:rPr>
      </w:pPr>
      <w:r w:rsidRPr="00E45065">
        <w:rPr>
          <w:rFonts w:ascii="Times New Roman" w:eastAsia="Times New Roman" w:hAnsi="Times New Roman" w:cs="Times New Roman"/>
          <w:color w:val="000000"/>
          <w:sz w:val="24"/>
          <w:szCs w:val="24"/>
        </w:rPr>
        <w:t>References</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Anderson, L. W., &amp; Krathwohl, D. R. (2001). A taxonomy for learning, teaching, and assessing: A revision of Bloom's taxonomy of educational objectives. Longman.</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Means, B., Toyama, Y., Murphy, R., Bakia, M., &amp; Jones, K. (2010). </w:t>
      </w:r>
      <w:r w:rsidRPr="00E45065">
        <w:rPr>
          <w:rFonts w:ascii="Times New Roman" w:eastAsia="Times New Roman" w:hAnsi="Times New Roman" w:cs="Times New Roman"/>
          <w:i/>
          <w:color w:val="000000"/>
          <w:sz w:val="24"/>
          <w:szCs w:val="24"/>
        </w:rPr>
        <w:t>Evaluation of Evidence-Based Practices in Online Learning A Meta-Analysis and Review of Online Learning Studies</w:t>
      </w:r>
      <w:r w:rsidRPr="00E45065">
        <w:rPr>
          <w:rFonts w:ascii="Times New Roman" w:eastAsia="Times New Roman" w:hAnsi="Times New Roman" w:cs="Times New Roman"/>
          <w:color w:val="000000"/>
          <w:sz w:val="24"/>
          <w:szCs w:val="24"/>
        </w:rPr>
        <w:t>. https://www.ed.gov/sites/ed/files/rschstat/eval/tech/evidence-based-practices/finalreport.pdf</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Murphy, R., Gallagher, L., Krumm, A., Mislevy, J., &amp; Hafter, A. (2014). Research on the Use of Khan Academy in Schools. SRI International.</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Kandukoori, A., Kandukoori, A., &amp; Wajid, F. (2024). Comparative analysis of digital tools and traditional teaching methods in educational effectiveness. arXiv preprint arXiv:2408.06689. https://arxiv.org/abs/2408.06689</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 xml:space="preserve">Hague, C. (2024). Fostering higher-order thinking skills online in higher education: A scoping review. OECD Education Working Papers, No. 305. OECD Publishing. </w:t>
      </w:r>
      <w:hyperlink r:id="rId10">
        <w:r w:rsidRPr="00E45065">
          <w:rPr>
            <w:rFonts w:ascii="Times New Roman" w:eastAsia="Times New Roman" w:hAnsi="Times New Roman" w:cs="Times New Roman"/>
            <w:color w:val="000000"/>
            <w:sz w:val="24"/>
            <w:szCs w:val="24"/>
            <w:u w:val="single"/>
          </w:rPr>
          <w:t>https://www.oecd.org/en/publications/fostering-higher-order-thinking-skills-online-in-higher-education_84f7756a-en.html</w:t>
        </w:r>
      </w:hyperlink>
      <w:r w:rsidRPr="00E45065">
        <w:rPr>
          <w:rFonts w:ascii="Times New Roman" w:hAnsi="Times New Roman" w:cs="Times New Roman"/>
          <w:color w:val="000000"/>
          <w:sz w:val="24"/>
          <w:szCs w:val="24"/>
        </w:rPr>
        <w:t>‌</w:t>
      </w:r>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sidRPr="00E45065">
        <w:rPr>
          <w:rFonts w:ascii="Times New Roman" w:eastAsia="Times New Roman" w:hAnsi="Times New Roman" w:cs="Times New Roman"/>
          <w:color w:val="000000"/>
          <w:sz w:val="24"/>
          <w:szCs w:val="24"/>
        </w:rPr>
        <w:t xml:space="preserve">Khoury, R., &amp; Kandil, G. (2024). Exploring higher-order thinking skills integration in mathematics curriculum: A study of six Lebanese schools. International Research in Education, 12(1), 31–46. </w:t>
      </w:r>
      <w:hyperlink r:id="rId11">
        <w:r w:rsidRPr="00E45065">
          <w:rPr>
            <w:rFonts w:ascii="Times New Roman" w:eastAsia="Times New Roman" w:hAnsi="Times New Roman" w:cs="Times New Roman"/>
            <w:color w:val="0563C1"/>
            <w:sz w:val="24"/>
            <w:szCs w:val="24"/>
            <w:u w:val="single"/>
          </w:rPr>
          <w:t>https://www.macrothink.org/journal/index.php/ire/article/view/21632</w:t>
        </w:r>
      </w:hyperlink>
    </w:p>
    <w:p w:rsidR="00453C85" w:rsidRPr="00E45065" w:rsidRDefault="00453C85" w:rsidP="00453C85">
      <w:pPr>
        <w:numPr>
          <w:ilvl w:val="0"/>
          <w:numId w:val="10"/>
        </w:numPr>
        <w:pBdr>
          <w:top w:val="nil"/>
          <w:left w:val="nil"/>
          <w:bottom w:val="nil"/>
          <w:right w:val="nil"/>
          <w:between w:val="nil"/>
        </w:pBdr>
        <w:spacing w:after="0"/>
        <w:rPr>
          <w:rFonts w:ascii="Times New Roman" w:eastAsia="Times New Roman" w:hAnsi="Times New Roman" w:cs="Times New Roman"/>
          <w:sz w:val="24"/>
          <w:szCs w:val="24"/>
          <w:highlight w:val="white"/>
        </w:rPr>
      </w:pPr>
      <w:r w:rsidRPr="00E45065">
        <w:rPr>
          <w:rFonts w:ascii="Times New Roman" w:eastAsia="Times New Roman" w:hAnsi="Times New Roman" w:cs="Times New Roman"/>
          <w:sz w:val="24"/>
          <w:szCs w:val="24"/>
          <w:highlight w:val="white"/>
        </w:rPr>
        <w:t xml:space="preserve">Ragab, A., Kaid, A. ., &amp; Sayed, A. K. . (2024). Enhancing Higher Order Thinking Skills (HOTS) in Education: Strategies and Outcomes. </w:t>
      </w:r>
      <w:r w:rsidRPr="00E45065">
        <w:rPr>
          <w:rFonts w:ascii="Times New Roman" w:eastAsia="Times New Roman" w:hAnsi="Times New Roman" w:cs="Times New Roman"/>
          <w:i/>
          <w:sz w:val="24"/>
          <w:szCs w:val="24"/>
          <w:highlight w:val="white"/>
        </w:rPr>
        <w:t>TOFEDU: The Future of Education Journal</w:t>
      </w:r>
      <w:r w:rsidRPr="00E45065">
        <w:rPr>
          <w:rFonts w:ascii="Times New Roman" w:eastAsia="Times New Roman" w:hAnsi="Times New Roman" w:cs="Times New Roman"/>
          <w:sz w:val="24"/>
          <w:szCs w:val="24"/>
          <w:highlight w:val="white"/>
        </w:rPr>
        <w:t xml:space="preserve">, </w:t>
      </w:r>
      <w:r w:rsidRPr="00E45065">
        <w:rPr>
          <w:rFonts w:ascii="Times New Roman" w:eastAsia="Times New Roman" w:hAnsi="Times New Roman" w:cs="Times New Roman"/>
          <w:i/>
          <w:sz w:val="24"/>
          <w:szCs w:val="24"/>
          <w:highlight w:val="white"/>
        </w:rPr>
        <w:t>3</w:t>
      </w:r>
      <w:r w:rsidRPr="00E45065">
        <w:rPr>
          <w:rFonts w:ascii="Times New Roman" w:eastAsia="Times New Roman" w:hAnsi="Times New Roman" w:cs="Times New Roman"/>
          <w:sz w:val="24"/>
          <w:szCs w:val="24"/>
          <w:highlight w:val="white"/>
        </w:rPr>
        <w:t xml:space="preserve">(5), 1488–1499. </w:t>
      </w:r>
      <w:hyperlink r:id="rId12">
        <w:r w:rsidRPr="00E45065">
          <w:rPr>
            <w:rFonts w:ascii="Times New Roman" w:eastAsia="Times New Roman" w:hAnsi="Times New Roman" w:cs="Times New Roman"/>
            <w:color w:val="1155CC"/>
            <w:sz w:val="24"/>
            <w:szCs w:val="24"/>
            <w:highlight w:val="white"/>
            <w:u w:val="single"/>
          </w:rPr>
          <w:t>https://doi.org/10.61445/tofedu.v3i5.267</w:t>
        </w:r>
      </w:hyperlink>
    </w:p>
    <w:p w:rsidR="00453C85" w:rsidRPr="00E45065" w:rsidRDefault="00453C85" w:rsidP="00453C85">
      <w:pPr>
        <w:numPr>
          <w:ilvl w:val="0"/>
          <w:numId w:val="10"/>
        </w:numPr>
        <w:pBdr>
          <w:top w:val="nil"/>
          <w:left w:val="nil"/>
          <w:bottom w:val="nil"/>
          <w:right w:val="nil"/>
          <w:between w:val="nil"/>
        </w:pBdr>
        <w:spacing w:after="0"/>
        <w:jc w:val="both"/>
        <w:rPr>
          <w:rFonts w:ascii="Times New Roman" w:eastAsia="Times New Roman" w:hAnsi="Times New Roman" w:cs="Times New Roman"/>
          <w:sz w:val="24"/>
          <w:szCs w:val="24"/>
          <w:highlight w:val="white"/>
        </w:rPr>
      </w:pPr>
      <w:r w:rsidRPr="00E45065">
        <w:rPr>
          <w:rFonts w:ascii="Times New Roman" w:eastAsia="Times New Roman" w:hAnsi="Times New Roman" w:cs="Times New Roman"/>
          <w:sz w:val="24"/>
          <w:szCs w:val="24"/>
          <w:highlight w:val="white"/>
        </w:rPr>
        <w:t xml:space="preserve">World Economic Forum. (2020). The Future of Jobs Report 2020 | World Economic Forum. The Future of Jobs Report, October, 1163. </w:t>
      </w:r>
      <w:hyperlink r:id="rId13">
        <w:r w:rsidRPr="00E45065">
          <w:rPr>
            <w:rFonts w:ascii="Times New Roman" w:eastAsia="Times New Roman" w:hAnsi="Times New Roman" w:cs="Times New Roman"/>
            <w:color w:val="1155CC"/>
            <w:sz w:val="24"/>
            <w:szCs w:val="24"/>
            <w:highlight w:val="white"/>
            <w:u w:val="single"/>
          </w:rPr>
          <w:t>https://www.weforum.org/reports/the-future-of-jobs-report-2020/digest</w:t>
        </w:r>
      </w:hyperlink>
    </w:p>
    <w:p w:rsidR="00453C85" w:rsidRPr="00E45065" w:rsidRDefault="00844CB7" w:rsidP="00453C85">
      <w:pPr>
        <w:numPr>
          <w:ilvl w:val="0"/>
          <w:numId w:val="10"/>
        </w:numPr>
        <w:shd w:val="clear" w:color="auto" w:fill="FFFFFF"/>
        <w:spacing w:after="0"/>
        <w:jc w:val="both"/>
        <w:rPr>
          <w:rFonts w:ascii="Times New Roman" w:eastAsia="Times New Roman" w:hAnsi="Times New Roman" w:cs="Times New Roman"/>
          <w:sz w:val="24"/>
          <w:szCs w:val="24"/>
          <w:highlight w:val="white"/>
        </w:rPr>
      </w:pPr>
      <w:sdt>
        <w:sdtPr>
          <w:rPr>
            <w:rFonts w:ascii="Times New Roman" w:hAnsi="Times New Roman" w:cs="Times New Roman"/>
            <w:sz w:val="24"/>
            <w:szCs w:val="24"/>
          </w:rPr>
          <w:tag w:val="goog_rdk_0"/>
          <w:id w:val="-705983308"/>
        </w:sdtPr>
        <w:sdtEndPr/>
        <w:sdtContent>
          <w:r w:rsidR="00453C85" w:rsidRPr="00E45065">
            <w:rPr>
              <w:rFonts w:ascii="Times New Roman" w:eastAsia="Gungsuh" w:hAnsi="Times New Roman" w:cs="Times New Roman"/>
              <w:color w:val="2E2E2E"/>
              <w:sz w:val="24"/>
              <w:szCs w:val="24"/>
              <w:highlight w:val="white"/>
            </w:rPr>
            <w:t xml:space="preserve">Zohar, A. ∙ Dori, Y.J.Higher order thinking skills and low-achieving students: are they mutually exclusive? </w:t>
          </w:r>
        </w:sdtContent>
      </w:sdt>
      <w:r w:rsidR="00453C85" w:rsidRPr="00E45065">
        <w:rPr>
          <w:rFonts w:ascii="Times New Roman" w:eastAsia="Times New Roman" w:hAnsi="Times New Roman" w:cs="Times New Roman"/>
          <w:i/>
          <w:color w:val="2E2E2E"/>
          <w:sz w:val="24"/>
          <w:szCs w:val="24"/>
          <w:highlight w:val="white"/>
        </w:rPr>
        <w:t>J. Learn. Sci.</w:t>
      </w:r>
      <w:r w:rsidR="00453C85" w:rsidRPr="00E45065">
        <w:rPr>
          <w:rFonts w:ascii="Times New Roman" w:eastAsia="Times New Roman" w:hAnsi="Times New Roman" w:cs="Times New Roman"/>
          <w:color w:val="2E2E2E"/>
          <w:sz w:val="24"/>
          <w:szCs w:val="24"/>
          <w:highlight w:val="white"/>
        </w:rPr>
        <w:t xml:space="preserve"> 2003; 12:145-181</w:t>
      </w:r>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2E2E2E"/>
          <w:sz w:val="24"/>
          <w:szCs w:val="24"/>
          <w:highlight w:val="white"/>
        </w:rPr>
      </w:pPr>
      <w:r w:rsidRPr="00E45065">
        <w:rPr>
          <w:rFonts w:ascii="Times New Roman" w:eastAsia="Times New Roman" w:hAnsi="Times New Roman" w:cs="Times New Roman"/>
          <w:color w:val="2E2E2E"/>
          <w:sz w:val="24"/>
          <w:szCs w:val="24"/>
          <w:highlight w:val="white"/>
        </w:rPr>
        <w:t>Widiyatmoko,  A.  (2021).  The  Effectiveness  of Google  Classroom  as  a  Tool  to  Support Online   Science   Learning:   a   Literature Review. Journal   of   Physics:   Conference Series, 1918 052069.</w:t>
      </w:r>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2E2E2E"/>
          <w:sz w:val="24"/>
          <w:szCs w:val="24"/>
          <w:highlight w:val="white"/>
        </w:rPr>
      </w:pPr>
      <w:r w:rsidRPr="00E45065">
        <w:rPr>
          <w:rFonts w:ascii="Times New Roman" w:eastAsia="Times New Roman" w:hAnsi="Times New Roman" w:cs="Times New Roman"/>
          <w:color w:val="2E2E2E"/>
          <w:sz w:val="24"/>
          <w:szCs w:val="24"/>
          <w:highlight w:val="white"/>
        </w:rPr>
        <w:t>Hernawati,   K.(2012).   Pengenalan   teknologi sejak dini dengan belajar sambil bermain melalui  Smartphone.Prosiding  Kontribusi Pendidikan   Matematika   Dan   Matematika Dalam   Membangun   Karakter   Guru   Dan Siswa, 978-979</w:t>
      </w:r>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2E2E2E"/>
          <w:sz w:val="24"/>
          <w:szCs w:val="24"/>
          <w:highlight w:val="white"/>
        </w:rPr>
      </w:pPr>
      <w:r w:rsidRPr="00E45065">
        <w:rPr>
          <w:rFonts w:ascii="Times New Roman" w:eastAsia="Times New Roman" w:hAnsi="Times New Roman" w:cs="Times New Roman"/>
          <w:color w:val="2E2E2E"/>
          <w:sz w:val="24"/>
          <w:szCs w:val="24"/>
          <w:highlight w:val="white"/>
        </w:rPr>
        <w:t>Monteiro, M., Stari, C., Cabeza, C., &amp; Marti, A.C. (2015). The Atwood machine revisited using smartphones. The Physics Teacher,53(6), 373-374.</w:t>
      </w:r>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2E2E2E"/>
          <w:sz w:val="24"/>
          <w:szCs w:val="24"/>
          <w:highlight w:val="white"/>
        </w:rPr>
      </w:pPr>
      <w:r w:rsidRPr="00E45065">
        <w:rPr>
          <w:rFonts w:ascii="Times New Roman" w:eastAsia="Times New Roman" w:hAnsi="Times New Roman" w:cs="Times New Roman"/>
          <w:color w:val="2E2E2E"/>
          <w:sz w:val="24"/>
          <w:szCs w:val="24"/>
          <w:highlight w:val="white"/>
        </w:rPr>
        <w:t>Murphy,   R.,   Gallagher,   L.,   Krumm,   A.   E., Mislevy, J., &amp; Hafter, A. (2014). Research on  the  use  of  Khan  Academy  in  schools:Implementation report.</w:t>
      </w:r>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2E2E2E"/>
          <w:sz w:val="24"/>
          <w:szCs w:val="24"/>
          <w:highlight w:val="white"/>
        </w:rPr>
      </w:pPr>
      <w:r w:rsidRPr="00E45065">
        <w:rPr>
          <w:rFonts w:ascii="Times New Roman" w:eastAsia="Times New Roman" w:hAnsi="Times New Roman" w:cs="Times New Roman"/>
          <w:color w:val="333333"/>
          <w:sz w:val="24"/>
          <w:szCs w:val="24"/>
          <w:highlight w:val="white"/>
        </w:rPr>
        <w:t xml:space="preserve">Barak, M., &amp; Dori, Y. J. (2009). Enhancing Higher Order Thinking Skills Among Inservice Science Teachers Via Embedded Assessment. </w:t>
      </w:r>
      <w:r w:rsidRPr="00E45065">
        <w:rPr>
          <w:rFonts w:ascii="Times New Roman" w:eastAsia="Times New Roman" w:hAnsi="Times New Roman" w:cs="Times New Roman"/>
          <w:i/>
          <w:color w:val="333333"/>
          <w:sz w:val="24"/>
          <w:szCs w:val="24"/>
          <w:highlight w:val="white"/>
        </w:rPr>
        <w:t>Journal of Science Teacher Education</w:t>
      </w:r>
      <w:r w:rsidRPr="00E45065">
        <w:rPr>
          <w:rFonts w:ascii="Times New Roman" w:eastAsia="Times New Roman" w:hAnsi="Times New Roman" w:cs="Times New Roman"/>
          <w:color w:val="333333"/>
          <w:sz w:val="24"/>
          <w:szCs w:val="24"/>
          <w:highlight w:val="white"/>
        </w:rPr>
        <w:t xml:space="preserve">, </w:t>
      </w:r>
      <w:r w:rsidRPr="00E45065">
        <w:rPr>
          <w:rFonts w:ascii="Times New Roman" w:eastAsia="Times New Roman" w:hAnsi="Times New Roman" w:cs="Times New Roman"/>
          <w:i/>
          <w:color w:val="333333"/>
          <w:sz w:val="24"/>
          <w:szCs w:val="24"/>
          <w:highlight w:val="white"/>
        </w:rPr>
        <w:t>20</w:t>
      </w:r>
      <w:r w:rsidRPr="00E45065">
        <w:rPr>
          <w:rFonts w:ascii="Times New Roman" w:eastAsia="Times New Roman" w:hAnsi="Times New Roman" w:cs="Times New Roman"/>
          <w:color w:val="333333"/>
          <w:sz w:val="24"/>
          <w:szCs w:val="24"/>
          <w:highlight w:val="white"/>
        </w:rPr>
        <w:t xml:space="preserve">(5), 459–474. </w:t>
      </w:r>
      <w:hyperlink r:id="rId14">
        <w:r w:rsidRPr="00E45065">
          <w:rPr>
            <w:rFonts w:ascii="Times New Roman" w:eastAsia="Times New Roman" w:hAnsi="Times New Roman" w:cs="Times New Roman"/>
            <w:color w:val="1155CC"/>
            <w:sz w:val="24"/>
            <w:szCs w:val="24"/>
            <w:highlight w:val="white"/>
            <w:u w:val="single"/>
          </w:rPr>
          <w:t>https://doi.org/10.1007/s10972-009-9141-z</w:t>
        </w:r>
      </w:hyperlink>
    </w:p>
    <w:p w:rsidR="00453C85" w:rsidRPr="00E45065" w:rsidRDefault="00453C85" w:rsidP="00453C85">
      <w:pPr>
        <w:numPr>
          <w:ilvl w:val="0"/>
          <w:numId w:val="10"/>
        </w:numPr>
        <w:shd w:val="clear" w:color="auto" w:fill="FFFFFF"/>
        <w:spacing w:after="0"/>
        <w:jc w:val="both"/>
        <w:rPr>
          <w:rFonts w:ascii="Times New Roman" w:eastAsia="Times New Roman" w:hAnsi="Times New Roman" w:cs="Times New Roman"/>
          <w:color w:val="333333"/>
          <w:sz w:val="24"/>
          <w:szCs w:val="24"/>
          <w:highlight w:val="white"/>
        </w:rPr>
      </w:pPr>
      <w:r w:rsidRPr="00E45065">
        <w:rPr>
          <w:rFonts w:ascii="Times New Roman" w:eastAsia="Times New Roman" w:hAnsi="Times New Roman" w:cs="Times New Roman"/>
          <w:color w:val="333333"/>
          <w:sz w:val="24"/>
          <w:szCs w:val="24"/>
          <w:highlight w:val="white"/>
        </w:rPr>
        <w:t xml:space="preserve">Madhuri, G. V., Kantamreddi, V. S. S. N., &amp; Prakash Goteti, L. N. S. (2012). Promoting higher order thinking skills using inquiry-based learning. </w:t>
      </w:r>
      <w:r w:rsidRPr="00E45065">
        <w:rPr>
          <w:rFonts w:ascii="Times New Roman" w:eastAsia="Times New Roman" w:hAnsi="Times New Roman" w:cs="Times New Roman"/>
          <w:i/>
          <w:color w:val="333333"/>
          <w:sz w:val="24"/>
          <w:szCs w:val="24"/>
          <w:highlight w:val="white"/>
        </w:rPr>
        <w:t>European Journal of Engineering Education</w:t>
      </w:r>
      <w:r w:rsidRPr="00E45065">
        <w:rPr>
          <w:rFonts w:ascii="Times New Roman" w:eastAsia="Times New Roman" w:hAnsi="Times New Roman" w:cs="Times New Roman"/>
          <w:color w:val="333333"/>
          <w:sz w:val="24"/>
          <w:szCs w:val="24"/>
          <w:highlight w:val="white"/>
        </w:rPr>
        <w:t xml:space="preserve">, </w:t>
      </w:r>
      <w:r w:rsidRPr="00E45065">
        <w:rPr>
          <w:rFonts w:ascii="Times New Roman" w:eastAsia="Times New Roman" w:hAnsi="Times New Roman" w:cs="Times New Roman"/>
          <w:i/>
          <w:color w:val="333333"/>
          <w:sz w:val="24"/>
          <w:szCs w:val="24"/>
          <w:highlight w:val="white"/>
        </w:rPr>
        <w:t>37</w:t>
      </w:r>
      <w:r w:rsidRPr="00E45065">
        <w:rPr>
          <w:rFonts w:ascii="Times New Roman" w:eastAsia="Times New Roman" w:hAnsi="Times New Roman" w:cs="Times New Roman"/>
          <w:color w:val="333333"/>
          <w:sz w:val="24"/>
          <w:szCs w:val="24"/>
          <w:highlight w:val="white"/>
        </w:rPr>
        <w:t>(2), 117–123. https://doi.org/10.1080/03043797.2012.661701</w:t>
      </w:r>
    </w:p>
    <w:p w:rsidR="00453C85" w:rsidRPr="00E45065" w:rsidRDefault="00453C85" w:rsidP="00453C85">
      <w:pPr>
        <w:pBdr>
          <w:top w:val="nil"/>
          <w:left w:val="nil"/>
          <w:bottom w:val="nil"/>
          <w:right w:val="nil"/>
          <w:between w:val="nil"/>
        </w:pBdr>
        <w:spacing w:after="0"/>
        <w:jc w:val="both"/>
        <w:rPr>
          <w:rFonts w:ascii="Times New Roman" w:eastAsia="Times New Roman" w:hAnsi="Times New Roman" w:cs="Times New Roman"/>
          <w:sz w:val="24"/>
          <w:szCs w:val="24"/>
          <w:shd w:val="clear" w:color="auto" w:fill="EAD1DC"/>
        </w:rPr>
      </w:pPr>
    </w:p>
    <w:sectPr w:rsidR="00453C85" w:rsidRPr="00E45065" w:rsidSect="003253F6">
      <w:footerReference w:type="default" r:id="rId15"/>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B7" w:rsidRDefault="00844CB7" w:rsidP="00BD0410">
      <w:pPr>
        <w:spacing w:after="0" w:line="240" w:lineRule="auto"/>
      </w:pPr>
      <w:r>
        <w:separator/>
      </w:r>
    </w:p>
  </w:endnote>
  <w:endnote w:type="continuationSeparator" w:id="0">
    <w:p w:rsidR="00844CB7" w:rsidRDefault="00844CB7" w:rsidP="00BD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ngsuh">
    <w:altName w:val="Malgun Gothic Semilight"/>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587358"/>
      <w:docPartObj>
        <w:docPartGallery w:val="Page Numbers (Bottom of Page)"/>
        <w:docPartUnique/>
      </w:docPartObj>
    </w:sdtPr>
    <w:sdtEndPr>
      <w:rPr>
        <w:noProof/>
      </w:rPr>
    </w:sdtEndPr>
    <w:sdtContent>
      <w:p w:rsidR="00BD0410" w:rsidRDefault="00BD0410">
        <w:pPr>
          <w:pStyle w:val="Footer"/>
          <w:jc w:val="center"/>
        </w:pPr>
        <w:r>
          <w:fldChar w:fldCharType="begin"/>
        </w:r>
        <w:r>
          <w:instrText xml:space="preserve"> PAGE   \* MERGEFORMAT </w:instrText>
        </w:r>
        <w:r>
          <w:fldChar w:fldCharType="separate"/>
        </w:r>
        <w:r w:rsidR="00844CB7">
          <w:rPr>
            <w:noProof/>
          </w:rPr>
          <w:t>1</w:t>
        </w:r>
        <w:r>
          <w:rPr>
            <w:noProof/>
          </w:rPr>
          <w:fldChar w:fldCharType="end"/>
        </w:r>
      </w:p>
    </w:sdtContent>
  </w:sdt>
  <w:p w:rsidR="00BD0410" w:rsidRDefault="00BD0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B7" w:rsidRDefault="00844CB7" w:rsidP="00BD0410">
      <w:pPr>
        <w:spacing w:after="0" w:line="240" w:lineRule="auto"/>
      </w:pPr>
      <w:r>
        <w:separator/>
      </w:r>
    </w:p>
  </w:footnote>
  <w:footnote w:type="continuationSeparator" w:id="0">
    <w:p w:rsidR="00844CB7" w:rsidRDefault="00844CB7" w:rsidP="00BD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451033"/>
    <w:multiLevelType w:val="multilevel"/>
    <w:tmpl w:val="6FCA3A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517C"/>
    <w:rsid w:val="00034616"/>
    <w:rsid w:val="0003674D"/>
    <w:rsid w:val="0006063C"/>
    <w:rsid w:val="000E68A0"/>
    <w:rsid w:val="000F5337"/>
    <w:rsid w:val="0015074B"/>
    <w:rsid w:val="0029639D"/>
    <w:rsid w:val="002A6B36"/>
    <w:rsid w:val="003253F6"/>
    <w:rsid w:val="00326F90"/>
    <w:rsid w:val="00453C85"/>
    <w:rsid w:val="004D67DD"/>
    <w:rsid w:val="00520567"/>
    <w:rsid w:val="005E4931"/>
    <w:rsid w:val="006E06C7"/>
    <w:rsid w:val="007A0A99"/>
    <w:rsid w:val="00844CB7"/>
    <w:rsid w:val="00916AE4"/>
    <w:rsid w:val="00AA1D8D"/>
    <w:rsid w:val="00B24549"/>
    <w:rsid w:val="00B47730"/>
    <w:rsid w:val="00BA4407"/>
    <w:rsid w:val="00BD0410"/>
    <w:rsid w:val="00C7765E"/>
    <w:rsid w:val="00C84EBB"/>
    <w:rsid w:val="00CB0664"/>
    <w:rsid w:val="00D40AC9"/>
    <w:rsid w:val="00E45065"/>
    <w:rsid w:val="00E6252D"/>
    <w:rsid w:val="00F1302C"/>
    <w:rsid w:val="00FC693F"/>
    <w:rsid w:val="00FD7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12F6C"/>
  <w14:defaultImageDpi w14:val="300"/>
  <w15:docId w15:val="{9A985D77-AF7F-4F57-A87E-9F107BCC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6AE4"/>
    <w:rPr>
      <w:color w:val="0000FF" w:themeColor="hyperlink"/>
      <w:u w:val="single"/>
    </w:rPr>
  </w:style>
  <w:style w:type="character" w:customStyle="1" w:styleId="UnresolvedMention">
    <w:name w:val="Unresolved Mention"/>
    <w:basedOn w:val="DefaultParagraphFont"/>
    <w:uiPriority w:val="99"/>
    <w:semiHidden/>
    <w:unhideWhenUsed/>
    <w:rsid w:val="0091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lyn.una002@deped.gov.ph" TargetMode="External"/><Relationship Id="rId13" Type="http://schemas.openxmlformats.org/officeDocument/2006/relationships/hyperlink" Target="https://www.weforum.org/reports/the-future-of-jobs-report-2020/dig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1445/tofedu.v3i5.2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rothink.org/journal/index.php/ire/article/view/216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ecd.org/en/publications/fostering-higher-order-thinking-skills-online-in-higher-education_84f7756a-en.html" TargetMode="External"/><Relationship Id="rId4" Type="http://schemas.openxmlformats.org/officeDocument/2006/relationships/settings" Target="settings.xml"/><Relationship Id="rId9" Type="http://schemas.openxmlformats.org/officeDocument/2006/relationships/hyperlink" Target="mailto:aileen.lagarde@deped.gov.ph" TargetMode="External"/><Relationship Id="rId14" Type="http://schemas.openxmlformats.org/officeDocument/2006/relationships/hyperlink" Target="https://doi.org/10.1007/s10972-009-914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87D3-F4DF-4C37-9D8A-E9F52132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2321</Words>
  <Characters>13233</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Abstract</vt:lpstr>
      <vt:lpstr>Introduction</vt:lpstr>
      <vt:lpstr>Materials and Methods</vt:lpstr>
      <vt:lpstr>Results and Discussion</vt:lpstr>
      <vt:lpstr>Conclusion</vt:lpstr>
      <vt:lpstr>References</vt:lpstr>
    </vt:vector>
  </TitlesOfParts>
  <Manager/>
  <Company/>
  <LinksUpToDate>false</LinksUpToDate>
  <CharactersWithSpaces>15523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Teacher</cp:lastModifiedBy>
  <cp:revision>20</cp:revision>
  <dcterms:created xsi:type="dcterms:W3CDTF">2013-12-23T23:15:00Z</dcterms:created>
  <dcterms:modified xsi:type="dcterms:W3CDTF">2026-05-29T23:48:00Z</dcterms:modified>
  <cp:category/>
</cp:coreProperties>
</file>