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49F1" w14:textId="5A2FFF2B" w:rsidR="00063252" w:rsidRPr="000A066C" w:rsidRDefault="00063252" w:rsidP="00063252">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14:ligatures w14:val="none"/>
        </w:rPr>
      </w:pPr>
      <w:r w:rsidRPr="000A066C">
        <w:rPr>
          <w:rFonts w:ascii="Times New Roman" w:eastAsia="Times New Roman" w:hAnsi="Times New Roman" w:cs="Times New Roman"/>
          <w:b/>
          <w:bCs/>
          <w:kern w:val="0"/>
          <w:sz w:val="36"/>
          <w:szCs w:val="36"/>
          <w14:ligatures w14:val="none"/>
        </w:rPr>
        <w:t xml:space="preserve">A Participatory Model for Sustainable Branding of Heritage SMEs: Digital Communication and AI Empowerment in Batik </w:t>
      </w:r>
      <w:proofErr w:type="spellStart"/>
      <w:r w:rsidRPr="000A066C">
        <w:rPr>
          <w:rFonts w:ascii="Times New Roman" w:eastAsia="Times New Roman" w:hAnsi="Times New Roman" w:cs="Times New Roman"/>
          <w:b/>
          <w:bCs/>
          <w:kern w:val="0"/>
          <w:sz w:val="36"/>
          <w:szCs w:val="36"/>
          <w14:ligatures w14:val="none"/>
        </w:rPr>
        <w:t>Lasem</w:t>
      </w:r>
      <w:proofErr w:type="spellEnd"/>
    </w:p>
    <w:p w14:paraId="6B384007" w14:textId="13656C22" w:rsidR="00901F29" w:rsidRPr="00901F29" w:rsidRDefault="00901F29" w:rsidP="00901F29">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lang w:val="en-US"/>
          <w14:ligatures w14:val="none"/>
        </w:rPr>
      </w:pPr>
    </w:p>
    <w:p w14:paraId="1AC0B79C" w14:textId="4EA7DF8E" w:rsidR="00BB0CB0" w:rsidRPr="00BB0CB0" w:rsidRDefault="00063252" w:rsidP="00BB0CB0">
      <w:pPr>
        <w:widowControl w:val="0"/>
        <w:autoSpaceDE w:val="0"/>
        <w:autoSpaceDN w:val="0"/>
        <w:spacing w:after="0" w:line="240" w:lineRule="auto"/>
        <w:jc w:val="center"/>
        <w:rPr>
          <w:rFonts w:ascii="Times New Roman" w:eastAsia="Times New Roman" w:hAnsi="Times New Roman" w:cs="Times New Roman"/>
          <w:b/>
          <w:spacing w:val="-2"/>
          <w:kern w:val="0"/>
          <w:sz w:val="24"/>
          <w:szCs w:val="24"/>
          <w14:ligatures w14:val="none"/>
        </w:rPr>
      </w:pPr>
      <w:r w:rsidRPr="000A066C">
        <w:rPr>
          <w:rFonts w:ascii="Times New Roman" w:eastAsia="Times New Roman" w:hAnsi="Times New Roman" w:cs="Times New Roman"/>
          <w:b/>
          <w:spacing w:val="-2"/>
          <w:kern w:val="0"/>
          <w:sz w:val="24"/>
          <w:szCs w:val="24"/>
          <w:lang w:val="en-US"/>
          <w14:ligatures w14:val="none"/>
        </w:rPr>
        <w:t>Ganjar wibowo</w:t>
      </w:r>
      <w:r w:rsidR="00BB0CB0">
        <w:rPr>
          <w:rFonts w:ascii="Times New Roman" w:eastAsia="Times New Roman" w:hAnsi="Times New Roman" w:cs="Times New Roman"/>
          <w:b/>
          <w:spacing w:val="-2"/>
          <w:kern w:val="0"/>
          <w:sz w:val="24"/>
          <w:szCs w:val="24"/>
          <w:lang w:val="en-US"/>
          <w14:ligatures w14:val="none"/>
        </w:rPr>
        <w:t>¹</w:t>
      </w:r>
      <w:r w:rsidR="005E7067">
        <w:rPr>
          <w:rFonts w:ascii="Times New Roman" w:eastAsia="Times New Roman" w:hAnsi="Times New Roman" w:cs="Times New Roman"/>
          <w:b/>
          <w:spacing w:val="-2"/>
          <w:kern w:val="0"/>
          <w:sz w:val="24"/>
          <w:szCs w:val="24"/>
          <w:lang w:val="en-US"/>
          <w14:ligatures w14:val="none"/>
        </w:rPr>
        <w:t>*</w:t>
      </w:r>
      <w:r w:rsidR="00BB0CB0">
        <w:rPr>
          <w:rFonts w:ascii="Times New Roman" w:eastAsia="Times New Roman" w:hAnsi="Times New Roman" w:cs="Times New Roman"/>
          <w:b/>
          <w:spacing w:val="-2"/>
          <w:kern w:val="0"/>
          <w:sz w:val="24"/>
          <w:szCs w:val="24"/>
          <w:lang w:val="en-US"/>
          <w14:ligatures w14:val="none"/>
        </w:rPr>
        <w:t xml:space="preserve">, </w:t>
      </w:r>
      <w:proofErr w:type="spellStart"/>
      <w:r w:rsidR="00BB0CB0">
        <w:rPr>
          <w:rFonts w:ascii="Times New Roman" w:eastAsia="Times New Roman" w:hAnsi="Times New Roman" w:cs="Times New Roman"/>
          <w:b/>
          <w:spacing w:val="-2"/>
          <w:kern w:val="0"/>
          <w:sz w:val="24"/>
          <w:szCs w:val="24"/>
          <w:lang w:val="en-US"/>
          <w14:ligatures w14:val="none"/>
        </w:rPr>
        <w:t>Usep</w:t>
      </w:r>
      <w:proofErr w:type="spellEnd"/>
      <w:r w:rsidR="00BB0CB0">
        <w:rPr>
          <w:rFonts w:ascii="Times New Roman" w:eastAsia="Times New Roman" w:hAnsi="Times New Roman" w:cs="Times New Roman"/>
          <w:b/>
          <w:spacing w:val="-2"/>
          <w:kern w:val="0"/>
          <w:sz w:val="24"/>
          <w:szCs w:val="24"/>
          <w:lang w:val="en-US"/>
          <w14:ligatures w14:val="none"/>
        </w:rPr>
        <w:t xml:space="preserve"> Suhud², </w:t>
      </w:r>
      <w:r w:rsidR="00BB0CB0" w:rsidRPr="00BB0CB0">
        <w:rPr>
          <w:rFonts w:ascii="Times New Roman" w:eastAsia="Times New Roman" w:hAnsi="Times New Roman" w:cs="Times New Roman"/>
          <w:b/>
          <w:spacing w:val="-2"/>
          <w:kern w:val="0"/>
          <w:sz w:val="24"/>
          <w:szCs w:val="24"/>
          <w14:ligatures w14:val="none"/>
        </w:rPr>
        <w:t>Annisa Retno Utami</w:t>
      </w:r>
      <w:r w:rsidR="00BB0CB0">
        <w:rPr>
          <w:rFonts w:ascii="Times New Roman" w:eastAsia="Times New Roman" w:hAnsi="Times New Roman" w:cs="Times New Roman"/>
          <w:b/>
          <w:spacing w:val="-2"/>
          <w:kern w:val="0"/>
          <w:sz w:val="24"/>
          <w:szCs w:val="24"/>
          <w:lang w:val="en-US"/>
          <w14:ligatures w14:val="none"/>
        </w:rPr>
        <w:t xml:space="preserve">³, </w:t>
      </w:r>
      <w:r w:rsidR="00BB0CB0" w:rsidRPr="00BB0CB0">
        <w:rPr>
          <w:rFonts w:ascii="Times New Roman" w:eastAsia="Times New Roman" w:hAnsi="Times New Roman" w:cs="Times New Roman"/>
          <w:b/>
          <w:spacing w:val="-2"/>
          <w:kern w:val="0"/>
          <w:sz w:val="24"/>
          <w:szCs w:val="24"/>
          <w14:ligatures w14:val="none"/>
        </w:rPr>
        <w:t>Arina Rubiyasih</w:t>
      </w:r>
      <w:r w:rsidR="00BB0CB0" w:rsidRPr="00BB0CB0">
        <w:rPr>
          <w:rFonts w:ascii="Times New Roman" w:eastAsia="Times New Roman" w:hAnsi="Times New Roman" w:cs="Times New Roman"/>
          <w:b/>
          <w:spacing w:val="-2"/>
          <w:kern w:val="0"/>
          <w:sz w:val="24"/>
          <w:szCs w:val="24"/>
          <w:vertAlign w:val="superscript"/>
          <w:lang w:val="en-US"/>
          <w14:ligatures w14:val="none"/>
        </w:rPr>
        <w:t>4</w:t>
      </w:r>
      <w:r w:rsidR="00BB0CB0">
        <w:rPr>
          <w:rFonts w:ascii="Times New Roman" w:eastAsia="Times New Roman" w:hAnsi="Times New Roman" w:cs="Times New Roman"/>
          <w:b/>
          <w:spacing w:val="-2"/>
          <w:kern w:val="0"/>
          <w:sz w:val="24"/>
          <w:szCs w:val="24"/>
          <w:lang w:val="en-US"/>
          <w14:ligatures w14:val="none"/>
        </w:rPr>
        <w:t xml:space="preserve">, </w:t>
      </w:r>
      <w:r w:rsidR="00BB0CB0" w:rsidRPr="00BB0CB0">
        <w:rPr>
          <w:rFonts w:ascii="Times New Roman" w:eastAsia="Times New Roman" w:hAnsi="Times New Roman" w:cs="Times New Roman"/>
          <w:b/>
          <w:spacing w:val="-2"/>
          <w:kern w:val="0"/>
          <w:sz w:val="24"/>
          <w:szCs w:val="24"/>
          <w14:ligatures w14:val="none"/>
        </w:rPr>
        <w:t>Sih Natalia Sukmi</w:t>
      </w:r>
      <w:r w:rsidR="00BB0CB0" w:rsidRPr="00BB0CB0">
        <w:rPr>
          <w:rFonts w:ascii="Times New Roman" w:eastAsia="Times New Roman" w:hAnsi="Times New Roman" w:cs="Times New Roman"/>
          <w:b/>
          <w:spacing w:val="-2"/>
          <w:kern w:val="0"/>
          <w:sz w:val="24"/>
          <w:szCs w:val="24"/>
          <w:vertAlign w:val="superscript"/>
          <w:lang w:val="en-US"/>
          <w14:ligatures w14:val="none"/>
        </w:rPr>
        <w:t>5</w:t>
      </w:r>
      <w:r w:rsidR="00BB0CB0">
        <w:rPr>
          <w:rFonts w:ascii="Times New Roman" w:eastAsia="Times New Roman" w:hAnsi="Times New Roman" w:cs="Times New Roman"/>
          <w:b/>
          <w:spacing w:val="-2"/>
          <w:kern w:val="0"/>
          <w:sz w:val="24"/>
          <w:szCs w:val="24"/>
          <w:lang w:val="en-US"/>
          <w14:ligatures w14:val="none"/>
        </w:rPr>
        <w:t xml:space="preserve">, </w:t>
      </w:r>
      <w:r w:rsidR="00BB0CB0" w:rsidRPr="00BB0CB0">
        <w:rPr>
          <w:rFonts w:ascii="Times New Roman" w:eastAsia="Times New Roman" w:hAnsi="Times New Roman" w:cs="Times New Roman"/>
          <w:b/>
          <w:spacing w:val="-2"/>
          <w:kern w:val="0"/>
          <w:sz w:val="24"/>
          <w:szCs w:val="24"/>
          <w14:ligatures w14:val="none"/>
        </w:rPr>
        <w:t>Mamoon Allan</w:t>
      </w:r>
      <w:r w:rsidR="00BB0CB0" w:rsidRPr="00BB0CB0">
        <w:rPr>
          <w:rFonts w:ascii="Times New Roman" w:eastAsia="Times New Roman" w:hAnsi="Times New Roman" w:cs="Times New Roman"/>
          <w:b/>
          <w:spacing w:val="-2"/>
          <w:kern w:val="0"/>
          <w:sz w:val="24"/>
          <w:szCs w:val="24"/>
          <w:vertAlign w:val="superscript"/>
          <w14:ligatures w14:val="none"/>
        </w:rPr>
        <w:t>6</w:t>
      </w:r>
      <w:r w:rsidR="00BB0CB0">
        <w:rPr>
          <w:rFonts w:ascii="Times New Roman" w:eastAsia="Times New Roman" w:hAnsi="Times New Roman" w:cs="Times New Roman"/>
          <w:b/>
          <w:spacing w:val="-2"/>
          <w:kern w:val="0"/>
          <w:sz w:val="24"/>
          <w:szCs w:val="24"/>
          <w14:ligatures w14:val="none"/>
        </w:rPr>
        <w:t xml:space="preserve">, </w:t>
      </w:r>
      <w:r w:rsidR="00BB0CB0" w:rsidRPr="00BB0CB0">
        <w:rPr>
          <w:rFonts w:ascii="Times New Roman" w:eastAsia="Times New Roman" w:hAnsi="Times New Roman" w:cs="Times New Roman"/>
          <w:b/>
          <w:spacing w:val="-2"/>
          <w:kern w:val="0"/>
          <w:sz w:val="24"/>
          <w:szCs w:val="24"/>
          <w14:ligatures w14:val="none"/>
        </w:rPr>
        <w:t>Wong Chee Hoo</w:t>
      </w:r>
      <w:r w:rsidR="00BB0CB0" w:rsidRPr="00BB0CB0">
        <w:rPr>
          <w:rFonts w:ascii="Times New Roman" w:eastAsia="Times New Roman" w:hAnsi="Times New Roman" w:cs="Times New Roman"/>
          <w:b/>
          <w:spacing w:val="-2"/>
          <w:kern w:val="0"/>
          <w:sz w:val="24"/>
          <w:szCs w:val="24"/>
          <w:vertAlign w:val="superscript"/>
          <w14:ligatures w14:val="none"/>
        </w:rPr>
        <w:t>7</w:t>
      </w:r>
      <w:r w:rsidR="00BB0CB0">
        <w:rPr>
          <w:rFonts w:ascii="Times New Roman" w:eastAsia="Times New Roman" w:hAnsi="Times New Roman" w:cs="Times New Roman"/>
          <w:b/>
          <w:spacing w:val="-2"/>
          <w:kern w:val="0"/>
          <w:sz w:val="24"/>
          <w:szCs w:val="24"/>
          <w:lang w:val="en-US"/>
          <w14:ligatures w14:val="none"/>
        </w:rPr>
        <w:t xml:space="preserve">, </w:t>
      </w:r>
      <w:r w:rsidR="00BB0CB0" w:rsidRPr="00BB0CB0">
        <w:rPr>
          <w:rFonts w:ascii="Times New Roman" w:eastAsia="Times New Roman" w:hAnsi="Times New Roman" w:cs="Times New Roman"/>
          <w:b/>
          <w:spacing w:val="-2"/>
          <w:kern w:val="0"/>
          <w:sz w:val="24"/>
          <w:szCs w:val="24"/>
          <w14:ligatures w14:val="none"/>
        </w:rPr>
        <w:t>Doni Sugianto Sihotang</w:t>
      </w:r>
      <w:r w:rsidR="00BB0CB0" w:rsidRPr="00BB0CB0">
        <w:rPr>
          <w:rFonts w:ascii="Times New Roman" w:eastAsia="Times New Roman" w:hAnsi="Times New Roman" w:cs="Times New Roman"/>
          <w:b/>
          <w:spacing w:val="-2"/>
          <w:kern w:val="0"/>
          <w:sz w:val="24"/>
          <w:szCs w:val="24"/>
          <w:vertAlign w:val="superscript"/>
          <w14:ligatures w14:val="none"/>
        </w:rPr>
        <w:t>8</w:t>
      </w:r>
    </w:p>
    <w:p w14:paraId="67FD501D" w14:textId="6E50913E" w:rsidR="00901F29" w:rsidRPr="00901F29" w:rsidRDefault="00901F29" w:rsidP="00901F29">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p>
    <w:p w14:paraId="4635BE2B" w14:textId="47F7AD10" w:rsidR="00CF1FBA" w:rsidRPr="005B13C7" w:rsidRDefault="00BB0CB0"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1</w:t>
      </w:r>
      <w:proofErr w:type="gramStart"/>
      <w:r w:rsidR="00901F29" w:rsidRPr="00901F29">
        <w:rPr>
          <w:rFonts w:ascii="Times New Roman" w:eastAsia="Times New Roman" w:hAnsi="Times New Roman" w:cs="Times New Roman"/>
          <w:bCs/>
          <w:kern w:val="0"/>
          <w:sz w:val="24"/>
          <w:szCs w:val="24"/>
          <w:lang w:val="en-US"/>
          <w14:ligatures w14:val="none"/>
        </w:rPr>
        <w:t>Department</w:t>
      </w:r>
      <w:r w:rsidR="00901F29" w:rsidRPr="00901F29">
        <w:rPr>
          <w:rFonts w:ascii="Times New Roman" w:eastAsia="Times New Roman" w:hAnsi="Times New Roman" w:cs="Times New Roman"/>
          <w:bCs/>
          <w:spacing w:val="-3"/>
          <w:kern w:val="0"/>
          <w:sz w:val="24"/>
          <w:szCs w:val="24"/>
          <w:lang w:val="en-US"/>
          <w14:ligatures w14:val="none"/>
        </w:rPr>
        <w:t xml:space="preserve"> </w:t>
      </w:r>
      <w:r w:rsidR="00CF1FBA" w:rsidRPr="005B13C7">
        <w:rPr>
          <w:rFonts w:ascii="Times New Roman" w:eastAsia="Times New Roman" w:hAnsi="Times New Roman" w:cs="Times New Roman"/>
          <w:bCs/>
          <w:spacing w:val="-3"/>
          <w:kern w:val="0"/>
          <w:sz w:val="24"/>
          <w:szCs w:val="24"/>
          <w:lang w:val="en-US"/>
          <w14:ligatures w14:val="none"/>
        </w:rPr>
        <w:t xml:space="preserve"> of</w:t>
      </w:r>
      <w:proofErr w:type="gramEnd"/>
      <w:r w:rsidR="00CF1FBA" w:rsidRPr="005B13C7">
        <w:rPr>
          <w:rFonts w:ascii="Times New Roman" w:eastAsia="Times New Roman" w:hAnsi="Times New Roman" w:cs="Times New Roman"/>
          <w:bCs/>
          <w:spacing w:val="-3"/>
          <w:kern w:val="0"/>
          <w:sz w:val="24"/>
          <w:szCs w:val="24"/>
          <w:lang w:val="en-US"/>
          <w14:ligatures w14:val="none"/>
        </w:rPr>
        <w:t xml:space="preserve"> Communication S</w:t>
      </w:r>
      <w:r w:rsidR="00D23B5C">
        <w:rPr>
          <w:rFonts w:ascii="Times New Roman" w:eastAsia="Times New Roman" w:hAnsi="Times New Roman" w:cs="Times New Roman"/>
          <w:bCs/>
          <w:spacing w:val="-3"/>
          <w:kern w:val="0"/>
          <w:sz w:val="24"/>
          <w:szCs w:val="24"/>
          <w:lang w:val="en-US"/>
          <w14:ligatures w14:val="none"/>
        </w:rPr>
        <w:t>cience</w:t>
      </w:r>
      <w:r w:rsidR="00CF1FBA" w:rsidRPr="005B13C7">
        <w:rPr>
          <w:rFonts w:ascii="Times New Roman" w:eastAsia="Times New Roman" w:hAnsi="Times New Roman" w:cs="Times New Roman"/>
          <w:bCs/>
          <w:spacing w:val="-3"/>
          <w:kern w:val="0"/>
          <w:sz w:val="24"/>
          <w:szCs w:val="24"/>
          <w:lang w:val="en-US"/>
          <w14:ligatures w14:val="none"/>
        </w:rPr>
        <w:t xml:space="preserve">, </w:t>
      </w:r>
      <w:r w:rsidR="00CF1FBA" w:rsidRPr="005B13C7">
        <w:rPr>
          <w:rFonts w:ascii="Times New Roman" w:eastAsia="Times New Roman" w:hAnsi="Times New Roman" w:cs="Times New Roman"/>
          <w:bCs/>
          <w:kern w:val="0"/>
          <w:sz w:val="24"/>
          <w:szCs w:val="24"/>
          <w14:ligatures w14:val="none"/>
        </w:rPr>
        <w:t>Faculty of Social Science and Political Science, University of Al Azhar Indonesia, Indonesia</w:t>
      </w:r>
    </w:p>
    <w:p w14:paraId="198BFC5D" w14:textId="0B996807"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2</w:t>
      </w:r>
      <w:proofErr w:type="gramStart"/>
      <w:r w:rsidRPr="00901F29">
        <w:rPr>
          <w:rFonts w:ascii="Times New Roman" w:eastAsia="Times New Roman" w:hAnsi="Times New Roman" w:cs="Times New Roman"/>
          <w:bCs/>
          <w:kern w:val="0"/>
          <w:sz w:val="24"/>
          <w:szCs w:val="24"/>
          <w:lang w:val="en-US"/>
          <w14:ligatures w14:val="none"/>
        </w:rPr>
        <w:t>Department</w:t>
      </w:r>
      <w:r w:rsidRPr="00901F29">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spacing w:val="-3"/>
          <w:kern w:val="0"/>
          <w:sz w:val="24"/>
          <w:szCs w:val="24"/>
          <w:lang w:val="en-US"/>
          <w14:ligatures w14:val="none"/>
        </w:rPr>
        <w:t xml:space="preserve"> of</w:t>
      </w:r>
      <w:proofErr w:type="gramEnd"/>
      <w:r w:rsidRPr="005B13C7">
        <w:rPr>
          <w:rFonts w:ascii="Times New Roman" w:eastAsia="Times New Roman" w:hAnsi="Times New Roman" w:cs="Times New Roman"/>
          <w:bCs/>
          <w:spacing w:val="-3"/>
          <w:kern w:val="0"/>
          <w:sz w:val="24"/>
          <w:szCs w:val="24"/>
          <w:lang w:val="en-US"/>
          <w14:ligatures w14:val="none"/>
        </w:rPr>
        <w:t xml:space="preserve"> </w:t>
      </w:r>
      <w:r w:rsidR="005E7067" w:rsidRPr="005B13C7">
        <w:rPr>
          <w:rFonts w:ascii="Times New Roman" w:eastAsia="Times New Roman" w:hAnsi="Times New Roman" w:cs="Times New Roman"/>
          <w:bCs/>
          <w:spacing w:val="-3"/>
          <w:kern w:val="0"/>
          <w:sz w:val="24"/>
          <w:szCs w:val="24"/>
          <w:lang w:val="en-US"/>
          <w14:ligatures w14:val="none"/>
        </w:rPr>
        <w:t xml:space="preserve"> </w:t>
      </w:r>
      <w:proofErr w:type="spellStart"/>
      <w:r w:rsidR="005E7067" w:rsidRPr="005B13C7">
        <w:rPr>
          <w:rFonts w:ascii="Times New Roman" w:eastAsia="Times New Roman" w:hAnsi="Times New Roman" w:cs="Times New Roman"/>
          <w:bCs/>
          <w:spacing w:val="-3"/>
          <w:kern w:val="0"/>
          <w:sz w:val="24"/>
          <w:szCs w:val="24"/>
          <w:lang w:val="en-US"/>
          <w14:ligatures w14:val="none"/>
        </w:rPr>
        <w:t>Manjement</w:t>
      </w:r>
      <w:proofErr w:type="spellEnd"/>
      <w:r w:rsidR="005E7067" w:rsidRPr="005B13C7">
        <w:rPr>
          <w:rFonts w:ascii="Times New Roman" w:eastAsia="Times New Roman" w:hAnsi="Times New Roman" w:cs="Times New Roman"/>
          <w:bCs/>
          <w:spacing w:val="-3"/>
          <w:kern w:val="0"/>
          <w:sz w:val="24"/>
          <w:szCs w:val="24"/>
          <w:lang w:val="en-US"/>
          <w14:ligatures w14:val="none"/>
        </w:rPr>
        <w:t xml:space="preserve"> S</w:t>
      </w:r>
      <w:r w:rsidR="00D23B5C">
        <w:rPr>
          <w:rFonts w:ascii="Times New Roman" w:eastAsia="Times New Roman" w:hAnsi="Times New Roman" w:cs="Times New Roman"/>
          <w:bCs/>
          <w:spacing w:val="-3"/>
          <w:kern w:val="0"/>
          <w:sz w:val="24"/>
          <w:szCs w:val="24"/>
          <w:lang w:val="en-US"/>
          <w14:ligatures w14:val="none"/>
        </w:rPr>
        <w:t>cience</w:t>
      </w:r>
      <w:r w:rsidRPr="005B13C7">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kern w:val="0"/>
          <w:sz w:val="24"/>
          <w:szCs w:val="24"/>
          <w14:ligatures w14:val="none"/>
        </w:rPr>
        <w:t>Faculty of Economics and Business, Universitas Negeri Jakarta, Indonesia</w:t>
      </w:r>
    </w:p>
    <w:p w14:paraId="2A5D2A8B" w14:textId="21737DF3"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3</w:t>
      </w:r>
      <w:proofErr w:type="gramStart"/>
      <w:r w:rsidRPr="00901F29">
        <w:rPr>
          <w:rFonts w:ascii="Times New Roman" w:eastAsia="Times New Roman" w:hAnsi="Times New Roman" w:cs="Times New Roman"/>
          <w:bCs/>
          <w:kern w:val="0"/>
          <w:sz w:val="24"/>
          <w:szCs w:val="24"/>
          <w:lang w:val="en-US"/>
          <w14:ligatures w14:val="none"/>
        </w:rPr>
        <w:t>Department</w:t>
      </w:r>
      <w:r w:rsidRPr="00901F29">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spacing w:val="-3"/>
          <w:kern w:val="0"/>
          <w:sz w:val="24"/>
          <w:szCs w:val="24"/>
          <w:lang w:val="en-US"/>
          <w14:ligatures w14:val="none"/>
        </w:rPr>
        <w:t xml:space="preserve"> of</w:t>
      </w:r>
      <w:proofErr w:type="gramEnd"/>
      <w:r w:rsidRPr="005B13C7">
        <w:rPr>
          <w:rFonts w:ascii="Times New Roman" w:eastAsia="Times New Roman" w:hAnsi="Times New Roman" w:cs="Times New Roman"/>
          <w:bCs/>
          <w:spacing w:val="-3"/>
          <w:kern w:val="0"/>
          <w:sz w:val="24"/>
          <w:szCs w:val="24"/>
          <w:lang w:val="en-US"/>
          <w14:ligatures w14:val="none"/>
        </w:rPr>
        <w:t xml:space="preserve"> </w:t>
      </w:r>
      <w:r w:rsidR="00C07109" w:rsidRPr="005B13C7">
        <w:rPr>
          <w:rFonts w:ascii="Times New Roman" w:eastAsia="Times New Roman" w:hAnsi="Times New Roman" w:cs="Times New Roman"/>
          <w:bCs/>
          <w:spacing w:val="-3"/>
          <w:kern w:val="0"/>
          <w:sz w:val="24"/>
          <w:szCs w:val="24"/>
          <w:lang w:val="en-US"/>
          <w14:ligatures w14:val="none"/>
        </w:rPr>
        <w:t>Management Study</w:t>
      </w:r>
      <w:r w:rsidRPr="005B13C7">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kern w:val="0"/>
          <w:sz w:val="24"/>
          <w:szCs w:val="24"/>
          <w14:ligatures w14:val="none"/>
        </w:rPr>
        <w:t xml:space="preserve">Faculty of Economics and Business, Sahid University, Indonesia </w:t>
      </w:r>
    </w:p>
    <w:p w14:paraId="5335D729" w14:textId="49969D12"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4</w:t>
      </w:r>
      <w:proofErr w:type="gramStart"/>
      <w:r w:rsidRPr="00901F29">
        <w:rPr>
          <w:rFonts w:ascii="Times New Roman" w:eastAsia="Times New Roman" w:hAnsi="Times New Roman" w:cs="Times New Roman"/>
          <w:bCs/>
          <w:kern w:val="0"/>
          <w:sz w:val="24"/>
          <w:szCs w:val="24"/>
          <w:lang w:val="en-US"/>
          <w14:ligatures w14:val="none"/>
        </w:rPr>
        <w:t>Department</w:t>
      </w:r>
      <w:r w:rsidRPr="00901F29">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spacing w:val="-3"/>
          <w:kern w:val="0"/>
          <w:sz w:val="24"/>
          <w:szCs w:val="24"/>
          <w:lang w:val="en-US"/>
          <w14:ligatures w14:val="none"/>
        </w:rPr>
        <w:t xml:space="preserve"> of</w:t>
      </w:r>
      <w:proofErr w:type="gramEnd"/>
      <w:r w:rsidRPr="005B13C7">
        <w:rPr>
          <w:rFonts w:ascii="Times New Roman" w:eastAsia="Times New Roman" w:hAnsi="Times New Roman" w:cs="Times New Roman"/>
          <w:bCs/>
          <w:spacing w:val="-3"/>
          <w:kern w:val="0"/>
          <w:sz w:val="24"/>
          <w:szCs w:val="24"/>
          <w:lang w:val="en-US"/>
          <w14:ligatures w14:val="none"/>
        </w:rPr>
        <w:t xml:space="preserve"> Communication S</w:t>
      </w:r>
      <w:r w:rsidR="00D23B5C">
        <w:rPr>
          <w:rFonts w:ascii="Times New Roman" w:eastAsia="Times New Roman" w:hAnsi="Times New Roman" w:cs="Times New Roman"/>
          <w:bCs/>
          <w:spacing w:val="-3"/>
          <w:kern w:val="0"/>
          <w:sz w:val="24"/>
          <w:szCs w:val="24"/>
          <w:lang w:val="en-US"/>
          <w14:ligatures w14:val="none"/>
        </w:rPr>
        <w:t>cience</w:t>
      </w:r>
      <w:r w:rsidRPr="005B13C7">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kern w:val="0"/>
          <w:sz w:val="24"/>
          <w:szCs w:val="24"/>
          <w14:ligatures w14:val="none"/>
        </w:rPr>
        <w:t>Faculty of Law, Social and Political Sciences, Terbuka University, Indonesia</w:t>
      </w:r>
    </w:p>
    <w:p w14:paraId="538C105E" w14:textId="3C814938"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5</w:t>
      </w:r>
      <w:proofErr w:type="gramStart"/>
      <w:r w:rsidRPr="00901F29">
        <w:rPr>
          <w:rFonts w:ascii="Times New Roman" w:eastAsia="Times New Roman" w:hAnsi="Times New Roman" w:cs="Times New Roman"/>
          <w:bCs/>
          <w:kern w:val="0"/>
          <w:sz w:val="24"/>
          <w:szCs w:val="24"/>
          <w:lang w:val="en-US"/>
          <w14:ligatures w14:val="none"/>
        </w:rPr>
        <w:t>Department</w:t>
      </w:r>
      <w:r w:rsidRPr="00901F29">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spacing w:val="-3"/>
          <w:kern w:val="0"/>
          <w:sz w:val="24"/>
          <w:szCs w:val="24"/>
          <w:lang w:val="en-US"/>
          <w14:ligatures w14:val="none"/>
        </w:rPr>
        <w:t xml:space="preserve"> of</w:t>
      </w:r>
      <w:proofErr w:type="gramEnd"/>
      <w:r w:rsidRPr="005B13C7">
        <w:rPr>
          <w:rFonts w:ascii="Times New Roman" w:eastAsia="Times New Roman" w:hAnsi="Times New Roman" w:cs="Times New Roman"/>
          <w:bCs/>
          <w:spacing w:val="-3"/>
          <w:kern w:val="0"/>
          <w:sz w:val="24"/>
          <w:szCs w:val="24"/>
          <w:lang w:val="en-US"/>
          <w14:ligatures w14:val="none"/>
        </w:rPr>
        <w:t xml:space="preserve"> Communication S</w:t>
      </w:r>
      <w:r w:rsidR="00D23B5C">
        <w:rPr>
          <w:rFonts w:ascii="Times New Roman" w:eastAsia="Times New Roman" w:hAnsi="Times New Roman" w:cs="Times New Roman"/>
          <w:bCs/>
          <w:spacing w:val="-3"/>
          <w:kern w:val="0"/>
          <w:sz w:val="24"/>
          <w:szCs w:val="24"/>
          <w:lang w:val="en-US"/>
          <w14:ligatures w14:val="none"/>
        </w:rPr>
        <w:t>cience</w:t>
      </w:r>
      <w:r w:rsidRPr="005B13C7">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kern w:val="0"/>
          <w:sz w:val="24"/>
          <w:szCs w:val="24"/>
          <w14:ligatures w14:val="none"/>
        </w:rPr>
        <w:t>Faculty of Social and Communication Sciences, Satya</w:t>
      </w:r>
      <w:r w:rsidR="00C07109" w:rsidRPr="005B13C7">
        <w:rPr>
          <w:rFonts w:ascii="Times New Roman" w:eastAsia="Times New Roman" w:hAnsi="Times New Roman" w:cs="Times New Roman"/>
          <w:bCs/>
          <w:kern w:val="0"/>
          <w:sz w:val="24"/>
          <w:szCs w:val="24"/>
          <w14:ligatures w14:val="none"/>
        </w:rPr>
        <w:t xml:space="preserve"> </w:t>
      </w:r>
      <w:proofErr w:type="spellStart"/>
      <w:r w:rsidR="00C07109" w:rsidRPr="005B13C7">
        <w:rPr>
          <w:rFonts w:ascii="Times New Roman" w:eastAsia="Times New Roman" w:hAnsi="Times New Roman" w:cs="Times New Roman"/>
          <w:bCs/>
          <w:kern w:val="0"/>
          <w:sz w:val="24"/>
          <w:szCs w:val="24"/>
          <w14:ligatures w14:val="none"/>
        </w:rPr>
        <w:t>W</w:t>
      </w:r>
      <w:r w:rsidRPr="005B13C7">
        <w:rPr>
          <w:rFonts w:ascii="Times New Roman" w:eastAsia="Times New Roman" w:hAnsi="Times New Roman" w:cs="Times New Roman"/>
          <w:bCs/>
          <w:kern w:val="0"/>
          <w:sz w:val="24"/>
          <w:szCs w:val="24"/>
          <w14:ligatures w14:val="none"/>
        </w:rPr>
        <w:t>acana</w:t>
      </w:r>
      <w:proofErr w:type="spellEnd"/>
      <w:r w:rsidRPr="005B13C7">
        <w:rPr>
          <w:rFonts w:ascii="Times New Roman" w:eastAsia="Times New Roman" w:hAnsi="Times New Roman" w:cs="Times New Roman"/>
          <w:bCs/>
          <w:kern w:val="0"/>
          <w:sz w:val="24"/>
          <w:szCs w:val="24"/>
          <w14:ligatures w14:val="none"/>
        </w:rPr>
        <w:t xml:space="preserve"> Christian University, Indonesia</w:t>
      </w:r>
    </w:p>
    <w:p w14:paraId="724B02EF" w14:textId="4D3AFF55"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spacing w:val="-3"/>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6</w:t>
      </w:r>
      <w:proofErr w:type="spellStart"/>
      <w:r w:rsidR="00C07109" w:rsidRPr="005B13C7">
        <w:rPr>
          <w:rFonts w:ascii="Times New Roman" w:eastAsia="Times New Roman" w:hAnsi="Times New Roman" w:cs="Times New Roman"/>
          <w:bCs/>
          <w:spacing w:val="-3"/>
          <w:kern w:val="0"/>
          <w:sz w:val="24"/>
          <w:szCs w:val="24"/>
          <w14:ligatures w14:val="none"/>
        </w:rPr>
        <w:t>Departement</w:t>
      </w:r>
      <w:proofErr w:type="spellEnd"/>
      <w:r w:rsidR="00C07109" w:rsidRPr="005B13C7">
        <w:rPr>
          <w:rFonts w:ascii="Times New Roman" w:eastAsia="Times New Roman" w:hAnsi="Times New Roman" w:cs="Times New Roman"/>
          <w:bCs/>
          <w:spacing w:val="-3"/>
          <w:kern w:val="0"/>
          <w:sz w:val="24"/>
          <w:szCs w:val="24"/>
          <w14:ligatures w14:val="none"/>
        </w:rPr>
        <w:t xml:space="preserve"> of Tourism Management, F</w:t>
      </w:r>
      <w:r w:rsidRPr="005B13C7">
        <w:rPr>
          <w:rFonts w:ascii="Times New Roman" w:eastAsia="Times New Roman" w:hAnsi="Times New Roman" w:cs="Times New Roman"/>
          <w:bCs/>
          <w:spacing w:val="-3"/>
          <w:kern w:val="0"/>
          <w:sz w:val="24"/>
          <w:szCs w:val="24"/>
          <w14:ligatures w14:val="none"/>
        </w:rPr>
        <w:t>aculty of Tourism and Archaeology, University of Jordan, Amman, Jordan</w:t>
      </w:r>
    </w:p>
    <w:p w14:paraId="62007016" w14:textId="6F6E5747"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spacing w:val="-3"/>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7</w:t>
      </w:r>
      <w:r w:rsidRPr="005B13C7">
        <w:rPr>
          <w:rFonts w:ascii="Times New Roman" w:eastAsia="Times New Roman" w:hAnsi="Times New Roman" w:cs="Times New Roman"/>
          <w:bCs/>
          <w:spacing w:val="-3"/>
          <w:kern w:val="0"/>
          <w:sz w:val="24"/>
          <w:szCs w:val="24"/>
          <w14:ligatures w14:val="none"/>
        </w:rPr>
        <w:t>Faculty of Business and Communications, INTI International University, Nilai, Malaysia</w:t>
      </w:r>
    </w:p>
    <w:p w14:paraId="45D8EAF6" w14:textId="77777777"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spacing w:val="-3"/>
          <w:kern w:val="0"/>
          <w:sz w:val="24"/>
          <w:szCs w:val="24"/>
          <w14:ligatures w14:val="none"/>
        </w:rPr>
        <w:t>Department of Economic Sciences, Wekerle Business School, Budapest 1083, Hungary</w:t>
      </w:r>
    </w:p>
    <w:p w14:paraId="55B572ED" w14:textId="5C0F83E3" w:rsidR="00CF1FBA" w:rsidRDefault="00CF1FBA" w:rsidP="005E7067">
      <w:pPr>
        <w:widowControl w:val="0"/>
        <w:autoSpaceDE w:val="0"/>
        <w:autoSpaceDN w:val="0"/>
        <w:spacing w:line="240" w:lineRule="auto"/>
        <w:ind w:left="60" w:right="2"/>
        <w:jc w:val="center"/>
        <w:rPr>
          <w:rFonts w:ascii="Times New Roman" w:eastAsia="Times New Roman" w:hAnsi="Times New Roman" w:cs="Times New Roman"/>
          <w:b/>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8</w:t>
      </w:r>
      <w:proofErr w:type="gramStart"/>
      <w:r w:rsidRPr="00901F29">
        <w:rPr>
          <w:rFonts w:ascii="Times New Roman" w:eastAsia="Times New Roman" w:hAnsi="Times New Roman" w:cs="Times New Roman"/>
          <w:bCs/>
          <w:kern w:val="0"/>
          <w:sz w:val="24"/>
          <w:szCs w:val="24"/>
          <w:lang w:val="en-US"/>
          <w14:ligatures w14:val="none"/>
        </w:rPr>
        <w:t>Department</w:t>
      </w:r>
      <w:r w:rsidRPr="00901F29">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spacing w:val="-3"/>
          <w:kern w:val="0"/>
          <w:sz w:val="24"/>
          <w:szCs w:val="24"/>
          <w:lang w:val="en-US"/>
          <w14:ligatures w14:val="none"/>
        </w:rPr>
        <w:t xml:space="preserve"> of</w:t>
      </w:r>
      <w:proofErr w:type="gramEnd"/>
      <w:r w:rsidRPr="005B13C7">
        <w:rPr>
          <w:rFonts w:ascii="Times New Roman" w:eastAsia="Times New Roman" w:hAnsi="Times New Roman" w:cs="Times New Roman"/>
          <w:bCs/>
          <w:spacing w:val="-3"/>
          <w:kern w:val="0"/>
          <w:sz w:val="24"/>
          <w:szCs w:val="24"/>
          <w:lang w:val="en-US"/>
          <w14:ligatures w14:val="none"/>
        </w:rPr>
        <w:t xml:space="preserve"> </w:t>
      </w:r>
      <w:r w:rsidR="005E7067" w:rsidRPr="005B13C7">
        <w:rPr>
          <w:rFonts w:ascii="Times New Roman" w:eastAsia="Times New Roman" w:hAnsi="Times New Roman" w:cs="Times New Roman"/>
          <w:bCs/>
          <w:spacing w:val="-3"/>
          <w:kern w:val="0"/>
          <w:sz w:val="24"/>
          <w:szCs w:val="24"/>
          <w:lang w:val="en-US"/>
          <w14:ligatures w14:val="none"/>
        </w:rPr>
        <w:t>Management S</w:t>
      </w:r>
      <w:r w:rsidR="00D23B5C">
        <w:rPr>
          <w:rFonts w:ascii="Times New Roman" w:eastAsia="Times New Roman" w:hAnsi="Times New Roman" w:cs="Times New Roman"/>
          <w:bCs/>
          <w:spacing w:val="-3"/>
          <w:kern w:val="0"/>
          <w:sz w:val="24"/>
          <w:szCs w:val="24"/>
          <w:lang w:val="en-US"/>
          <w14:ligatures w14:val="none"/>
        </w:rPr>
        <w:t>cience</w:t>
      </w:r>
      <w:r w:rsidRPr="005B13C7">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kern w:val="0"/>
          <w:sz w:val="24"/>
          <w:szCs w:val="24"/>
          <w14:ligatures w14:val="none"/>
        </w:rPr>
        <w:t>Faculty of Economics and Business, Universitas Negeri Jakarta, Indonesia</w:t>
      </w:r>
    </w:p>
    <w:p w14:paraId="4F42E161" w14:textId="052007FB" w:rsidR="005E7067" w:rsidRPr="005E7067" w:rsidRDefault="005E7067" w:rsidP="005E7067">
      <w:pPr>
        <w:widowControl w:val="0"/>
        <w:autoSpaceDE w:val="0"/>
        <w:autoSpaceDN w:val="0"/>
        <w:spacing w:line="240" w:lineRule="auto"/>
        <w:ind w:left="60" w:right="2"/>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*Corresponding Author</w:t>
      </w:r>
    </w:p>
    <w:p w14:paraId="0BEC0C9C" w14:textId="77777777" w:rsidR="00901F29" w:rsidRPr="00901F29" w:rsidRDefault="00901F29" w:rsidP="00901F29">
      <w:pPr>
        <w:widowControl w:val="0"/>
        <w:autoSpaceDE w:val="0"/>
        <w:autoSpaceDN w:val="0"/>
        <w:spacing w:before="222" w:line="240" w:lineRule="auto"/>
        <w:rPr>
          <w:rFonts w:ascii="Times New Roman" w:eastAsia="Times New Roman" w:hAnsi="Times New Roman" w:cs="Times New Roman"/>
          <w:b/>
          <w:kern w:val="0"/>
          <w:sz w:val="24"/>
          <w:szCs w:val="24"/>
          <w:lang w:val="en-US"/>
          <w14:ligatures w14:val="none"/>
        </w:rPr>
      </w:pPr>
    </w:p>
    <w:p w14:paraId="79AC6AF9" w14:textId="77777777" w:rsidR="00901F29" w:rsidRPr="00901F29" w:rsidRDefault="00901F29" w:rsidP="00901F29">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901F29">
        <w:rPr>
          <w:rFonts w:ascii="Times New Roman" w:eastAsia="Times New Roman" w:hAnsi="Times New Roman" w:cs="Times New Roman"/>
          <w:b/>
          <w:bCs/>
          <w:spacing w:val="-2"/>
          <w:kern w:val="0"/>
          <w:sz w:val="28"/>
          <w:szCs w:val="28"/>
          <w:lang w:val="en-US"/>
          <w14:ligatures w14:val="none"/>
        </w:rPr>
        <w:t>ABSTRACT</w:t>
      </w:r>
    </w:p>
    <w:p w14:paraId="7C56009B" w14:textId="1753498A" w:rsidR="00063252" w:rsidRPr="000A066C" w:rsidRDefault="00901F29" w:rsidP="00063252">
      <w:pPr>
        <w:widowControl w:val="0"/>
        <w:autoSpaceDE w:val="0"/>
        <w:autoSpaceDN w:val="0"/>
        <w:spacing w:before="277" w:line="240" w:lineRule="auto"/>
        <w:ind w:left="180" w:right="115"/>
        <w:jc w:val="both"/>
        <w:rPr>
          <w:rFonts w:ascii="Times New Roman" w:eastAsia="Times New Roman" w:hAnsi="Times New Roman" w:cs="Times New Roman"/>
          <w:kern w:val="0"/>
          <w:sz w:val="24"/>
          <w:szCs w:val="24"/>
          <w14:ligatures w14:val="none"/>
        </w:rPr>
      </w:pPr>
      <w:r w:rsidRPr="00901F29">
        <w:rPr>
          <w:rFonts w:ascii="Times New Roman" w:eastAsia="Times New Roman" w:hAnsi="Times New Roman" w:cs="Times New Roman"/>
          <w:kern w:val="0"/>
          <w:sz w:val="24"/>
          <w:szCs w:val="24"/>
          <w:lang w:val="en-US"/>
          <w14:ligatures w14:val="none"/>
        </w:rPr>
        <w:t xml:space="preserve">Machine </w:t>
      </w:r>
      <w:r w:rsidR="00063252" w:rsidRPr="000A066C">
        <w:rPr>
          <w:rFonts w:ascii="Times New Roman" w:eastAsia="Times New Roman" w:hAnsi="Times New Roman" w:cs="Times New Roman"/>
          <w:kern w:val="0"/>
          <w:sz w:val="24"/>
          <w:szCs w:val="24"/>
          <w14:ligatures w14:val="none"/>
        </w:rPr>
        <w:t xml:space="preserve">Through a participatory engagement program, 20 participants from </w:t>
      </w:r>
      <w:r w:rsidR="008540B1" w:rsidRPr="000A066C">
        <w:rPr>
          <w:rFonts w:ascii="Times New Roman" w:eastAsia="Times New Roman" w:hAnsi="Times New Roman" w:cs="Times New Roman"/>
          <w:kern w:val="0"/>
          <w:sz w:val="24"/>
          <w:szCs w:val="24"/>
          <w14:ligatures w14:val="none"/>
        </w:rPr>
        <w:t>Batik</w:t>
      </w:r>
      <w:r w:rsidR="00063252" w:rsidRPr="000A066C">
        <w:rPr>
          <w:rFonts w:ascii="Times New Roman" w:eastAsia="Times New Roman" w:hAnsi="Times New Roman" w:cs="Times New Roman"/>
          <w:kern w:val="0"/>
          <w:sz w:val="24"/>
          <w:szCs w:val="24"/>
          <w14:ligatures w14:val="none"/>
        </w:rPr>
        <w:t xml:space="preserve"> artisans and </w:t>
      </w:r>
      <w:r w:rsidR="005E7067" w:rsidRPr="000A066C">
        <w:rPr>
          <w:rFonts w:ascii="Times New Roman" w:eastAsia="Times New Roman" w:hAnsi="Times New Roman" w:cs="Times New Roman"/>
          <w:kern w:val="0"/>
          <w:sz w:val="24"/>
          <w:szCs w:val="24"/>
          <w14:ligatures w14:val="none"/>
        </w:rPr>
        <w:t>non-governmental</w:t>
      </w:r>
      <w:r w:rsidR="00063252" w:rsidRPr="000A066C">
        <w:rPr>
          <w:rFonts w:ascii="Times New Roman" w:eastAsia="Times New Roman" w:hAnsi="Times New Roman" w:cs="Times New Roman"/>
          <w:kern w:val="0"/>
          <w:sz w:val="24"/>
          <w:szCs w:val="24"/>
          <w14:ligatures w14:val="none"/>
        </w:rPr>
        <w:t xml:space="preserve"> organizations at the </w:t>
      </w:r>
      <w:proofErr w:type="spellStart"/>
      <w:r w:rsidR="00063252" w:rsidRPr="000A066C">
        <w:rPr>
          <w:rFonts w:ascii="Times New Roman" w:eastAsia="Times New Roman" w:hAnsi="Times New Roman" w:cs="Times New Roman"/>
          <w:kern w:val="0"/>
          <w:sz w:val="24"/>
          <w:szCs w:val="24"/>
          <w14:ligatures w14:val="none"/>
        </w:rPr>
        <w:t>Lasem</w:t>
      </w:r>
      <w:proofErr w:type="spellEnd"/>
      <w:r w:rsidR="00063252" w:rsidRPr="000A066C">
        <w:rPr>
          <w:rFonts w:ascii="Times New Roman" w:eastAsia="Times New Roman" w:hAnsi="Times New Roman" w:cs="Times New Roman"/>
          <w:kern w:val="0"/>
          <w:sz w:val="24"/>
          <w:szCs w:val="24"/>
          <w14:ligatures w14:val="none"/>
        </w:rPr>
        <w:t xml:space="preserve"> Heritage Foundation in Central Java were involved in strengthening the sustainable branding of Batik </w:t>
      </w:r>
      <w:proofErr w:type="spellStart"/>
      <w:r w:rsidR="00063252" w:rsidRPr="000A066C">
        <w:rPr>
          <w:rFonts w:ascii="Times New Roman" w:eastAsia="Times New Roman" w:hAnsi="Times New Roman" w:cs="Times New Roman"/>
          <w:kern w:val="0"/>
          <w:sz w:val="24"/>
          <w:szCs w:val="24"/>
          <w14:ligatures w14:val="none"/>
        </w:rPr>
        <w:t>Lasem</w:t>
      </w:r>
      <w:proofErr w:type="spellEnd"/>
      <w:r w:rsidR="00063252" w:rsidRPr="000A066C">
        <w:rPr>
          <w:rFonts w:ascii="Times New Roman" w:eastAsia="Times New Roman" w:hAnsi="Times New Roman" w:cs="Times New Roman"/>
          <w:kern w:val="0"/>
          <w:sz w:val="24"/>
          <w:szCs w:val="24"/>
          <w14:ligatures w14:val="none"/>
        </w:rPr>
        <w:t xml:space="preserve"> small and medium-sized enterprises through the integration of digital communication, generative artificial intelligence, and augmented reality. Among the challenges faced by cultural small and medium-sized enterprises that the initiative seeks to address is limited digital access. Capacity limited global recognition, and the restricted implementation of new technologies in heritage-based settings and industries. Focusing on practical applications of digital tools like social media strategies, AI-assisted content generation, and augmented reality for immersive storytelling, the program introduced a sustainability-focused branding that was grounded in cultural authenticity through facilitated training sessions. Participants engaged in a collaborative effort to remake cultural assets into modern digital stories. The results indicate an increased understanding of sustainable branding, better proficiency in digital communication, and a greater willingness to embrace marketing strategies powered by AI, as well as strengthened connections among craftspeople. Still, there were problems such as differences in digital literacy, limited resources, and early resistance to technological innovation. Broadly speaking, the program highlights that cultural knowledge is crucial in blending with digital innovation and proposes that heritage SMEs can be transformed through participatory, technology-based approaches within broader economic ecosystems.</w:t>
      </w:r>
    </w:p>
    <w:p w14:paraId="6690DC66" w14:textId="33632D43" w:rsidR="00901F29" w:rsidRPr="00901F29" w:rsidRDefault="00063252" w:rsidP="005E7067">
      <w:pPr>
        <w:widowControl w:val="0"/>
        <w:autoSpaceDE w:val="0"/>
        <w:autoSpaceDN w:val="0"/>
        <w:spacing w:before="277" w:line="240" w:lineRule="auto"/>
        <w:ind w:left="180" w:right="115"/>
        <w:jc w:val="both"/>
        <w:rPr>
          <w:rFonts w:ascii="Times New Roman" w:eastAsia="Times New Roman" w:hAnsi="Times New Roman" w:cs="Times New Roman"/>
          <w:kern w:val="0"/>
          <w:sz w:val="24"/>
          <w:szCs w:val="24"/>
          <w14:ligatures w14:val="none"/>
        </w:rPr>
      </w:pPr>
      <w:r w:rsidRPr="00063252">
        <w:rPr>
          <w:rFonts w:ascii="Times New Roman" w:eastAsia="Times New Roman" w:hAnsi="Times New Roman" w:cs="Times New Roman"/>
          <w:b/>
          <w:bCs/>
          <w:kern w:val="0"/>
          <w:sz w:val="24"/>
          <w:szCs w:val="24"/>
          <w14:ligatures w14:val="none"/>
        </w:rPr>
        <w:t>Keywords:</w:t>
      </w:r>
      <w:r w:rsidRPr="00063252">
        <w:rPr>
          <w:rFonts w:ascii="Times New Roman" w:eastAsia="Times New Roman" w:hAnsi="Times New Roman" w:cs="Times New Roman"/>
          <w:kern w:val="0"/>
          <w:sz w:val="24"/>
          <w:szCs w:val="24"/>
          <w14:ligatures w14:val="none"/>
        </w:rPr>
        <w:t xml:space="preserve"> sustainable branding, cultural SMEs, digital communication, generative artificial intelligence, participatory community engagement, Lasem</w:t>
      </w:r>
      <w:r w:rsidR="008540B1" w:rsidRPr="000A066C">
        <w:rPr>
          <w:rFonts w:ascii="Times New Roman" w:eastAsia="Times New Roman" w:hAnsi="Times New Roman" w:cs="Times New Roman"/>
          <w:kern w:val="0"/>
          <w:sz w:val="24"/>
          <w:szCs w:val="24"/>
          <w14:ligatures w14:val="none"/>
        </w:rPr>
        <w:t>.</w:t>
      </w:r>
    </w:p>
    <w:p w14:paraId="5E641E54" w14:textId="77777777" w:rsidR="00901F29" w:rsidRPr="00901F29" w:rsidRDefault="00901F29" w:rsidP="00901F29">
      <w:pPr>
        <w:widowControl w:val="0"/>
        <w:autoSpaceDE w:val="0"/>
        <w:autoSpaceDN w:val="0"/>
        <w:spacing w:before="7" w:line="240" w:lineRule="auto"/>
        <w:rPr>
          <w:rFonts w:ascii="Times New Roman" w:eastAsia="Times New Roman" w:hAnsi="Times New Roman" w:cs="Times New Roman"/>
          <w:kern w:val="0"/>
          <w:sz w:val="24"/>
          <w:szCs w:val="24"/>
          <w:lang w:val="en-US"/>
          <w14:ligatures w14:val="none"/>
        </w:rPr>
      </w:pPr>
    </w:p>
    <w:p w14:paraId="41DDC1BC" w14:textId="2EA81D8D" w:rsidR="00901F29" w:rsidRPr="00901F29" w:rsidRDefault="00901F29" w:rsidP="00336CA4">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901F29">
        <w:rPr>
          <w:rFonts w:ascii="Times New Roman" w:eastAsia="Times New Roman" w:hAnsi="Times New Roman" w:cs="Times New Roman"/>
          <w:b/>
          <w:bCs/>
          <w:spacing w:val="-2"/>
          <w:kern w:val="0"/>
          <w:sz w:val="28"/>
          <w:szCs w:val="28"/>
          <w:lang w:val="en-US"/>
          <w14:ligatures w14:val="none"/>
        </w:rPr>
        <w:t>INTRODUCTION</w:t>
      </w:r>
    </w:p>
    <w:p w14:paraId="735E2C6D" w14:textId="4885612E" w:rsidR="00901F29" w:rsidRPr="00901F29" w:rsidRDefault="008540B1" w:rsidP="00901F29">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Community Engagement in Higher Education's Background</w:t>
      </w:r>
    </w:p>
    <w:p w14:paraId="09E2D1C2" w14:textId="7ECC2C3E" w:rsidR="00336CA4" w:rsidRPr="005E7067" w:rsidRDefault="00336CA4" w:rsidP="005E7067">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Higher education now involves a greater emphasis on community service as per the Tri dharma </w:t>
      </w:r>
      <w:proofErr w:type="spellStart"/>
      <w:r w:rsidRPr="000A066C">
        <w:rPr>
          <w:rFonts w:ascii="Times New Roman" w:hAnsi="Times New Roman" w:cs="Times New Roman"/>
          <w:sz w:val="24"/>
          <w:szCs w:val="24"/>
        </w:rPr>
        <w:t>Perguruan</w:t>
      </w:r>
      <w:proofErr w:type="spellEnd"/>
      <w:r w:rsidRPr="000A066C">
        <w:rPr>
          <w:rFonts w:ascii="Times New Roman" w:hAnsi="Times New Roman" w:cs="Times New Roman"/>
          <w:sz w:val="24"/>
          <w:szCs w:val="24"/>
        </w:rPr>
        <w:t xml:space="preserve"> Tinggi, which emphasizes the importance of teaching, research, and active participation in community activities. Scholars in this framework are not only producers of knowledge but also. Facilitators and agents of social transformation, who are responsible for translating scholarly knowledge into action. practical solutions for society. Evidence suggests that community involvement fosters knowledge co-creation, local empowerment, and the development of inclusive innovation ecosystems, which are key elements in fostering sustainable and community-driven progress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0302-3427","author":[{"dropping-particle":"","family":"Chang","given":"Yuan-Chieh","non-dropping-particle":"","parse-names":false,"suffix":""},{"dropping-particle":"","family":"Chen","given":"Po-Hsuan","non-dropping-particle":"","parse-names":false,"suffix":""},{"dropping-particle":"","family":"Teng","given":"Min-Jun","non-dropping-particle":"","parse-names":false,"suffix":""}],"container-title":"Science and Public Policy","id":"ITEM-1","issue":"3","issued":{"date-parts":[["2021"]]},"page":"309-324","publisher":"Oxford University Press","title":"How do institutional changes facilitate university-centric networks in Taiwan? The Triple Helix model of innovation view","type":"article-journal","volume":"48"},"uris":["http://www.mendeley.com/documents/?uuid=1945c080-297b-4976-80d8-951ab48072f4"]},{"id":"ITEM-2","itemData":{"ISSN":"1471-5430","author":[{"dropping-particle":"","family":"Trencher","given":"Gregory","non-dropping-particle":"","parse-names":false,"suffix":""},{"dropping-particle":"","family":"Yarime","given":"Masaru","non-dropping-particle":"","parse-names":false,"suffix":""},{"dropping-particle":"","family":"McCormick","given":"Kes B","non-dropping-particle":"","parse-names":false,"suffix":""},{"dropping-particle":"","family":"Doll","given":"Christopher N H","non-dropping-particle":"","parse-names":false,"suffix":""},{"dropping-particle":"","family":"Kraines","given":"Steven B","non-dropping-particle":"","parse-names":false,"suffix":""}],"container-title":"Science and Public Policy","id":"ITEM-2","issue":"2","issued":{"date-parts":[["2014"]]},"page":"151-179","publisher":"Oxford University Press","title":"Beyond the third mission: Exploring the emerging university function of co-creation for sustainability","type":"article-journal","volume":"41"},"uris":["http://www.mendeley.com/documents/?uuid=7e0f05b7-21b2-4d84-b79f-c97702763e97"]},{"id":"ITEM-3","itemData":{"author":[{"dropping-particle":"","family":"Majeed","given":"Muhammad Asim","non-dropping-particle":"","parse-names":false,"suffix":""}],"id":"ITEM-3","issued":{"date-parts":[["2025"]]},"publisher":"Birmingham City University","title":"Entrepreneurial Universities: Examining the role of universities as sustainable innovation change catalyst for regional development.","type":"article"},"uris":["http://www.mendeley.com/documents/?uuid=062b1e19-6919-4444-aeeb-50cca9650734"]}],"mendeley":{"formattedCitation":"(Chang et al., 2021; M. A. Majeed, 2025; Trencher et al., 2014)","plainTextFormattedCitation":"(Chang et al., 2021; M. A. Majeed, 2025; Trencher et al., 2014)","previouslyFormattedCitation":"(Chang et al., 2021; M. A. Majeed, 2025; Trencher et al., 2014)"},"properties":{"noteIndex":0},"schema":"https://github.com/citation-style-language/schema/raw/master/csl-citation.json"}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(Chang et al., 2021; M. A. Majeed, 2025; Trencher et al., 2014)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In addition, models of participatory engagement emphasize the need for collaboration between universities and local stakeholders to address real-world problems. In culturally embedded industries like traditional crafts, the literature has primarily focused on institutional frameworks and outcomes rather than exploring how engagement activities are operationalized. This is a notable gap. Evidence from practice-based accounts that illustrate how academic interventions can effectively promote socio-cultural values and the well-being of local communities is highlighted by this gap.</w:t>
      </w:r>
    </w:p>
    <w:p w14:paraId="58A7DB2F" w14:textId="064EB832" w:rsidR="00336CA4" w:rsidRPr="00901F29" w:rsidRDefault="00336CA4"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 xml:space="preserve">The Cultural Economy and the Challenges of Batik </w:t>
      </w:r>
      <w:proofErr w:type="spellStart"/>
      <w:r w:rsidRPr="000A066C">
        <w:rPr>
          <w:rFonts w:ascii="Times New Roman" w:eastAsia="Times New Roman" w:hAnsi="Times New Roman" w:cs="Times New Roman"/>
          <w:b/>
          <w:bCs/>
          <w:kern w:val="0"/>
          <w:sz w:val="24"/>
          <w:szCs w:val="24"/>
          <w14:ligatures w14:val="none"/>
        </w:rPr>
        <w:t>Lasem</w:t>
      </w:r>
      <w:proofErr w:type="spellEnd"/>
      <w:r w:rsidRPr="000A066C">
        <w:rPr>
          <w:rFonts w:ascii="Times New Roman" w:eastAsia="Times New Roman" w:hAnsi="Times New Roman" w:cs="Times New Roman"/>
          <w:b/>
          <w:bCs/>
          <w:kern w:val="0"/>
          <w:sz w:val="24"/>
          <w:szCs w:val="24"/>
          <w14:ligatures w14:val="none"/>
        </w:rPr>
        <w:t xml:space="preserve"> SMEs</w:t>
      </w:r>
    </w:p>
    <w:p w14:paraId="2F395F01" w14:textId="77777777" w:rsidR="00336CA4" w:rsidRPr="000A066C" w:rsidRDefault="00336CA4" w:rsidP="00336CA4">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represents a distinctive segment of Indonesia’s cultural economy, characterized by its historical legacy, unique motifs, and strong symbolic meanings shaped by cross-cultural interactions, particularly Chinese and Javanese influences. As an essential part of the creative economy, batik plays a vital role. Small and medium-sized enterprises (SMEs) play a significant role in generating local economic activity. Revenue, the protection of traditional knowledge, and the strengthening of cultural identity. Recent literature suggests that cultural and creative industries face increasing pressure to adapt to global market demands while maintaining authenticity and artisanal integrity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1465-7503","author":[{"dropping-particle":"","family":"Aaltonen","given":"Satu","non-dropping-particle":"","parse-names":false,"suffix":""},{"dropping-particle":"","family":"Heinze","given":"Aleksej","non-dropping-particle":"","parse-names":false,"suffix":""},{"dropping-particle":"","family":"Ielpa","given":"Giuseppe","non-dropping-particle":"","parse-names":false,"suffix":""},{"dropping-particle":"","family":"Tommaso","given":"Dorella","non-dropping-particle":"De","parse-names":false,"suffix":""}],"container-title":"The International Journal of Entrepreneurship and Innovation","id":"ITEM-1","issue":"2","issued":{"date-parts":[["2015"]]},"page":"73-83","publisher":"SAGE Publications Sage UK: London, England","title":"Enterprise cultural heritage: The source for sustainable competitive advantage and survival for food sector SMEs","type":"article-journal","volume":"16"},"uris":["http://www.mendeley.com/documents/?uuid=1300fd5c-2ff1-4241-9b42-925c62a2c156"]},{"id":"ITEM-2","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-2","issue":"3","issued":{"date-parts":[["2026"]]},"page":"1270","publisher":"MDPI","title":"The Integration of Creativity into Paragliding Tourism: The Case of Babadağ, Fethiye","type":"article-journal","volume":"18"},"uris":["http://www.mendeley.com/documents/?uuid=0c337f99-20a8-46e7-9507-c178bbfece12"]},{"id":"ITEM-3","itemData":{"ISSN":"1751-0694","author":[{"dropping-particle":"","family":"Dias","given":"Álvaro","non-dropping-particle":"","parse-names":false,"suffix":""},{"dropping-particle":"","family":"González-Rodríguez","given":"M Rosario","non-dropping-particle":"","parse-names":false,"suffix":""},{"dropping-particle":"","family":"Patuleia","given":"Mafalda","non-dropping-particle":"","parse-names":false,"suffix":""}],"container-title":"Creative Industries Journal","id":"ITEM-3","issue":"2","issued":{"date-parts":[["2023"]]},"page":"180-203","publisher":"Taylor &amp; Francis","title":"Creative tourism destination competitiveness: An integrative model and agenda for future research","type":"article-journal","volume":"16"},"uris":["http://www.mendeley.com/documents/?uuid=e420976a-394e-486d-9ae7-59db7debd0ac"]}],"mendeley":{"formattedCitation":"(Aaltonen et al., 2015; Akbulut et al., 2026; Dias et al., 2023)","plainTextFormattedCitation":"(Aaltonen et al., 2015; Akbulut et al., 2026; Dias et al., 2023)","previouslyFormattedCitation":"(Aaltonen et al., 2015; Akbulut et al., 2026; Dias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(Aaltonen et al., 2015; Akbulut et al., 2026; Dias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Notwithstanding its abundant cultural heritage,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persistently encounters systemic obstacles, encompassing insufficient digital marketing initiatives, ineffective branding methodologies, and constrained entry to global markets. Many small and medium-sized businesses still rely on traditional methods. Marketing techniques that limit their visibility and competitive advantage. Prior investigations have recognized the significance of narrative construction and brand identity in the augmentation of market positioning; nevertheless, they frequently neglect the operational limitations encountered by small-scale artisans, especially in the assimilation of digital technologies. Consequently, a disparity remains between the acknowledged cultural worth of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and its tangible effectiveness in international markets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author":[{"dropping-particle":"","family":"Stock","given":"Friends","non-dropping-particle":"","parse-names":false,"suffix":""},{"dropping-particle":"","family":"Stock","given":"A","non-dropping-particle":"","parse-names":false,"suffix":""}],"id":"ITEM-1","issued":{"date-parts":[["2024"]]},"publisher":"United Nations Publications","title":"Creative economy outlook 2024","type":"article"},"uris":["http://www.mendeley.com/documents/?uuid=b604c7ed-2eee-4403-8ce2-0509559a3d69"]},{"id":"ITEM-2","itemData":{"ISSN":"2721-169X","author":[{"dropping-particle":"","family":"Wijaya","given":"Nata Kesuma","non-dropping-particle":"","parse-names":false,"suffix":""},{"dropping-particle":"","family":"Moko","given":"Wahdiyat","non-dropping-particle":"","parse-names":false,"suffix":""}],"container-title":"Jurnal Ilmiah Manajemen Kesatuan","id":"ITEM-2","issue":"1","issued":{"date-parts":[["2026"]]},"page":"1-14","title":"Branding Strategy and Social Media Marketing on MSME Business Performance: The Mediating Effect of Sales Performance","type":"article-journal","volume":"14"},"uris":["http://www.mendeley.com/documents/?uuid=e0cc476a-977c-4328-8a53-42a135172552"]}],"mendeley":{"formattedCitation":"(Stock &amp; Stock, 2024; Wijaya &amp; Moko, 2026)","plainTextFormattedCitation":"(Stock &amp; Stock, 2024; Wijaya &amp; Moko, 2026)","previouslyFormattedCitation":"(Stock &amp; Stock, 2024; Wijaya &amp; Moko, 2026)"},"properties":{"noteIndex":0},"schema":"https://github.com/citation-style-language/schema/raw/master/csl-citation.json"}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(Stock &amp; Stock, 2024; Wijaya &amp; Moko, 2026)</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5568BAD" w14:textId="634888FB" w:rsidR="00336CA4" w:rsidRPr="00901F29" w:rsidRDefault="00336CA4"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 xml:space="preserve">Heritage and Production Landscape in </w:t>
      </w:r>
      <w:proofErr w:type="spellStart"/>
      <w:r w:rsidRPr="000A066C">
        <w:rPr>
          <w:rFonts w:ascii="Times New Roman" w:eastAsia="Times New Roman" w:hAnsi="Times New Roman" w:cs="Times New Roman"/>
          <w:b/>
          <w:bCs/>
          <w:kern w:val="0"/>
          <w:sz w:val="24"/>
          <w:szCs w:val="24"/>
          <w14:ligatures w14:val="none"/>
        </w:rPr>
        <w:t>Lasem</w:t>
      </w:r>
      <w:proofErr w:type="spellEnd"/>
    </w:p>
    <w:p w14:paraId="7439483B" w14:textId="5F6D16B7" w:rsidR="00336CA4"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A significant trading port on the northern coast of Java,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is a historical site in the coastal town situated in </w:t>
      </w:r>
      <w:proofErr w:type="spellStart"/>
      <w:r w:rsidRPr="000A066C">
        <w:rPr>
          <w:rFonts w:ascii="Times New Roman" w:hAnsi="Times New Roman" w:cs="Times New Roman"/>
          <w:sz w:val="24"/>
          <w:szCs w:val="24"/>
        </w:rPr>
        <w:t>Rembang</w:t>
      </w:r>
      <w:proofErr w:type="spellEnd"/>
      <w:r w:rsidRPr="000A066C">
        <w:rPr>
          <w:rFonts w:ascii="Times New Roman" w:hAnsi="Times New Roman" w:cs="Times New Roman"/>
          <w:sz w:val="24"/>
          <w:szCs w:val="24"/>
        </w:rPr>
        <w:t xml:space="preserve"> Regency, Central Java, Indonesia. Javanese inhabitants have a rich history of dealing with Chinese immigrants throughout the centuries, which has contributed to the town's development and cultural heritage. The town's long history is clearly shown through its buildings, customs, and batik patterns. Batik production in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is primarily carried out by small and medium enterprises, with traditional methods of production remaining </w:t>
      </w:r>
      <w:proofErr w:type="spellStart"/>
      <w:r w:rsidRPr="000A066C">
        <w:rPr>
          <w:rFonts w:ascii="Times New Roman" w:hAnsi="Times New Roman" w:cs="Times New Roman"/>
          <w:sz w:val="24"/>
          <w:szCs w:val="24"/>
        </w:rPr>
        <w:t>labor-intensive</w:t>
      </w:r>
      <w:proofErr w:type="spellEnd"/>
      <w:r w:rsidRPr="000A066C">
        <w:rPr>
          <w:rFonts w:ascii="Times New Roman" w:hAnsi="Times New Roman" w:cs="Times New Roman"/>
          <w:sz w:val="24"/>
          <w:szCs w:val="24"/>
        </w:rPr>
        <w:t xml:space="preserve">. Most of the items are made at home. In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the batik industry is heavily dependent on family-run businesses and informal connections, which are a significant part of the local socio-economic structure. Even so, the use of a conventional production system presents difficulties in accommodating modern market conditions, such as digitalization and global competition. According to recent studies, heritage-based sites often encounter conflicts between preservation and innovation, with the challenge of maintaining cultural authenticity despite efforts to modernize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-1","issue":"3","issued":{"date-parts":[["2026"]]},"page":"1270","publisher":"MDPI","title":"The Integration of Creativity into Paragliding Tourism: The Case of Babadağ, Fethiye","type":"article-journal","volume":"18"},"uris":["http://www.mendeley.com/documents/?uuid=0c337f99-20a8-46e7-9507-c178bbfece12"]},{"id":"ITEM-2","itemData":{"ISSN":"1751-0694","author":[{"dropping-particle":"","family":"Dias","given":"Álvaro","non-dropping-particle":"","parse-names":false,"suffix":""},{"dropping-particle":"","family":"González-Rodríguez","given":"M Rosario","non-dropping-particle":"","parse-names":false,"suffix":""},{"dropping-particle":"","family":"Patuleia","given":"Mafalda","non-dropping-particle":"","parse-names":false,"suffix":""}],"container-title":"Creative Industries Journal","id":"ITEM-2","issue":"2","issued":{"date-parts":[["2023"]]},"page":"180-203","publisher":"Taylor &amp; Francis","title":"Creative tourism destination competitiveness: An integrative model and agenda for future research","type":"article-journal","volume":"16"},"uris":["http://www.mendeley.com/documents/?uuid=e420976a-394e-486d-9ae7-59db7debd0ac"]}],"mendeley":{"formattedCitation":"(Akbulut et al., 2026; Dias et al., 2023)","plainTextFormattedCitation":"(Akbulut et al., 2026; Dias et al., 2023)","previouslyFormattedCitation":"(Akbulut et al., 2026; Dias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(Akbulut et al., 2026; Dias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while simultaneously acknowledging the importance of keeping culture authentic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transitions","type":"article-journal","volume":"12"},"uris":["http://www.mendeley.com/documents/?uuid=aa645609-e57a-4f8b-815d-7a7773866491"]}],"mendeley":{"formattedCitation":"(Satalkina &amp; Steiner, 2020)","plainTextFormattedCitation":"(Satalkina &amp; Steiner, 2020)","previouslyFormattedCitation":"(Satalkina &amp; Steiner,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(Satalkina &amp; Steiner,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Despite the lack of widespread adoption of digital marketing techniques,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highlights the tensions present </w:t>
      </w:r>
      <w:r w:rsidRPr="000A066C">
        <w:rPr>
          <w:rFonts w:ascii="Times New Roman" w:hAnsi="Times New Roman" w:cs="Times New Roman"/>
          <w:sz w:val="24"/>
          <w:szCs w:val="24"/>
        </w:rPr>
        <w:lastRenderedPageBreak/>
        <w:t xml:space="preserve">in other situations and evidence of gradual economic transformation. Mechanisms. This context necessitates the individualized delivery of interventions that are responsive to people's needs and not machine-driven. Local conditions while promoting innovation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{"citationItems":[{"id":"ITEM-1","itemData":{"DOI":"10.1016/j.heliyon.2024.e31133","ISSN":"24058440","abstract":"The competitive advantage of the Creative Industry is an important strategy to succeed in a highly competitive global business market. The Indonesian creative industry is a strategic industry characterised by Small and Medium Enterprises (SMEs). However, these enterprises face challenges, such as low entrepreneurial orientation, low digital literation to access the global market, limited capital, lack of digital payment methods, and a focus on conventional marketing activities rather than implementing Entrepreneurial Marketing (EM). The previous research proposed that Entrepreneurial Orientation (EO) and Entrepreneurial Marketing (EM) could increase competitive advantage due to the moderating role of local wisdom culture and the government's role. Therefore, this research aims to analyse the moderating role of local wisdom culture and the government's role in the effect of EO and EM on sustainable competitive advantage development. The quantitative research design employed a self-administered survey distributed to 400 top and middle managers within the superior and priority subsectors of the creative industry. The survey targeted four provinces in Indonesia known for their high contributions to the Gross Domestic Product (GDP &gt;9 %), based on the ‘Purposive Sampling’ method. The results of the SEM analysis, based on 330 useable data points, show that Local Wisdom and Government's Role significantly mediate the relationship between Sustainable Competitive Advantage and Sustainable Business Performance. The research results imply that it is necessary to empower the government's role in providing information technology infrastructure to facilitate the creative industry's access to the global marketplace and encourage the use of digital payment methods for the rapid development of sustainable competitive advantage. Theoretical contributions extend to Dynamic Capability Theory by integrating Resources Advantage Theory and Resources Base View Theory, including the moderating role of Local Wisdom and Government's Role, and examining the relationship of EO and EM with sustainable competitive advantage.","author":[{"dropping-particle":"","family":"Mahrinasari","given":"M. S.","non-dropping-particle":"","parse-names":false,"suffix":""},{"dropping-particle":"","family":"Bangsawan","given":"Satria","non-dropping-particle":"","parse-names":false,"suffix":""},{"dropping-particle":"","family":"Sabri","given":"Mohamad Fazli","non-dropping-particle":"","parse-names":false,"suffix":""}],"container-title":"Heliyon","id":"ITEM-1","issue":"10","issued":{"date-parts":[["2024"]]},"page":"e31133","publisher":"Elsevier Ltd","title":"Local wisdom and Government's role in strengthening the sustainable competitive advantage of creative industries","type":"article-journal","volume":"10"},"uris":["http://www.mendeley.com/documents/?uuid=b10e70ff-e7aa-4693-9ae9-f1d4d3213a5a"]},{"id":"ITEM-2","itemData":{"DOI":"10.1108/JFMM-02-2022-0026","ISSN":"1361-2026","abstract":"Purpose The study investigates the factors that influence young consumers (Gen Zs and Ys) in emerging markets to engage fashion ads of non-luxury fashion retail small- to medium-size enterprises (SMEs) on social media. Through a desk assessment of practice and the phenomenon's available evidence in the extant literature, four main drivers were delineated, reviewed and subsequently tested to influence young consumers' behavioural engagements of emerging markets' fashion SMEs' social media contents. Design/methodology/approach A non-probability sample of 1,150 respondents (Gen Y and Z combined) in Ghana, an emerging market, formed the sample for the study. The respondents assessed four empirically identified antecedents (sales campaigns, relevant sales-related information, catchy and inspiring product/brand photo/video and consumer-generated contents) that are likely to influence their behavioural engagement on social media platforms (Instagram, Facebook, WhatsApp and Twitter). SmartPLS (version 3.3.3) was employed to perform partial least square structural equation modelling. Findings The results showed that to engage fashion-related ads, particularly from non-luxury fashion SMEs, young consumers consider sales campaigns, cues from consumer-generated contents, as well as quality and inspiring videos and photos. Less attention is given to relevant sales-related information. Practical implications The three significant drivers of engagement found in the current study provide managerial knowledge for non-luxury fashion SMEs in emerging markets. Videos and still pictures must be of high definition and quality. Short and long promotional campaigns may drive positive behavioural engagements. Interactivity between fashion SMEs and young consumers is encouraged as it precipitates the positive engagement behaviours enabled by social media. The study concludes with actionable recommendations for the non-luxury fashion SME sector in emerging economies. Originality/value The study is the first of its kind to ascertain what drives young consumers' engagement with non-luxury fashion SMEs on social media. It provides managerial insights and guidance to SMEs in emerging markets on effective social media fashion retailing targeted mainly at digital natives, the dominant generational cohorts on social media in most emerging economies.","author":[{"dropping-particle":"","family":"Senanu","given":"Bright","non-dropping-particle":"","parse-names":false,"suffix":""},{"dropping-particle":"","family":"Anning-Dorson","given":"Thomas","non-dropping-particle":"","parse-names":false,"suffix":""},{"dropping-particle":"","family":"Tackie","given":"Nii Nookwei","non-dropping-particle":"","parse-names":false,"suffix":""}],"container-title":"Journal of Fashion Marketing and Management: An International Journal","id":"ITEM-2","issue":"6","issued":{"date-parts":[["2023","1","1"]]},"page":"965-987","publisher":"Emerald Publishing Limited","title":"Social media insights for non-luxury fashion SMEs in emerging markets: evidence from young consumers","type":"article-journal","volume":"27"},"uris":["http://www.mendeley.com/documents/?uuid=4fb3a34d-2d86-4c42-8d1f-58411068bbbf"]},{"id":"ITEM-3","itemData":{"author":[{"dropping-particle":"","family":"Polyanskaya","given":"Yulia","non-dropping-particle":"","parse-names":false,"suffix":""}],"id":"ITEM-3","issued":{"date-parts":[["2024"]]},"publisher":"Alpen-Adria-Universität Klagenfurt","title":"Brand Awareness: Systematic Review and Evidence-based Guidance on Digital Content Marketing for SMEs","type":"article"},"uris":["http://www.mendeley.com/documents/?uuid=63677451-8eb1-47ff-97e0-6f87066b614b"]}],"mendeley":{"formattedCitation":"(Mahrinasari et al., 2024; Polyanskaya, 2024; Senanu et al., 2023)","plainTextFormattedCitation":"(Mahrinasari et al., 2024; Polyanskaya, 2024; Senanu et al., 2023)","previouslyFormattedCitation":"(Mahrinasari et al., 2024; Polyanskaya, 2024; Senanu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(Mahrinasari et al., 2024; Polyanskaya, 2024; Senanu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494FE36" w14:textId="7B23F94A" w:rsidR="00336CA4" w:rsidRPr="00901F29" w:rsidRDefault="000A066C"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SMEs Development in Digital Communication, AI, and AR</w:t>
      </w:r>
    </w:p>
    <w:p w14:paraId="72E94457" w14:textId="6BAFBF69" w:rsidR="00336CA4"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The rise of digital communication technologies such as social media, advanced artificial intelligence, and other similar innovations has significantly transformed how people interact and share information. Augmented reality has significantly changed the way small and medium-sized enterprises develop their operations. Social media serves as a tool that helps in expanding the market, engaging with customers, and building relationships and brand narratives for SMEs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{"citationItems":[{"id":"ITEM-1","itemData":{"DOI":"10.1016/j.indmarman.2023.08.013","abstract":"Algorithms in the age of artificial intelligence (AI) constantly transform customer behaviour, marketing programs, and marketing strategies in industrial markets. However, algorithms often fail to perform as expected due to various data, model, and market biases. Motivated by this challenge, this study presents a framework of algorithmic bias management capabilities for industrial markets that contribute to customer equity in terms of value, brand and relationship equity. Drawing on the dynamic capability theory, this study fills this gap by conducting a literature review, thematic analysis, and two rounds of surveys (n=200 analytics professionals and n=200 business customers) in the financial service industry in Australia. The findings show that algorithmic bias management capability consists of three primary dimensions (data, model, and deployment capabilities) and nine subdimensions. These findings have important implications for scholars and managers interested in developing algorithmic bias management capabilities to influence customer equity in industrial markets. © 2023 Elsevier B.V., All rights reserved.","author":[{"dropping-particle":"","family":"Akter","given":"S","non-dropping-particle":"","parse-names":false,"suffix":""},{"dropping-particle":"","family":"Sultana","given":"S","non-dropping-particle":"","parse-names":false,"suffix":""},{"dropping-particle":"","family":"Mariani","given":"M","non-dropping-particle":"","parse-names":false,"suffix":""},{"dropping-particle":"","family":"Fosso Wamba","given":"S F","non-dropping-particle":"","parse-names":false,"suffix":""},{"dropping-particle":"","family":"Spanaki","given":"K","non-dropping-particle":"","parse-names":false,"suffix":""},{"dropping-particle":"","family":"Dwivedi","given":"Y K","non-dropping-particle":"","parse-names":false,"suffix":""}],"container-title":"Industrial Marketing Management","id":"ITEM-1","issued":{"date-parts":[["2023"]]},"note":"Export Date: 29 August 2025; Cited By: 35","page":"243-261","title":"Advancing algorithmic bias management capabilities in AI-driven marketing analytics research","type":"article-journal","volume":"114"},"uris":["http://www.mendeley.com/documents/?uuid=1482ac22-9dd9-4751-9f60-742d2ef08225"]},{"id":"ITEM-2","itemData":{"ISSN":"2071-1050","author":[{"dropping-particle":"","family":"Pellegrino","given":"Alfonso","non-dropping-particle":"","parse-names":false,"suffix":""},{"dropping-particle":"","family":"Abe","given":"Masato","non-dropping-particle":"","parse-names":false,"suffix":""}],"container-title":"Sustainability","id":"ITEM-2","issue":"8","issued":{"date-parts":[["2023"]]},"page":"7007","publisher":"MDPI","title":"Leveraging social media for SMEs: Findings from a bibliometric review","type":"article-journal","volume":"15"},"uris":["http://www.mendeley.com/documents/?uuid=cb377f62-8f3c-4e9e-9ac8-2bf641b4cde1"]}],"mendeley":{"formattedCitation":"(Akter et al., 2023; Pellegrino &amp; Abe, 2023)","plainTextFormattedCitation":"(Akter et al., 2023; Pellegrino &amp; Abe, 2023)","previouslyFormattedCitation":"(Akter et al., 2023; Pellegrino &amp; Abe,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(Akter et al., 2023; Pellegrino &amp; Abe,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Using advanced AI, content creation, such as promotional texts, images, and videos, is made more efficient by reducing resource usage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{"citationItems":[{"id":"ITEM-1","itemData":{"DOI":"10.1108/JRIM-04-2024-0180","ISSN":"20407122","abstract":"Purpose: Marketing Technology (Martech) is the cornerstone of creating digital experiences and interactive marketing, providing consumers with high experiential value. Drawing on the mindfulness theory, this study aims to explore how to achieve close psychological distance and experiential value in Martech servicescape (such as augmented reality [AR]). Design/methodology/approach: We employed mixed methods research to clarify the research question. In Study 1, we conducted a systematic literature review of psychological closeness (PC) using a bibliographic coupling approach, identifying gaps in the research stream and discussing the research implications for the interactive marketing field. In Study 2, we used a task-based laboratory assessment to empirically verify our hypotheses and research framework. Two virtual try-on environments, AR and non-AR (e.g. traditional webpage browsing), were applied in a virtual fitting context. The two e-shopping environments were directly compared in terms of their moderating effects on the relationships among the mindfulness-oriented MarTech servicescape, PC and experiential value. Findings: This study elucidates the antecedent of close psychological distance formation, indicating that the features of the mindfulness-oriented Martech servicescape – vivid sensory experience, consumer-focused shopping information and autonomous navigation, then result in creating experiential value. Moreover, this study also revealed that compared to a non-AR e-shopping environment, AR makes the better effect of the mindfulness-oriented Martech servicescape driving experiential marketing. Originality/value: This study extends the research stream on mindfulness-oriented service to the Martech servicescape (e.g. AR try-on). In this way, this study’s findings will contribute to clarifying the interactive elements and design principles of mindfulness-oriented service in the Martech servicescape. By establishing the association between these three theoretical perspectives—mindfulness-oriented service research stream, construal level theory and experience economy paradigm—the study provides valuable insights into how Martech can enhance experiential marketing. Such research insights can help digital marketing managers shape appropriate Martech servicescape for effective experiential marketing.","author":[{"dropping-particle":"","family":"Huang","given":"Tseng Lung","non-dropping-particle":"","parse-names":false,"suffix":""},{"dropping-particle":"","family":"Chung","given":"Henry F.L.","non-dropping-particle":"","parse-names":false,"suffix":""}],"container-title":"Journal of Research in Interactive Marketing","id":"ITEM-1","issued":{"date-parts":[["2024"]]},"title":"Achieving close psychological distance and experiential value in the MarTech servicescape: a mindfulness-oriented service perspective","type":"article-journal"},"uris":["http://www.mendeley.com/documents/?uuid=c5de861a-3b53-4a2b-ad20-af1549e022c5"]},{"id":"ITEM-2","itemData":{"ISSN":"2182-8466","author":[{"dropping-particle":"","family":"Rita","given":"Paulo","non-dropping-particle":"","parse-names":false,"suffix":""},{"dropping-particle":"","family":"Omran","given":"Wajdy","non-dropping-particle":"","parse-names":false,"suffix":""},{"dropping-particle":"","family":"Ramos","given":"Ricardo F","non-dropping-particle":"","parse-names":false,"suffix":""},{"dropping-particle":"","family":"Costa","given":"Tânia","non-dropping-particle":"","parse-names":false,"suffix":""}],"id":"ITEM-2","issued":{"date-parts":[["2025"]]},"title":"Exploring the Applications of Artificial Intelligence in Marketing","type":"article-journal"},"uris":["http://www.mendeley.com/documents/?uuid=de86696b-d567-414d-92fa-f3b2c7a9a4f0"]}],"mendeley":{"formattedCitation":"(T. L. Huang &amp; Chung, 2024; Rita et al., 2025)","plainTextFormattedCitation":"(T. L. Huang &amp; Chung, 2024; Rita et al., 2025)","previouslyFormattedCitation":"(T. L. Huang &amp; Chung, 2024; Rita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(T. L. Huang &amp; Chung, 2024; Rita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The integration of Immersive experiences using Augmented Reality can enhance cultural storytelling and increase consumer engagement, especially for heritage products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{"citationItems":[{"id":"ITEM-1","itemData":{"ISSN":"0047-2875","author":[{"dropping-particle":"","family":"Maria Correia Loureiro","given":"Sandra","non-dropping-particle":"","parse-names":false,"suffix":""},{"dropping-particle":"","family":"Bilro","given":"Ricardo Godinho","non-dropping-particle":"","parse-names":false,"suffix":""},{"dropping-particle":"","family":"Guerreiro","given":"João","non-dropping-particle":"","parse-names":false,"suffix":""},{"dropping-particle":"","family":"Lee","given":"Myong Jae","non-dropping-particle":"","parse-names":false,"suffix":""},{"dropping-particle":"","family":"Han","given":"Heesup","non-dropping-particle":"","parse-names":false,"suffix":""}],"container-title":"Journal of Travel Research","id":"ITEM-1","issued":{"date-parts":[["2025"]]},"page":"00472875251380185","publisher":"SAGE Publications Sage CA: Los Angeles, CA","title":"ChatGPT Coolness-Desirable Framework for Tourism and Hospitality","type":"article-journal"},"uris":["http://www.mendeley.com/documents/?uuid=9f61ef28-5e9e-4b93-9d19-6a8700179117"]}],"mendeley":{"formattedCitation":"(Maria Correia Loureiro et al., 2025)","plainTextFormattedCitation":"(Maria Correia Loureiro et al., 2025)","previouslyFormattedCitation":"(Maria Correia Loureiro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(Maria Correia Loureiro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The opportunities presented are insufficient in showcasing digital technologies to small and medium-sized enterprises, as well as lacking digital literacy, adequate infrastructure, and resistance to change. Literature on the functional advantages of these technologies has mainly been concentrated on their use in. Focus on culturally sensitive environments instead of looking into their practical uses. This underscores the significance of having a better understanding of digital transformation in the context of heritage industries.</w:t>
      </w:r>
    </w:p>
    <w:p w14:paraId="79EFBEEE" w14:textId="4AB94573" w:rsidR="00336CA4" w:rsidRPr="00901F29" w:rsidRDefault="000A066C"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Contribution and purpose of Community Engagement Program</w:t>
      </w:r>
    </w:p>
    <w:p w14:paraId="3AE744F2" w14:textId="55A89433" w:rsidR="00901F29"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The focus of this community engagement program is on addressing the challenges faced by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SMEs by implementing participatory approaches that incorporate digital communication, generative AI, and augmented reality to strengthen sustainable branding. The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Heritage Foundation launched the program; a group of 20 participants, comprising batik makers and representatives from local non-profits, is scheduled for February 2026. Focus group discussions and practical training sessions were conducted to examine the application of generative AI in promotional activities. This article is different from typical empirical studies because it presents a contribution to community engagement through the process of designing, implementing, and achieving results. Recent studies indicate that participatory approaches foster community empowerment, knowledge sharing, and sustainable development outcomes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Science","id":"ITEM-1","issue":"2","issued":{"date-parts":[["2023"]]},"page":"839-855","publisher":"Springer","title":"Co-producing theory of change to operationalize integrated landscape approaches","type":"article-journal","volume":"18"},"uris":["http://www.mendeley.com/documents/?uuid=155e3db6-3b1d-499b-beda-49ff50a3948e"]},{"id":"ITEM-2","itemData":{"ISSN":"1089-2680","author":[{"dropping-particle":"","family":"Westerman","given":"Michael A","non-dropping-particle":"","parse-names":false,"suffix":""}],"container-title":"Review of General Psychology","id":"ITEM-2","issue":"4","issued":{"date-parts":[["2013"]]},"page":"358-373","publisher":"SAGE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approach","type":"article-journal","volume":"17"},"uris":["http://www.mendeley.com/documents/?uuid=fcfd3639-dfb9-4998-a170-cd757de0f555"]}],"mendeley":{"formattedCitation":"(Reed et al., 2023; Westerman, 2013)","plainTextFormattedCitation":"(Reed et al., 2023; Westerman, 2013)","previouslyFormattedCitation":"(Reed et al., 2023; Westerman, 2013)"},"properties":{"noteIndex":0},"schema":"https://github.com/citation-style-language/schema/raw/master/csl-citation.json"}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(Reed et al., 2023; Westerman, 2013)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Even so, there is a dearth of empirical evidence to support the application of these techniques in digital transformation for cultural businesses. This study contributes to existing research by demonstrating that interventions led by academics can be beneficial; aligning local knowledge systems with technological innovation helps to boost competitiveness while maintaining cultural authenticity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{"citationItems":[{"id":"ITEM-1","itemData":{"DOI":"10.1080/17569370.2022.2095729","ISSN":"17569389","abstract":"This paper reports on a research project aimed at investigating ways in which fashion activism and making can be used to catalyze positive socio-economic change and activate legacies within a local community. The project focused on a neighborhood in London with a previously strong industrial profile in fashion and textiles, and now challenged by concerns regarding deprived youth, skills shortage, decline in local manufacturing, and high unemployment rates. To tackle such challenges, this participatory action research project comprised a range of fashion activism interventions. The project was developed through a partnership between a Higher Education Institution and local government and contributed to activating change from within the system. The approach adopted is defined as “middle-up-down” as it bridges bottom-up initiatives activated by grassroots communities with top-down services delivered by support organizations. The outcomes of the project are discussed in relation to the key themes emerging from the project evaluation: sustainability awareness, empowerment and skills development, career pathways, and community engagement. In demonstrating how a “quiet” form of activism can be used as an embedded and situated approach to co-designing meaningful social innovations within the local community, the paper also outlines the limitations of the project and recommendations for future work.","author":[{"dropping-particle":"","family":"Mazzarella","given":"Francesco","non-dropping-particle":"","parse-names":false,"suffix":""},{"dropping-particle":"","family":"Black","given":"Sandy","non-dropping-particle":"","parse-names":false,"suffix":""}],"container-title":"Fashion Practice","id":"ITEM-1","issue":"2","issued":{"date-parts":[["2023"]]},"page":"230-255","publisher":"Routledge","title":"Fashioning Change: Fashion Activism and Its Outcomes on Local Communities","type":"article-journal","volume":"15"},"uris":["http://www.mendeley.com/documents/?uuid=cc4efbc0-92ae-4c6f-a587-59d080cd196e"]},{"id":"ITEM-2","itemData":{"ISSN":"2071-1050","author":[{"dropping-particle":"","family":"Satalkina","given":"Liliya","non-dropping-particle":"","parse-names":false,"suffix":""},{"dropping-particle":"","family":"Steiner","given":"Gerald","non-dropping-particle":"","parse-names":false,"suffix":""}],"container-title":"Sustainability","id":"ITEM-2","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-3","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Development","id":"ITEM-3","issued":{"date-parts":[["2025"]]},"publisher":"Wiley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agenda","type":"article-journal"},"uris":["http://www.mendeley.com/documents/?uuid=7f60519f-eb5e-4a16-8cda-5088d94c64f0"]}],"mendeley":{"formattedCitation":"(Mazzarella &amp; Black, 2023; Saoualih et al., 2025; Satalkina &amp; Steiner, 2020)","plainTextFormattedCitation":"(Mazzarella &amp; Black, 2023; Saoualih et al., 2025; Satalkina &amp; Steiner, 2020)","previouslyFormattedCitation":"(Mazzarella &amp; Black, 2023; Saoualih et al., 2025; Satalkina &amp; Steiner,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(Mazzarella &amp; Black, 2023; Saoualih et al., 2025; Satalkina &amp; Steiner,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04A1B9A1" w14:textId="77777777" w:rsidR="005E7067" w:rsidRPr="00901F29" w:rsidRDefault="005E7067" w:rsidP="000A066C">
      <w:pPr>
        <w:ind w:left="180"/>
        <w:jc w:val="both"/>
        <w:rPr>
          <w:rFonts w:ascii="Times New Roman" w:hAnsi="Times New Roman" w:cs="Times New Roman"/>
          <w:sz w:val="24"/>
          <w:szCs w:val="24"/>
        </w:rPr>
      </w:pPr>
    </w:p>
    <w:p w14:paraId="5721D5A0" w14:textId="07A4A1D0" w:rsidR="00901F29" w:rsidRPr="00901F29" w:rsidRDefault="000A066C" w:rsidP="00901F29">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0A066C">
        <w:rPr>
          <w:rFonts w:ascii="Times New Roman" w:eastAsia="Times New Roman" w:hAnsi="Times New Roman" w:cs="Times New Roman"/>
          <w:b/>
          <w:bCs/>
          <w:spacing w:val="-2"/>
          <w:kern w:val="0"/>
          <w:sz w:val="28"/>
          <w:szCs w:val="28"/>
          <w14:ligatures w14:val="none"/>
        </w:rPr>
        <w:t>CONCEPTUAL FOUNDATION AND PROGRAMME DESIGN</w:t>
      </w:r>
    </w:p>
    <w:p w14:paraId="7A6BD635" w14:textId="36E97327" w:rsidR="000A066C" w:rsidRPr="00901F29" w:rsidRDefault="000A066C" w:rsidP="000A066C">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Sustainable Branding in Cultural and Heritage Products</w:t>
      </w:r>
    </w:p>
    <w:p w14:paraId="64F130C9"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Sustainable branding in cultural and heritage products refers to the strategic construction of market value in ways that preserve cultural authenticity, strengthen local identity, and generate long-term economic resilience. In heritage-based small and medium enterprises, branding goes beyond logos, slogans, or visual elements; promotional visuals should effectively convey the origin, symbolic significance, and genuine craftsmanship associated with the product forms that remain intelligible to wider markets. Recent studies have shown that cultural industries increasingly compete through the interaction of authenticity, digital communication, and adaptive market positioning rather than through price competition alone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{"citationItems":[{"id":"ITEM-1","itemData":{"ISSN":"2043-6238","author":[{"dropping-particle":"","family":"Deb","given":"Santus Kumar","non-dropping-particle":"","parse-names":false,"suffix":""},{"dropping-particle":"","family":"Mohanty","given":"P P","non-dropping-particle":"","parse-names":false,"suffix":""},{"dropping-particle":"","family":"Valeri","given":"Marco","non-dropping-particle":"","parse-names":false,"suffix":""}],"container-title":"Journal of Family Business Management","id":"ITEM-1","issue":"1","issued":{"date-parts":[["2026"]]},"page":"213-231","publisher":"Emerald Publishing Limited","title":"Promoting family business in handicrafts through local tradition and culture: an innovative approach","type":"article-journal","volume":"16"},"uris":["http://www.mendeley.com/documents/?uuid=b0cb3e38-5a21-4693-9d95-cfeb151a16dc"]},{"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success","type":"article-journal","volume":"16"},"uris":["http://www.mendeley.com/documents/?uuid=268bc745-2415-4713-bf04-fb9362513b93"]}],"mendeley":{"formattedCitation":"(Deb et al., 2026; Laradi et al., 2024)","plainTextFormattedCitation":"(Deb et al., 2026; Laradi et al., 2024)","previouslyFormattedCitation":"(Deb et al., 2026; Laradi et al., 2024)"},"properties":{"noteIndex":0},"schema":"https://github.com/citation-style-language/schema/raw/master/csl-citation.json"}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(Deb et al., 2026; Laradi et al., 2024)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This literature has already demonstrated sustainability-focused branding can enhance differentiation, build customer trust, and increase competitiveness, especially when local identity is turned into clear and meaningful stories. However, much of this work still treats branding as a managerial capability or outcome variable, with </w:t>
      </w:r>
      <w:r w:rsidRPr="000A066C">
        <w:rPr>
          <w:rFonts w:ascii="Times New Roman" w:hAnsi="Times New Roman" w:cs="Times New Roman"/>
          <w:sz w:val="24"/>
          <w:szCs w:val="24"/>
        </w:rPr>
        <w:lastRenderedPageBreak/>
        <w:t xml:space="preserve">limited. Attention to how heritage actors themselves manage the tension between preserving cultural heritage meaning and responding to contemporary market expectations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2199-8531","author":[{"dropping-particle":"","family":"Rahman","given":"Sarli","non-dropping-particle":"","parse-names":false,"suffix":""},{"dropping-particle":"","family":"Setyawan","given":"Onny","non-dropping-particle":"","parse-names":false,"suffix":""},{"dropping-particle":"","family":"Junaedi","given":"Achmad Tavip","non-dropping-particle":"","parse-names":false,"suffix":""},{"dropping-particle":"","family":"Renaldo","given":"Nicholas","non-dropping-particle":"","parse-names":false,"suffix":""}],"container-title":"Journal of Open Innovation: Technology, Market, and Complexity","id":"ITEM-1","issue":"3","issued":{"date-parts":[["2025"]]},"page":"100585","publisher":"Elsevier","title":"Digital competitive advantages of MSMEs and the antecedents factor (digital creativity and digital culture)","type":"article-journal","volume":"11"},"uris":["http://www.mendeley.com/documents/?uuid=f0539086-5b50-4129-9b12-969c3dbd2816"]},{"id":"ITEM-2","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Journal","id":"ITEM-2","issue":"7","issued":{"date-parts":[["2025"]]},"page":"25-44","publisher":"Emerald Publishing Limited","title":"Barriers to the digital transformation of cultural and creative industry MSMEs: the case of the Basque country","type":"article-journal","volume":"35"},"uris":["http://www.mendeley.com/documents/?uuid=30f20c94-35d5-4ad9-9617-8d53e144e11d"]},{"id":"ITEM-3","itemData":{"ISSN":"2199-8531","author":[{"dropping-particle":"","family":"Rizkita","given":"Marsya Aulia","non-dropping-particle":"","parse-names":false,"suffix":""},{"dropping-particle":"","family":"Winarno","given":"Agung","non-dropping-particle":"","parse-names":false,"suffix":""},{"dropping-particle":"","family":"Suwono","given":"Hadi","non-dropping-particle":"","parse-names":false,"suffix":""},{"dropping-particle":"","family":"Malek","given":"Nik Ahmad Nizam Nik","non-dropping-particle":"","parse-names":false,"suffix":""}],"container-title":"Journal of Open Innovation: Technology, Market, and Complexity","id":"ITEM-3","issued":{"date-parts":[["2025"]]},"page":"100609","publisher":"Elsevier","title":"Integrating cultural adaptation in digital marketing strategies: Enhancing competitiveness and sustainability in MSMEs of Java, Indonesia","type":"article-journal"},"uris":["http://www.mendeley.com/documents/?uuid=352e86e7-be6b-482c-aa87-ceea06bf6a23"]}],"mendeley":{"formattedCitation":"(Eguia et al., 2025; Rahman et al., 2025; Rizkita et al., 2025)","plainTextFormattedCitation":"(Eguia et al., 2025; Rahman et al., 2025; Rizkita et al., 2025)","previouslyFormattedCitation":"(Eguia et al., 2025; Rahman et al., 2025; Rizkita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(Eguia et al., 2025; Rahman et al., 2025; Rizkita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1842D38A"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This limitation is particularly important for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where branding must simultaneously protect the symbolic integrity of the product and reposition it for digitally mediated markets. Existing studies have explored how sustainability, digital culture, and communication capability influence SME competitiveness, yet less is known about how sustainable branding is operationalized in community-facing interventions that involve artisans, local organizations, and academics working together. In other words, the literature has advanced the strategic rationale for sustainable branding, but it has not sufficiently examined how such branding can be strengthened through participatory community engagement in heritage settings. For a community service article, this gap is crucial because the contribution lies not in testing branding effects statistically, but in documenting how branding knowledge is translated into collective practice and local capability-building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{"citationItems":[{"id":"ITEM-1","itemData":{"ISSN":"2212-0548","author":[{"dropping-particle":"","family":"Ramtohul","given":"Arvind","non-dropping-particle":"","parse-names":false,"suffix":""},{"dropping-particle":"","family":"Khedo","given":"Kavi Kumar","non-dropping-particle":"","parse-names":false,"suffix":""}],"container-title":"Digital Applications in Archaeology and Cultural Heritage","id":"ITEM-1","issued":{"date-parts":[["2024"]]},"page":"e00317","publisher":"Elsevier","title":"Augmented reality systems in the cultural heritage domains: A systematic review","type":"article-journal","volume":"32"},"uris":["http://www.mendeley.com/documents/?uuid=675c264f-6c20-459e-9481-667622921045"]},{"id":"ITEM-2","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Science","id":"ITEM-2","issue":"2","issued":{"date-parts":[["2023"]]},"page":"839-855","publisher":"Springer","title":"Co-producing theory of change to operationalize integrated landscape approaches","type":"article-journal","volume":"18"},"uris":["http://www.mendeley.com/documents/?uuid=155e3db6-3b1d-499b-beda-49ff50a3948e"]}],"mendeley":{"formattedCitation":"(Ramtohul &amp; Khedo, 2024; Reed et al., 2023)","plainTextFormattedCitation":"(Ramtohul &amp; Khedo, 2024; Reed et al., 2023)","previouslyFormattedCitation":"(Ramtohul &amp; Khedo, 2024; Reed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(Ramtohul &amp; Khedo, 2024; Reed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6BA1712" w14:textId="364F46D2"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Participatory Community Engagement Model</w:t>
      </w:r>
    </w:p>
    <w:p w14:paraId="3C13E162"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Participatory community engagement is based on the idea that real change can only happen when people are actively involved. It emerges not from a top-down transfer of expertise but from co-creation, dialogue, and the active participation of all involved. Involvement of local actors in determining both the issues and the ways to address them. In higher education, this orientation is particularly important for community service activities because universities are expected to contribute not only by sharing knowledge but also by providing support through facilitation, mobilization, and empowerment. Recent scholarship has highlighted that participatory models strengthen local ownership, improve the relevance of interventions, and foster more durable forms of innovation because communities are positioned as co-producers rather than passive recipients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transitions","type":"article-journal","volume":"12"},"uris":["http://www.mendeley.com/documents/?uuid=aa645609-e57a-4f8b-815d-7a7773866491"]},{"id":"ITEM-2","itemData":{"DOI":"10.4337/9781800371415.00016","ISBN":"9781800371415","abstract":"Social media develop relationships between different users through different communication websites. Users’ interaction with one another may influence their behaviors and travel decision-making. The use of social media during destination crises and tourists’ travel behaviors is an important topic to be explored in and post the global pandemic context. Our review of extant literature explores the factors that determine tourists’ usage of social media information and how it impacts their behaviors. We explore the associations between social media usage, anxiety, destination choice, and electronic world-of-mouth (eWOM). Our review presents how tourists’ perceived travel risk of epidemics, such as novel coronavirus pneumonia (COVID-19), mediates the relationships between social media information search behavior and travel decision-making. Our review and proposed theoretical framework identify multiple themes in the existing corpus with implications for future research and practice.","author":[{"dropping-particle":"","family":"Majeed","given":"Salman","non-dropping-particle":"","parse-names":false,"suffix":""},{"dropping-particle":"","family":"Ramkissoon","given":"Haywantee","non-dropping-particle":"","parse-names":false,"suffix":""}],"container-title":"Handbook on Tourism and Social Media: Research Handbooks in Tourism series","id":"ITEM-2","issued":{"date-parts":[["2022","1","1"]]},"page":"125-138","publisher":"Edward Elgar Publishing Ltd.","title":"Social media and tourists’ behaviors: Post-COVID-19","type":"chapter"},"uris":["http://www.mendeley.com/documents/?uuid=1b3b66eb-03c6-3042-8c5b-6aacc9122dc9"]}],"mendeley":{"formattedCitation":"(S. Majeed &amp; Ramkissoon, 2022; Satalkina &amp; Steiner, 2020)","manualFormatting":"(Majeed &amp; Ramkissoon, 2022; Satalkina &amp; Steiner, 2020)","plainTextFormattedCitation":"(S. Majeed &amp; Ramkissoon, 2022; Satalkina &amp; Steiner, 2020)","previouslyFormattedCitation":"(S. Majeed &amp; Ramkissoon, 2022; Satalkina &amp; Steiner,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(Majeed &amp; Ramkissoon, 2022; Satalkina &amp; Steiner,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This literature has already established the importance of co-creation, inclusivity, and empowerment in community-based initiatives. However, much of it remains generic, often discussing broad institutional partnerships or sustainability transitions without showing how participatory processes unfold in small-scale cultural economies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agenda","type":"article-journal"},"uris":["http://www.mendeley.com/documents/?uuid=7f60519f-eb5e-4a16-8cda-5088d94c64f0"]},{"id":"ITEM-2","itemData":{"ISSN":"1089-2680","author":[{"dropping-particle":"","family":"Westerman","given":"Michael A","non-dropping-particle":"","parse-names":false,"suffix":""}],"container-title":"Review of General Psychology","id":"ITEM-2","issue":"4","issued":{"date-parts":[["2013"]]},"page":"358-373","publisher":"SAGE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approach","type":"article-journal","volume":"17"},"uris":["http://www.mendeley.com/documents/?uuid=fcfd3639-dfb9-4998-a170-cd757de0f555"]}],"mendeley":{"formattedCitation":"(Saoualih et al., 2025; Westerman, 2013)","plainTextFormattedCitation":"(Saoualih et al., 2025; Westerman, 2013)","previouslyFormattedCitation":"(Saoualih et al., 2025; Westerman, 2013)"},"properties":{"noteIndex":0},"schema":"https://github.com/citation-style-language/schema/raw/master/csl-citation.json"}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(Saoualih et al., 2025; Westerman, 2013)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61BA5041"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For the present program, participatory engagement is not merely a method of delivery but the conceptual foundation of the intervention itself. The participation of batik artisans, local NGOs, and facilitators in shared discussions and practical experimentation reflects the view that branding and digital transformation cannot be imposed externally. Instead, they must be locally negotiated in relation to heritage values, production realities, and collective aspirations. Previous research has rarely examined participatory engagement in the context of heritage SMEs seeking digital upgrading, and even fewer studies have connected university-led community service obligations with technology-enabled local empowerment. Accordingly, the present program responds to an underdeveloped area in the literature by showing how participatory engagement can function as a mechanism for strengthening both digital capability and community cohesion in a heritage-based production setting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1462-6004","author":[{"dropping-particle":"","family":"Depaoli","given":"Paolo","non-dropping-particle":"","parse-names":false,"suffix":""},{"dropping-particle":"","family":"Za","given":"Stefano","non-dropping-particle":"","parse-names":false,"suffix":""},{"dropping-particle":"","family":"Scornavacca","given":"Eusebio","non-dropping-particle":"","parse-names":false,"suffix":""}],"container-title":"Journal of Small Business and Enterprise Development","id":"ITEM-1","issue":"7","issued":{"date-parts":[["2020"]]},"page":"1049-1068","publisher":"Emerald Publishing Limited","title":"A model for digital development of SMEs: an interaction-based approach","type":"article-journal","volume":"27"},"uris":["http://www.mendeley.com/documents/?uuid=cfc64c75-dae1-4520-b562-6cd8af0fbc7f"]},{"id":"ITEM-2","itemData":{"ISSN":"1465-7503","author":[{"dropping-particle":"","family":"Aaltonen","given":"Satu","non-dropping-particle":"","parse-names":false,"suffix":""},{"dropping-particle":"","family":"Heinze","given":"Aleksej","non-dropping-particle":"","parse-names":false,"suffix":""},{"dropping-particle":"","family":"Ielpa","given":"Giuseppe","non-dropping-particle":"","parse-names":false,"suffix":""},{"dropping-particle":"","family":"Tommaso","given":"Dorella","non-dropping-particle":"De","parse-names":false,"suffix":""}],"container-title":"The International Journal of Entrepreneurship and Innovation","id":"ITEM-2","issue":"2","issued":{"date-parts":[["2015"]]},"page":"73-83","publisher":"SAGE Publications Sage UK: London, England","title":"Enterprise cultural heritage: The source for sustainable competitive advantage and survival for food sector SMEs","type":"article-journal","volume":"16"},"uris":["http://www.mendeley.com/documents/?uuid=1300fd5c-2ff1-4241-9b42-925c62a2c156"]}],"mendeley":{"formattedCitation":"(Aaltonen et al., 2015; Depaoli et al., 2020)","plainTextFormattedCitation":"(Aaltonen et al., 2015; Depaoli et al., 2020)","previouslyFormattedCitation":"(Aaltonen et al., 2015; Depaoli et al.,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(Aaltonen et al., 2015; Depaoli et al.,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43A5BDC8" w14:textId="15855F84"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Digital Communication and Generative AI for SMEs</w:t>
      </w:r>
    </w:p>
    <w:p w14:paraId="486E7846"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Digital communication has become essential for the growth of small and medium enterprises because it increases their reach and reduces costs. Communication expenses are reduced, allowing companies to build more consistent connections with their customers. In recent years, the literature has moved beyond viewing digital communication as a simple promotional channel and has instead conceptualized it as a broader socio-technical practice involving content creation, interaction management, analytics, and value co-creation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{"citationItems":[{"id":"ITEM-1","itemData":{"ISSN":"0148-2963","author":[{"dropping-particle":"","family":"Verhoef","given":"Peter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Dong","given":"John Qi","non-dropping-particle":"","parse-names":false,"suffix":""},{"dropping-particle":"","family":"Fabian","given":"Nicolai","non-dropping-particle":"","parse-names":false,"suffix":""},{"dropping-particle":"","family":"Haenlein","given":"Michael","non-dropping-particle":"","parse-names":false,"suffix":""}],"container-title":"Journal of business research","id":"ITEM-1","issued":{"date-parts":[["2021"]]},"page":"889-901","publisher":"Elsevier","title":"Digital transformation: A multidisciplinary reflection and research agenda","type":"article-journal","volume":"122"},"uris":["http://www.mendeley.com/documents/?uuid=fce8d018-3954-4d98-94cf-aed55b9d0cf2"]},{"id":"ITEM-2","itemData":{"ISSN":"0885-8624","author":[{"dropping-particle":"","family":"Sabatini","given":"Andrea","non-dropping-particle":"","parse-names":false,"suffix":""},{"dropping-particle":"","family":"Pascucci","given":"Federica","non-dropping-particle":"","parse-names":false,"suffix":""},{"dropping-particle":"","family":"Gregori","given":"Gian Luca","non-dropping-particle":"","parse-names":false,"suffix":""}],"container-title":"Journal of Business &amp; Industrial Marketing","id":"ITEM-2","issue":"6","issued":{"date-parts":[["2023"]]},"page":"1345-1361","publisher":"Emerald Publishing Limited","title":"Customer involvement in technological development of smart products: empirical evidence from a coffee-machine producer","type":"article-journal","volume":"38"},"uris":["http://www.mendeley.com/documents/?uuid=ed56f75d-2a56-4944-a256-dc1b2453590b"]},{"id":"ITEM-3","itemData":{"ISSN":"2071-1050","author":[{"dropping-particle":"","family":"Marolt","given":"Marjeta","non-dropping-particle":"","parse-names":false,"suffix":""},{"dropping-particle":"","family":"Zimmermann","given":"Hans-Dieter","non-dropping-particle":"","parse-names":false,"suffix":""},{"dropping-particle":"","family":"Pucihar","given":"Andreja","non-dropping-particle":"","parse-names":false,"suffix":""}],"container-title":"Sustainability","id":"ITEM-3","issue":"22","issued":{"date-parts":[["2022"]]},"page":"15029","publisher":"MDPI","title":"Social media use and business performance in SMEs: The mediating roles of relational social commerce capability and competitive advantage","type":"article-journal","volume":"14"},"uris":["http://www.mendeley.com/documents/?uuid=66dd5e5b-da20-47b7-a4e2-3b5c837cbf55"]}],"mendeley":{"formattedCitation":"(Marolt et al., 2022; Sabatini et al., 2023; Verhoef et al., 2021)","plainTextFormattedCitation":"(Marolt et al., 2022; Sabatini et al., 2023; Verhoef et al., 2021)","previouslyFormattedCitation":"(Marolt et al., 2022; Sabatini et al., 2023; Verhoef et al., 2021)"},"properties":{"noteIndex":0},"schema":"https://github.com/citation-style-language/schema/raw/master/csl-citation.json"}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(Marolt et al., 2022; Sabatini et al., 2023; Verhoef et al., 2021)</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 At the same time, generative AI has introduced a new layer of possibility by simplifying the creation of captions, images, scripts, mock-ups, and short-form videos, thereby enabling smaller firms to produce more professional content with fewer resources. Existing research has already demonstrated that AI can provide support. Automation, personalization, and communication efficiency are particularly important in organizations that face time constraints. These elements help streamline </w:t>
      </w:r>
      <w:r w:rsidRPr="000A066C">
        <w:rPr>
          <w:rFonts w:ascii="Times New Roman" w:hAnsi="Times New Roman" w:cs="Times New Roman"/>
          <w:sz w:val="24"/>
          <w:szCs w:val="24"/>
        </w:rPr>
        <w:lastRenderedPageBreak/>
        <w:t xml:space="preserve">processes, tailor interactions to individual needs, and ensure that information is shared effectively and quickly, ultimately supporting better performance and productivity and skill constraints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{"citationItems":[{"id":"ITEM-1","itemData":{"ISSN":"1552-7824","author":[{"dropping-particle":"","family":"Huang","given":"Ming-Hui","non-dropping-particle":"","parse-names":false,"suffix":""},{"dropping-particle":"","family":"Rust","given":"Roland T","non-dropping-particle":"","parse-names":false,"suffix":""}],"container-title":"Journal of the academy of marketing science","id":"ITEM-1","issue":"1","issued":{"date-parts":[["2021"]]},"page":"30-50","publisher":"Springer","title":"A strategic framework for artificial intelligence in marketing","type":"article-journal","volume":"49"},"uris":["http://www.mendeley.com/documents/?uuid=57acf6ba-46b9-439b-bae8-4eb7cfe2fc0c"]},{"id":"ITEM-2","itemData":{"ISSN":"2405-8440","author":[{"dropping-particle":"","family":"Melo","given":"Isotilia Costa","non-dropping-particle":"","parse-names":false,"suffix":""},{"dropping-particle":"","family":"Queiroz","given":"Geandra Alves","non-dropping-particle":"","parse-names":false,"suffix":""},{"dropping-particle":"","family":"Junior","given":"Paulo Nocera Alves","non-dropping-particle":"","parse-names":false,"suffix":""},{"dropping-particle":"","family":"Sousa","given":"Thales Botelho","non-dropping-particle":"de","parse-names":false,"suffix":""},{"dropping-particle":"","family":"Yushimito","given":"Wilfredo F","non-dropping-particle":"","parse-names":false,"suffix":""},{"dropping-particle":"","family":"Pereira","given":"Jorge","non-dropping-particle":"","parse-names":false,"suffix":""}],"container-title":"Heliyon","id":"ITEM-2","issue":"3","issued":{"date-parts":[["2023"]]},"publisher":"Elsevier","title":"Sustainable digital transformation in small and medium enterprises (SMEs): A review on performance","type":"article-journal","volume":"9"},"uris":["http://www.mendeley.com/documents/?uuid=9babccda-9cf2-48a6-ab4b-628af1182ee3"]},{"id":"ITEM-3","itemData":{"ISSN":"0268-4012","author":[{"dropping-particle":"","family":"Kraus","given":"Sascha","non-dropping-particle":"","parse-names":false,"suffix":""},{"dropping-particle":"","family":"Durst","given":"Susanne","non-dropping-particle":"","parse-names":false,"suffix":""},{"dropping-particle":"","family":"Ferreira","given":"João J","non-dropping-particle":"","parse-names":false,"suffix":""},{"dropping-particle":"","family":"Veiga","given":"Pedro","non-dropping-particle":"","parse-names":false,"suffix":""},{"dropping-particle":"","family":"Kailer","given":"Norbert","non-dropping-particle":"","parse-names":false,"suffix":""},{"dropping-particle":"","family":"Weinmann","given":"Alexandra","non-dropping-particle":"","parse-names":false,"suffix":""}],"container-title":"International journal of information management","id":"ITEM-3","issued":{"date-parts":[["2022"]]},"page":"102466","publisher":"Elsevier","title":"Digital transformation in business and management research: An overview of the current status quo","type":"article-journal","volume":"63"},"uris":["http://www.mendeley.com/documents/?uuid=3ebaf9d0-026a-4cb9-8145-1ac1ed926c68"]}],"mendeley":{"formattedCitation":"(M.-H. Huang &amp; Rust, 2021; Kraus et al., 2022; Melo et al., 2023)","manualFormatting":"(Huang &amp; Rust, 2021; Kraus et al., 2022; Melo et al., 2023)","plainTextFormattedCitation":"(M.-H. Huang &amp; Rust, 2021; Kraus et al., 2022; Melo et al., 2023)","previouslyFormattedCitation":"(M.-H. Huang &amp; Rust, 2021; Kraus et al., 2022; Melo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(Huang &amp; Rust, 2021; Kraus et al., 2022; Melo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108EE5E"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However, the literature has not completely answered an important question: how can SMEs use digital communication and generative AI in ways that enhance capability without flattening authenticity? Much of the current discussion remains </w:t>
      </w:r>
      <w:proofErr w:type="spellStart"/>
      <w:r w:rsidRPr="000A066C">
        <w:rPr>
          <w:rFonts w:ascii="Times New Roman" w:hAnsi="Times New Roman" w:cs="Times New Roman"/>
          <w:sz w:val="24"/>
          <w:szCs w:val="24"/>
        </w:rPr>
        <w:t>centered</w:t>
      </w:r>
      <w:proofErr w:type="spellEnd"/>
      <w:r w:rsidRPr="000A066C">
        <w:rPr>
          <w:rFonts w:ascii="Times New Roman" w:hAnsi="Times New Roman" w:cs="Times New Roman"/>
          <w:sz w:val="24"/>
          <w:szCs w:val="24"/>
        </w:rPr>
        <w:t xml:space="preserve"> on performance, adoption, or strategic potential, whereas the everyday integration of generative AI into culturally sensitive marketing work remains underexplored. This issue is especially salient in heritage sectors such as batik, where promotional content is not neutral but carries cultural meaning, identity claims, and aesthetic expectations. In the context of community engagement, digital communication and generative AI are therefore best understood not merely as efficiency tools, but as capacity-building instruments that can democratize content production if introduced through guided, context-sensitive practice. The conceptual value of the present program lies precisely in this point: it brings digital communication and GenAI into the domain of community empowerment rather than treating them solely as technological solutions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{"citationItems":[{"id":"ITEM-1","itemData":{"author":[{"dropping-particle":"","family":"Santos","given":"Thiago F","non-dropping-particle":"","parse-names":false,"suffix":""},{"dropping-particle":"","family":"Carvalho","given":"Bruno R","non-dropping-particle":"","parse-names":false,"suffix":""},{"dropping-particle":"V","family":"Santos","given":"Elisama","non-dropping-particle":"","parse-names":false,"suffix":""},{"dropping-particle":"","family":"Pereira","given":"Rui F P","non-dropping-particle":"","parse-names":false,"suffix":""},{"dropping-particle":"","family":"Souza","given":"Domingos F S","non-dropping-particle":"","parse-names":false,"suffix":""},{"dropping-particle":"","family":"Nascimento","given":"Jose H O","non-dropping-particle":"","parse-names":false,"suffix":""}],"container-title":"Sustainable Energy &amp; Fuels","id":"ITEM-1","issue":"10","issued":{"date-parts":[["2025"]]},"page":"2591-2624","publisher":"Royal Society of Chemistry","title":"Trends and developments in flexible solar cells: insights from a bibliometric analysis","type":"article-journal","volume":"9"},"uris":["http://www.mendeley.com/documents/?uuid=9b0ef0b5-10c2-40fd-8563-212babc28e5f"]},{"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success","type":"article-journal","volume":"16"},"uris":["http://www.mendeley.com/documents/?uuid=268bc745-2415-4713-bf04-fb9362513b93"]}],"mendeley":{"formattedCitation":"(Laradi et al., 2024; Santos et al., 2025)","plainTextFormattedCitation":"(Laradi et al., 2024; Santos et al., 2025)","previouslyFormattedCitation":"(Laradi et al., 2024; Santos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(Laradi et al., 2024; Santos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EAD7D4A" w14:textId="2D2E29B6"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Augmented Reality for Cultural Promotion</w:t>
      </w:r>
    </w:p>
    <w:p w14:paraId="40AC645D"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Augmented reality has become more prominent as a tool that can improve storytelling, visual representation, and how consumers interact with heritage and tourism experiences. Unlike conventional digital communication, augmented reality allows adding an engaging layer that lets users interact with products, locations, and stories in a more dynamic and emotionally compelling manner. Recent studies indicate that AR can deepen authenticity perception, improve user experience, and strengthen narrative immersion in cultural and heritage settings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1356-7667","author":[{"dropping-particle":"","family":"Zhu","given":"Chris","non-dropping-particle":"","parse-names":false,"suffix":""},{"dropping-particle":"","family":"Io","given":"Man-U","non-dropping-particle":"","parse-names":false,"suffix":""},{"dropping-particle":"","family":"Ngan","given":"Henrique Fatima Boyol","non-dropping-particle":"","parse-names":false,"suffix":""},{"dropping-particle":"","family":"Peralta","given":"Rachel Luna","non-dropping-particle":"","parse-names":false,"suffix":""}],"container-title":"Journal of Vacation Marketing","id":"ITEM-1","issue":"2","issued":{"date-parts":[["2023"]]},"page":"242-255","publisher":"SAGE Publications Sage UK: London, England","title":"Understanding augmented reality marketing in world cultural heritage site, the lens of authenticity perspective","type":"article-journal","volume":"29"},"uris":["http://www.mendeley.com/documents/?uuid=736d4dc2-f131-4225-b5f0-84fdc4fb2b95"]},{"id":"ITEM-2","itemData":{"ISSN":"0047-2875","author":[{"dropping-particle":"","family":"Maria Correia Loureiro","given":"Sandra","non-dropping-particle":"","parse-names":false,"suffix":""},{"dropping-particle":"","family":"Bilro","given":"Ricardo Godinho","non-dropping-particle":"","parse-names":false,"suffix":""},{"dropping-particle":"","family":"Guerreiro","given":"João","non-dropping-particle":"","parse-names":false,"suffix":""},{"dropping-particle":"","family":"Lee","given":"Myong Jae","non-dropping-particle":"","parse-names":false,"suffix":""},{"dropping-particle":"","family":"Han","given":"Heesup","non-dropping-particle":"","parse-names":false,"suffix":""}],"container-title":"Journal of Travel Research","id":"ITEM-2","issued":{"date-parts":[["2025"]]},"page":"00472875251380185","publisher":"SAGE Publications Sage CA: Los Angeles, CA","title":"ChatGPT Coolness-Desirable Framework for Tourism and Hospitality","type":"article-journal"},"uris":["http://www.mendeley.com/documents/?uuid=9f61ef28-5e9e-4b93-9d19-6a8700179117"]}],"mendeley":{"formattedCitation":"(Maria Correia Loureiro et al., 2025; Zhu et al., 2023)","plainTextFormattedCitation":"(Maria Correia Loureiro et al., 2025; Zhu et al., 2023)","previouslyFormattedCitation":"(Maria Correia Loureiro et al., 2025; Zhu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(Maria Correia Loureiro et al., 2025; Zhu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This body of work has already examined how augmented reality enhances cultural interpretation, museum interaction, and the narration of heritage stories. It has also demonstrated that AR can act as a link between physical objects and digital stories, which makes it especially useful for products where value is based on history, symbolism, and visual aspects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{"citationItems":[{"id":"ITEM-1","itemData":{"ISSN":"2571-9408","author":[{"dropping-particle":"","family":"Chatsiopoulou","given":"Anna","non-dropping-particle":"","parse-names":false,"suffix":""},{"dropping-particle":"","family":"Michailidis","given":"Panagiotis D","non-dropping-particle":"","parse-names":false,"suffix":""}],"container-title":"Heritage","id":"ITEM-1","issue":"10","issued":{"date-parts":[["2025"]]},"page":"421","publisher":"MDPI","title":"Augmented reality in cultural heritage: A narrative review of design, development and evaluation approaches","type":"article-journal","volume":"8"},"uris":["http://www.mendeley.com/documents/?uuid=40d790f8-fcf6-448d-9f97-4bed6a9a45da"]},{"id":"ITEM-2","itemData":{"ISSN":"1359-4338","author":[{"dropping-particle":"","family":"Paolis","given":"Lucio Tommaso","non-dropping-particle":"De","parse-names":false,"suffix":""},{"dropping-particle":"","family":"Gatto","given":"Carola","non-dropping-particle":"","parse-names":false,"suffix":""},{"dropping-particle":"","family":"Corchia","given":"Laura","non-dropping-particle":"","parse-names":false,"suffix":""},{"dropping-particle":"","family":"Luca","given":"Valerio","non-dropping-particle":"De","parse-names":false,"suffix":""}],"container-title":"Virtual Reality","id":"ITEM-2","issue":"2","issued":{"date-parts":[["2023"]]},"page":"1117-1143","publisher":"Springer","title":"Usability, user experience and mental workload in a mobile Augmented Reality application for digital storytelling in cultural heritage","type":"article-journal","volume":"27"},"uris":["http://www.mendeley.com/documents/?uuid=e835b608-04dd-418c-8d96-4e7296b3d611"]},{"id":"ITEM-3","itemData":{"ISSN":"2212-0548","author":[{"dropping-particle":"","family":"Ramtohul","given":"Arvind","non-dropping-particle":"","parse-names":false,"suffix":""},{"dropping-particle":"","family":"Khedo","given":"Kavi Kumar","non-dropping-particle":"","parse-names":false,"suffix":""}],"container-title":"Digital Applications in Archaeology and Cultural Heritage","id":"ITEM-3","issued":{"date-parts":[["2024"]]},"page":"e00317","publisher":"Elsevier","title":"Augmented reality systems in the cultural heritage domains: A systematic review","type":"article-journal","volume":"32"},"uris":["http://www.mendeley.com/documents/?uuid=675c264f-6c20-459e-9481-667622921045"]}],"mendeley":{"formattedCitation":"(Chatsiopoulou &amp; Michailidis, 2025; De Paolis et al., 2023; Ramtohul &amp; Khedo, 2024)","plainTextFormattedCitation":"(Chatsiopoulou &amp; Michailidis, 2025; De Paolis et al., 2023; Ramtohul &amp; Khedo, 2024)","previouslyFormattedCitation":"(Chatsiopoulou &amp; Michailidis, 2025; De Paolis et al., 2023; Ramtohul &amp; Khedo, 2024)"},"properties":{"noteIndex":0},"schema":"https://github.com/citation-style-language/schema/raw/master/csl-citation.json"}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(Chatsiopoulou &amp; Michailidis, 2025; De Paolis et al., 2023; Ramtohul &amp; Khedo, 2024)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30930D84"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However, most of the existing research has mainly looked at tourism destinations, museums, and cultural sites, with much less focus on how augmented reality could help heritage-based small businesses and artisan communities. This is a significant oversight because products like batik are not just items for sale but also serve as carriers of cultural memory, historical motifs, and local identity. In this situation, augmented reality has the potential to enhance branding by enabling audiences to experience stories related to design elements, creation processes, symbolic meanings, and environmental values in a more engaging and lasting manner. The significance of AR in the current program is not just due to its new technology but because of its potential to enhance the storytelling of cultural products. What remains insufficiently explored in prior research is how AR can be integrated into community engagement initiatives as a practical and participatory instrument, rather than as a purely consumer-facing innovation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0040-1625","author":[{"dropping-particle":"","family":"Chen","given":"Shuang","non-dropping-particle":"","parse-names":false,"suffix":""},{"dropping-particle":"","family":"Li","given":"Bin","non-dropping-particle":"","parse-names":false,"suffix":""},{"dropping-particle":"","family":"Zhou","given":"Qi","non-dropping-particle":"","parse-names":false,"suffix":""}],"container-title":"Technological Forecasting and Social Change","id":"ITEM-1","issued":{"date-parts":[["2025"]]},"page":"124353","publisher":"Elsevier","title":"We ARe inspired: How augmented reality empower cultural communication through self-authenticity and subjective well-being","type":"article-journal","volume":"221"},"uris":["http://www.mendeley.com/documents/?uuid=a2a6e10c-5033-47b1-bd39-ab7a02d48d06"]},{"id":"ITEM-2","itemData":{"ISSN":"2212-0548","author":[{"dropping-particle":"","family":"Ramtohul","given":"Arvind","non-dropping-particle":"","parse-names":false,"suffix":""},{"dropping-particle":"","family":"Khedo","given":"Kavi Kumar","non-dropping-particle":"","parse-names":false,"suffix":""}],"container-title":"Digital Applications in Archaeology and Cultural Heritage","id":"ITEM-2","issued":{"date-parts":[["2024"]]},"page":"e00317","publisher":"Elsevier","title":"Augmented reality systems in the cultural heritage domains: A systematic review","type":"article-journal","volume":"32"},"uris":["http://www.mendeley.com/documents/?uuid=675c264f-6c20-459e-9481-667622921045"]}],"mendeley":{"formattedCitation":"(Chen et al., 2025; Ramtohul &amp; Khedo, 2024)","plainTextFormattedCitation":"(Chen et al., 2025; Ramtohul &amp; Khedo, 2024)","previouslyFormattedCitation":"(Chen et al., 2025; Ramtohul &amp; Khedo, 2024)"},"properties":{"noteIndex":0},"schema":"https://github.com/citation-style-language/schema/raw/master/csl-citation.json"}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(Chen et al., 2025; Ramtohul &amp; Khedo, 2024)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147A509B" w14:textId="6186F4DE"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Program Framework and Logic Model</w:t>
      </w:r>
    </w:p>
    <w:p w14:paraId="33730102"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The program framework is designed as a logic-based community engagement model that connects inputs, activities, outputs, and expected outcomes in a coherent pathway of intervention. The inputs include academic knowledge, training resources, community collaborations, and technology-based tools. These inputs are translated into activities through focus group discussions and practical sessions on the use of generative AI in promotion. The immediate outputs include enhanced understanding of sustainable branding, improved familiarity with digital communication tools, and stronger interaction among community actors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-2","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Journal","id":"ITEM-2","issue":"7","issued":{"date-parts":[["2025"]]},"page":"25-44","publisher":"Emerald Publishing Limited","title":"Barriers to the digital transformation of cultural and creative industry MSMEs: the case of the Basque country","type":"article-journal","volume":"35"},"uris":["http://www.mendeley.com/documents/?uuid=30f20c94-35d5-4ad9-9617-8d53e144e11d"]}],"mendeley":{"formattedCitation":"(Eguia et al., 2025; Satalkina &amp; Steiner, 2020)","plainTextFormattedCitation":"(Eguia et al., 2025; Satalkina &amp; Steiner, 2020)","previouslyFormattedCitation":"(Eguia et al., 2025; Satalkina &amp; Steiner,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(Eguia et al., 2025; Satalkina &amp; Steiner,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The expected outcomes are broader and more strategic, namely the strengthening of sustainability-oriented identity, digital promotion capability, and artisan community cohesion. Recent scholarship on digital transformation, local capability-building, and heritage innovation supports the view that interventions are more effective when they are designed as integrated systems linking knowledge transfer, practical experimentation, and community ownership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{"citationItems":[{"id":"ITEM-1","itemData":{"ISSN":"2590-2911","author":[{"dropping-particle":"","family":"Purwati","given":"Astri Ayu","non-dropping-particle":"","parse-names":false,"suffix":""},{"dropping-particle":"","family":"Irman","given":"Mimelientesa","non-dropping-particle":"","parse-names":false,"suffix":""},{"dropping-particle":"","family":"Siddik","given":"Muhammad","non-dropping-particle":"","parse-names":false,"suffix":""},{"dropping-particle":"","family":"Hamzah","given":"Muhammad Luthfi","non-dropping-particle":"","parse-names":false,"suffix":""},{"dropping-particle":"","family":"Mery","given":"Silvia","non-dropping-particle":"","parse-names":false,"suffix":""}],"container-title":"Social Sciences &amp; Humanities Open","id":"ITEM-1","issued":{"date-parts":[["2026"]]},"page":"102624","publisher":"Elsevier","title":"Digital Heritage Ecosphere: Empowering local-wisdom MSMEs for sustainable competitive advantage","type":"article-journal","volume":"13"},"uris":["http://www.mendeley.com/documents/?uuid=c4845382-87ab-4bbf-b294-17037d374057"]},{"id":"ITEM-2","itemData":{"ISSN":"1465-7503","author":[{"dropping-particle":"","family":"Aaltonen","given":"Satu","non-dropping-particle":"","parse-names":false,"suffix":""},{"dropping-particle":"","family":"Heinze","given":"Aleksej","non-dropping-particle":"","parse-names":false,"suffix":""},{"dropping-particle":"","family":"Ielpa","given":"Giuseppe","non-dropping-particle":"","parse-names":false,"suffix":""},{"dropping-particle":"","family":"Tommaso","given":"Dorella","non-dropping-particle":"De","parse-names":false,"suffix":""}],"container-title":"The International Journal of Entrepreneurship and Innovation","id":"ITEM-2","issue":"2","issued":{"date-parts":[["2015"]]},"page":"73-83","publisher":"SAGE Publications Sage UK: London, England","title":"Enterprise cultural heritage: The source for sustainable competitive advantage and survival for food sector SMEs","type":"article-journal","volume":"16"},"uris":["http://www.mendeley.com/documents/?uuid=1300fd5c-2ff1-4241-9b42-925c62a2c156"]}],"mendeley":{"formattedCitation":"(Aaltonen et al., 2015; Purwati et al., 2026)","plainTextFormattedCitation":"(Aaltonen et al., 2015; Purwati et al., 2026)","previouslyFormattedCitation":"(Aaltonen et al., 2015; Purwati et al., 2026)"},"properties":{"noteIndex":0},"schema":"https://github.com/citation-style-language/schema/raw/master/csl-citation.json"}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(Aaltonen et al., 2015; Purwati et al., 2026)</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08F48C87" w14:textId="79CA3C9B" w:rsidR="00901F29" w:rsidRDefault="000A066C" w:rsidP="005E7067">
      <w:pPr>
        <w:ind w:left="180"/>
        <w:jc w:val="both"/>
        <w:rPr>
          <w:rFonts w:ascii="Times New Roman" w:hAnsi="Times New Roman" w:cs="Times New Roman"/>
          <w:sz w:val="24"/>
          <w:szCs w:val="24"/>
        </w:rPr>
      </w:pPr>
      <w:r w:rsidRPr="000A066C">
        <w:rPr>
          <w:rFonts w:ascii="Times New Roman" w:hAnsi="Times New Roman" w:cs="Times New Roman"/>
          <w:sz w:val="24"/>
          <w:szCs w:val="24"/>
        </w:rPr>
        <w:lastRenderedPageBreak/>
        <w:t xml:space="preserve">What has already been explored in previous studies is the importance of digital capability, ecosystem support, and cultural innovation for SME development. What has not been adequately developed is a program logic that shows how these elements can be sequenced in a community service setting, especially under the institutional obligation of Indonesian lecturers to undertake community engagement as part of the </w:t>
      </w:r>
      <w:proofErr w:type="spellStart"/>
      <w:r w:rsidRPr="000A066C">
        <w:rPr>
          <w:rFonts w:ascii="Times New Roman" w:hAnsi="Times New Roman" w:cs="Times New Roman"/>
          <w:i/>
          <w:iCs/>
          <w:sz w:val="24"/>
          <w:szCs w:val="24"/>
        </w:rPr>
        <w:t>Tridharma</w:t>
      </w:r>
      <w:proofErr w:type="spellEnd"/>
      <w:r w:rsidRPr="000A066C">
        <w:rPr>
          <w:rFonts w:ascii="Times New Roman" w:hAnsi="Times New Roman" w:cs="Times New Roman"/>
          <w:i/>
          <w:iCs/>
          <w:sz w:val="24"/>
          <w:szCs w:val="24"/>
        </w:rPr>
        <w:t xml:space="preserve"> </w:t>
      </w:r>
      <w:proofErr w:type="spellStart"/>
      <w:r w:rsidRPr="000A066C">
        <w:rPr>
          <w:rFonts w:ascii="Times New Roman" w:hAnsi="Times New Roman" w:cs="Times New Roman"/>
          <w:i/>
          <w:iCs/>
          <w:sz w:val="24"/>
          <w:szCs w:val="24"/>
        </w:rPr>
        <w:t>Perguruan</w:t>
      </w:r>
      <w:proofErr w:type="spellEnd"/>
      <w:r w:rsidRPr="000A066C">
        <w:rPr>
          <w:rFonts w:ascii="Times New Roman" w:hAnsi="Times New Roman" w:cs="Times New Roman"/>
          <w:i/>
          <w:iCs/>
          <w:sz w:val="24"/>
          <w:szCs w:val="24"/>
        </w:rPr>
        <w:t xml:space="preserve"> Tinggi</w:t>
      </w:r>
      <w:r w:rsidRPr="000A066C">
        <w:rPr>
          <w:rFonts w:ascii="Times New Roman" w:hAnsi="Times New Roman" w:cs="Times New Roman"/>
          <w:sz w:val="24"/>
          <w:szCs w:val="24"/>
        </w:rPr>
        <w:t xml:space="preserve">. In this sense, the present framework contributes a practice-based model rather than a causal theory. The importance of this initiative is in showing how an academic community service project can transition from talking about ideas to </w:t>
      </w:r>
      <w:proofErr w:type="gramStart"/>
      <w:r w:rsidRPr="000A066C">
        <w:rPr>
          <w:rFonts w:ascii="Times New Roman" w:hAnsi="Times New Roman" w:cs="Times New Roman"/>
          <w:sz w:val="24"/>
          <w:szCs w:val="24"/>
        </w:rPr>
        <w:t>actually putting</w:t>
      </w:r>
      <w:proofErr w:type="gramEnd"/>
      <w:r w:rsidRPr="000A066C">
        <w:rPr>
          <w:rFonts w:ascii="Times New Roman" w:hAnsi="Times New Roman" w:cs="Times New Roman"/>
          <w:sz w:val="24"/>
          <w:szCs w:val="24"/>
        </w:rPr>
        <w:t xml:space="preserve"> them into practice, while making sure that using new technology stays tied to preserving culture and helping the community come together and gain power. </w:t>
      </w:r>
    </w:p>
    <w:p w14:paraId="0B818FC0" w14:textId="77777777" w:rsidR="005E7067" w:rsidRPr="005E7067" w:rsidRDefault="005E7067" w:rsidP="005E7067">
      <w:pPr>
        <w:ind w:left="180"/>
        <w:jc w:val="both"/>
        <w:rPr>
          <w:rFonts w:ascii="Times New Roman" w:hAnsi="Times New Roman" w:cs="Times New Roman"/>
          <w:sz w:val="24"/>
          <w:szCs w:val="24"/>
        </w:rPr>
      </w:pPr>
    </w:p>
    <w:p w14:paraId="28BFCDD2" w14:textId="15AB3B4C" w:rsidR="000A066C" w:rsidRPr="00901F29" w:rsidRDefault="00A02BE0" w:rsidP="000A066C">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A02BE0">
        <w:rPr>
          <w:rFonts w:ascii="Times New Roman" w:eastAsia="Times New Roman" w:hAnsi="Times New Roman" w:cs="Times New Roman"/>
          <w:b/>
          <w:bCs/>
          <w:spacing w:val="-2"/>
          <w:kern w:val="0"/>
          <w:sz w:val="28"/>
          <w:szCs w:val="28"/>
          <w14:ligatures w14:val="none"/>
        </w:rPr>
        <w:t>METHODOLOGY OF COMMUNITY ENGAGEMENT</w:t>
      </w:r>
    </w:p>
    <w:p w14:paraId="3574754E" w14:textId="546EEB36"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Approach and Design of the Program</w:t>
      </w:r>
    </w:p>
    <w:p w14:paraId="062BFA82"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program adopts a participatory and practice-based approach, positioning community members not as passive recipients but as active contributors in shaping the intervention. In the Indonesian higher education system, this approach is consistent with the Tri dharma </w:t>
      </w:r>
      <w:proofErr w:type="spellStart"/>
      <w:r w:rsidRPr="00A02BE0">
        <w:rPr>
          <w:rFonts w:ascii="Times New Roman" w:hAnsi="Times New Roman" w:cs="Times New Roman"/>
          <w:sz w:val="24"/>
          <w:szCs w:val="24"/>
        </w:rPr>
        <w:t>Perguruan</w:t>
      </w:r>
      <w:proofErr w:type="spellEnd"/>
      <w:r w:rsidRPr="00A02BE0">
        <w:rPr>
          <w:rFonts w:ascii="Times New Roman" w:hAnsi="Times New Roman" w:cs="Times New Roman"/>
          <w:sz w:val="24"/>
          <w:szCs w:val="24"/>
        </w:rPr>
        <w:t xml:space="preserve"> Tinggi, which mandates that academics convert knowledge into practices that have social relevance. Contemporary literature on community engagement emphasizes that participatory design enhances relevance, ownership, and long-term sustainability of interventions, particularly when addressing complex socio-economic challenges. Instead of using a strict training model, the program. It was designed as an interactive learning space where participants could exchange experiences, express challenges, and work together to create solutions focused on digital marketing and sustainable branding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transitions","type":"article-journal","volume":"12"},"uris":["http://www.mendeley.com/documents/?uuid=aa645609-e57a-4f8b-815d-7a7773866491"]},{"id":"ITEM-2","itemData":{"ISSN":"1089-2680","author":[{"dropping-particle":"","family":"Westerman","given":"Michael A","non-dropping-particle":"","parse-names":false,"suffix":""}],"container-title":"Review of General Psychology","id":"ITEM-2","issue":"4","issued":{"date-parts":[["2013"]]},"page":"358-373","publisher":"SAGE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approach","type":"article-journal","volume":"17"},"uris":["http://www.mendeley.com/documents/?uuid=fcfd3639-dfb9-4998-a170-cd757de0f555"]}],"mendeley":{"formattedCitation":"(Satalkina &amp; Steiner, 2020; Westerman, 2013)","plainTextFormattedCitation":"(Satalkina &amp; Steiner, 2020; Westerman, 2013)","previouslyFormattedCitation":"(Satalkina &amp; Steiner, 2020; Westerman, 2013)"},"properties":{"noteIndex":0},"schema":"https://github.com/citation-style-language/schema/raw/master/csl-citation.json"}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(Satalkina &amp; Steiner, 2020; Westerman, 2013)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6035F9A8"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This method shows a change in how engagement is handled, moving from just sharing knowledge to creating knowledge together. Existing studies have demonstrated that co-creation improves the contextual relevance of innovation and strengthens community capacity; however, these studies often remain at a conceptual level and provide limited insight into how participatory engagement is operationalized in small-scale cultural industries. In this program, the design focused on dialogue and experimentation. Through iterative learning, participants can adapt digital tools to their specific socio-cultural context. The methodological contribution lies in demonstrating how participatory engagement can be integrated with digital transformation initiatives in heritage-based SMEs, an area that remains underexplored in recent scholarship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Studies","id":"ITEM-2","issue":"2","issued":{"date-parts":[["2023"]]},"title":"Cultural Changes and Willingness to Change in Indigenous People of Penglipuran Bali Tourism Village During the Covid-19 Pandemic.","type":"article-journal","volume":"16"},"uris":["http://www.mendeley.com/documents/?uuid=33893984-3262-4e79-9caf-fc4e027389db"]},{"id":"ITEM-3","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praksa","id":"ITEM-3","issue":"3","issued":{"date-parts":[["2022"]]},"title":"HAS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 Saoualih et al., 2025; Wolor et al., 2023)","plainTextFormattedCitation":"(Gaffar et al., 2022; Saoualih et al., 2025; Wolor et al., 2023)","previouslyFormattedCitation":"(Gaffar et al., 2022; Saoualih et al., 2025; Wolor et al., 2023)"},"properties":{"noteIndex":0},"schema":"https://github.com/citation-style-language/schema/raw/master/csl-citation.json"}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(Gaffar et al., 2022; Saoualih et al., 2025; Wolor et al., 2023)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11B79739" w14:textId="75482887"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Setting and Participants</w:t>
      </w:r>
    </w:p>
    <w:p w14:paraId="4B311C7B"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program was conducted at the </w:t>
      </w:r>
      <w:proofErr w:type="spellStart"/>
      <w:r w:rsidRPr="00A02BE0">
        <w:rPr>
          <w:rFonts w:ascii="Times New Roman" w:hAnsi="Times New Roman" w:cs="Times New Roman"/>
          <w:sz w:val="24"/>
          <w:szCs w:val="24"/>
        </w:rPr>
        <w:t>Lasem</w:t>
      </w:r>
      <w:proofErr w:type="spellEnd"/>
      <w:r w:rsidRPr="00A02BE0">
        <w:rPr>
          <w:rFonts w:ascii="Times New Roman" w:hAnsi="Times New Roman" w:cs="Times New Roman"/>
          <w:sz w:val="24"/>
          <w:szCs w:val="24"/>
        </w:rPr>
        <w:t xml:space="preserve"> Heritage Foundation on 7 February 2026, a location that serves as a cultural hub for batik artisans and heritage preservation initiatives in </w:t>
      </w:r>
      <w:proofErr w:type="spellStart"/>
      <w:r w:rsidRPr="00A02BE0">
        <w:rPr>
          <w:rFonts w:ascii="Times New Roman" w:hAnsi="Times New Roman" w:cs="Times New Roman"/>
          <w:sz w:val="24"/>
          <w:szCs w:val="24"/>
        </w:rPr>
        <w:t>Lasem</w:t>
      </w:r>
      <w:proofErr w:type="spellEnd"/>
      <w:r w:rsidRPr="00A02BE0">
        <w:rPr>
          <w:rFonts w:ascii="Times New Roman" w:hAnsi="Times New Roman" w:cs="Times New Roman"/>
          <w:sz w:val="24"/>
          <w:szCs w:val="24"/>
        </w:rPr>
        <w:t>, Central Java. The choice of this location was intentional, as it serves as a meeting place for cultural activities, local engagement, and the preservation of historical traditions. A total of 20 participants were involved, who were batik artisans and representatives from local non-governmental organizations. These participants include a variety of individuals and groups involved in different stages of the batik industry, including production, promotion, and community development activities.</w:t>
      </w:r>
    </w:p>
    <w:p w14:paraId="361E6C0F"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Recent literature on community-based development highlights the importance of engaging diverse stakeholders to ensure that interventions capture multiple perspectives and address real-world complexities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{"citationItems":[{"id":"ITEM-1","itemData":{"ISSN":"1751-0694","author":[{"dropping-particle":"","family":"Dias","given":"Álvaro","non-dropping-particle":"","parse-names":false,"suffix":""},{"dropping-particle":"","family":"González-Rodríguez","given":"M Rosario","non-dropping-particle":"","parse-names":false,"suffix":""},{"dropping-particle":"","family":"Patuleia","given":"Mafalda","non-dropping-particle":"","parse-names":false,"suffix":""}],"container-title":"Creative Industries Journal","id":"ITEM-1","issue":"2","issued":{"date-parts":[["2023"]]},"page":"180-203","publisher":"Taylor &amp; Francis","title":"Creative tourism destination competitiveness: An integrative model and agenda for future research","type":"article-journal","volume":"16"},"uris":["http://www.mendeley.com/documents/?uuid=e420976a-394e-486d-9ae7-59db7debd0ac"]},{"id":"ITEM-2","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Journal","id":"ITEM-2","issue":"7","issued":{"date-parts":[["2025"]]},"page":"25-44","publisher":"Emerald Publishing Limited","title":"Barriers to the digital transformation of cultural and creative industry MSMEs: the case of the Basque country","type":"article-journal","volume":"35"},"uris":["http://www.mendeley.com/documents/?uuid=30f20c94-35d5-4ad9-9617-8d53e144e11d"]}],"mendeley":{"formattedCitation":"(Dias et al., 2023; Eguia et al., 2025)","plainTextFormattedCitation":"(Dias et al., 2023; Eguia et al., 2025)","previouslyFormattedCitation":"(Dias et al., 2023; Eguia et al., 2025)"},"properties":{"noteIndex":0},"schema":"https://github.com/citation-style-language/schema/raw/master/csl-citation.json"}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(Dias et al., 2023; Eguia et al., 2025)</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 xml:space="preserve">. However, many studies continue to use general stakeholder models without explaining how this diversity is </w:t>
      </w:r>
      <w:proofErr w:type="gramStart"/>
      <w:r w:rsidRPr="00A02BE0">
        <w:rPr>
          <w:rFonts w:ascii="Times New Roman" w:hAnsi="Times New Roman" w:cs="Times New Roman"/>
          <w:sz w:val="24"/>
          <w:szCs w:val="24"/>
        </w:rPr>
        <w:t>actually handled</w:t>
      </w:r>
      <w:proofErr w:type="gramEnd"/>
      <w:r w:rsidRPr="00A02BE0">
        <w:rPr>
          <w:rFonts w:ascii="Times New Roman" w:hAnsi="Times New Roman" w:cs="Times New Roman"/>
          <w:sz w:val="24"/>
          <w:szCs w:val="24"/>
        </w:rPr>
        <w:t xml:space="preserve"> in real situations. In the current program, the variety of participants was used as a valuable resource to promote group learning, enabling artisans, community leaders, and facilitators to share knowledge and work together to develop common approaches. This setting also shows how </w:t>
      </w:r>
      <w:proofErr w:type="spellStart"/>
      <w:r w:rsidRPr="00A02BE0">
        <w:rPr>
          <w:rFonts w:ascii="Times New Roman" w:hAnsi="Times New Roman" w:cs="Times New Roman"/>
          <w:sz w:val="24"/>
          <w:szCs w:val="24"/>
        </w:rPr>
        <w:t>Lasem's</w:t>
      </w:r>
      <w:proofErr w:type="spellEnd"/>
      <w:r w:rsidRPr="00A02BE0">
        <w:rPr>
          <w:rFonts w:ascii="Times New Roman" w:hAnsi="Times New Roman" w:cs="Times New Roman"/>
          <w:sz w:val="24"/>
          <w:szCs w:val="24"/>
        </w:rPr>
        <w:t xml:space="preserve"> socioeconomic conditions are shaped by the fact that batik making is part of local community connections rather than being organized through official structures. The program therefore serves </w:t>
      </w:r>
      <w:r w:rsidRPr="00A02BE0">
        <w:rPr>
          <w:rFonts w:ascii="Times New Roman" w:hAnsi="Times New Roman" w:cs="Times New Roman"/>
          <w:sz w:val="24"/>
          <w:szCs w:val="24"/>
        </w:rPr>
        <w:lastRenderedPageBreak/>
        <w:t xml:space="preserve">as a practical example of how community involvement can be adapted to fit heritage-based production systems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1471-5430","author":[{"dropping-particle":"","family":"Trencher","given":"Gregory","non-dropping-particle":"","parse-names":false,"suffix":""},{"dropping-particle":"","family":"Yarime","given":"Masaru","non-dropping-particle":"","parse-names":false,"suffix":""},{"dropping-particle":"","family":"McCormick","given":"Kes B","non-dropping-particle":"","parse-names":false,"suffix":""},{"dropping-particle":"","family":"Doll","given":"Christopher N H","non-dropping-particle":"","parse-names":false,"suffix":""},{"dropping-particle":"","family":"Kraines","given":"Steven B","non-dropping-particle":"","parse-names":false,"suffix":""}],"container-title":"Science and Public Policy","id":"ITEM-1","issue":"2","issued":{"date-parts":[["2014"]]},"page":"151-179","publisher":"Oxford University Press","title":"Beyond the third mission: Exploring the emerging university function of co-creation for sustainability","type":"article-journal","volume":"41"},"uris":["http://www.mendeley.com/documents/?uuid=7e0f05b7-21b2-4d84-b79f-c97702763e97"]},{"id":"ITEM-2","itemData":{"ISSN":"0148-2963","author":[{"dropping-particle":"","family":"Verhoef","given":"Peter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Dong","given":"John Qi","non-dropping-particle":"","parse-names":false,"suffix":""},{"dropping-particle":"","family":"Fabian","given":"Nicolai","non-dropping-particle":"","parse-names":false,"suffix":""},{"dropping-particle":"","family":"Haenlein","given":"Michael","non-dropping-particle":"","parse-names":false,"suffix":""}],"container-title":"Journal of business research","id":"ITEM-2","issued":{"date-parts":[["2021"]]},"page":"889-901","publisher":"Elsevier","title":"Digital transformation: A multidisciplinary reflection and research agenda","type":"article-journal","volume":"122"},"uris":["http://www.mendeley.com/documents/?uuid=fce8d018-3954-4d98-94cf-aed55b9d0cf2"]}],"mendeley":{"formattedCitation":"(Trencher et al., 2014; Verhoef et al., 2021)","plainTextFormattedCitation":"(Trencher et al., 2014; Verhoef et al., 2021)","previouslyFormattedCitation":"(Trencher et al., 2014; Verhoef et al., 2021)"},"properties":{"noteIndex":0},"schema":"https://github.com/citation-style-language/schema/raw/master/csl-citation.json"}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(Trencher et al., 2014; Verhoef et al., 2021)</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482438F7" w14:textId="73433289"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Programme Activities</w:t>
      </w:r>
    </w:p>
    <w:p w14:paraId="30AA3A71"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implementation of the program consisted of two main components: Focus Group Discussions (FGDs) and hands-on training sessions on generative AI tools. The FGDs were designed to facilitate open dialogue among participants, enabling them to share experiences related to marketing challenges, digital adoption, and branding practices. This format allowed for the identification of common constraints and opportunities while also fostering mutual learning. The hands-on sessions focused on practical applications of generative AI, including the creation of promotional captions, visual content, and short-form videos using accessible digital tools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{"citationItems":[{"id":"ITEM-1","itemData":{"ISSN":"2721-169X","author":[{"dropping-particle":"","family":"Wijaya","given":"Nata Kesuma","non-dropping-particle":"","parse-names":false,"suffix":""},{"dropping-particle":"","family":"Moko","given":"Wahdiyat","non-dropping-particle":"","parse-names":false,"suffix":""}],"container-title":"Jurnal Ilmiah Manajemen Kesatuan","id":"ITEM-1","issue":"1","issued":{"date-parts":[["2026"]]},"page":"1-14","title":"Branding Strategy and Social Media Marketing on MSME Business Performance: The Mediating Effect of Sales Performance","type":"article-journal","volume":"14"},"uris":["http://www.mendeley.com/documents/?uuid=e0cc476a-977c-4328-8a53-42a135172552"]},{"id":"ITEM-2","itemData":{"ISSN":"2405-8440","author":[{"dropping-particle":"","family":"Melo","given":"Isotilia Costa","non-dropping-particle":"","parse-names":false,"suffix":""},{"dropping-particle":"","family":"Queiroz","given":"Geandra Alves","non-dropping-particle":"","parse-names":false,"suffix":""},{"dropping-particle":"","family":"Junior","given":"Paulo Nocera Alves","non-dropping-particle":"","parse-names":false,"suffix":""},{"dropping-particle":"","family":"Sousa","given":"Thales Botelho","non-dropping-particle":"de","parse-names":false,"suffix":""},{"dropping-particle":"","family":"Yushimito","given":"Wilfredo F","non-dropping-particle":"","parse-names":false,"suffix":""},{"dropping-particle":"","family":"Pereira","given":"Jorge","non-dropping-particle":"","parse-names":false,"suffix":""}],"container-title":"Heliyon","id":"ITEM-2","issue":"3","issued":{"date-parts":[["2023"]]},"publisher":"Elsevier","title":"Sustainable digital transformation in small and medium enterprises (SMEs): A review on performance","type":"article-journal","volume":"9"},"uris":["http://www.mendeley.com/documents/?uuid=9babccda-9cf2-48a6-ab4b-628af1182ee3"]}],"mendeley":{"formattedCitation":"(Melo et al., 2023; Wijaya &amp; Moko, 2026)","plainTextFormattedCitation":"(Melo et al., 2023; Wijaya &amp; Moko, 2026)","previouslyFormattedCitation":"(Melo et al., 2023; Wijaya &amp; Moko, 2026)"},"properties":{"noteIndex":0},"schema":"https://github.com/citation-style-language/schema/raw/master/csl-citation.json"}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(Melo et al., 2023; Wijaya &amp; Moko, 2026)</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0D90CB4F"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integration of discussion and practice reflects current recommendations in community engagement literature, which emphasize experiential learning and active participation as key drivers of skill development and behavioural change. While earlier research has pointed out the possibility of many small and medium-sized enterprises focusing on digital tools and artificial intelligence but tending to neglect the value of structured guidance in achieving real integration and effective use. This program combined FGDs with practical sessions to ensure participants gained a clear understanding of the importance of digital marketing concepts and built the confidence to apply them in their own situations. This dual structure tackles a significant omission in existing research, as training interventions are often described but seldom examined in terms of their teaching methods and real-world effectiveness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{"citationItems":[{"id":"ITEM-1","itemData":{"ISSN":"1089-2680","author":[{"dropping-particle":"","family":"Westerman","given":"Michael A","non-dropping-particle":"","parse-names":false,"suffix":""}],"container-title":"Review of General Psychology","id":"ITEM-1","issue":"4","issued":{"date-parts":[["2013"]]},"page":"358-373","publisher":"SAGE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id":"ITEM-2","itemData":{"author":[{"dropping-particle":"","family":"Stock","given":"Friends","non-dropping-particle":"","parse-names":false,"suffix":""},{"dropping-particle":"","family":"Stock","given":"A","non-dropping-particle":"","parse-names":false,"suffix":""}],"id":"ITEM-2","issued":{"date-parts":[["2024"]]},"publisher":"United Nations Publications","title":"Creative economy outlook 2024","type":"article"},"uris":["http://www.mendeley.com/documents/?uuid=b604c7ed-2eee-4403-8ce2-0509559a3d69"]}],"mendeley":{"formattedCitation":"(Stock &amp; Stock, 2024; Westerman, 2013)","plainTextFormattedCitation":"(Stock &amp; Stock, 2024; Westerman, 2013)","previouslyFormattedCitation":"(Stock &amp; Stock, 2024; Westerman, 2013)"},"properties":{"noteIndex":0},"schema":"https://github.com/citation-style-language/schema/raw/master/csl-citation.json"}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(Stock &amp; Stock, 2024; Westerman, 2013)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06D44967" w14:textId="07CDF66F"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sz w:val="24"/>
          <w:szCs w:val="24"/>
        </w:rPr>
      </w:pPr>
      <w:r w:rsidRPr="00A02BE0">
        <w:rPr>
          <w:rFonts w:ascii="Times New Roman" w:hAnsi="Times New Roman" w:cs="Times New Roman"/>
          <w:b/>
          <w:bCs/>
          <w:sz w:val="24"/>
          <w:szCs w:val="24"/>
        </w:rPr>
        <w:t>Materials and Training Modules</w:t>
      </w:r>
    </w:p>
    <w:p w14:paraId="1910B4A2"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materials delivered in the program were structured around three main themes: sustainable promotion models, AI-assisted marketing, and community empowerment strategies. The sustainable promotion module taught participants how to connect brand identity with genuine cultural values and build lasting value over time. The AI-assisted marketing module provided practical guidance on using generative AI tools to produce digital content efficiently. The community empowerment module highlighted the significance of working together, exchanging knowledge, and creating connections among artisans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2071-1050","author":[{"dropping-particle":"","family":"Marolt","given":"Marjeta","non-dropping-particle":"","parse-names":false,"suffix":""},{"dropping-particle":"","family":"Zimmermann","given":"Hans-Dieter","non-dropping-particle":"","parse-names":false,"suffix":""},{"dropping-particle":"","family":"Pucihar","given":"Andreja","non-dropping-particle":"","parse-names":false,"suffix":""}],"container-title":"Sustainability","id":"ITEM-1","issue":"22","issued":{"date-parts":[["2022"]]},"page":"15029","publisher":"MDPI","title":"Social media use and business performance in SMEs: The mediating roles of relational social commerce capability and competitive advantage","type":"article-journal","volume":"14"},"uris":["http://www.mendeley.com/documents/?uuid=66dd5e5b-da20-47b7-a4e2-3b5c837cbf55"]},{"id":"ITEM-2","itemData":{"ISSN":"0885-8624","author":[{"dropping-particle":"","family":"Sabatini","given":"Andrea","non-dropping-particle":"","parse-names":false,"suffix":""},{"dropping-particle":"","family":"Pascucci","given":"Federica","non-dropping-particle":"","parse-names":false,"suffix":""},{"dropping-particle":"","family":"Gregori","given":"Gian Luca","non-dropping-particle":"","parse-names":false,"suffix":""}],"container-title":"Journal of Business &amp; Industrial Marketing","id":"ITEM-2","issue":"6","issued":{"date-parts":[["2023"]]},"page":"1345-1361","publisher":"Emerald Publishing Limited","title":"Customer involvement in technological development of smart products: empirical evidence from a coffee-machine producer","type":"article-journal","volume":"38"},"uris":["http://www.mendeley.com/documents/?uuid=ed56f75d-2a56-4944-a256-dc1b2453590b"]}],"mendeley":{"formattedCitation":"(Marolt et al., 2022; Sabatini et al., 2023)","plainTextFormattedCitation":"(Marolt et al., 2022; Sabatini et al., 2023)","previouslyFormattedCitation":"(Marolt et al., 2022; Sabatini et al., 2023)"},"properties":{"noteIndex":0},"schema":"https://github.com/citation-style-language/schema/raw/master/csl-citation.json"}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(Marolt et al., 2022; Sabatini et al., 2023)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30EE77E1"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Recent research suggests that effective capacity-building programs integrate conceptual understanding with practical skills and social learning processes. However, a significant portion of the current research emphasizes the development of capabilities at the firm level rather than on training programs that are based within community contexts. In contrast, the current program shows how training modules can be tailored to meet the needs of small and medium enterprises in the heritage sector by integrating technical expertise with cultural awareness. The materials were created with accessibility and relevance in mind, so that individuals could easily connect the content to their everyday work and use it right away in their routine activities. This shows how crucial it is to adapt training materials to specific local circumstances, which is still not adequately covered in typical digital transformation approaches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{"citationItems":[{"id":"ITEM-1","itemData":{"ISSN":"2590-2911","author":[{"dropping-particle":"","family":"Purwati","given":"Astri Ayu","non-dropping-particle":"","parse-names":false,"suffix":""},{"dropping-particle":"","family":"Irman","given":"Mimelientesa","non-dropping-particle":"","parse-names":false,"suffix":""},{"dropping-particle":"","family":"Siddik","given":"Muhammad","non-dropping-particle":"","parse-names":false,"suffix":""},{"dropping-particle":"","family":"Hamzah","given":"Muhammad Luthfi","non-dropping-particle":"","parse-names":false,"suffix":""},{"dropping-particle":"","family":"Mery","given":"Silvia","non-dropping-particle":"","parse-names":false,"suffix":""}],"container-title":"Social Sciences &amp; Humanities Open","id":"ITEM-1","issued":{"date-parts":[["2026"]]},"page":"102624","publisher":"Elsevier","title":"Digital Heritage Ecosphere: Empowering local-wisdom MSMEs for sustainable competitive advantage","type":"article-journal","volume":"13"},"uris":["http://www.mendeley.com/documents/?uuid=c4845382-87ab-4bbf-b294-17037d374057"]},{"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success","type":"article-journal","volume":"16"},"uris":["http://www.mendeley.com/documents/?uuid=268bc745-2415-4713-bf04-fb9362513b93"]}],"mendeley":{"formattedCitation":"(Laradi et al., 2024; Purwati et al., 2026)","plainTextFormattedCitation":"(Laradi et al., 2024; Purwati et al., 2026)","previouslyFormattedCitation":"(Laradi et al., 2024; Purwati et al., 2026)"},"properties":{"noteIndex":0},"schema":"https://github.com/citation-style-language/schema/raw/master/csl-citation.json"}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(Laradi et al., 2024; Purwati et al., 2026)</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4779C216" w14:textId="48E30847"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Program Reflection and Evaluation Approach</w:t>
      </w:r>
    </w:p>
    <w:p w14:paraId="2517AD8C"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Given that this article is based on community engagement rather than empirical research, the evaluation of the program focuses on reflective insights rather than formal data collection and statistical analysis. The effectiveness of the intervention was evaluated based on observations of how participants interacted, the feedback they provided during discussions, and the results they produced right after the practical sessions. This approach aligns with recent literature that recognizes reflective evaluation as a valid method for assessing community-based initiatives, particularly when the goal is to capture experiential learning and contextual impact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ISSN":"1471-5430","author":[{"dropping-particle":"","family":"Trencher","given":"Gregory","non-dropping-particle":"","parse-names":false,"suffix":""},{"dropping-particle":"","family":"Yarime","given":"Masaru","non-dropping-particle":"","parse-names":false,"suffix":""},{"dropping-particle":"","family":"McCormick","given":"Kes B","non-dropping-particle":"","parse-names":false,"suffix":""},{"dropping-particle":"","family":"Doll","given":"Christopher N H","non-dropping-particle":"","parse-names":false,"suffix":""},{"dropping-particle":"","family":"Kraines","given":"Steven B","non-dropping-particle":"","parse-names":false,"suffix":""}],"container-title":"Science and Public Policy","id":"ITEM-2","issue":"2","issued":{"date-parts":[["2014"]]},"page":"151-179","publisher":"Oxford University Press","title":"Beyond the third mission: Exploring the emerging university function of co-creation for sustainability","type":"article-journal","volume":"41"},"uris":["http://www.mendeley.com/documents/?uuid=7e0f05b7-21b2-4d84-b79f-c97702763e97"]}],"mendeley":{"formattedCitation":"(Saoualih et al., 2025; Trencher et al., 2014)","plainTextFormattedCitation":"(Saoualih et al., 2025; Trencher et al., 2014)","previouslyFormattedCitation":"(Saoualih et al., 2025; Trencher et al., 2014)"},"properties":{"noteIndex":0},"schema":"https://github.com/citation-style-language/schema/raw/master/csl-citation.json"}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(Saoualih et al., 2025; Trencher et al., 2014)</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51DAF698" w14:textId="18698863"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While traditional research focuses on measurable results, community engagement needs a more adaptable way of evaluating success that considers progress in areas like greater awareness, learning new skills, and building </w:t>
      </w:r>
      <w:r w:rsidRPr="00A02BE0">
        <w:rPr>
          <w:rFonts w:ascii="Times New Roman" w:hAnsi="Times New Roman" w:cs="Times New Roman"/>
          <w:sz w:val="24"/>
          <w:szCs w:val="24"/>
        </w:rPr>
        <w:lastRenderedPageBreak/>
        <w:t xml:space="preserve">stronger community connections. Existing research has pointed out the importance of these alternative assessment methods but has not given much help on how to put them into practice effectively. The current program adds value to this conversation by showing how reflective evaluation can be included in engagement activities without reducing the quality of the work. This approach is particularly relevant for academic community service initiatives in Indonesia, where the emphasis lies on societal impact and knowledge application rather than hypothesis testing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Studies","id":"ITEM-1","issue":"2","issued":{"date-parts":[["2023"]]},"title":"Cultural Changes and Willingness to Change in Indigenous People of Penglipuran Bali Tourism Village During the Covid-19 Pandemic.","type":"article-journal","volume":"16"},"uris":["http://www.mendeley.com/documents/?uuid=33893984-3262-4e79-9caf-fc4e027389db"]},{"id":"ITEM-2","itemData":{"ISSN":"0148-2963","author":[{"dropping-particle":"","family":"Verhoef","given":"Peter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Dong","given":"John Qi","non-dropping-particle":"","parse-names":false,"suffix":""},{"dropping-particle":"","family":"Fabian","given":"Nicolai","non-dropping-particle":"","parse-names":false,"suffix":""},{"dropping-particle":"","family":"Haenlein","given":"Michael","non-dropping-particle":"","parse-names":false,"suffix":""}],"container-title":"Journal of business research","id":"ITEM-2","issued":{"date-parts":[["2021"]]},"page":"889-901","publisher":"Elsevier","title":"Digital transformation: A multidisciplinary reflection and research agenda","type":"article-journal","volume":"122"},"uris":["http://www.mendeley.com/documents/?uuid=fce8d018-3954-4d98-94cf-aed55b9d0cf2"]}],"mendeley":{"formattedCitation":"(Verhoef et al., 2021; Wolor et al., 2023)","plainTextFormattedCitation":"(Verhoef et al., 2021; Wolor et al., 2023)","previouslyFormattedCitation":"(Verhoef et al., 2021; Wolor et al., 2023)"},"properties":{"noteIndex":0},"schema":"https://github.com/citation-style-language/schema/raw/master/csl-citation.json"}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(Verhoef et al., 2021; Wolor et al., 2023)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 xml:space="preserve">. </w:t>
      </w:r>
    </w:p>
    <w:p w14:paraId="369AA6C9" w14:textId="77777777" w:rsidR="000A066C" w:rsidRPr="00A02BE0" w:rsidRDefault="000A066C" w:rsidP="00A02BE0">
      <w:pPr>
        <w:widowControl w:val="0"/>
        <w:autoSpaceDE w:val="0"/>
        <w:autoSpaceDN w:val="0"/>
        <w:spacing w:line="240" w:lineRule="auto"/>
        <w:ind w:left="180"/>
        <w:jc w:val="both"/>
        <w:rPr>
          <w:rFonts w:ascii="Times New Roman" w:eastAsia="Times New Roman" w:hAnsi="Times New Roman" w:cs="Times New Roman"/>
          <w:kern w:val="0"/>
          <w:sz w:val="24"/>
          <w:szCs w:val="24"/>
          <w:lang w:val="en-US"/>
          <w14:ligatures w14:val="none"/>
        </w:rPr>
      </w:pPr>
    </w:p>
    <w:p w14:paraId="65FD43C9" w14:textId="2D73A739" w:rsidR="00A02BE0" w:rsidRPr="00901F29" w:rsidRDefault="00A02BE0" w:rsidP="00A02BE0">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A02BE0">
        <w:rPr>
          <w:rFonts w:ascii="Times New Roman" w:eastAsia="Times New Roman" w:hAnsi="Times New Roman" w:cs="Times New Roman"/>
          <w:b/>
          <w:bCs/>
          <w:spacing w:val="-2"/>
          <w:kern w:val="0"/>
          <w:sz w:val="28"/>
          <w:szCs w:val="28"/>
          <w14:ligatures w14:val="none"/>
        </w:rPr>
        <w:t>OUTCOMES AND DISCUSSION</w:t>
      </w:r>
    </w:p>
    <w:p w14:paraId="4564CFB0" w14:textId="7563C54E" w:rsidR="00A02BE0" w:rsidRPr="00F12747"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Strengthening Sustainable Branding Identity</w:t>
      </w:r>
    </w:p>
    <w:p w14:paraId="38B2685A"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The program contributed to a noticeable strengthening of participants’ understanding of sustainability-oriented branding, particularly in relation to cultural authenticity and long-term value creation. Participants began to reinterpret batik not merely as a commercial product but as a cultural artifact requiring consistent narrative framing, symbolic coherence, and ethical positioning in digital markets. This shift reflects the broader argument in recent literature that sustainable branding in cultural industries must integrate authenticity, storytelling, and strategic differentiation to remain competitive. The program showed that when artisans participate in organized discussions about branding, they can explain the distinct cultural significance of their products and convert these meanings into stories that can be sold in the market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Reports","id":"ITEM-1","issued":{"date-parts":[["2024"]]},"page":"100524","publisher":"Elsevier","title":"Leveraging capabilities of social media marketing for business success","type":"article-journal","volume":"16"},"uris":["http://www.mendeley.com/documents/?uuid=268bc745-2415-4713-bf04-fb9362513b93"]}],"mendeley":{"formattedCitation":"(Laradi et al., 2024)","plainTextFormattedCitation":"(Laradi et al., 2024)","previouslyFormattedCitation":"(Laradi et al.,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(Laradi et al.,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2F5A286D"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However, the results also show a continuing conflict between keeping things genuine and adjusting to the needs of the digital marketplace. Previous research has highlighted the significance of sustainable branding as a strategic factor, but it has not focused much on how artisans themselves adopt and implement such branding practices. The present engagement shows that sustainable branding is not simply adopted as a managerial concept but negotiated through collective reflection and experiential learning. This insight extends the literature by illustrating that branding capability in heritage SMEs emerges from social interaction and shared understanding rather than individual firm-level strategy alone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{"citationItems":[{"id":"ITEM-1","itemData":{"ISSN":"2199-8531","author":[{"dropping-particle":"","family":"Rizkita","given":"Marsya Aulia","non-dropping-particle":"","parse-names":false,"suffix":""},{"dropping-particle":"","family":"Winarno","given":"Agung","non-dropping-particle":"","parse-names":false,"suffix":""},{"dropping-particle":"","family":"Suwono","given":"Hadi","non-dropping-particle":"","parse-names":false,"suffix":""},{"dropping-particle":"","family":"Malek","given":"Nik Ahmad Nizam Nik","non-dropping-particle":"","parse-names":false,"suffix":""}],"container-title":"Journal of Open Innovation: Technology, Market, and Complexity","id":"ITEM-1","issued":{"date-parts":[["2025"]]},"page":"100609","publisher":"Elsevier","title":"Integrating cultural adaptation in digital marketing strategies: Enhancing competitiveness and sustainability in MSMEs of Java, Indonesia","type":"article-journal"},"uris":["http://www.mendeley.com/documents/?uuid=352e86e7-be6b-482c-aa87-ceea06bf6a23"]}],"mendeley":{"formattedCitation":"(Rizkita et al., 2025)","plainTextFormattedCitation":"(Rizkita et al., 2025)","previouslyFormattedCitation":"(Rizkita et al., 2025)"},"properties":{"noteIndex":0},"schema":"https://github.com/citation-style-language/schema/raw/master/csl-citation.json"}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(Rizkita et al., 2025)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30CDAE5F" w14:textId="5555DE72" w:rsidR="00A02BE0" w:rsidRPr="00F12747"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Digital Communication Enhancement among SMEs</w:t>
      </w:r>
    </w:p>
    <w:p w14:paraId="5DA74502"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Participants demonstrated improved confidence and capability in utilizing digital communication platforms, particularly social media, as tools for promotion and customer engagement. Through guided practice, participants gained the skills to develop structured content, refine captions for better effectiveness, and ensure that their visual presentations match the brand's overall storytelling and identity. This aligns with recent findings that digital communication is increasingly embedded in everyday business practices and plays a critical role in shaping SME competitiveness. The program confirmed that when digital communication is introduced through participatory and practice-based methods, it becomes more accessible and actionable for small-scale producers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Science","id":"ITEM-2","issue":"2","issued":{"date-parts":[["2023"]]},"page":"839-855","publisher":"Springer","title":"Co-producing theory of change to operationalize integrated landscape approaches","type":"article-journal","volume":"18"},"uris":["http://www.mendeley.com/documents/?uuid=155e3db6-3b1d-499b-beda-49ff50a3948e"]}],"mendeley":{"formattedCitation":"(Reed et al., 2023; Saoualih et al., 2025)","plainTextFormattedCitation":"(Reed et al., 2023; Saoualih et al., 2025)","previouslyFormattedCitation":"(Reed et al., 2023; Saoualih et al., 2025)"},"properties":{"noteIndex":0},"schema":"https://github.com/citation-style-language/schema/raw/master/csl-citation.json"}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(Reed et al., 2023; Saoualih et al., 2025)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xml:space="preserve">. </w:t>
      </w:r>
    </w:p>
    <w:p w14:paraId="750F370A"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Despite this, the results also show that the use of digital communication tools is not the same for everyone involved, mainly because people have different levels of </w:t>
      </w:r>
      <w:proofErr w:type="gramStart"/>
      <w:r w:rsidRPr="00F12747">
        <w:rPr>
          <w:rFonts w:ascii="Times New Roman" w:hAnsi="Times New Roman" w:cs="Times New Roman"/>
          <w:sz w:val="24"/>
          <w:szCs w:val="24"/>
        </w:rPr>
        <w:t>past experience</w:t>
      </w:r>
      <w:proofErr w:type="gramEnd"/>
      <w:r w:rsidRPr="00F12747">
        <w:rPr>
          <w:rFonts w:ascii="Times New Roman" w:hAnsi="Times New Roman" w:cs="Times New Roman"/>
          <w:sz w:val="24"/>
          <w:szCs w:val="24"/>
        </w:rPr>
        <w:t xml:space="preserve"> and self-confidence with these tools. Existing studies have thoroughly covered the advantages of digital marketing, but they usually start with the idea that people already have a certain level of knowledge about digital tools, which might not be the case in local or community environments. The current results show that the ability to communicate digitally should be seen as something that develops over time, not as a fixed or unchanging tool. By placing digital communication within a community engagement context, the program helps develop a better understanding of how digital practices are slowly becoming part of heritage-based small and medium-sized enterprises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0268-4012","author":[{"dropping-particle":"","family":"Kraus","given":"Sascha","non-dropping-particle":"","parse-names":false,"suffix":""},{"dropping-particle":"","family":"Durst","given":"Susanne","non-dropping-particle":"","parse-names":false,"suffix":""},{"dropping-particle":"","family":"Ferreira","given":"João J","non-dropping-particle":"","parse-names":false,"suffix":""},{"dropping-particle":"","family":"Veiga","given":"Pedro","non-dropping-particle":"","parse-names":false,"suffix":""},{"dropping-particle":"","family":"Kailer","given":"Norbert","non-dropping-particle":"","parse-names":false,"suffix":""},{"dropping-particle":"","family":"Weinmann","given":"Alexandra","non-dropping-particle":"","parse-names":false,"suffix":""}],"container-title":"International journal of information management","id":"ITEM-1","issued":{"date-parts":[["2022"]]},"page":"102466","publisher":"Elsevier","title":"Digital transformation in business and management research: An overview of the current status quo","type":"article-journal","volume":"63"},"uris":["http://www.mendeley.com/documents/?uuid=3ebaf9d0-026a-4cb9-8145-1ac1ed926c68"]},{"id":"ITEM-2","itemData":{"ISSN":"0885-8624","author":[{"dropping-particle":"","family":"Sabatini","given":"Andrea","non-dropping-particle":"","parse-names":false,"suffix":""},{"dropping-particle":"","family":"Pascucci","given":"Federica","non-dropping-particle":"","parse-names":false,"suffix":""},{"dropping-particle":"","family":"Gregori","given":"Gian Luca","non-dropping-particle":"","parse-names":false,"suffix":""}],"container-title":"Journal of Business &amp; Industrial Marketing","id":"ITEM-2","issue":"6","issued":{"date-parts":[["2023"]]},"page":"1345-1361","publisher":"Emerald Publishing Limited","title":"Customer involvement in technological development of smart products: empirical evidence from a coffee-machine producer","type":"article-journal","volume":"38"},"uris":["http://www.mendeley.com/documents/?uuid=ed56f75d-2a56-4944-a256-dc1b2453590b"]}],"mendeley":{"formattedCitation":"(Kraus et al., 2022; Sabatini et al., 2023)","plainTextFormattedCitation":"(Kraus et al., 2022; Sabatini et al., 2023)","previouslyFormattedCitation":"(Kraus et al., 2022; Sabatini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(Kraus et al., 2022; Sabatini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3BF6840" w14:textId="3BAA13FD" w:rsidR="00A02BE0" w:rsidRPr="00F12747"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Adoption of Generative AI in Marketing Practices</w:t>
      </w:r>
    </w:p>
    <w:p w14:paraId="410F5590"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The use of generative AI tools greatly improved participants' capacity to create promotional content in a more efficient manner. Participants could create captions, develop visual ideas, and try out different storytelling </w:t>
      </w:r>
      <w:r w:rsidRPr="00F12747">
        <w:rPr>
          <w:rFonts w:ascii="Times New Roman" w:hAnsi="Times New Roman" w:cs="Times New Roman"/>
          <w:sz w:val="24"/>
          <w:szCs w:val="24"/>
        </w:rPr>
        <w:lastRenderedPageBreak/>
        <w:t xml:space="preserve">methods that typically need advanced technical expertise. This supports existing literature suggesting that AI can lower barriers to entry, improve productivity, and enable SMEs to engage more effectively in digital marketing activities. The program showed that even brief exposure to generative AI can result in quick practical advantages, especially when combined with hands-on support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2182-8466","author":[{"dropping-particle":"","family":"Rita","given":"Paulo","non-dropping-particle":"","parse-names":false,"suffix":""},{"dropping-particle":"","family":"Omran","given":"Wajdy","non-dropping-particle":"","parse-names":false,"suffix":""},{"dropping-particle":"","family":"Ramos","given":"Ricardo F","non-dropping-particle":"","parse-names":false,"suffix":""},{"dropping-particle":"","family":"Costa","given":"Tânia","non-dropping-particle":"","parse-names":false,"suffix":""}],"id":"ITEM-1","issued":{"date-parts":[["2025"]]},"title":"Exploring the Applications of Artificial Intelligence in Marketing","type":"article-journal"},"uris":["http://www.mendeley.com/documents/?uuid=de86696b-d567-414d-92fa-f3b2c7a9a4f0"]}],"mendeley":{"formattedCitation":"(Rita et al., 2025)","plainTextFormattedCitation":"(Rita et al., 2025)","previouslyFormattedCitation":"(Rita et al., 2025)"},"properties":{"noteIndex":0},"schema":"https://github.com/citation-style-language/schema/raw/master/csl-citation.json"}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(Rita et al., 2025)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045247E3"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However, the results also bring up important concerns about how well efficiency is balanced with authenticity. Although generative AI speeds up the creation of content, there is a danger that too much dependence on automated outputs could weaken the unique cultural elements of batik stories. Previous research has mostly concentrated on the benefits of AI in terms of performance, but it has not paid much attention to how AI affects cultural representation and authenticity. The current situation indicates that the use of AI in heritage sectors needs to be managed carefully so that the benefits of technology do not weaken the cultural significance of these industries. This contributes significantly to existing research by emphasizing the need for careful consideration of context when implementing AI in cultural economic settings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2071-1050","author":[{"dropping-particle":"","family":"Pellegrino","given":"Alfonso","non-dropping-particle":"","parse-names":false,"suffix":""},{"dropping-particle":"","family":"Abe","given":"Masato","non-dropping-particle":"","parse-names":false,"suffix":""}],"container-title":"Sustainability","id":"ITEM-1","issue":"8","issued":{"date-parts":[["2023"]]},"page":"7007","publisher":"MDPI","title":"Leveraging social media for SMEs: Findings from a bibliometric review","type":"article-journal","volume":"15"},"uris":["http://www.mendeley.com/documents/?uuid=cb377f62-8f3c-4e9e-9ac8-2bf641b4cde1"]}],"mendeley":{"formattedCitation":"(Pellegrino &amp; Abe, 2023)","plainTextFormattedCitation":"(Pellegrino &amp; Abe, 2023)","previouslyFormattedCitation":"(Pellegrino &amp; Abe,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(Pellegrino &amp; Abe,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39C8962" w14:textId="7DA5A62E" w:rsidR="00A02BE0" w:rsidRPr="00F12747" w:rsidRDefault="00A02BE0"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Community Empowerment and Collaborative Learning</w:t>
      </w:r>
    </w:p>
    <w:p w14:paraId="074F5E1B"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One of the most important results of the program was the improvement of community connections and the development of collaborative learning environments among the participants. The participatory format allowed artisans, community members, and facilitators to share knowledge, discuss experiences, and work together to think about the challenges and opportunities they faced. This outcome is consistent with recent scholarship emphasizing that participatory engagement fosters empowerment, enhances social capital, and supports sustainable innovation in community-based settings. The program demonstrated that learning is not confined to formal instruction but is co-produced through interaction and dialogue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1059-6011","author":[{"dropping-particle":"","family":"Phillips","given":"Wendy","non-dropping-particle":"","parse-names":false,"suffix":""},{"dropping-particle":"","family":"Lee","given":"Hazel","non-dropping-particle":"","parse-names":false,"suffix":""},{"dropping-particle":"","family":"Ghobadian","given":"Abby","non-dropping-particle":"","parse-names":false,"suffix":""},{"dropping-particle":"","family":"O’regan","given":"Nicholas","non-dropping-particle":"","parse-names":false,"suffix":""},{"dropping-particle":"","family":"James","given":"Peter","non-dropping-particle":"","parse-names":false,"suffix":""}],"container-title":"Group &amp; Organization Management","id":"ITEM-1","issue":"3","issued":{"date-parts":[["2015"]]},"page":"428-461","publisher":"SAGE Publications Sage CA: Los Angeles, CA","title":"Social innovation and social entrepreneurship: A systematic review","type":"article-journal","volume":"40"},"uris":["http://www.mendeley.com/documents/?uuid=ce8b38a0-5bbc-40fb-b7f2-8c0471287426"]}],"mendeley":{"formattedCitation":"(Phillips et al., 2015)","plainTextFormattedCitation":"(Phillips et al., 2015)","previouslyFormattedCitation":"(Phillips et al., 2015)"},"properties":{"noteIndex":0},"schema":"https://github.com/citation-style-language/schema/raw/master/csl-citation.json"}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(Phillips et al., 2015)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0AD9DBB2"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At the same time, the findings suggest that community empowerment is an ongoing process rather than a one-time outcome. While the program facilitated initial connections and shared understanding, sustaining these networks requires continued engagement and institutional support. Existing literature has acknowledged the importance of collaboration but has not sufficiently addressed how such collaboration can be maintained beyond short-term interventions. The present study contributes to this gap by showing that participatory engagement can initiate empowerment, but its long-term impact depends on follow-up activities and the institutionalization of collaborative practices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-1","issue":"3","issued":{"date-parts":[["2026"]]},"page":"1270","publisher":"MDPI","title":"The Integration of Creativity into Paragliding Tourism: The Case of Babadağ, Fethiye","type":"article-journal","volume":"18"},"uris":["http://www.mendeley.com/documents/?uuid=0c337f99-20a8-46e7-9507-c178bbfece12"]}],"mendeley":{"formattedCitation":"(Akbulut et al., 2026)","plainTextFormattedCitation":"(Akbulut et al., 2026)","previouslyFormattedCitation":"(Akbulut et al., 2026)"},"properties":{"noteIndex":0},"schema":"https://github.com/citation-style-language/schema/raw/master/csl-citation.json"}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(Akbulut et al., 2026)</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2CE03BE" w14:textId="128070EC" w:rsidR="00A02BE0" w:rsidRPr="00F12747" w:rsidRDefault="00A02BE0"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Challenges and Lessons Learned</w:t>
      </w:r>
    </w:p>
    <w:p w14:paraId="14728630"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Although the program achieved positive results, it faced several challenges, such as differences in digital skills, limited availability of technology resources, and some reluctance to use new tools. These challenges are consistent with findings in the literature on digital transformation in SMEs, which highlight structural barriers such as skill gaps, resource constraints, and organizational inertia. The engagement showed that digital transformation is not just a technical challenge but also a social and cultural process shaped by people's attitudes, habits, and how they see the relevance of digital changes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Journal","id":"ITEM-1","issue":"7","issued":{"date-parts":[["2025"]]},"page":"25-44","publisher":"Emerald Publishing Limited","title":"Barriers to the digital transformation of cultural and creative industry MSMEs: the case of the Basque country","type":"article-journal","volume":"35"},"uris":["http://www.mendeley.com/documents/?uuid=30f20c94-35d5-4ad9-9617-8d53e144e11d"]}],"mendeley":{"formattedCitation":"(Eguia et al., 2025)","plainTextFormattedCitation":"(Eguia et al., 2025)","previouslyFormattedCitation":"(Eguia et al., 2025)"},"properties":{"noteIndex":0},"schema":"https://github.com/citation-style-language/schema/raw/master/csl-citation.json"}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(Eguia et al., 2025)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0892A413" w14:textId="77777777" w:rsidR="00A02BE0" w:rsidRDefault="00A02BE0" w:rsidP="00A02BE0">
      <w:pPr>
        <w:ind w:left="180"/>
        <w:jc w:val="both"/>
        <w:rPr>
          <w:rFonts w:ascii="Times New Roman" w:hAnsi="Times New Roman" w:cs="Times New Roman"/>
        </w:rPr>
      </w:pPr>
      <w:r w:rsidRPr="00F12747">
        <w:rPr>
          <w:rFonts w:ascii="Times New Roman" w:hAnsi="Times New Roman" w:cs="Times New Roman"/>
          <w:sz w:val="24"/>
          <w:szCs w:val="24"/>
        </w:rPr>
        <w:t xml:space="preserve">A key takeaway from the program is that effective interventions need to focus on both the ability to perform and the attitude or thinking that supports it. While training can help enhance technical abilities, overcoming resistance involves creating trust, showing clear advantages, and ensuring that the use of technology fits with how people already work. Previous research has recognized these challenges but has usually focused on them from the perspective of management or policy. The current study broadens this understanding by showing how these challenges appear in a community engagement setting and how they can be managed through involving people and considering the specific context. This supports the idea that digital transformation in heritage small and medium enterprises should be handled in a comprehensive way, combining technology, culture, and social aspects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2071-1050","author":[{"dropping-particle":"","family":"Marolt","given":"Marjeta","non-dropping-particle":"","parse-names":false,"suffix":""},{"dropping-particle":"","family":"Zimmermann","given":"Hans-Dieter","non-dropping-particle":"","parse-names":false,"suffix":""},{"dropping-particle":"","family":"Pucihar","given":"Andreja","non-dropping-particle":"","parse-names":false,"suffix":""}],"container-title":"Sustainability","id":"ITEM-1","issue":"22","issued":{"date-parts":[["2022"]]},"page":"15029","publisher":"MDPI","title":"Social media use and business performance in SMEs: The mediating roles of relational social commerce capability and competitive advantage","type":"article-journal","volume":"14"},"uris":["http://www.mendeley.com/documents/?uuid=66dd5e5b-da20-47b7-a4e2-3b5c837cbf55"]}],"mendeley":{"formattedCitation":"(Marolt et al., 2022)","plainTextFormattedCitation":"(Marolt et al., 2022)","previouslyFormattedCitation":"(Marolt et al., 2022)"},"properties":{"noteIndex":0},"schema":"https://github.com/citation-style-language/schema/raw/master/csl-citation.json"}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(Marolt et al., 2022)</w:t>
      </w:r>
      <w:r w:rsidRPr="00F12747">
        <w:rPr>
          <w:rFonts w:ascii="Times New Roman" w:hAnsi="Times New Roman" w:cs="Times New Roman"/>
          <w:sz w:val="24"/>
          <w:szCs w:val="24"/>
        </w:rPr>
        <w:fldChar w:fldCharType="end"/>
      </w:r>
      <w:r w:rsidRPr="00044E2B">
        <w:rPr>
          <w:rFonts w:ascii="Times New Roman" w:hAnsi="Times New Roman" w:cs="Times New Roman"/>
        </w:rPr>
        <w:t>.</w:t>
      </w:r>
    </w:p>
    <w:p w14:paraId="7F5C92EC" w14:textId="77777777" w:rsidR="005E7067" w:rsidRDefault="005E7067" w:rsidP="00A02BE0">
      <w:pPr>
        <w:ind w:left="180"/>
        <w:jc w:val="both"/>
        <w:rPr>
          <w:rFonts w:ascii="Times New Roman" w:hAnsi="Times New Roman" w:cs="Times New Roman"/>
        </w:rPr>
      </w:pPr>
    </w:p>
    <w:p w14:paraId="70AFC0FF" w14:textId="77777777" w:rsidR="005E7067" w:rsidRPr="00044E2B" w:rsidRDefault="005E7067" w:rsidP="00A02BE0">
      <w:pPr>
        <w:ind w:left="180"/>
        <w:jc w:val="both"/>
        <w:rPr>
          <w:rFonts w:ascii="Times New Roman" w:hAnsi="Times New Roman" w:cs="Times New Roman"/>
        </w:rPr>
      </w:pPr>
    </w:p>
    <w:p w14:paraId="255B2E2E" w14:textId="15E88735" w:rsidR="00A02BE0" w:rsidRPr="00901F29" w:rsidRDefault="00F12747" w:rsidP="00A02BE0">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F12747">
        <w:rPr>
          <w:rFonts w:ascii="Times New Roman" w:eastAsia="Times New Roman" w:hAnsi="Times New Roman" w:cs="Times New Roman"/>
          <w:b/>
          <w:bCs/>
          <w:spacing w:val="-2"/>
          <w:kern w:val="0"/>
          <w:sz w:val="28"/>
          <w:szCs w:val="28"/>
          <w14:ligatures w14:val="none"/>
        </w:rPr>
        <w:lastRenderedPageBreak/>
        <w:t xml:space="preserve">IMPLICATIONS AND </w:t>
      </w:r>
      <w:r w:rsidR="00A02BE0" w:rsidRPr="00901F29">
        <w:rPr>
          <w:rFonts w:ascii="Times New Roman" w:eastAsia="Times New Roman" w:hAnsi="Times New Roman" w:cs="Times New Roman"/>
          <w:b/>
          <w:bCs/>
          <w:spacing w:val="-2"/>
          <w:kern w:val="0"/>
          <w:sz w:val="28"/>
          <w:szCs w:val="28"/>
          <w:lang w:val="en-US"/>
          <w14:ligatures w14:val="none"/>
        </w:rPr>
        <w:t>CONCLUSION</w:t>
      </w:r>
    </w:p>
    <w:p w14:paraId="0E462815" w14:textId="77777777"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Challenges Practical Implications for SME Development</w:t>
      </w:r>
    </w:p>
    <w:p w14:paraId="26E33157"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The program demonstrates that effective community engagement for cultural SMEs should integrate cultural interpretation, digital capability development, and participatory learning rather than focusing solely on technical training. Sustainable branding in heritage-based SMEs becomes meaningful when digital communication is aligned with cultural authenticity and local narratives. Empirical studies indicate that SMEs achieve stronger performance when digital marketing is embedded within organizational routines and supported by relational capabilities and adaptive creativity (. In the Indonesian context, this integration is especially important because MSMEs often struggle to convert cultural values into digital visibility. Evidence from Indonesian SMEs further shows that digital transformation requires structured facilitation and continuous learning rather than isolated interventions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praksa","id":"ITEM-1","issue":"3","issued":{"date-parts":[["2022"]]},"title":"HAS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2022)","plainTextFormattedCitation":"(Gaffar et al., 2022)","previouslyFormattedCitation":"(Gaffar et al., 2022)"},"properties":{"noteIndex":0},"schema":"https://github.com/citation-style-language/schema/raw/master/csl-citation.json"}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(Gaffar et al., 2022)</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74E8B131"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In addition, the program emphasizes the role of artisans as key contributors to the creation of branding stories. Digital engagement in cultural industries goes beyond just using technology; it's about creating meaningful portrayals of heritage that connect with today's audiences. Prior research suggests that consumer engagement in digital environments is shaped by sequential processes of attention, search, action, and sharing, implying that SMEs must strategically design their communication flows rather than simply maintain an online presence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2561-8148","author":[{"dropping-particle":"","family":"Suhud","given":"Usep","non-dropping-particle":"","parse-names":false,"suffix":""},{"dropping-particle":"","family":"Allan","given":"Mamoon","non-dropping-particle":"","parse-names":false,"suffix":""},{"dropping-particle":"","family":"Prihandono","given":"Dorojatun","non-dropping-particle":"","parse-names":false,"suffix":""},{"dropping-particle":"","family":"Monoarfa","given":"Terrylina Arvinta","non-dropping-particle":"","parse-names":false,"suffix":""}],"container-title":"International Journal of Data &amp; Network Science","id":"ITEM-1","issue":"1","issued":{"date-parts":[["2023"]]},"title":"We are cyborgs: The role of narcissism and self-esteem to become social media and tourism addicts.","type":"article-journal","volume":"7"},"uris":["http://www.mendeley.com/documents/?uuid=64b2cb8a-7a51-451d-af16-559ae6cdfda0"]}],"mendeley":{"formattedCitation":"(Suhud et al., 2023)","plainTextFormattedCitation":"(Suhud et al., 2023)","previouslyFormattedCitation":"(Suhud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(Suhud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xml:space="preserve">. Complementary insights from INTI-affiliated research emphasize that SME digital capability development is most effective when it combines experiential learning with context-sensitive adaptation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1462-6004","author":[{"dropping-particle":"","family":"Depaoli","given":"Paolo","non-dropping-particle":"","parse-names":false,"suffix":""},{"dropping-particle":"","family":"Za","given":"Stefano","non-dropping-particle":"","parse-names":false,"suffix":""},{"dropping-particle":"","family":"Scornavacca","given":"Eusebio","non-dropping-particle":"","parse-names":false,"suffix":""}],"container-title":"Journal of Small Business and Enterprise Development","id":"ITEM-1","issue":"7","issued":{"date-parts":[["2020"]]},"page":"1049-1068","publisher":"Emerald Publishing Limited","title":"A model for digital development of SMEs: an interaction-based approach","type":"article-journal","volume":"27"},"uris":["http://www.mendeley.com/documents/?uuid=cfc64c75-dae1-4520-b562-6cd8af0fbc7f"]}],"mendeley":{"formattedCitation":"(Depaoli et al., 2020)","plainTextFormattedCitation":"(Depaoli et al., 2020)","previouslyFormattedCitation":"(Depaoli et al., 2020)"},"properties":{"noteIndex":0},"schema":"https://github.com/citation-style-language/schema/raw/master/csl-citation.json"}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(Depaoli et al., 2020)</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Therefore, future training programs for SMEs should include narrative development, visual storytelling, and continuous experimentation with content as essential elements.</w:t>
      </w:r>
    </w:p>
    <w:p w14:paraId="1DE295CC" w14:textId="02EB527D"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Policy Implications for Cultural and Creative Industries</w:t>
      </w:r>
    </w:p>
    <w:p w14:paraId="6AD2A375" w14:textId="56BF112B"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The findings suggest that policy frameworks for cultural and creative industries should move beyond financial support and instead focus on building sustainable digital ecosystems. Digital transformation in SMEs is often constrained by capability gaps, limited infrastructure, and weak institutional linkages. Therefore, policy actions should focus on long-term efforts to build capacity, such as ongoing training, mentoring programs, and cooperation among universities, government bodies, and local communities. In the framework of Indonesia's </w:t>
      </w:r>
      <w:proofErr w:type="spellStart"/>
      <w:r w:rsidRPr="00F12747">
        <w:rPr>
          <w:rFonts w:ascii="Times New Roman" w:hAnsi="Times New Roman" w:cs="Times New Roman"/>
          <w:i/>
          <w:iCs/>
          <w:sz w:val="24"/>
          <w:szCs w:val="24"/>
        </w:rPr>
        <w:t>Tridharma</w:t>
      </w:r>
      <w:proofErr w:type="spellEnd"/>
      <w:r w:rsidRPr="00F12747">
        <w:rPr>
          <w:rFonts w:ascii="Times New Roman" w:hAnsi="Times New Roman" w:cs="Times New Roman"/>
          <w:i/>
          <w:iCs/>
          <w:sz w:val="24"/>
          <w:szCs w:val="24"/>
        </w:rPr>
        <w:t xml:space="preserve"> </w:t>
      </w:r>
      <w:proofErr w:type="spellStart"/>
      <w:r w:rsidRPr="00F12747">
        <w:rPr>
          <w:rFonts w:ascii="Times New Roman" w:hAnsi="Times New Roman" w:cs="Times New Roman"/>
          <w:i/>
          <w:iCs/>
          <w:sz w:val="24"/>
          <w:szCs w:val="24"/>
        </w:rPr>
        <w:t>Perguruan</w:t>
      </w:r>
      <w:proofErr w:type="spellEnd"/>
      <w:r w:rsidRPr="00F12747">
        <w:rPr>
          <w:rFonts w:ascii="Times New Roman" w:hAnsi="Times New Roman" w:cs="Times New Roman"/>
          <w:i/>
          <w:iCs/>
          <w:sz w:val="24"/>
          <w:szCs w:val="24"/>
        </w:rPr>
        <w:t xml:space="preserve"> Tinggi</w:t>
      </w:r>
      <w:r w:rsidRPr="00F12747">
        <w:rPr>
          <w:rFonts w:ascii="Times New Roman" w:hAnsi="Times New Roman" w:cs="Times New Roman"/>
          <w:sz w:val="24"/>
          <w:szCs w:val="24"/>
        </w:rPr>
        <w:t xml:space="preserve">, universities serve a crucial role as intermediaries of knowledge, helping to promote the adoption of technology while maintaining cultural values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{"citationItems":[{"id":"ITEM-1","itemData":{"ISSN":"2405-8440","author":[{"dropping-particle":"","family":"Melo","given":"Isotilia Costa","non-dropping-particle":"","parse-names":false,"suffix":""},{"dropping-particle":"","family":"Queiroz","given":"Geandra Alves","non-dropping-particle":"","parse-names":false,"suffix":""},{"dropping-particle":"","family":"Junior","given":"Paulo Nocera Alves","non-dropping-particle":"","parse-names":false,"suffix":""},{"dropping-particle":"","family":"Sousa","given":"Thales Botelho","non-dropping-particle":"de","parse-names":false,"suffix":""},{"dropping-particle":"","family":"Yushimito","given":"Wilfredo F","non-dropping-particle":"","parse-names":false,"suffix":""},{"dropping-particle":"","family":"Pereira","given":"Jorge","non-dropping-particle":"","parse-names":false,"suffix":""}],"container-title":"Heliyon","id":"ITEM-1","issue":"3","issued":{"date-parts":[["2023"]]},"publisher":"Elsevier","title":"Sustainable digital transformation in small and medium enterprises (SMEs): A review on performance","type":"article-journal","volume":"9"},"uris":["http://www.mendeley.com/documents/?uuid=9babccda-9cf2-48a6-ab4b-628af1182ee3"]}],"mendeley":{"formattedCitation":"(Melo et al., 2023)","plainTextFormattedCitation":"(Melo et al., 2023)","previouslyFormattedCitation":"(Melo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(Melo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2DD5A39C"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Furthermore, policy must recognize that heritage-based SMEs operate within symbolic and cultural economies, where authenticity, sustainability, and trust are critical determinants of competitiveness. Studies by </w:t>
      </w:r>
      <w:proofErr w:type="spellStart"/>
      <w:r w:rsidRPr="00F12747">
        <w:rPr>
          <w:rFonts w:ascii="Times New Roman" w:hAnsi="Times New Roman" w:cs="Times New Roman"/>
          <w:sz w:val="24"/>
          <w:szCs w:val="24"/>
        </w:rPr>
        <w:t>Suhud</w:t>
      </w:r>
      <w:proofErr w:type="spellEnd"/>
      <w:r w:rsidRPr="00F12747">
        <w:rPr>
          <w:rFonts w:ascii="Times New Roman" w:hAnsi="Times New Roman" w:cs="Times New Roman"/>
          <w:sz w:val="24"/>
          <w:szCs w:val="24"/>
        </w:rPr>
        <w:t xml:space="preserve"> and colleagues demonstrate that sustainability perceptions, destination credibility, and image significantly influence </w:t>
      </w:r>
      <w:proofErr w:type="spellStart"/>
      <w:r w:rsidRPr="00F12747">
        <w:rPr>
          <w:rFonts w:ascii="Times New Roman" w:hAnsi="Times New Roman" w:cs="Times New Roman"/>
          <w:sz w:val="24"/>
          <w:szCs w:val="24"/>
        </w:rPr>
        <w:t>behavioral</w:t>
      </w:r>
      <w:proofErr w:type="spellEnd"/>
      <w:r w:rsidRPr="00F12747">
        <w:rPr>
          <w:rFonts w:ascii="Times New Roman" w:hAnsi="Times New Roman" w:cs="Times New Roman"/>
          <w:sz w:val="24"/>
          <w:szCs w:val="24"/>
        </w:rPr>
        <w:t xml:space="preserve"> intention in place-based contexts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{"citationItems":[{"id":"ITEM-1","itemData":{"ISSN":"1087-9595","author":[{"dropping-particle":"","family":"Wibowo","given":"Setyo Ferry","non-dropping-particle":"","parse-names":false,"suffix":""},{"dropping-particle":"","family":"Suhud","given":"Usep","non-dropping-particle":"","parse-names":false,"suffix":""},{"dropping-particle":"","family":"Wibowo","given":"Agus","non-dropping-particle":"","parse-names":false,"suffix":""}],"container-title":"Academy of Entrepreneurship Journal","id":"ITEM-1","issue":"1","issued":{"date-parts":[["2019"]]},"page":"1-12","publisher":"Allied Business Academies","title":"Competing Extended Tpb Models in Predicting Entrepreneurial Intentions: What Is the Role of Motivation?","type":"article-journal","volume":"25"},"uris":["http://www.mendeley.com/documents/?uuid=96dbe899-65ce-493c-be1b-65958d1adfa8"]}],"mendeley":{"formattedCitation":"(Wibowo et al., 2019)","plainTextFormattedCitation":"(Wibowo et al., 2019)","previouslyFormattedCitation":"(Wibowo et al., 2019)"},"properties":{"noteIndex":0},"schema":"https://github.com/citation-style-language/schema/raw/master/csl-citation.json"}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(Wibowo et al., 2019)</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These findings imply that policy support should integrate cultural branding with sustainability narratives and digital innovation. Additional insights from INTI research underline that policy-driven digital initiatives are more effective when they incorporate local knowledge systems and community participation. Therefore, policies should involve providing financial support for digital storytelling, initiatives to improve understanding of artificial intelligence, and experiences using immersive technologies like augmented reality so that small and medium-sized cultural businesses are integrated into wider efforts for sustainable development rather than being seen as separate economic entities.</w:t>
      </w:r>
    </w:p>
    <w:p w14:paraId="77F264EB" w14:textId="249597B6"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Theoretical Contribution to Community Engagement Literature</w:t>
      </w:r>
    </w:p>
    <w:p w14:paraId="291695FD"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This article adds to existing knowledge by understanding community engagement as an ongoing interaction between cultural practices, changes in digital technology, and methods of active learning. While previous studies have emphasized the importance of co-creation, inclusivity, and local empowerment in community engagement, limited attention has been given to how these processes unfold within cultural production contexts. The current research builds on existing discussions by showing that involving stakeholders in the </w:t>
      </w:r>
      <w:r w:rsidRPr="00F12747">
        <w:rPr>
          <w:rFonts w:ascii="Times New Roman" w:hAnsi="Times New Roman" w:cs="Times New Roman"/>
          <w:sz w:val="24"/>
          <w:szCs w:val="24"/>
        </w:rPr>
        <w:lastRenderedPageBreak/>
        <w:t xml:space="preserve">process can help create shared understanding of branding and digital skills within small and medium-sized enterprises that are based on cultural heritage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Setiawati","given":"Rahmi","non-dropping-particle":"","parse-names":false,"suffix":""},{"dropping-particle":"","family":"Suhud","given":"Usep","non-dropping-particle":"","parse-names":false,"suffix":""},{"dropping-particle":"","family":"Allan","given":"Mamoon","non-dropping-particle":"","parse-names":false,"suffix":""},{"dropping-particle":"","family":"Hoo","given":"Wong Chee","non-dropping-particle":"","parse-names":false,"suffix":""}],"container-title":"Edelweiss Applied Science and Technology","id":"ITEM-1","issue":"6","issued":{"date-parts":[["2024"]]},"page":"738-757","publisher":"Learning Gate","title":"Community readiness to host a world-class tourism destination: Insights from lake Toba","type":"article-journal","volume":"8"},"uris":["http://www.mendeley.com/documents/?uuid=9dc609fd-e66e-49f1-a7ec-f00243da3956"]}],"mendeley":{"formattedCitation":"(Setiawati et al., 2024)","plainTextFormattedCitation":"(Setiawati et al., 2024)","previouslyFormattedCitation":"(Setiawati et al.,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(Setiawati et al.,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284E63F"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In addition, the study adds to the growing area where digital transformation meets cultural industries. Existing studies have mostly concentrated on strategies at the company level or results related to consumers, but this article emphasizes the importance of community-based actions as factors that help bridge the gap. Supporting evidence from the attached studies indicates that digital behaviour is increasingly shaped by technological integration, with consumers acting as “cyborg” actors whose experiences are mediated by digital tools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2561-8148","author":[{"dropping-particle":"","family":"Suhud","given":"Usep","non-dropping-particle":"","parse-names":false,"suffix":""},{"dropping-particle":"","family":"Allan","given":"Mamoon","non-dropping-particle":"","parse-names":false,"suffix":""},{"dropping-particle":"","family":"Prihandono","given":"Dorojatun","non-dropping-particle":"","parse-names":false,"suffix":""},{"dropping-particle":"","family":"Monoarfa","given":"Terrylina Arvinta","non-dropping-particle":"","parse-names":false,"suffix":""}],"container-title":"International Journal of Data &amp; Network Science","id":"ITEM-1","issue":"1","issued":{"date-parts":[["2023"]]},"title":"We are cyborgs: The role of narcissism and self-esteem to become social media and tourism addicts.","type":"article-journal","volume":"7"},"uris":["http://www.mendeley.com/documents/?uuid=9a9493d8-ec15-4c39-a9ce-f17fa99da3bb"]}],"mendeley":{"formattedCitation":"(Suhud et al., 2023)","plainTextFormattedCitation":"(Suhud et al., 2023)","previouslyFormattedCitation":"(Suhud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(Suhud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At the same time, community adaptation to technological change remains deeply embedded in local cultural contexts</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Studies","id":"ITEM-1","issue":"2","issued":{"date-parts":[["2023"]]},"title":"Cultural Changes and Willingness to Change in Indigenous People of Penglipuran Bali Tourism Village During the Covid-19 Pandemic.","type":"article-journal","volume":"16"},"uris":["http://www.mendeley.com/documents/?uuid=33893984-3262-4e79-9caf-fc4e027389db"]}],"mendeley":{"formattedCitation":"(Wolor et al., 2023)","plainTextFormattedCitation":"(Wolor et al., 2023)","previouslyFormattedCitation":"(Wolor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(Wolor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Complementary INTI-based research further suggests that participatory innovation enhances knowledge diffusion and local resilience in SME ecosystems. When combined, these viewpoints highlight community involvement as a mixed process that blends the use of technology with the preservation of cultural traditions, thus improving the theoretical knowledge about engagement within heritage sectors.</w:t>
      </w:r>
    </w:p>
    <w:p w14:paraId="1F81E8D6" w14:textId="04C0921B"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Limitations of the Programme</w:t>
      </w:r>
    </w:p>
    <w:p w14:paraId="55CE2D70"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Several limitations should be acknowledged. The program took place in a particular cultural and geographical setting and involved a limited number of participants. Although this approach enabled detailed interaction, it restricts the ability to apply the results to different areas or sectors. In addition, the short-term nature of the intervention means that the results mainly show immediate changes in knowledge and attitudes rather than lasting changes in behaviour. Previous studies emphasize that digital capability development in SMEs is a gradual process requiring sustained support and iterative learning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{"citationItems":[{"id":"ITEM-1","itemData":{"ISSN":"2212-0548","author":[{"dropping-particle":"","family":"Ramtohul","given":"Arvind","non-dropping-particle":"","parse-names":false,"suffix":""},{"dropping-particle":"","family":"Khedo","given":"Kavi Kumar","non-dropping-particle":"","parse-names":false,"suffix":""}],"container-title":"Digital Applications in Archaeology and Cultural Heritage","id":"ITEM-1","issued":{"date-parts":[["2024"]]},"page":"e00317","publisher":"Elsevier","title":"Augmented reality systems in the cultural heritage domains: A systematic review","type":"article-journal","volume":"32"},"uris":["http://www.mendeley.com/documents/?uuid=675c264f-6c20-459e-9481-667622921045"]},{"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success","type":"article-journal","volume":"16"},"uris":["http://www.mendeley.com/documents/?uuid=268bc745-2415-4713-bf04-fb9362513b93"]}],"mendeley":{"formattedCitation":"(Laradi et al., 2024; Ramtohul &amp; Khedo, 2024)","plainTextFormattedCitation":"(Laradi et al., 2024; Ramtohul &amp; Khedo, 2024)","previouslyFormattedCitation":"(Laradi et al., 2024; Ramtohul &amp; Khedo,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(Laradi et al., 2024; Ramtohul &amp; Khedo,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1B1F767"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Another limitation is that the article is based on practical applications. As a community engagement report instead of an empirical study, the analysis is interpretive and does not seek to determine cause-and-effect relationships. Nevertheless, this approach offers useful insights into how digital transformation is </w:t>
      </w:r>
      <w:proofErr w:type="gramStart"/>
      <w:r w:rsidRPr="00F12747">
        <w:rPr>
          <w:rFonts w:ascii="Times New Roman" w:hAnsi="Times New Roman" w:cs="Times New Roman"/>
          <w:sz w:val="24"/>
          <w:szCs w:val="24"/>
        </w:rPr>
        <w:t>actually experienced</w:t>
      </w:r>
      <w:proofErr w:type="gramEnd"/>
      <w:r w:rsidRPr="00F12747">
        <w:rPr>
          <w:rFonts w:ascii="Times New Roman" w:hAnsi="Times New Roman" w:cs="Times New Roman"/>
          <w:sz w:val="24"/>
          <w:szCs w:val="24"/>
        </w:rPr>
        <w:t xml:space="preserve"> and managed in real-life situations. Supporting evidence from Indonesian and regional studies indicates that SME transformation is inherently context-dependent and influenced by local adaptation processes</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Studies","id":"ITEM-1","issue":"2","issued":{"date-parts":[["2023"]]},"title":"Cultural Changes and Willingness to Change in Indigenous People of Penglipuran Bali Tourism Village During the Covid-19 Pandemic.","type":"article-journal","volume":"16"},"uris":["http://www.mendeley.com/documents/?uuid=33893984-3262-4e79-9caf-fc4e027389db"]}],"mendeley":{"formattedCitation":"(Wolor et al., 2023)","plainTextFormattedCitation":"(Wolor et al., 2023)","previouslyFormattedCitation":"(Wolor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(Wolor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xml:space="preserve">. Insights from INT Research also suggests that short-term interventions can serve as catalysts for longer-term innovation if followed by sustained engagement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Setiawati","given":"Rahmi","non-dropping-particle":"","parse-names":false,"suffix":""},{"dropping-particle":"","family":"Suhud","given":"Usep","non-dropping-particle":"","parse-names":false,"suffix":""},{"dropping-particle":"","family":"Allan","given":"Mamoon","non-dropping-particle":"","parse-names":false,"suffix":""},{"dropping-particle":"","family":"Hoo","given":"Wong Chee","non-dropping-particle":"","parse-names":false,"suffix":""}],"container-title":"Edelweiss Applied Science and Technology","id":"ITEM-1","issue":"6","issued":{"date-parts":[["2024"]]},"page":"738-757","publisher":"Learning Gate","title":"Community readiness to host a world-class tourism destination: Insights from lake Toba","type":"article-journal","volume":"8"},"uris":["http://www.mendeley.com/documents/?uuid=9dc609fd-e66e-49f1-a7ec-f00243da3956"]}],"mendeley":{"formattedCitation":"(Setiawati et al., 2024)","plainTextFormattedCitation":"(Setiawati et al., 2024)","previouslyFormattedCitation":"(Setiawati et al.,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(Setiawati et al.,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Therefore, although the program has certain limitations, it offers a solid basis for future growth and improvement.</w:t>
      </w:r>
    </w:p>
    <w:p w14:paraId="036D22D5" w14:textId="45D8C4A0"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Future Directions for Community-Based Innovation</w:t>
      </w:r>
    </w:p>
    <w:p w14:paraId="0CDDF4E3"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Future initiatives should adopt longitudinal and multi-phase engagement models to ensure sustainability and scalability. Continuous guidance, ongoing practice, and regular assessment are. Embedding digital capabilities into the everyday operations of small and medium-sized enterprises is essential for integrating technology effectively into their workflows. This ensures that digital tools are seamlessly incorporated into routine tasks, enhancing efficiency and supporting long-term growth. Research highlights that digital transformation evolves through cumulative learning processes rather than immediate adoption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Science","id":"ITEM-1","issue":"2","issued":{"date-parts":[["2023"]]},"page":"839-855","publisher":"Springer","title":"Co-producing theory of change to operationalize integrated landscape approaches","type":"article-journal","volume":"18"},"uris":["http://www.mendeley.com/documents/?uuid=155e3db6-3b1d-499b-beda-49ff50a3948e"]},{"id":"ITEM-2","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-2","issue":"3","issued":{"date-parts":[["2026"]]},"page":"1270","publisher":"MDPI","title":"The Integration of Creativity into Paragliding Tourism: The Case of Babadağ, Fethiye","type":"article-journal","volume":"18"},"uris":["http://www.mendeley.com/documents/?uuid=0c337f99-20a8-46e7-9507-c178bbfece12"]}],"mendeley":{"formattedCitation":"(Akbulut et al., 2026; Reed et al., 2023)","plainTextFormattedCitation":"(Akbulut et al., 2026; Reed et al., 2023)","previouslyFormattedCitation":"(Akbulut et al., 2026; Reed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(Akbulut et al., 2026; Reed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Therefore, future initiatives should include follow-up actions, peer learning groups, and collaborative tools that help share knowledge between different communities.</w:t>
      </w:r>
    </w:p>
    <w:p w14:paraId="343981DE" w14:textId="22980580" w:rsidR="00F12747" w:rsidRDefault="00F12747" w:rsidP="007A0C6D">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In addition, future community-based innovation should integrate cultural SME development with sustainable tourism and digital ecosystems. Batik </w:t>
      </w:r>
      <w:proofErr w:type="spellStart"/>
      <w:r w:rsidRPr="00F12747">
        <w:rPr>
          <w:rFonts w:ascii="Times New Roman" w:hAnsi="Times New Roman" w:cs="Times New Roman"/>
          <w:sz w:val="24"/>
          <w:szCs w:val="24"/>
        </w:rPr>
        <w:t>Lasem</w:t>
      </w:r>
      <w:proofErr w:type="spellEnd"/>
      <w:r w:rsidRPr="00F12747">
        <w:rPr>
          <w:rFonts w:ascii="Times New Roman" w:hAnsi="Times New Roman" w:cs="Times New Roman"/>
          <w:sz w:val="24"/>
          <w:szCs w:val="24"/>
        </w:rPr>
        <w:t xml:space="preserve"> should be presented not just as a product but as an integral part of a wider heritage story that encompasses local identity, the tourism experience, and messages about sustainability. Empirical evidence shows that sustainability, credibility, and destination image jointly influence behavioural intention in place-based contexts. Complementary findings from INTI research suggest that integrating digital innovation with cultural ecosystems enhances both economic value and community resilience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{"citationItems":[{"id":"ITEM-1","itemData":{"ISSN":"2590-2911","author":[{"dropping-particle":"","family":"Purwati","given":"Astri Ayu","non-dropping-particle":"","parse-names":false,"suffix":""},{"dropping-particle":"","family":"Irman","given":"Mimelientesa","non-dropping-particle":"","parse-names":false,"suffix":""},{"dropping-particle":"","family":"Siddik","given":"Muhammad","non-dropping-particle":"","parse-names":false,"suffix":""},{"dropping-particle":"","family":"Hamzah","given":"Muhammad Luthfi","non-dropping-particle":"","parse-names":false,"suffix":""},{"dropping-particle":"","family":"Mery","given":"Silvia","non-dropping-particle":"","parse-names":false,"suffix":""}],"container-title":"Social Sciences &amp; Humanities Open","id":"ITEM-1","issued":{"date-parts":[["2026"]]},"page":"102624","publisher":"Elsevier","title":"Digital Heritage Ecosphere: Empowering local-wisdom MSMEs for sustainable competitive advantage","type":"article-journal","volume":"13"},"uris":["http://www.mendeley.com/documents/?uuid=c4845382-87ab-4bbf-b294-17037d374057"]}],"mendeley":{"formattedCitation":"(Purwati et al., 2026)","plainTextFormattedCitation":"(Purwati et al., 2026)","previouslyFormattedCitation":"(Purwati et al., 2026)"},"properties":{"noteIndex":0},"schema":"https://github.com/citation-style-language/schema/raw/master/csl-citation.json"}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(Purwati et al., 2026)</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Therefore, future programs should combine artisan empowerment with digital storytelling platforms, augmented reality experiences, and collaborative branding strategies that position cultural SMEs within integrated sustainable development frameworks.</w:t>
      </w:r>
    </w:p>
    <w:p w14:paraId="1742FA53" w14:textId="77777777" w:rsidR="00901F29" w:rsidRPr="00901F29" w:rsidRDefault="00901F29" w:rsidP="00901F29">
      <w:pPr>
        <w:widowControl w:val="0"/>
        <w:autoSpaceDE w:val="0"/>
        <w:autoSpaceDN w:val="0"/>
        <w:spacing w:before="60" w:line="240" w:lineRule="auto"/>
        <w:ind w:left="180"/>
        <w:outlineLvl w:val="2"/>
        <w:rPr>
          <w:rFonts w:ascii="Times New Roman" w:eastAsia="Times New Roman" w:hAnsi="Times New Roman" w:cs="Times New Roman"/>
          <w:b/>
          <w:bCs/>
          <w:kern w:val="0"/>
          <w:sz w:val="28"/>
          <w:szCs w:val="28"/>
          <w:lang w:val="en-US"/>
          <w14:ligatures w14:val="none"/>
        </w:rPr>
      </w:pPr>
      <w:r w:rsidRPr="00901F29">
        <w:rPr>
          <w:rFonts w:ascii="Times New Roman" w:eastAsia="Times New Roman" w:hAnsi="Times New Roman" w:cs="Times New Roman"/>
          <w:b/>
          <w:bCs/>
          <w:spacing w:val="-2"/>
          <w:kern w:val="0"/>
          <w:sz w:val="28"/>
          <w:szCs w:val="28"/>
          <w:lang w:val="en-US"/>
          <w14:ligatures w14:val="none"/>
        </w:rPr>
        <w:lastRenderedPageBreak/>
        <w:t>REFERENCES</w:t>
      </w:r>
    </w:p>
    <w:p w14:paraId="4CC7E38E" w14:textId="69F18AE8"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8B0FC2">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 xml:space="preserve">ADDIN Mendeley Bibliography CSL_BIBLIOGRAPHY </w:instrText>
      </w:r>
      <w:r w:rsidRPr="008B0FC2">
        <w:rPr>
          <w:rFonts w:ascii="Times New Roman" w:hAnsi="Times New Roman" w:cs="Times New Roman"/>
          <w:sz w:val="24"/>
          <w:szCs w:val="24"/>
        </w:rPr>
        <w:fldChar w:fldCharType="separate"/>
      </w:r>
      <w:r w:rsidRPr="00F12747">
        <w:rPr>
          <w:rFonts w:ascii="Times New Roman" w:hAnsi="Times New Roman" w:cs="Times New Roman"/>
          <w:noProof/>
          <w:sz w:val="24"/>
          <w:szCs w:val="24"/>
        </w:rPr>
        <w:t xml:space="preserve">Aaltonen, S., Heinze, A., Ielpa, G., &amp; De Tommaso, D. (2015). Enterprise cultural heritage: The source for sustainable competitive advantage and survival for food sector SMEs. </w:t>
      </w:r>
      <w:r w:rsidRPr="00F12747">
        <w:rPr>
          <w:rFonts w:ascii="Times New Roman" w:hAnsi="Times New Roman" w:cs="Times New Roman"/>
          <w:i/>
          <w:iCs/>
          <w:noProof/>
          <w:sz w:val="24"/>
          <w:szCs w:val="24"/>
        </w:rPr>
        <w:t>The International Journal of Entrepreneurship and Innovation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(2), 73–83.</w:t>
      </w:r>
      <w:r w:rsidR="000746CD">
        <w:rPr>
          <w:rFonts w:ascii="Times New Roman" w:hAnsi="Times New Roman" w:cs="Times New Roman"/>
          <w:noProof/>
          <w:sz w:val="24"/>
          <w:szCs w:val="24"/>
        </w:rPr>
        <w:t xml:space="preserve"> </w:t>
      </w:r>
      <w:hyperlink r:id="rId8" w:history="1">
        <w:r w:rsidR="000746CD" w:rsidRPr="009C0CF5">
          <w:rPr>
            <w:rStyle w:val="Hyperlink"/>
            <w:rFonts w:ascii="Times New Roman" w:hAnsi="Times New Roman" w:cs="Times New Roman"/>
            <w:noProof/>
            <w:sz w:val="24"/>
            <w:szCs w:val="24"/>
          </w:rPr>
          <w:t>https://doi.org/10.5367/ijei.2015.0178</w:t>
        </w:r>
      </w:hyperlink>
      <w:r w:rsidR="000746CD">
        <w:rPr>
          <w:rFonts w:ascii="Times New Roman" w:hAnsi="Times New Roman" w:cs="Times New Roman"/>
          <w:noProof/>
          <w:sz w:val="24"/>
          <w:szCs w:val="24"/>
        </w:rPr>
        <w:t xml:space="preserve"> </w:t>
      </w:r>
    </w:p>
    <w:p w14:paraId="2B7194FB" w14:textId="3D78D45D"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Akbulut, O., Ekin, Y., &amp; Celik, T. (2026). The Integration of Creativity into Paragliding Tourism: The Case of Babadağ, Fethiye.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18</w:t>
      </w:r>
      <w:r w:rsidRPr="00F12747">
        <w:rPr>
          <w:rFonts w:ascii="Times New Roman" w:hAnsi="Times New Roman" w:cs="Times New Roman"/>
          <w:noProof/>
          <w:sz w:val="24"/>
          <w:szCs w:val="24"/>
        </w:rPr>
        <w:t>(3), 1270.</w:t>
      </w:r>
      <w:r w:rsidR="000746CD">
        <w:rPr>
          <w:rFonts w:ascii="Times New Roman" w:hAnsi="Times New Roman" w:cs="Times New Roman"/>
          <w:noProof/>
          <w:sz w:val="24"/>
          <w:szCs w:val="24"/>
        </w:rPr>
        <w:t xml:space="preserve"> </w:t>
      </w:r>
      <w:hyperlink r:id="rId9" w:history="1">
        <w:r w:rsidR="000746CD" w:rsidRPr="009C0CF5">
          <w:rPr>
            <w:rStyle w:val="Hyperlink"/>
            <w:rFonts w:ascii="Times New Roman" w:hAnsi="Times New Roman" w:cs="Times New Roman"/>
            <w:noProof/>
            <w:sz w:val="24"/>
            <w:szCs w:val="24"/>
          </w:rPr>
          <w:t>https://doi.org/10.3390/su18031270</w:t>
        </w:r>
      </w:hyperlink>
    </w:p>
    <w:p w14:paraId="3F6D2538" w14:textId="46A82F5E"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Akter, S., Sultana, S., Mariani, M., Fosso Wamba, S. F., Spanaki, K., &amp; Dwivedi, Y. K. (2023). Advancing algorithmic bias management capabilities in AI-driven marketing analytics research. </w:t>
      </w:r>
      <w:r w:rsidRPr="00F12747">
        <w:rPr>
          <w:rFonts w:ascii="Times New Roman" w:hAnsi="Times New Roman" w:cs="Times New Roman"/>
          <w:i/>
          <w:iCs/>
          <w:noProof/>
          <w:sz w:val="24"/>
          <w:szCs w:val="24"/>
        </w:rPr>
        <w:t>Industrial Marketing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114</w:t>
      </w:r>
      <w:r w:rsidRPr="00F12747">
        <w:rPr>
          <w:rFonts w:ascii="Times New Roman" w:hAnsi="Times New Roman" w:cs="Times New Roman"/>
          <w:noProof/>
          <w:sz w:val="24"/>
          <w:szCs w:val="24"/>
        </w:rPr>
        <w:t xml:space="preserve">, 243–261. </w:t>
      </w:r>
      <w:hyperlink r:id="rId10" w:history="1">
        <w:r w:rsidRPr="009C0CF5">
          <w:rPr>
            <w:rStyle w:val="Hyperlink"/>
            <w:rFonts w:ascii="Times New Roman" w:hAnsi="Times New Roman" w:cs="Times New Roman"/>
            <w:noProof/>
            <w:sz w:val="24"/>
            <w:szCs w:val="24"/>
          </w:rPr>
          <w:t>https://doi.org/10.1016/j.indmarman.2023.08.013</w:t>
        </w:r>
      </w:hyperlink>
    </w:p>
    <w:p w14:paraId="5939AC7C" w14:textId="1BFCA1B6"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Chang, Y.-C., Chen, P.-H., &amp; Teng, M.-J. (2021). How do institutional changes facilitate university-centric networks in Taiwan? The Triple Helix model of innovation view. </w:t>
      </w:r>
      <w:r w:rsidRPr="00F12747">
        <w:rPr>
          <w:rFonts w:ascii="Times New Roman" w:hAnsi="Times New Roman" w:cs="Times New Roman"/>
          <w:i/>
          <w:iCs/>
          <w:noProof/>
          <w:sz w:val="24"/>
          <w:szCs w:val="24"/>
        </w:rPr>
        <w:t>Science and Public Policy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48</w:t>
      </w:r>
      <w:r w:rsidRPr="00F12747">
        <w:rPr>
          <w:rFonts w:ascii="Times New Roman" w:hAnsi="Times New Roman" w:cs="Times New Roman"/>
          <w:noProof/>
          <w:sz w:val="24"/>
          <w:szCs w:val="24"/>
        </w:rPr>
        <w:t>(3), 309–324.</w:t>
      </w:r>
      <w:r w:rsidR="000746CD">
        <w:rPr>
          <w:rFonts w:ascii="Times New Roman" w:hAnsi="Times New Roman" w:cs="Times New Roman"/>
          <w:noProof/>
          <w:sz w:val="24"/>
          <w:szCs w:val="24"/>
        </w:rPr>
        <w:t xml:space="preserve"> </w:t>
      </w:r>
      <w:hyperlink r:id="rId11" w:history="1">
        <w:r w:rsidR="000746CD" w:rsidRPr="009C0CF5">
          <w:rPr>
            <w:rStyle w:val="Hyperlink"/>
            <w:rFonts w:ascii="Times New Roman" w:hAnsi="Times New Roman" w:cs="Times New Roman"/>
            <w:noProof/>
            <w:sz w:val="24"/>
            <w:szCs w:val="24"/>
          </w:rPr>
          <w:t>https://doi.org/10.1093/scipol/scaa076</w:t>
        </w:r>
      </w:hyperlink>
    </w:p>
    <w:p w14:paraId="149AF468" w14:textId="3224C7E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Chatsiopoulou, A., &amp; Michailidis, P. D. (2025). Augmented reality in cultural heritage: A narrative review of design, development and evaluation approaches. </w:t>
      </w:r>
      <w:r w:rsidRPr="00F12747">
        <w:rPr>
          <w:rFonts w:ascii="Times New Roman" w:hAnsi="Times New Roman" w:cs="Times New Roman"/>
          <w:i/>
          <w:iCs/>
          <w:noProof/>
          <w:sz w:val="24"/>
          <w:szCs w:val="24"/>
        </w:rPr>
        <w:t>Heritage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8</w:t>
      </w:r>
      <w:r w:rsidRPr="00F12747">
        <w:rPr>
          <w:rFonts w:ascii="Times New Roman" w:hAnsi="Times New Roman" w:cs="Times New Roman"/>
          <w:noProof/>
          <w:sz w:val="24"/>
          <w:szCs w:val="24"/>
        </w:rPr>
        <w:t>(10), 421.</w:t>
      </w:r>
      <w:r w:rsidR="000746CD">
        <w:rPr>
          <w:rFonts w:ascii="Times New Roman" w:hAnsi="Times New Roman" w:cs="Times New Roman"/>
          <w:noProof/>
          <w:sz w:val="24"/>
          <w:szCs w:val="24"/>
        </w:rPr>
        <w:t xml:space="preserve"> </w:t>
      </w:r>
      <w:hyperlink r:id="rId12" w:history="1">
        <w:r w:rsidR="000746CD" w:rsidRPr="009C0CF5">
          <w:rPr>
            <w:rStyle w:val="Hyperlink"/>
            <w:rFonts w:ascii="Times New Roman" w:hAnsi="Times New Roman" w:cs="Times New Roman"/>
            <w:noProof/>
            <w:sz w:val="24"/>
            <w:szCs w:val="24"/>
          </w:rPr>
          <w:t>https://doi.org/10.3390/heritage8100421</w:t>
        </w:r>
      </w:hyperlink>
    </w:p>
    <w:p w14:paraId="179EE7B7" w14:textId="00D3064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Chen, S., Li, B., &amp; Zhou, Q. (2025). We ARe inspired: How augmented reality empower cultural communication through self-authenticity and subjective well-being. </w:t>
      </w:r>
      <w:r w:rsidRPr="00F12747">
        <w:rPr>
          <w:rFonts w:ascii="Times New Roman" w:hAnsi="Times New Roman" w:cs="Times New Roman"/>
          <w:i/>
          <w:iCs/>
          <w:noProof/>
          <w:sz w:val="24"/>
          <w:szCs w:val="24"/>
        </w:rPr>
        <w:t>Technological Forecasting and Social Change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221</w:t>
      </w:r>
      <w:r w:rsidRPr="00F12747">
        <w:rPr>
          <w:rFonts w:ascii="Times New Roman" w:hAnsi="Times New Roman" w:cs="Times New Roman"/>
          <w:noProof/>
          <w:sz w:val="24"/>
          <w:szCs w:val="24"/>
        </w:rPr>
        <w:t>, 124353.</w:t>
      </w:r>
      <w:hyperlink r:id="rId13" w:history="1">
        <w:r w:rsidR="000746CD" w:rsidRPr="009C0CF5">
          <w:rPr>
            <w:rStyle w:val="Hyperlink"/>
            <w:rFonts w:ascii="Times New Roman" w:hAnsi="Times New Roman" w:cs="Times New Roman"/>
            <w:noProof/>
            <w:sz w:val="24"/>
            <w:szCs w:val="24"/>
          </w:rPr>
          <w:t xml:space="preserve"> https://doi.org/10.1016/j.techfore.2025.124353</w:t>
        </w:r>
      </w:hyperlink>
    </w:p>
    <w:p w14:paraId="462C1838" w14:textId="261B3603"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De Paolis, L. T., Gatto, C., Corchia, L., &amp; De Luca, V. (2023). Usability, user experience and mental workload in a mobile Augmented Reality application for digital storytelling in cultural heritage. </w:t>
      </w:r>
      <w:r w:rsidRPr="00F12747">
        <w:rPr>
          <w:rFonts w:ascii="Times New Roman" w:hAnsi="Times New Roman" w:cs="Times New Roman"/>
          <w:i/>
          <w:iCs/>
          <w:noProof/>
          <w:sz w:val="24"/>
          <w:szCs w:val="24"/>
        </w:rPr>
        <w:t>Virtual Reality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27</w:t>
      </w:r>
      <w:r w:rsidRPr="00F12747">
        <w:rPr>
          <w:rFonts w:ascii="Times New Roman" w:hAnsi="Times New Roman" w:cs="Times New Roman"/>
          <w:noProof/>
          <w:sz w:val="24"/>
          <w:szCs w:val="24"/>
        </w:rPr>
        <w:t>(2), 1117–1143.</w:t>
      </w:r>
      <w:r w:rsidR="000746CD">
        <w:rPr>
          <w:rFonts w:ascii="Times New Roman" w:hAnsi="Times New Roman" w:cs="Times New Roman"/>
          <w:noProof/>
          <w:sz w:val="24"/>
          <w:szCs w:val="24"/>
        </w:rPr>
        <w:t xml:space="preserve"> </w:t>
      </w:r>
      <w:hyperlink r:id="rId14" w:history="1">
        <w:r w:rsidR="000746CD" w:rsidRPr="009C0CF5">
          <w:rPr>
            <w:rStyle w:val="Hyperlink"/>
            <w:rFonts w:ascii="Times New Roman" w:hAnsi="Times New Roman" w:cs="Times New Roman"/>
            <w:noProof/>
            <w:sz w:val="24"/>
            <w:szCs w:val="24"/>
          </w:rPr>
          <w:t>https://doi.org/10.1007/s10055-022-00712-9</w:t>
        </w:r>
      </w:hyperlink>
    </w:p>
    <w:p w14:paraId="24A9F3C9" w14:textId="6051D28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Deb, S. K., Mohanty, P. P., &amp; Valeri, M. (2026). Promoting family business in handicrafts through local tradition and culture: an innovative approach. </w:t>
      </w:r>
      <w:r w:rsidRPr="00F12747">
        <w:rPr>
          <w:rFonts w:ascii="Times New Roman" w:hAnsi="Times New Roman" w:cs="Times New Roman"/>
          <w:i/>
          <w:iCs/>
          <w:noProof/>
          <w:sz w:val="24"/>
          <w:szCs w:val="24"/>
        </w:rPr>
        <w:t>Journal of Family Business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(1), 213–231.</w:t>
      </w:r>
      <w:r w:rsidR="000746CD">
        <w:rPr>
          <w:rFonts w:ascii="Times New Roman" w:hAnsi="Times New Roman" w:cs="Times New Roman"/>
          <w:noProof/>
          <w:sz w:val="24"/>
          <w:szCs w:val="24"/>
        </w:rPr>
        <w:t xml:space="preserve"> </w:t>
      </w:r>
      <w:hyperlink r:id="rId15" w:history="1">
        <w:r w:rsidR="000746CD" w:rsidRPr="009C0CF5">
          <w:rPr>
            <w:rStyle w:val="Hyperlink"/>
            <w:rFonts w:ascii="Times New Roman" w:hAnsi="Times New Roman" w:cs="Times New Roman"/>
            <w:noProof/>
            <w:sz w:val="24"/>
            <w:szCs w:val="24"/>
          </w:rPr>
          <w:t>https://doi.org/10.1108/JFBM-10-2021-0131</w:t>
        </w:r>
      </w:hyperlink>
    </w:p>
    <w:p w14:paraId="26FA3EE3" w14:textId="22F7EEE6"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Depaoli, P., Za, S., &amp; Scornavacca, E. (2020). A model for digital development of SMEs: an interaction-based approach. </w:t>
      </w:r>
      <w:r w:rsidRPr="00F12747">
        <w:rPr>
          <w:rFonts w:ascii="Times New Roman" w:hAnsi="Times New Roman" w:cs="Times New Roman"/>
          <w:i/>
          <w:iCs/>
          <w:noProof/>
          <w:sz w:val="24"/>
          <w:szCs w:val="24"/>
        </w:rPr>
        <w:t>Journal of Small Business and Enterprise Development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27</w:t>
      </w:r>
      <w:r w:rsidRPr="00F12747">
        <w:rPr>
          <w:rFonts w:ascii="Times New Roman" w:hAnsi="Times New Roman" w:cs="Times New Roman"/>
          <w:noProof/>
          <w:sz w:val="24"/>
          <w:szCs w:val="24"/>
        </w:rPr>
        <w:t>(7), 1049–1068.</w:t>
      </w:r>
      <w:r w:rsidR="00357E3A">
        <w:rPr>
          <w:rFonts w:ascii="Times New Roman" w:hAnsi="Times New Roman" w:cs="Times New Roman"/>
          <w:noProof/>
          <w:sz w:val="24"/>
          <w:szCs w:val="24"/>
        </w:rPr>
        <w:t xml:space="preserve"> </w:t>
      </w:r>
      <w:hyperlink r:id="rId16" w:history="1">
        <w:r w:rsidR="00357E3A" w:rsidRPr="009C0CF5">
          <w:rPr>
            <w:rStyle w:val="Hyperlink"/>
            <w:rFonts w:ascii="Times New Roman" w:hAnsi="Times New Roman" w:cs="Times New Roman"/>
            <w:noProof/>
            <w:sz w:val="24"/>
            <w:szCs w:val="24"/>
          </w:rPr>
          <w:t>https://doi.org/10.1108/JSBED-06-2020-0219</w:t>
        </w:r>
      </w:hyperlink>
    </w:p>
    <w:p w14:paraId="694B4E46" w14:textId="1DA7C87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Dias, Á., González-Rodríguez, M. R., &amp; Patuleia, M. (2023). Creative tourism destination competitiveness: An integrative model and agenda for future research. </w:t>
      </w:r>
      <w:r w:rsidRPr="00F12747">
        <w:rPr>
          <w:rFonts w:ascii="Times New Roman" w:hAnsi="Times New Roman" w:cs="Times New Roman"/>
          <w:i/>
          <w:iCs/>
          <w:noProof/>
          <w:sz w:val="24"/>
          <w:szCs w:val="24"/>
        </w:rPr>
        <w:t>Creative Industries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(2), 180–203.</w:t>
      </w:r>
      <w:r w:rsidR="000746CD">
        <w:rPr>
          <w:rFonts w:ascii="Times New Roman" w:hAnsi="Times New Roman" w:cs="Times New Roman"/>
          <w:noProof/>
          <w:sz w:val="24"/>
          <w:szCs w:val="24"/>
        </w:rPr>
        <w:t xml:space="preserve"> </w:t>
      </w:r>
      <w:hyperlink r:id="rId17" w:history="1">
        <w:r w:rsidR="000746CD" w:rsidRPr="009C0CF5">
          <w:rPr>
            <w:rStyle w:val="Hyperlink"/>
            <w:rFonts w:ascii="Times New Roman" w:hAnsi="Times New Roman" w:cs="Times New Roman"/>
            <w:noProof/>
            <w:sz w:val="24"/>
            <w:szCs w:val="24"/>
          </w:rPr>
          <w:t>https://doi.org/10.1080/17510694.2021.1980672</w:t>
        </w:r>
      </w:hyperlink>
    </w:p>
    <w:p w14:paraId="0906BC09" w14:textId="34963FAD"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Eguia, I., Wilson, J. R., Cuenca-Amigo, M., Mosquera-López, S., &amp; Bohórquez Correa, S. (2025). Barriers to the digital transformation of cultural and creative industry MSMEs: the case of the Basque country. </w:t>
      </w:r>
      <w:r w:rsidRPr="00F12747">
        <w:rPr>
          <w:rFonts w:ascii="Times New Roman" w:hAnsi="Times New Roman" w:cs="Times New Roman"/>
          <w:i/>
          <w:iCs/>
          <w:noProof/>
          <w:sz w:val="24"/>
          <w:szCs w:val="24"/>
        </w:rPr>
        <w:t>Competitiveness Review: An International Business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35</w:t>
      </w:r>
      <w:r w:rsidRPr="00F12747">
        <w:rPr>
          <w:rFonts w:ascii="Times New Roman" w:hAnsi="Times New Roman" w:cs="Times New Roman"/>
          <w:noProof/>
          <w:sz w:val="24"/>
          <w:szCs w:val="24"/>
        </w:rPr>
        <w:t>(7), 25–44.</w:t>
      </w:r>
      <w:r w:rsidR="000746CD">
        <w:rPr>
          <w:rFonts w:ascii="Times New Roman" w:hAnsi="Times New Roman" w:cs="Times New Roman"/>
          <w:noProof/>
          <w:sz w:val="24"/>
          <w:szCs w:val="24"/>
        </w:rPr>
        <w:t xml:space="preserve"> </w:t>
      </w:r>
      <w:hyperlink r:id="rId18" w:history="1">
        <w:r w:rsidR="000746CD" w:rsidRPr="009C0CF5">
          <w:rPr>
            <w:rStyle w:val="Hyperlink"/>
            <w:rFonts w:ascii="Times New Roman" w:hAnsi="Times New Roman" w:cs="Times New Roman"/>
            <w:noProof/>
            <w:sz w:val="24"/>
            <w:szCs w:val="24"/>
          </w:rPr>
          <w:t>https://doi.org/10.1108/CR-01-2025-0028</w:t>
        </w:r>
      </w:hyperlink>
    </w:p>
    <w:p w14:paraId="62684842" w14:textId="3499CD9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Gaffar, V., Koeswandi, T., &amp; Suhud, U. (2022). HAS THE COVID-19 PANDEMIC ACCELERATED THE DIGITAL TRANSFORMATION OF MICRO, SMALL AND MEDIUM-SIZED ENTERPRISES IN INDONESIA? </w:t>
      </w:r>
      <w:r w:rsidRPr="00F12747">
        <w:rPr>
          <w:rFonts w:ascii="Times New Roman" w:hAnsi="Times New Roman" w:cs="Times New Roman"/>
          <w:i/>
          <w:iCs/>
          <w:noProof/>
          <w:sz w:val="24"/>
          <w:szCs w:val="24"/>
        </w:rPr>
        <w:t>Teorija in Praksa</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59</w:t>
      </w:r>
      <w:r w:rsidRPr="00F12747">
        <w:rPr>
          <w:rFonts w:ascii="Times New Roman" w:hAnsi="Times New Roman" w:cs="Times New Roman"/>
          <w:noProof/>
          <w:sz w:val="24"/>
          <w:szCs w:val="24"/>
        </w:rPr>
        <w:t>(3).</w:t>
      </w:r>
      <w:r w:rsidR="00357E3A">
        <w:rPr>
          <w:rFonts w:ascii="Times New Roman" w:hAnsi="Times New Roman" w:cs="Times New Roman"/>
          <w:noProof/>
          <w:sz w:val="24"/>
          <w:szCs w:val="24"/>
        </w:rPr>
        <w:t xml:space="preserve"> </w:t>
      </w:r>
      <w:hyperlink r:id="rId19" w:history="1">
        <w:r w:rsidR="00357E3A" w:rsidRPr="009C0CF5">
          <w:rPr>
            <w:rStyle w:val="Hyperlink"/>
            <w:rFonts w:ascii="Times New Roman" w:hAnsi="Times New Roman" w:cs="Times New Roman"/>
            <w:noProof/>
            <w:sz w:val="24"/>
            <w:szCs w:val="24"/>
          </w:rPr>
          <w:t>https://doi.org/10.51936/tip.59.3.729–744</w:t>
        </w:r>
      </w:hyperlink>
    </w:p>
    <w:p w14:paraId="55A90582" w14:textId="39CECB58"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Huang, M.-H., &amp; Rust, R. T. (2021). A strategic framework for artificial intelligence in marketing. </w:t>
      </w:r>
      <w:r w:rsidRPr="00F12747">
        <w:rPr>
          <w:rFonts w:ascii="Times New Roman" w:hAnsi="Times New Roman" w:cs="Times New Roman"/>
          <w:i/>
          <w:iCs/>
          <w:noProof/>
          <w:sz w:val="24"/>
          <w:szCs w:val="24"/>
        </w:rPr>
        <w:t>Journal of the Academy of Marketing Science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49</w:t>
      </w:r>
      <w:r w:rsidRPr="00F12747">
        <w:rPr>
          <w:rFonts w:ascii="Times New Roman" w:hAnsi="Times New Roman" w:cs="Times New Roman"/>
          <w:noProof/>
          <w:sz w:val="24"/>
          <w:szCs w:val="24"/>
        </w:rPr>
        <w:t>(1), 30–50.</w:t>
      </w:r>
      <w:hyperlink r:id="rId20" w:history="1">
        <w:r w:rsidR="00357E3A" w:rsidRPr="009C0CF5">
          <w:rPr>
            <w:rStyle w:val="Hyperlink"/>
            <w:rFonts w:ascii="Times New Roman" w:hAnsi="Times New Roman" w:cs="Times New Roman"/>
            <w:noProof/>
            <w:sz w:val="24"/>
            <w:szCs w:val="24"/>
          </w:rPr>
          <w:t xml:space="preserve"> https://doi.org/10.1007/s11747-020-00749-9</w:t>
        </w:r>
      </w:hyperlink>
    </w:p>
    <w:p w14:paraId="50453DE4" w14:textId="7B739B95"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Huang, T. L., &amp; Chung, H. F. L. (2024). Achieving close psychological distance and experiential value in the MarTech servicescape: a mindfulness-oriented service perspective. </w:t>
      </w:r>
      <w:r w:rsidRPr="00F12747">
        <w:rPr>
          <w:rFonts w:ascii="Times New Roman" w:hAnsi="Times New Roman" w:cs="Times New Roman"/>
          <w:i/>
          <w:iCs/>
          <w:noProof/>
          <w:sz w:val="24"/>
          <w:szCs w:val="24"/>
        </w:rPr>
        <w:t>Journal of Research in Interactive Marketing</w:t>
      </w:r>
      <w:r w:rsidRPr="00F12747">
        <w:rPr>
          <w:rFonts w:ascii="Times New Roman" w:hAnsi="Times New Roman" w:cs="Times New Roman"/>
          <w:noProof/>
          <w:sz w:val="24"/>
          <w:szCs w:val="24"/>
        </w:rPr>
        <w:t xml:space="preserve">. </w:t>
      </w:r>
      <w:hyperlink r:id="rId21" w:history="1">
        <w:r w:rsidRPr="009C0CF5">
          <w:rPr>
            <w:rStyle w:val="Hyperlink"/>
            <w:rFonts w:ascii="Times New Roman" w:hAnsi="Times New Roman" w:cs="Times New Roman"/>
            <w:noProof/>
            <w:sz w:val="24"/>
            <w:szCs w:val="24"/>
          </w:rPr>
          <w:t>https://doi.org/10.1108/JRIM-04-2024-0180</w:t>
        </w:r>
      </w:hyperlink>
    </w:p>
    <w:p w14:paraId="0B6442BA" w14:textId="6867822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Kraus, S., Durst, S., Ferreira, J. J., Veiga, P., Kailer, N., &amp; Weinmann, A. (2022). Digital transformation in business and management research: An overview of the current status quo. </w:t>
      </w:r>
      <w:r w:rsidRPr="00F12747">
        <w:rPr>
          <w:rFonts w:ascii="Times New Roman" w:hAnsi="Times New Roman" w:cs="Times New Roman"/>
          <w:i/>
          <w:iCs/>
          <w:noProof/>
          <w:sz w:val="24"/>
          <w:szCs w:val="24"/>
        </w:rPr>
        <w:t>International Journal of Information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63</w:t>
      </w:r>
      <w:r w:rsidRPr="00F12747">
        <w:rPr>
          <w:rFonts w:ascii="Times New Roman" w:hAnsi="Times New Roman" w:cs="Times New Roman"/>
          <w:noProof/>
          <w:sz w:val="24"/>
          <w:szCs w:val="24"/>
        </w:rPr>
        <w:t>, 102466.</w:t>
      </w:r>
      <w:r w:rsidR="00357E3A">
        <w:rPr>
          <w:rFonts w:ascii="Times New Roman" w:hAnsi="Times New Roman" w:cs="Times New Roman"/>
          <w:noProof/>
          <w:sz w:val="24"/>
          <w:szCs w:val="24"/>
        </w:rPr>
        <w:t xml:space="preserve"> </w:t>
      </w:r>
      <w:hyperlink r:id="rId22" w:history="1">
        <w:r w:rsidR="00357E3A" w:rsidRPr="009C0CF5">
          <w:rPr>
            <w:rStyle w:val="Hyperlink"/>
            <w:rFonts w:ascii="Times New Roman" w:hAnsi="Times New Roman" w:cs="Times New Roman"/>
            <w:noProof/>
            <w:sz w:val="24"/>
            <w:szCs w:val="24"/>
          </w:rPr>
          <w:t>https://doi.org/10.1016/j.ijinfomgt.2021.102466</w:t>
        </w:r>
      </w:hyperlink>
    </w:p>
    <w:p w14:paraId="20608674" w14:textId="04CD4D2F"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Laradi, S., Elfekair, A., Alrawad, M., Hashim, M., &amp; Derouez, F. (2024). Leveraging capabilities of social media marketing for business success. </w:t>
      </w:r>
      <w:r w:rsidRPr="00F12747">
        <w:rPr>
          <w:rFonts w:ascii="Times New Roman" w:hAnsi="Times New Roman" w:cs="Times New Roman"/>
          <w:i/>
          <w:iCs/>
          <w:noProof/>
          <w:sz w:val="24"/>
          <w:szCs w:val="24"/>
        </w:rPr>
        <w:t>Computers in Human Behavior Reports</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 100524.</w:t>
      </w:r>
      <w:r w:rsidR="00357E3A">
        <w:rPr>
          <w:rFonts w:ascii="Times New Roman" w:hAnsi="Times New Roman" w:cs="Times New Roman"/>
          <w:noProof/>
          <w:sz w:val="24"/>
          <w:szCs w:val="24"/>
        </w:rPr>
        <w:t xml:space="preserve"> </w:t>
      </w:r>
      <w:hyperlink r:id="rId23" w:history="1">
        <w:r w:rsidR="00357E3A" w:rsidRPr="009C0CF5">
          <w:rPr>
            <w:rStyle w:val="Hyperlink"/>
            <w:rFonts w:ascii="Times New Roman" w:hAnsi="Times New Roman" w:cs="Times New Roman"/>
            <w:noProof/>
            <w:sz w:val="24"/>
            <w:szCs w:val="24"/>
          </w:rPr>
          <w:t>https://doi.org/10.1016/j.chbr.2024.100524</w:t>
        </w:r>
      </w:hyperlink>
    </w:p>
    <w:p w14:paraId="3212E26A" w14:textId="321E90F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Mahrinasari, M. S., Bangsawan, S., &amp; Sabri, M. F. (2024). Local wisdom and Government’s role in strengthening the sustainable competitive advantage of creative industries. </w:t>
      </w:r>
      <w:r w:rsidRPr="00F12747">
        <w:rPr>
          <w:rFonts w:ascii="Times New Roman" w:hAnsi="Times New Roman" w:cs="Times New Roman"/>
          <w:i/>
          <w:iCs/>
          <w:noProof/>
          <w:sz w:val="24"/>
          <w:szCs w:val="24"/>
        </w:rPr>
        <w:t>Heliyon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10</w:t>
      </w:r>
      <w:r w:rsidRPr="00F12747">
        <w:rPr>
          <w:rFonts w:ascii="Times New Roman" w:hAnsi="Times New Roman" w:cs="Times New Roman"/>
          <w:noProof/>
          <w:sz w:val="24"/>
          <w:szCs w:val="24"/>
        </w:rPr>
        <w:t xml:space="preserve">(10), e31133. </w:t>
      </w:r>
      <w:hyperlink r:id="rId24" w:history="1">
        <w:r w:rsidRPr="009C0CF5">
          <w:rPr>
            <w:rStyle w:val="Hyperlink"/>
            <w:rFonts w:ascii="Times New Roman" w:hAnsi="Times New Roman" w:cs="Times New Roman"/>
            <w:noProof/>
            <w:sz w:val="24"/>
            <w:szCs w:val="24"/>
          </w:rPr>
          <w:t>https://doi.org/10.1016/j.heliyon.2024.e31133</w:t>
        </w:r>
      </w:hyperlink>
    </w:p>
    <w:p w14:paraId="1984C0EC" w14:textId="46AAB960"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Majeed, M. A. (2025). </w:t>
      </w:r>
      <w:r w:rsidRPr="00F12747">
        <w:rPr>
          <w:rFonts w:ascii="Times New Roman" w:hAnsi="Times New Roman" w:cs="Times New Roman"/>
          <w:i/>
          <w:iCs/>
          <w:noProof/>
          <w:sz w:val="24"/>
          <w:szCs w:val="24"/>
        </w:rPr>
        <w:t>Entrepreneurial Universities: Examining the role of universities as sustainable innovation change catalyst for regional development.</w:t>
      </w:r>
      <w:r w:rsidRPr="00F12747">
        <w:rPr>
          <w:rFonts w:ascii="Times New Roman" w:hAnsi="Times New Roman" w:cs="Times New Roman"/>
          <w:noProof/>
          <w:sz w:val="24"/>
          <w:szCs w:val="24"/>
        </w:rPr>
        <w:t xml:space="preserve"> Birmingham City University.</w:t>
      </w:r>
      <w:r w:rsidR="00357E3A">
        <w:rPr>
          <w:rFonts w:ascii="Times New Roman" w:hAnsi="Times New Roman" w:cs="Times New Roman"/>
          <w:noProof/>
          <w:sz w:val="24"/>
          <w:szCs w:val="24"/>
        </w:rPr>
        <w:t xml:space="preserve">  </w:t>
      </w:r>
      <w:hyperlink r:id="rId25" w:history="1">
        <w:r w:rsidR="00357E3A" w:rsidRPr="009C0CF5">
          <w:rPr>
            <w:rStyle w:val="Hyperlink"/>
            <w:rFonts w:ascii="Times New Roman" w:hAnsi="Times New Roman" w:cs="Times New Roman"/>
            <w:noProof/>
            <w:sz w:val="24"/>
            <w:szCs w:val="24"/>
          </w:rPr>
          <w:t>https://www.open-</w:t>
        </w:r>
        <w:r w:rsidR="00357E3A" w:rsidRPr="009C0CF5">
          <w:rPr>
            <w:rStyle w:val="Hyperlink"/>
            <w:rFonts w:ascii="Times New Roman" w:hAnsi="Times New Roman" w:cs="Times New Roman"/>
            <w:noProof/>
            <w:sz w:val="24"/>
            <w:szCs w:val="24"/>
          </w:rPr>
          <w:lastRenderedPageBreak/>
          <w:t>access.bcu.ac.uk/id/eprint/16354</w:t>
        </w:r>
      </w:hyperlink>
    </w:p>
    <w:p w14:paraId="14E9CAFE" w14:textId="61DB2AB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Majeed, S., &amp; Ramkissoon, H. (2022). Social media and tourists’ behaviors: Post-COVID-19. In </w:t>
      </w:r>
      <w:r w:rsidRPr="00F12747">
        <w:rPr>
          <w:rFonts w:ascii="Times New Roman" w:hAnsi="Times New Roman" w:cs="Times New Roman"/>
          <w:i/>
          <w:iCs/>
          <w:noProof/>
          <w:sz w:val="24"/>
          <w:szCs w:val="24"/>
        </w:rPr>
        <w:t>Handbook on Tourism and Social Media: Research Handbooks in Tourism series</w:t>
      </w:r>
      <w:r w:rsidRPr="00F12747">
        <w:rPr>
          <w:rFonts w:ascii="Times New Roman" w:hAnsi="Times New Roman" w:cs="Times New Roman"/>
          <w:noProof/>
          <w:sz w:val="24"/>
          <w:szCs w:val="24"/>
        </w:rPr>
        <w:t xml:space="preserve"> (pp. 125–138). Edward Elgar Publishing Ltd. </w:t>
      </w:r>
      <w:hyperlink r:id="rId26" w:history="1">
        <w:r w:rsidRPr="009C0CF5">
          <w:rPr>
            <w:rStyle w:val="Hyperlink"/>
            <w:rFonts w:ascii="Times New Roman" w:hAnsi="Times New Roman" w:cs="Times New Roman"/>
            <w:noProof/>
            <w:sz w:val="24"/>
            <w:szCs w:val="24"/>
          </w:rPr>
          <w:t>https://doi.org/10.4337/9781800371415.00016</w:t>
        </w:r>
      </w:hyperlink>
    </w:p>
    <w:p w14:paraId="681D4105" w14:textId="3BE1535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Maria Correia Loureiro, S., Bilro, R. G., Guerreiro, J., Lee, M. J., &amp; Han, H. (2025). ChatGPT Coolness-Desirable Framework for Tourism and Hospitality. </w:t>
      </w:r>
      <w:r w:rsidRPr="00F12747">
        <w:rPr>
          <w:rFonts w:ascii="Times New Roman" w:hAnsi="Times New Roman" w:cs="Times New Roman"/>
          <w:i/>
          <w:iCs/>
          <w:noProof/>
          <w:sz w:val="24"/>
          <w:szCs w:val="24"/>
        </w:rPr>
        <w:t>Journal of Travel Research</w:t>
      </w:r>
      <w:r w:rsidRPr="00F12747">
        <w:rPr>
          <w:rFonts w:ascii="Times New Roman" w:hAnsi="Times New Roman" w:cs="Times New Roman"/>
          <w:noProof/>
          <w:sz w:val="24"/>
          <w:szCs w:val="24"/>
        </w:rPr>
        <w:t xml:space="preserve">, </w:t>
      </w:r>
      <w:r w:rsidR="00357E3A" w:rsidRPr="00F12747">
        <w:rPr>
          <w:rFonts w:ascii="Times New Roman" w:hAnsi="Times New Roman" w:cs="Times New Roman"/>
          <w:noProof/>
          <w:sz w:val="24"/>
          <w:szCs w:val="24"/>
        </w:rPr>
        <w:t xml:space="preserve"> </w:t>
      </w:r>
      <w:hyperlink r:id="rId27" w:history="1">
        <w:r w:rsidR="00357E3A" w:rsidRPr="007A0C6D">
          <w:rPr>
            <w:rStyle w:val="Hyperlink"/>
            <w:rFonts w:ascii="Times New Roman" w:hAnsi="Times New Roman" w:cs="Times New Roman"/>
            <w:noProof/>
            <w:sz w:val="24"/>
            <w:szCs w:val="24"/>
          </w:rPr>
          <w:t>https://doi.org/10.4337/</w:t>
        </w:r>
        <w:r w:rsidRPr="007A0C6D">
          <w:rPr>
            <w:rStyle w:val="Hyperlink"/>
            <w:rFonts w:ascii="Times New Roman" w:hAnsi="Times New Roman" w:cs="Times New Roman"/>
            <w:noProof/>
            <w:sz w:val="24"/>
            <w:szCs w:val="24"/>
          </w:rPr>
          <w:t>00472875251380185</w:t>
        </w:r>
      </w:hyperlink>
      <w:r w:rsidRPr="00F12747">
        <w:rPr>
          <w:rFonts w:ascii="Times New Roman" w:hAnsi="Times New Roman" w:cs="Times New Roman"/>
          <w:noProof/>
          <w:sz w:val="24"/>
          <w:szCs w:val="24"/>
        </w:rPr>
        <w:t>.</w:t>
      </w:r>
    </w:p>
    <w:p w14:paraId="45545959" w14:textId="7ACA5AF9"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Marolt, M., Zimmermann, H.-D., &amp; Pucihar, A. (2022). Social media use and business performance in SMEs: The mediating roles of relational social commerce capability and competitive advantage.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14</w:t>
      </w:r>
      <w:r w:rsidRPr="00F12747">
        <w:rPr>
          <w:rFonts w:ascii="Times New Roman" w:hAnsi="Times New Roman" w:cs="Times New Roman"/>
          <w:noProof/>
          <w:sz w:val="24"/>
          <w:szCs w:val="24"/>
        </w:rPr>
        <w:t>(22), 15029.</w:t>
      </w:r>
      <w:r w:rsidR="00357E3A">
        <w:rPr>
          <w:rFonts w:ascii="Times New Roman" w:hAnsi="Times New Roman" w:cs="Times New Roman"/>
          <w:noProof/>
          <w:sz w:val="24"/>
          <w:szCs w:val="24"/>
        </w:rPr>
        <w:t xml:space="preserve"> </w:t>
      </w:r>
      <w:hyperlink r:id="rId28" w:history="1">
        <w:r w:rsidR="00357E3A" w:rsidRPr="007A0C6D">
          <w:rPr>
            <w:rStyle w:val="Hyperlink"/>
            <w:rFonts w:ascii="Times New Roman" w:hAnsi="Times New Roman" w:cs="Times New Roman"/>
            <w:noProof/>
            <w:sz w:val="24"/>
            <w:szCs w:val="24"/>
          </w:rPr>
          <w:t>https://doi.org/10.3390/su142215029</w:t>
        </w:r>
      </w:hyperlink>
    </w:p>
    <w:p w14:paraId="4FF480D3" w14:textId="74DEF6A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Mazzarella, F., &amp; Black, S. (2023). Fashioning Change: Fashion Activism and Its Outcomes on Local Communities. </w:t>
      </w:r>
      <w:r w:rsidRPr="00F12747">
        <w:rPr>
          <w:rFonts w:ascii="Times New Roman" w:hAnsi="Times New Roman" w:cs="Times New Roman"/>
          <w:i/>
          <w:iCs/>
          <w:noProof/>
          <w:sz w:val="24"/>
          <w:szCs w:val="24"/>
        </w:rPr>
        <w:t>Fashion Practice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15</w:t>
      </w:r>
      <w:r w:rsidRPr="00F12747">
        <w:rPr>
          <w:rFonts w:ascii="Times New Roman" w:hAnsi="Times New Roman" w:cs="Times New Roman"/>
          <w:noProof/>
          <w:sz w:val="24"/>
          <w:szCs w:val="24"/>
        </w:rPr>
        <w:t xml:space="preserve">(2), 230–255. </w:t>
      </w:r>
      <w:hyperlink r:id="rId29" w:history="1">
        <w:r w:rsidRPr="007A0C6D">
          <w:rPr>
            <w:rStyle w:val="Hyperlink"/>
            <w:rFonts w:ascii="Times New Roman" w:hAnsi="Times New Roman" w:cs="Times New Roman"/>
            <w:noProof/>
            <w:sz w:val="24"/>
            <w:szCs w:val="24"/>
          </w:rPr>
          <w:t>https://doi.org/10.1080/17569370.2022.2095729</w:t>
        </w:r>
      </w:hyperlink>
    </w:p>
    <w:p w14:paraId="71FF0228" w14:textId="7172E14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Melo, I. C., Queiroz, G. A., Junior, P. N. A., de Sousa, T. B., Yushimito, W. F., &amp; Pereira, J. (2023). Sustainable digital transformation in small and medium enterprises (SMEs): A review on performance. </w:t>
      </w:r>
      <w:r w:rsidRPr="00F12747">
        <w:rPr>
          <w:rFonts w:ascii="Times New Roman" w:hAnsi="Times New Roman" w:cs="Times New Roman"/>
          <w:i/>
          <w:iCs/>
          <w:noProof/>
          <w:sz w:val="24"/>
          <w:szCs w:val="24"/>
        </w:rPr>
        <w:t>Heliyon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9</w:t>
      </w:r>
      <w:r w:rsidRPr="00F12747">
        <w:rPr>
          <w:rFonts w:ascii="Times New Roman" w:hAnsi="Times New Roman" w:cs="Times New Roman"/>
          <w:noProof/>
          <w:sz w:val="24"/>
          <w:szCs w:val="24"/>
        </w:rPr>
        <w:t>(3).</w:t>
      </w:r>
      <w:r w:rsidR="00357E3A">
        <w:rPr>
          <w:rFonts w:ascii="Times New Roman" w:hAnsi="Times New Roman" w:cs="Times New Roman"/>
          <w:noProof/>
          <w:sz w:val="24"/>
          <w:szCs w:val="24"/>
        </w:rPr>
        <w:t xml:space="preserve"> </w:t>
      </w:r>
      <w:hyperlink r:id="rId30" w:history="1">
        <w:r w:rsidR="00357E3A" w:rsidRPr="007A0C6D">
          <w:rPr>
            <w:rStyle w:val="Hyperlink"/>
            <w:rFonts w:ascii="Times New Roman" w:hAnsi="Times New Roman" w:cs="Times New Roman"/>
            <w:noProof/>
            <w:sz w:val="24"/>
            <w:szCs w:val="24"/>
          </w:rPr>
          <w:t>https://doi.org/10.1016/j.heliyon.2023.e13908</w:t>
        </w:r>
      </w:hyperlink>
    </w:p>
    <w:p w14:paraId="5F029AC3" w14:textId="71D1611E"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Pellegrino, A., &amp; Abe, M. (2023). Leveraging social media for SMEs: Findings from a bibliometric review.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15</w:t>
      </w:r>
      <w:r w:rsidRPr="00F12747">
        <w:rPr>
          <w:rFonts w:ascii="Times New Roman" w:hAnsi="Times New Roman" w:cs="Times New Roman"/>
          <w:noProof/>
          <w:sz w:val="24"/>
          <w:szCs w:val="24"/>
        </w:rPr>
        <w:t>(8), 7007.</w:t>
      </w:r>
      <w:r w:rsidR="00357E3A">
        <w:rPr>
          <w:rFonts w:ascii="Times New Roman" w:hAnsi="Times New Roman" w:cs="Times New Roman"/>
          <w:noProof/>
          <w:sz w:val="24"/>
          <w:szCs w:val="24"/>
        </w:rPr>
        <w:t xml:space="preserve"> </w:t>
      </w:r>
      <w:hyperlink r:id="rId31" w:history="1">
        <w:r w:rsidR="00357E3A" w:rsidRPr="007A0C6D">
          <w:rPr>
            <w:rStyle w:val="Hyperlink"/>
            <w:rFonts w:ascii="Times New Roman" w:hAnsi="Times New Roman" w:cs="Times New Roman"/>
            <w:noProof/>
            <w:sz w:val="24"/>
            <w:szCs w:val="24"/>
          </w:rPr>
          <w:t>https://doi.org/10.3390/su15087007</w:t>
        </w:r>
      </w:hyperlink>
    </w:p>
    <w:p w14:paraId="01F809C7" w14:textId="0CD69CAD"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Phillips, W., Lee, H., Ghobadian, A., O’regan, N., &amp; James, P. (2015). Social innovation and social entrepreneurship: A systematic review. </w:t>
      </w:r>
      <w:r w:rsidRPr="00F12747">
        <w:rPr>
          <w:rFonts w:ascii="Times New Roman" w:hAnsi="Times New Roman" w:cs="Times New Roman"/>
          <w:i/>
          <w:iCs/>
          <w:noProof/>
          <w:sz w:val="24"/>
          <w:szCs w:val="24"/>
        </w:rPr>
        <w:t>Group &amp; Organization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40</w:t>
      </w:r>
      <w:r w:rsidRPr="00F12747">
        <w:rPr>
          <w:rFonts w:ascii="Times New Roman" w:hAnsi="Times New Roman" w:cs="Times New Roman"/>
          <w:noProof/>
          <w:sz w:val="24"/>
          <w:szCs w:val="24"/>
        </w:rPr>
        <w:t>(3), 428–461.</w:t>
      </w:r>
      <w:r w:rsidR="00357E3A">
        <w:rPr>
          <w:rFonts w:ascii="Times New Roman" w:hAnsi="Times New Roman" w:cs="Times New Roman"/>
          <w:noProof/>
          <w:sz w:val="24"/>
          <w:szCs w:val="24"/>
        </w:rPr>
        <w:t xml:space="preserve"> </w:t>
      </w:r>
      <w:hyperlink r:id="rId32" w:history="1">
        <w:r w:rsidR="00357E3A" w:rsidRPr="007A0C6D">
          <w:rPr>
            <w:rStyle w:val="Hyperlink"/>
            <w:rFonts w:ascii="Times New Roman" w:hAnsi="Times New Roman" w:cs="Times New Roman"/>
            <w:noProof/>
            <w:sz w:val="24"/>
            <w:szCs w:val="24"/>
          </w:rPr>
          <w:t>https://doi.org/10.1177/1059601114560063</w:t>
        </w:r>
      </w:hyperlink>
    </w:p>
    <w:p w14:paraId="239BD017" w14:textId="1E7AA8A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Polyanskaya, Y. (2024). </w:t>
      </w:r>
      <w:r w:rsidRPr="00F12747">
        <w:rPr>
          <w:rFonts w:ascii="Times New Roman" w:hAnsi="Times New Roman" w:cs="Times New Roman"/>
          <w:i/>
          <w:iCs/>
          <w:noProof/>
          <w:sz w:val="24"/>
          <w:szCs w:val="24"/>
        </w:rPr>
        <w:t>Brand Awareness: Systematic Review and Evidence-based Guidance on Digital Content Marketing for SMEs</w:t>
      </w:r>
      <w:r w:rsidRPr="00F12747">
        <w:rPr>
          <w:rFonts w:ascii="Times New Roman" w:hAnsi="Times New Roman" w:cs="Times New Roman"/>
          <w:noProof/>
          <w:sz w:val="24"/>
          <w:szCs w:val="24"/>
        </w:rPr>
        <w:t>. Alpen-Adria-Universität Klagenfurt.</w:t>
      </w:r>
      <w:r w:rsidR="00BD01DA">
        <w:rPr>
          <w:rFonts w:ascii="Times New Roman" w:hAnsi="Times New Roman" w:cs="Times New Roman"/>
          <w:noProof/>
          <w:sz w:val="24"/>
          <w:szCs w:val="24"/>
        </w:rPr>
        <w:t xml:space="preserve"> </w:t>
      </w:r>
      <w:hyperlink r:id="rId33" w:history="1">
        <w:r w:rsidR="00BD01DA" w:rsidRPr="007A0C6D">
          <w:rPr>
            <w:rStyle w:val="Hyperlink"/>
            <w:rFonts w:ascii="Times New Roman" w:hAnsi="Times New Roman" w:cs="Times New Roman"/>
            <w:noProof/>
            <w:sz w:val="24"/>
            <w:szCs w:val="24"/>
          </w:rPr>
          <w:t>https://netlibrary.aau.at/obvuklhs/content/titleinfo/10196265/full.pdf</w:t>
        </w:r>
      </w:hyperlink>
    </w:p>
    <w:p w14:paraId="2B8AD00F" w14:textId="5C5A46B9"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Purwati, A. A., Irman, M., Siddik, M., Hamzah, M. L., &amp; Mery, S. (2026). Digital Heritage Ecosphere: Empowering local-wisdom MSMEs for sustainable competitive advantage. </w:t>
      </w:r>
      <w:r w:rsidRPr="00F12747">
        <w:rPr>
          <w:rFonts w:ascii="Times New Roman" w:hAnsi="Times New Roman" w:cs="Times New Roman"/>
          <w:i/>
          <w:iCs/>
          <w:noProof/>
          <w:sz w:val="24"/>
          <w:szCs w:val="24"/>
        </w:rPr>
        <w:t>Social Sciences &amp; Humanities Open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13</w:t>
      </w:r>
      <w:r w:rsidRPr="00F12747">
        <w:rPr>
          <w:rFonts w:ascii="Times New Roman" w:hAnsi="Times New Roman" w:cs="Times New Roman"/>
          <w:noProof/>
          <w:sz w:val="24"/>
          <w:szCs w:val="24"/>
        </w:rPr>
        <w:t>, 102624.</w:t>
      </w:r>
      <w:r w:rsidR="00BD01DA">
        <w:rPr>
          <w:rFonts w:ascii="Times New Roman" w:hAnsi="Times New Roman" w:cs="Times New Roman"/>
          <w:noProof/>
          <w:sz w:val="24"/>
          <w:szCs w:val="24"/>
        </w:rPr>
        <w:t xml:space="preserve"> </w:t>
      </w:r>
      <w:hyperlink r:id="rId34" w:history="1">
        <w:r w:rsidR="00BD01DA" w:rsidRPr="007A0C6D">
          <w:rPr>
            <w:rStyle w:val="Hyperlink"/>
            <w:rFonts w:ascii="Times New Roman" w:hAnsi="Times New Roman" w:cs="Times New Roman"/>
            <w:noProof/>
            <w:sz w:val="24"/>
            <w:szCs w:val="24"/>
          </w:rPr>
          <w:t>https://doi.org/10.1016/j.ssaho.2026.102624</w:t>
        </w:r>
      </w:hyperlink>
    </w:p>
    <w:p w14:paraId="075CA7CB" w14:textId="760CF6C6"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Rahman, S., Setyawan, O., Junaedi, A. T., &amp; Renaldo, N. (2025). Digital competitive advantages of MSMEs and the antecedents factor (digital creativity and digital culture). </w:t>
      </w:r>
      <w:r w:rsidRPr="00F12747">
        <w:rPr>
          <w:rFonts w:ascii="Times New Roman" w:hAnsi="Times New Roman" w:cs="Times New Roman"/>
          <w:i/>
          <w:iCs/>
          <w:noProof/>
          <w:sz w:val="24"/>
          <w:szCs w:val="24"/>
        </w:rPr>
        <w:t>Journal of Open Innovation: Technology, Market, and Complexity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11</w:t>
      </w:r>
      <w:r w:rsidRPr="00F12747">
        <w:rPr>
          <w:rFonts w:ascii="Times New Roman" w:hAnsi="Times New Roman" w:cs="Times New Roman"/>
          <w:noProof/>
          <w:sz w:val="24"/>
          <w:szCs w:val="24"/>
        </w:rPr>
        <w:t>(3), 100585.</w:t>
      </w:r>
      <w:r w:rsidR="00BD01DA">
        <w:rPr>
          <w:rFonts w:ascii="Times New Roman" w:hAnsi="Times New Roman" w:cs="Times New Roman"/>
          <w:noProof/>
          <w:sz w:val="24"/>
          <w:szCs w:val="24"/>
        </w:rPr>
        <w:t xml:space="preserve"> </w:t>
      </w:r>
      <w:hyperlink r:id="rId35" w:history="1">
        <w:r w:rsidR="00BD01DA" w:rsidRPr="007A0C6D">
          <w:rPr>
            <w:rStyle w:val="Hyperlink"/>
            <w:rFonts w:ascii="Times New Roman" w:hAnsi="Times New Roman" w:cs="Times New Roman"/>
            <w:noProof/>
            <w:sz w:val="24"/>
            <w:szCs w:val="24"/>
          </w:rPr>
          <w:t>https://doi.org/10.1016/j.joitmc.2025.100585</w:t>
        </w:r>
      </w:hyperlink>
    </w:p>
    <w:p w14:paraId="089DD025" w14:textId="3CD237A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Ramtohul, A., &amp; Khedo, K. K. (2024). Augmented reality systems in the cultural heritage domains: A systematic review. </w:t>
      </w:r>
      <w:r w:rsidRPr="00F12747">
        <w:rPr>
          <w:rFonts w:ascii="Times New Roman" w:hAnsi="Times New Roman" w:cs="Times New Roman"/>
          <w:i/>
          <w:iCs/>
          <w:noProof/>
          <w:sz w:val="24"/>
          <w:szCs w:val="24"/>
        </w:rPr>
        <w:t>Digital Applications in Archaeology and Cultural Heritage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32</w:t>
      </w:r>
      <w:r w:rsidRPr="00F12747">
        <w:rPr>
          <w:rFonts w:ascii="Times New Roman" w:hAnsi="Times New Roman" w:cs="Times New Roman"/>
          <w:noProof/>
          <w:sz w:val="24"/>
          <w:szCs w:val="24"/>
        </w:rPr>
        <w:t>, e00317.</w:t>
      </w:r>
      <w:r w:rsidR="00BD01DA">
        <w:rPr>
          <w:rFonts w:ascii="Times New Roman" w:hAnsi="Times New Roman" w:cs="Times New Roman"/>
          <w:noProof/>
          <w:sz w:val="24"/>
          <w:szCs w:val="24"/>
        </w:rPr>
        <w:t xml:space="preserve"> </w:t>
      </w:r>
      <w:hyperlink r:id="rId36" w:history="1">
        <w:r w:rsidR="00BD01DA" w:rsidRPr="007A0C6D">
          <w:rPr>
            <w:rStyle w:val="Hyperlink"/>
            <w:rFonts w:ascii="Times New Roman" w:hAnsi="Times New Roman" w:cs="Times New Roman"/>
            <w:noProof/>
            <w:sz w:val="24"/>
            <w:szCs w:val="24"/>
          </w:rPr>
          <w:t>https://doi.org/10.1016/j.daach.2024.e00317</w:t>
        </w:r>
      </w:hyperlink>
    </w:p>
    <w:p w14:paraId="2946D42A" w14:textId="7A3FA4C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Reed, J., Chervier, C., Borah, J. R., Gumbo, D., Moombe, K. B., Mbanga, T. M., O’Connor, A., Siangulube, F., Yanou, M., &amp; Sunderland, T. (2023). Co-producing theory of change to operationalize integrated landscape approaches. </w:t>
      </w:r>
      <w:r w:rsidRPr="00F12747">
        <w:rPr>
          <w:rFonts w:ascii="Times New Roman" w:hAnsi="Times New Roman" w:cs="Times New Roman"/>
          <w:i/>
          <w:iCs/>
          <w:noProof/>
          <w:sz w:val="24"/>
          <w:szCs w:val="24"/>
        </w:rPr>
        <w:t>Sustainability Science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18</w:t>
      </w:r>
      <w:r w:rsidRPr="00F12747">
        <w:rPr>
          <w:rFonts w:ascii="Times New Roman" w:hAnsi="Times New Roman" w:cs="Times New Roman"/>
          <w:noProof/>
          <w:sz w:val="24"/>
          <w:szCs w:val="24"/>
        </w:rPr>
        <w:t>(2), 839–855.</w:t>
      </w:r>
      <w:r w:rsidR="00BD01DA">
        <w:rPr>
          <w:rFonts w:ascii="Times New Roman" w:hAnsi="Times New Roman" w:cs="Times New Roman"/>
          <w:noProof/>
          <w:sz w:val="24"/>
          <w:szCs w:val="24"/>
        </w:rPr>
        <w:t xml:space="preserve"> </w:t>
      </w:r>
      <w:hyperlink r:id="rId37" w:history="1">
        <w:r w:rsidR="00BD01DA" w:rsidRPr="007A0C6D">
          <w:rPr>
            <w:rStyle w:val="Hyperlink"/>
            <w:rFonts w:ascii="Times New Roman" w:hAnsi="Times New Roman" w:cs="Times New Roman"/>
            <w:noProof/>
            <w:sz w:val="24"/>
            <w:szCs w:val="24"/>
          </w:rPr>
          <w:t>https://doi.org/10.1007/s11625-022-01190-3</w:t>
        </w:r>
      </w:hyperlink>
    </w:p>
    <w:p w14:paraId="1D4615FE" w14:textId="58C4BDA1"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Rita, P., Omran, W., Ramos, R. F., &amp; Costa, T. (2025). </w:t>
      </w:r>
      <w:r w:rsidRPr="00F12747">
        <w:rPr>
          <w:rFonts w:ascii="Times New Roman" w:hAnsi="Times New Roman" w:cs="Times New Roman"/>
          <w:i/>
          <w:iCs/>
          <w:noProof/>
          <w:sz w:val="24"/>
          <w:szCs w:val="24"/>
        </w:rPr>
        <w:t>Exploring the Applications of Artificial Intelligence in Marketing</w:t>
      </w:r>
      <w:r w:rsidRPr="00F12747">
        <w:rPr>
          <w:rFonts w:ascii="Times New Roman" w:hAnsi="Times New Roman" w:cs="Times New Roman"/>
          <w:noProof/>
          <w:sz w:val="24"/>
          <w:szCs w:val="24"/>
        </w:rPr>
        <w:t>.</w:t>
      </w:r>
      <w:r w:rsidR="00BD01DA">
        <w:rPr>
          <w:rFonts w:ascii="Times New Roman" w:hAnsi="Times New Roman" w:cs="Times New Roman"/>
          <w:noProof/>
          <w:sz w:val="24"/>
          <w:szCs w:val="24"/>
        </w:rPr>
        <w:t xml:space="preserve"> </w:t>
      </w:r>
      <w:hyperlink r:id="rId38" w:history="1">
        <w:r w:rsidR="00BD01DA" w:rsidRPr="007A0C6D">
          <w:rPr>
            <w:rStyle w:val="Hyperlink"/>
            <w:rFonts w:ascii="Times New Roman" w:hAnsi="Times New Roman" w:cs="Times New Roman"/>
            <w:noProof/>
            <w:sz w:val="24"/>
            <w:szCs w:val="24"/>
          </w:rPr>
          <w:t>https://doi.org/10.18089/tms.20250103</w:t>
        </w:r>
      </w:hyperlink>
    </w:p>
    <w:p w14:paraId="24C676BC" w14:textId="46B10BE3"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Rizkita, M. A., Winarno, A., Suwono, H., &amp; Malek, N. A. N. N. (2025). Integrating cultural adaptation in digital marketing strategies: Enhancing competitiveness and sustainability in MSMEs of Java, Indonesia. </w:t>
      </w:r>
      <w:r w:rsidRPr="00F12747">
        <w:rPr>
          <w:rFonts w:ascii="Times New Roman" w:hAnsi="Times New Roman" w:cs="Times New Roman"/>
          <w:i/>
          <w:iCs/>
          <w:noProof/>
          <w:sz w:val="24"/>
          <w:szCs w:val="24"/>
        </w:rPr>
        <w:t>Journal of Open Innovation: Technology, Market, and Complexity</w:t>
      </w:r>
      <w:r w:rsidRPr="00F12747">
        <w:rPr>
          <w:rFonts w:ascii="Times New Roman" w:hAnsi="Times New Roman" w:cs="Times New Roman"/>
          <w:noProof/>
          <w:sz w:val="24"/>
          <w:szCs w:val="24"/>
        </w:rPr>
        <w:t>, 100609.</w:t>
      </w:r>
      <w:r w:rsidR="00BD01DA">
        <w:rPr>
          <w:rFonts w:ascii="Times New Roman" w:hAnsi="Times New Roman" w:cs="Times New Roman"/>
          <w:noProof/>
          <w:sz w:val="24"/>
          <w:szCs w:val="24"/>
        </w:rPr>
        <w:t xml:space="preserve"> </w:t>
      </w:r>
      <w:hyperlink r:id="rId39" w:history="1">
        <w:r w:rsidR="00BD01DA" w:rsidRPr="007A0C6D">
          <w:rPr>
            <w:rStyle w:val="Hyperlink"/>
            <w:rFonts w:ascii="Times New Roman" w:hAnsi="Times New Roman" w:cs="Times New Roman"/>
            <w:noProof/>
            <w:sz w:val="24"/>
            <w:szCs w:val="24"/>
          </w:rPr>
          <w:t>https://doi.org/10.1016/j.joitmc.2025.100609</w:t>
        </w:r>
      </w:hyperlink>
    </w:p>
    <w:p w14:paraId="6CC5CC62" w14:textId="41EA5D93"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Sabatini, A., Pascucci, F., &amp; Gregori, G. L. (2023). Customer involvement in technological development of smart products: empirical evidence from a coffee-machine producer. </w:t>
      </w:r>
      <w:r w:rsidRPr="00F12747">
        <w:rPr>
          <w:rFonts w:ascii="Times New Roman" w:hAnsi="Times New Roman" w:cs="Times New Roman"/>
          <w:i/>
          <w:iCs/>
          <w:noProof/>
          <w:sz w:val="24"/>
          <w:szCs w:val="24"/>
        </w:rPr>
        <w:t>Journal of Business &amp; Industrial Marketing</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38</w:t>
      </w:r>
      <w:r w:rsidRPr="00F12747">
        <w:rPr>
          <w:rFonts w:ascii="Times New Roman" w:hAnsi="Times New Roman" w:cs="Times New Roman"/>
          <w:noProof/>
          <w:sz w:val="24"/>
          <w:szCs w:val="24"/>
        </w:rPr>
        <w:t>(6), 1345–1361.</w:t>
      </w:r>
      <w:r w:rsidR="00BD01DA">
        <w:rPr>
          <w:rFonts w:ascii="Times New Roman" w:hAnsi="Times New Roman" w:cs="Times New Roman"/>
          <w:noProof/>
          <w:sz w:val="24"/>
          <w:szCs w:val="24"/>
        </w:rPr>
        <w:t xml:space="preserve"> </w:t>
      </w:r>
      <w:hyperlink r:id="rId40" w:history="1">
        <w:r w:rsidR="00BD01DA" w:rsidRPr="007A0C6D">
          <w:rPr>
            <w:rStyle w:val="Hyperlink"/>
            <w:rFonts w:ascii="Times New Roman" w:hAnsi="Times New Roman" w:cs="Times New Roman"/>
            <w:noProof/>
            <w:sz w:val="24"/>
            <w:szCs w:val="24"/>
          </w:rPr>
          <w:t>https://doi.org/10.1108/JBIM-12-2021-0581</w:t>
        </w:r>
      </w:hyperlink>
    </w:p>
    <w:p w14:paraId="7B3EAD61" w14:textId="1CA71868"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Santos, T. F., Carvalho, B. R., Santos, E. V, Pereira, R. F. P., Souza, D. F. S., &amp; Nascimento, J. H. O. (2025). Trends and developments in flexible solar cells: insights from a bibliometric analysis. </w:t>
      </w:r>
      <w:r w:rsidRPr="00F12747">
        <w:rPr>
          <w:rFonts w:ascii="Times New Roman" w:hAnsi="Times New Roman" w:cs="Times New Roman"/>
          <w:i/>
          <w:iCs/>
          <w:noProof/>
          <w:sz w:val="24"/>
          <w:szCs w:val="24"/>
        </w:rPr>
        <w:t>Sustainable Energy &amp; Fuels</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9</w:t>
      </w:r>
      <w:r w:rsidRPr="00F12747">
        <w:rPr>
          <w:rFonts w:ascii="Times New Roman" w:hAnsi="Times New Roman" w:cs="Times New Roman"/>
          <w:noProof/>
          <w:sz w:val="24"/>
          <w:szCs w:val="24"/>
        </w:rPr>
        <w:t>(10), 2591–2624.</w:t>
      </w:r>
      <w:r w:rsidR="00BD01DA">
        <w:rPr>
          <w:rFonts w:ascii="Times New Roman" w:hAnsi="Times New Roman" w:cs="Times New Roman"/>
          <w:noProof/>
          <w:sz w:val="24"/>
          <w:szCs w:val="24"/>
        </w:rPr>
        <w:t xml:space="preserve"> </w:t>
      </w:r>
      <w:hyperlink r:id="rId41" w:history="1">
        <w:r w:rsidR="00BD01DA" w:rsidRPr="007A0C6D">
          <w:rPr>
            <w:rStyle w:val="Hyperlink"/>
            <w:rFonts w:ascii="Times New Roman" w:hAnsi="Times New Roman" w:cs="Times New Roman"/>
            <w:noProof/>
            <w:sz w:val="24"/>
            <w:szCs w:val="24"/>
          </w:rPr>
          <w:t>https://doi.org/10.1039/D4SE01537A</w:t>
        </w:r>
      </w:hyperlink>
    </w:p>
    <w:p w14:paraId="2E8E6417" w14:textId="54D8923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Saoualih, A., Safaa, L., Perkumienė, D., &amp; Leal Filho, W. (2025). Sustainable business management in higher education institutions: A strategic roadmap for addressing research gaps and shaping the forthcoming agenda. </w:t>
      </w:r>
      <w:r w:rsidRPr="00F12747">
        <w:rPr>
          <w:rFonts w:ascii="Times New Roman" w:hAnsi="Times New Roman" w:cs="Times New Roman"/>
          <w:i/>
          <w:iCs/>
          <w:noProof/>
          <w:sz w:val="24"/>
          <w:szCs w:val="24"/>
        </w:rPr>
        <w:t>Sustainable Development</w:t>
      </w:r>
      <w:r w:rsidRPr="00F12747">
        <w:rPr>
          <w:rFonts w:ascii="Times New Roman" w:hAnsi="Times New Roman" w:cs="Times New Roman"/>
          <w:noProof/>
          <w:sz w:val="24"/>
          <w:szCs w:val="24"/>
        </w:rPr>
        <w:t>.</w:t>
      </w:r>
      <w:r w:rsidR="00BD01DA">
        <w:rPr>
          <w:rFonts w:ascii="Times New Roman" w:hAnsi="Times New Roman" w:cs="Times New Roman"/>
          <w:noProof/>
          <w:sz w:val="24"/>
          <w:szCs w:val="24"/>
        </w:rPr>
        <w:t xml:space="preserve"> </w:t>
      </w:r>
      <w:hyperlink r:id="rId42" w:history="1">
        <w:r w:rsidR="00BD01DA" w:rsidRPr="007A0C6D">
          <w:rPr>
            <w:rStyle w:val="Hyperlink"/>
            <w:rFonts w:ascii="Times New Roman" w:hAnsi="Times New Roman" w:cs="Times New Roman"/>
            <w:noProof/>
            <w:sz w:val="24"/>
            <w:szCs w:val="24"/>
          </w:rPr>
          <w:t>https://doi.org/10.1002/sd.70413</w:t>
        </w:r>
      </w:hyperlink>
    </w:p>
    <w:p w14:paraId="27A297F4" w14:textId="1C87DD4B"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Satalkina, L., &amp; Steiner, G. (2020). Digital entrepreneurship and its role in innovation systems: A systematic literature review as a basis for future research avenues for sustainable transitions.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12</w:t>
      </w:r>
      <w:r w:rsidRPr="00F12747">
        <w:rPr>
          <w:rFonts w:ascii="Times New Roman" w:hAnsi="Times New Roman" w:cs="Times New Roman"/>
          <w:noProof/>
          <w:sz w:val="24"/>
          <w:szCs w:val="24"/>
        </w:rPr>
        <w:t>(7), 2764.</w:t>
      </w:r>
      <w:r w:rsidR="00BD01DA">
        <w:rPr>
          <w:rFonts w:ascii="Times New Roman" w:hAnsi="Times New Roman" w:cs="Times New Roman"/>
          <w:noProof/>
          <w:sz w:val="24"/>
          <w:szCs w:val="24"/>
        </w:rPr>
        <w:t xml:space="preserve"> </w:t>
      </w:r>
      <w:hyperlink r:id="rId43" w:history="1">
        <w:r w:rsidR="00BD01DA" w:rsidRPr="007A0C6D">
          <w:rPr>
            <w:rStyle w:val="Hyperlink"/>
            <w:rFonts w:ascii="Times New Roman" w:hAnsi="Times New Roman" w:cs="Times New Roman"/>
            <w:noProof/>
            <w:sz w:val="24"/>
            <w:szCs w:val="24"/>
          </w:rPr>
          <w:t>https://doi.org/10.3390/su12072764</w:t>
        </w:r>
      </w:hyperlink>
    </w:p>
    <w:p w14:paraId="23AC3E10" w14:textId="4C7551A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lastRenderedPageBreak/>
        <w:t xml:space="preserve">Senanu, B., Anning-Dorson, T., &amp; Tackie, N. N. (2023). Social media insights for non-luxury fashion SMEs in emerging markets: evidence from young consumers. </w:t>
      </w:r>
      <w:r w:rsidRPr="00F12747">
        <w:rPr>
          <w:rFonts w:ascii="Times New Roman" w:hAnsi="Times New Roman" w:cs="Times New Roman"/>
          <w:i/>
          <w:iCs/>
          <w:noProof/>
          <w:sz w:val="24"/>
          <w:szCs w:val="24"/>
        </w:rPr>
        <w:t>Journal of Fashion Marketing and Management: An International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27</w:t>
      </w:r>
      <w:r w:rsidRPr="00F12747">
        <w:rPr>
          <w:rFonts w:ascii="Times New Roman" w:hAnsi="Times New Roman" w:cs="Times New Roman"/>
          <w:noProof/>
          <w:sz w:val="24"/>
          <w:szCs w:val="24"/>
        </w:rPr>
        <w:t xml:space="preserve">(6), 965–987. </w:t>
      </w:r>
      <w:hyperlink r:id="rId44" w:history="1">
        <w:r w:rsidRPr="007A0C6D">
          <w:rPr>
            <w:rStyle w:val="Hyperlink"/>
            <w:rFonts w:ascii="Times New Roman" w:hAnsi="Times New Roman" w:cs="Times New Roman"/>
            <w:noProof/>
            <w:sz w:val="24"/>
            <w:szCs w:val="24"/>
          </w:rPr>
          <w:t>https://doi.org/10.1108/JFMM-02-2022-0026</w:t>
        </w:r>
      </w:hyperlink>
    </w:p>
    <w:p w14:paraId="21D5BE29" w14:textId="77777777"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Setiawati, R., Suhud, U., Allan, M., &amp; Hoo, W. C. (2024). Community readiness to host a world-class tourism destination: Insights from lake Toba. </w:t>
      </w:r>
      <w:r w:rsidRPr="00F12747">
        <w:rPr>
          <w:rFonts w:ascii="Times New Roman" w:hAnsi="Times New Roman" w:cs="Times New Roman"/>
          <w:i/>
          <w:iCs/>
          <w:noProof/>
          <w:sz w:val="24"/>
          <w:szCs w:val="24"/>
        </w:rPr>
        <w:t>Edelweiss Applied Science and Technology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8</w:t>
      </w:r>
      <w:r w:rsidRPr="00F12747">
        <w:rPr>
          <w:rFonts w:ascii="Times New Roman" w:hAnsi="Times New Roman" w:cs="Times New Roman"/>
          <w:noProof/>
          <w:sz w:val="24"/>
          <w:szCs w:val="24"/>
        </w:rPr>
        <w:t>(6), 738–757.</w:t>
      </w:r>
    </w:p>
    <w:p w14:paraId="1FECF646" w14:textId="082587A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Stock, F., &amp; Stock, A. (2024). </w:t>
      </w:r>
      <w:r w:rsidRPr="00F12747">
        <w:rPr>
          <w:rFonts w:ascii="Times New Roman" w:hAnsi="Times New Roman" w:cs="Times New Roman"/>
          <w:i/>
          <w:iCs/>
          <w:noProof/>
          <w:sz w:val="24"/>
          <w:szCs w:val="24"/>
        </w:rPr>
        <w:t>Creative economy outlook 2024</w:t>
      </w:r>
      <w:r w:rsidRPr="00F12747">
        <w:rPr>
          <w:rFonts w:ascii="Times New Roman" w:hAnsi="Times New Roman" w:cs="Times New Roman"/>
          <w:noProof/>
          <w:sz w:val="24"/>
          <w:szCs w:val="24"/>
        </w:rPr>
        <w:t>. United Nations Publications.</w:t>
      </w:r>
      <w:r w:rsidR="005226F9">
        <w:rPr>
          <w:rFonts w:ascii="Times New Roman" w:hAnsi="Times New Roman" w:cs="Times New Roman"/>
          <w:noProof/>
          <w:sz w:val="24"/>
          <w:szCs w:val="24"/>
        </w:rPr>
        <w:t xml:space="preserve"> </w:t>
      </w:r>
      <w:hyperlink r:id="rId45" w:history="1">
        <w:r w:rsidR="005226F9" w:rsidRPr="007A0C6D">
          <w:rPr>
            <w:rStyle w:val="Hyperlink"/>
            <w:rFonts w:ascii="Times New Roman" w:hAnsi="Times New Roman" w:cs="Times New Roman"/>
            <w:noProof/>
            <w:sz w:val="24"/>
            <w:szCs w:val="24"/>
          </w:rPr>
          <w:t>https://doi.org/10.29036/jots.v12i22.220</w:t>
        </w:r>
      </w:hyperlink>
    </w:p>
    <w:p w14:paraId="60B0AAED" w14:textId="6155F601"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Suhud, U., Allan, M., Prihandono, D., &amp; Monoarfa, T. A. (2023). We are cyborgs: The role of narcissism and self-esteem to become social media and tourism addicts. </w:t>
      </w:r>
      <w:r w:rsidRPr="00F12747">
        <w:rPr>
          <w:rFonts w:ascii="Times New Roman" w:hAnsi="Times New Roman" w:cs="Times New Roman"/>
          <w:i/>
          <w:iCs/>
          <w:noProof/>
          <w:sz w:val="24"/>
          <w:szCs w:val="24"/>
        </w:rPr>
        <w:t>International Journal of Data &amp; Network Science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7</w:t>
      </w:r>
      <w:r w:rsidRPr="00F12747">
        <w:rPr>
          <w:rFonts w:ascii="Times New Roman" w:hAnsi="Times New Roman" w:cs="Times New Roman"/>
          <w:noProof/>
          <w:sz w:val="24"/>
          <w:szCs w:val="24"/>
        </w:rPr>
        <w:t>(1).</w:t>
      </w:r>
      <w:r w:rsidR="005226F9">
        <w:rPr>
          <w:rFonts w:ascii="Times New Roman" w:hAnsi="Times New Roman" w:cs="Times New Roman"/>
          <w:noProof/>
          <w:sz w:val="24"/>
          <w:szCs w:val="24"/>
        </w:rPr>
        <w:t xml:space="preserve"> </w:t>
      </w:r>
      <w:hyperlink r:id="rId46" w:history="1">
        <w:r w:rsidR="005226F9" w:rsidRPr="007A0C6D">
          <w:rPr>
            <w:rStyle w:val="Hyperlink"/>
            <w:rFonts w:ascii="Times New Roman" w:hAnsi="Times New Roman" w:cs="Times New Roman"/>
            <w:noProof/>
            <w:sz w:val="24"/>
            <w:szCs w:val="24"/>
          </w:rPr>
          <w:t>http://www.aensi.org/anas.html</w:t>
        </w:r>
      </w:hyperlink>
    </w:p>
    <w:p w14:paraId="749A3B95" w14:textId="4AFEC31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Trencher, G., Yarime, M., McCormick, K. B., Doll, C. N. H., &amp; Kraines, S. B. (2014). Beyond the third mission: Exploring the emerging university function of co-creation for sustainability. </w:t>
      </w:r>
      <w:r w:rsidRPr="00F12747">
        <w:rPr>
          <w:rFonts w:ascii="Times New Roman" w:hAnsi="Times New Roman" w:cs="Times New Roman"/>
          <w:i/>
          <w:iCs/>
          <w:noProof/>
          <w:sz w:val="24"/>
          <w:szCs w:val="24"/>
        </w:rPr>
        <w:t>Science and Public Policy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41</w:t>
      </w:r>
      <w:r w:rsidRPr="00F12747">
        <w:rPr>
          <w:rFonts w:ascii="Times New Roman" w:hAnsi="Times New Roman" w:cs="Times New Roman"/>
          <w:noProof/>
          <w:sz w:val="24"/>
          <w:szCs w:val="24"/>
        </w:rPr>
        <w:t>(2), 151–179.</w:t>
      </w:r>
      <w:r w:rsidR="005226F9">
        <w:rPr>
          <w:rFonts w:ascii="Times New Roman" w:hAnsi="Times New Roman" w:cs="Times New Roman"/>
          <w:noProof/>
          <w:sz w:val="24"/>
          <w:szCs w:val="24"/>
        </w:rPr>
        <w:t xml:space="preserve"> </w:t>
      </w:r>
      <w:hyperlink r:id="rId47" w:history="1">
        <w:r w:rsidR="005226F9" w:rsidRPr="007A0C6D">
          <w:rPr>
            <w:rStyle w:val="Hyperlink"/>
            <w:rFonts w:ascii="Times New Roman" w:hAnsi="Times New Roman" w:cs="Times New Roman"/>
            <w:noProof/>
            <w:sz w:val="24"/>
            <w:szCs w:val="24"/>
          </w:rPr>
          <w:t>https://doi.org/10.1093/scipol/sct044</w:t>
        </w:r>
      </w:hyperlink>
    </w:p>
    <w:p w14:paraId="5BECBC23" w14:textId="47CE17DD"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Verhoef, P. C., Broekhuizen, T., Bart, Y., Bhattacharya, A., Dong, J. Q., Fabian, N., &amp; Haenlein, M. (2021). Digital transformation: A multidisciplinary reflection and research agenda. </w:t>
      </w:r>
      <w:r w:rsidRPr="00F12747">
        <w:rPr>
          <w:rFonts w:ascii="Times New Roman" w:hAnsi="Times New Roman" w:cs="Times New Roman"/>
          <w:i/>
          <w:iCs/>
          <w:noProof/>
          <w:sz w:val="24"/>
          <w:szCs w:val="24"/>
        </w:rPr>
        <w:t>Journal of Business Research</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122</w:t>
      </w:r>
      <w:r w:rsidRPr="00F12747">
        <w:rPr>
          <w:rFonts w:ascii="Times New Roman" w:hAnsi="Times New Roman" w:cs="Times New Roman"/>
          <w:noProof/>
          <w:sz w:val="24"/>
          <w:szCs w:val="24"/>
        </w:rPr>
        <w:t>, 889–901.</w:t>
      </w:r>
      <w:r w:rsidR="005226F9">
        <w:rPr>
          <w:rFonts w:ascii="Times New Roman" w:hAnsi="Times New Roman" w:cs="Times New Roman"/>
          <w:noProof/>
          <w:sz w:val="24"/>
          <w:szCs w:val="24"/>
        </w:rPr>
        <w:t xml:space="preserve"> </w:t>
      </w:r>
      <w:hyperlink r:id="rId48" w:history="1">
        <w:r w:rsidR="005226F9" w:rsidRPr="007A0C6D">
          <w:rPr>
            <w:rStyle w:val="Hyperlink"/>
            <w:rFonts w:ascii="Times New Roman" w:hAnsi="Times New Roman" w:cs="Times New Roman"/>
            <w:noProof/>
            <w:sz w:val="24"/>
            <w:szCs w:val="24"/>
          </w:rPr>
          <w:t>https://doi.org/10.1016/j.jbusres.2019.09.022</w:t>
        </w:r>
      </w:hyperlink>
    </w:p>
    <w:p w14:paraId="23FA720B" w14:textId="65B8C0D6"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Westerman, M. A. (2013). Making sense of relational processes and other psychological phenomena: The participatory perspective as a post-Cartesian alternative to Gergen’s relational approach. </w:t>
      </w:r>
      <w:r w:rsidRPr="00F12747">
        <w:rPr>
          <w:rFonts w:ascii="Times New Roman" w:hAnsi="Times New Roman" w:cs="Times New Roman"/>
          <w:i/>
          <w:iCs/>
          <w:noProof/>
          <w:sz w:val="24"/>
          <w:szCs w:val="24"/>
        </w:rPr>
        <w:t>Review of General Psychology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17</w:t>
      </w:r>
      <w:r w:rsidRPr="00F12747">
        <w:rPr>
          <w:rFonts w:ascii="Times New Roman" w:hAnsi="Times New Roman" w:cs="Times New Roman"/>
          <w:noProof/>
          <w:sz w:val="24"/>
          <w:szCs w:val="24"/>
        </w:rPr>
        <w:t>(4), 358–373.</w:t>
      </w:r>
      <w:r w:rsidR="005226F9">
        <w:rPr>
          <w:rFonts w:ascii="Times New Roman" w:hAnsi="Times New Roman" w:cs="Times New Roman"/>
          <w:noProof/>
          <w:sz w:val="24"/>
          <w:szCs w:val="24"/>
        </w:rPr>
        <w:t xml:space="preserve"> </w:t>
      </w:r>
      <w:hyperlink r:id="rId49" w:history="1">
        <w:r w:rsidR="005226F9" w:rsidRPr="007A0C6D">
          <w:rPr>
            <w:rStyle w:val="Hyperlink"/>
            <w:rFonts w:ascii="Times New Roman" w:hAnsi="Times New Roman" w:cs="Times New Roman"/>
            <w:noProof/>
            <w:sz w:val="24"/>
            <w:szCs w:val="24"/>
          </w:rPr>
          <w:t>https://doi.org/10.1037/a0034447</w:t>
        </w:r>
      </w:hyperlink>
    </w:p>
    <w:p w14:paraId="59F5D5FA" w14:textId="213AB2F8"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Wibowo, S. F., Suhud, U., &amp; Wibowo, A. (2019). Competing Extended Tpb Models in Predicting Entrepreneurial Intentions: What Is the Role of Motivation? </w:t>
      </w:r>
      <w:r w:rsidRPr="00F12747">
        <w:rPr>
          <w:rFonts w:ascii="Times New Roman" w:hAnsi="Times New Roman" w:cs="Times New Roman"/>
          <w:i/>
          <w:iCs/>
          <w:noProof/>
          <w:sz w:val="24"/>
          <w:szCs w:val="24"/>
        </w:rPr>
        <w:t>Academy of Entrepreneurship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25</w:t>
      </w:r>
      <w:r w:rsidRPr="00F12747">
        <w:rPr>
          <w:rFonts w:ascii="Times New Roman" w:hAnsi="Times New Roman" w:cs="Times New Roman"/>
          <w:noProof/>
          <w:sz w:val="24"/>
          <w:szCs w:val="24"/>
        </w:rPr>
        <w:t>(1), 1–12.</w:t>
      </w:r>
      <w:r w:rsidR="005226F9">
        <w:rPr>
          <w:rFonts w:ascii="Times New Roman" w:hAnsi="Times New Roman" w:cs="Times New Roman"/>
          <w:noProof/>
          <w:sz w:val="24"/>
          <w:szCs w:val="24"/>
        </w:rPr>
        <w:t xml:space="preserve"> </w:t>
      </w:r>
      <w:hyperlink r:id="rId50" w:history="1">
        <w:r w:rsidR="005226F9" w:rsidRPr="007A0C6D">
          <w:rPr>
            <w:rStyle w:val="Hyperlink"/>
            <w:rFonts w:ascii="Times New Roman" w:hAnsi="Times New Roman" w:cs="Times New Roman"/>
            <w:noProof/>
            <w:sz w:val="24"/>
            <w:szCs w:val="24"/>
          </w:rPr>
          <w:t>https://doi.org/10.3390/economies10120308</w:t>
        </w:r>
      </w:hyperlink>
    </w:p>
    <w:p w14:paraId="471ECAAF" w14:textId="5278FFD9"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Wijaya, N. K., &amp; Moko, W. (2026). Branding Strategy and Social Media Marketing on MSME Business Performance: The Mediating Effect of Sales Performance. </w:t>
      </w:r>
      <w:r w:rsidRPr="00F12747">
        <w:rPr>
          <w:rFonts w:ascii="Times New Roman" w:hAnsi="Times New Roman" w:cs="Times New Roman"/>
          <w:i/>
          <w:iCs/>
          <w:noProof/>
          <w:sz w:val="24"/>
          <w:szCs w:val="24"/>
        </w:rPr>
        <w:t>Jurnal Ilmiah Manajemen Kesatuan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14</w:t>
      </w:r>
      <w:r w:rsidRPr="00F12747">
        <w:rPr>
          <w:rFonts w:ascii="Times New Roman" w:hAnsi="Times New Roman" w:cs="Times New Roman"/>
          <w:noProof/>
          <w:sz w:val="24"/>
          <w:szCs w:val="24"/>
        </w:rPr>
        <w:t>(1), 1–14.</w:t>
      </w:r>
      <w:r w:rsidR="005226F9">
        <w:rPr>
          <w:rFonts w:ascii="Times New Roman" w:hAnsi="Times New Roman" w:cs="Times New Roman"/>
          <w:noProof/>
          <w:sz w:val="24"/>
          <w:szCs w:val="24"/>
        </w:rPr>
        <w:t xml:space="preserve"> </w:t>
      </w:r>
      <w:hyperlink r:id="rId51" w:history="1">
        <w:r w:rsidR="005226F9" w:rsidRPr="007A0C6D">
          <w:rPr>
            <w:rStyle w:val="Hyperlink"/>
            <w:rFonts w:ascii="Times New Roman" w:hAnsi="Times New Roman" w:cs="Times New Roman"/>
            <w:noProof/>
            <w:sz w:val="24"/>
            <w:szCs w:val="24"/>
          </w:rPr>
          <w:t>https://doi.org/10.37641/jimkes.v14i1.4622</w:t>
        </w:r>
      </w:hyperlink>
    </w:p>
    <w:p w14:paraId="035286E0" w14:textId="2FDF67E9"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Wolor, C. W., Musyaffi, A. M., Suhud, U., &amp; Nurkhin, A. (2023). Cultural Changes and Willingness to Change in Indigenous People of Penglipuran Bali Tourism Village During the Covid-19 Pandemic. </w:t>
      </w:r>
      <w:r w:rsidRPr="00F12747">
        <w:rPr>
          <w:rFonts w:ascii="Times New Roman" w:hAnsi="Times New Roman" w:cs="Times New Roman"/>
          <w:i/>
          <w:iCs/>
          <w:noProof/>
          <w:sz w:val="24"/>
          <w:szCs w:val="24"/>
        </w:rPr>
        <w:t>Iranian Journal of Management Studies</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(2).</w:t>
      </w:r>
      <w:r w:rsidR="005226F9">
        <w:rPr>
          <w:rFonts w:ascii="Times New Roman" w:hAnsi="Times New Roman" w:cs="Times New Roman"/>
          <w:noProof/>
          <w:sz w:val="24"/>
          <w:szCs w:val="24"/>
        </w:rPr>
        <w:t xml:space="preserve"> </w:t>
      </w:r>
      <w:hyperlink r:id="rId52" w:history="1">
        <w:r w:rsidR="005226F9" w:rsidRPr="007A0C6D">
          <w:rPr>
            <w:rStyle w:val="Hyperlink"/>
            <w:rFonts w:ascii="Times New Roman" w:hAnsi="Times New Roman" w:cs="Times New Roman"/>
            <w:noProof/>
            <w:sz w:val="24"/>
            <w:szCs w:val="24"/>
          </w:rPr>
          <w:t>http//doi.org/10.22059/ijms.2022.338005.674933</w:t>
        </w:r>
      </w:hyperlink>
    </w:p>
    <w:p w14:paraId="100CF70D" w14:textId="4B1FEB70" w:rsid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Zhu, C., Io, M.-U., Ngan, H. F. B., &amp; Peralta, R. L. (2023). Understanding augmented reality marketing in world cultural heritage site, the lens of authenticity perspective. </w:t>
      </w:r>
      <w:r w:rsidRPr="00F12747">
        <w:rPr>
          <w:rFonts w:ascii="Times New Roman" w:hAnsi="Times New Roman" w:cs="Times New Roman"/>
          <w:i/>
          <w:iCs/>
          <w:noProof/>
          <w:sz w:val="24"/>
          <w:szCs w:val="24"/>
        </w:rPr>
        <w:t>Journal of Vacation Marketing</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29</w:t>
      </w:r>
      <w:r w:rsidRPr="00F12747">
        <w:rPr>
          <w:rFonts w:ascii="Times New Roman" w:hAnsi="Times New Roman" w:cs="Times New Roman"/>
          <w:noProof/>
          <w:sz w:val="24"/>
          <w:szCs w:val="24"/>
        </w:rPr>
        <w:t>(2), 242–255.</w:t>
      </w:r>
      <w:r w:rsidR="005226F9">
        <w:rPr>
          <w:rFonts w:ascii="Times New Roman" w:hAnsi="Times New Roman" w:cs="Times New Roman"/>
          <w:noProof/>
          <w:sz w:val="24"/>
          <w:szCs w:val="24"/>
        </w:rPr>
        <w:t xml:space="preserve"> </w:t>
      </w:r>
      <w:hyperlink r:id="rId53" w:history="1">
        <w:r w:rsidR="005226F9" w:rsidRPr="007A0C6D">
          <w:rPr>
            <w:rStyle w:val="Hyperlink"/>
            <w:rFonts w:ascii="Times New Roman" w:hAnsi="Times New Roman" w:cs="Times New Roman"/>
            <w:noProof/>
            <w:sz w:val="24"/>
            <w:szCs w:val="24"/>
          </w:rPr>
          <w:t>https://doi.org/10.1177/13567667221090990</w:t>
        </w:r>
      </w:hyperlink>
    </w:p>
    <w:p w14:paraId="4198B05C" w14:textId="77777777" w:rsidR="00F12747" w:rsidRPr="00F12747" w:rsidRDefault="00F12747" w:rsidP="00F12747">
      <w:pPr>
        <w:widowControl w:val="0"/>
        <w:autoSpaceDE w:val="0"/>
        <w:autoSpaceDN w:val="0"/>
        <w:adjustRightInd w:val="0"/>
        <w:spacing w:line="240" w:lineRule="auto"/>
        <w:ind w:left="360"/>
        <w:jc w:val="both"/>
        <w:rPr>
          <w:rFonts w:ascii="Times New Roman" w:hAnsi="Times New Roman" w:cs="Times New Roman"/>
          <w:noProof/>
          <w:sz w:val="24"/>
          <w:szCs w:val="24"/>
        </w:rPr>
      </w:pPr>
    </w:p>
    <w:p w14:paraId="3220CAE3" w14:textId="3F03159C" w:rsidR="00660372" w:rsidRPr="000A066C" w:rsidRDefault="00F12747" w:rsidP="00F12747">
      <w:pPr>
        <w:jc w:val="both"/>
        <w:rPr>
          <w:rFonts w:ascii="Times New Roman" w:hAnsi="Times New Roman" w:cs="Times New Roman"/>
          <w:sz w:val="24"/>
          <w:szCs w:val="24"/>
        </w:rPr>
      </w:pPr>
      <w:r w:rsidRPr="008B0FC2">
        <w:rPr>
          <w:rFonts w:ascii="Times New Roman" w:hAnsi="Times New Roman" w:cs="Times New Roman"/>
          <w:sz w:val="24"/>
          <w:szCs w:val="24"/>
        </w:rPr>
        <w:fldChar w:fldCharType="end"/>
      </w:r>
    </w:p>
    <w:sectPr w:rsidR="00660372" w:rsidRPr="000A066C" w:rsidSect="00063252">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FB65" w14:textId="77777777" w:rsidR="004E6B08" w:rsidRDefault="004E6B08" w:rsidP="00063252">
      <w:pPr>
        <w:spacing w:after="0" w:line="240" w:lineRule="auto"/>
      </w:pPr>
      <w:r>
        <w:separator/>
      </w:r>
    </w:p>
  </w:endnote>
  <w:endnote w:type="continuationSeparator" w:id="0">
    <w:p w14:paraId="5433B1E4" w14:textId="77777777" w:rsidR="004E6B08" w:rsidRDefault="004E6B08" w:rsidP="0006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FC80" w14:textId="77777777" w:rsidR="004E6B08" w:rsidRDefault="004E6B08" w:rsidP="00063252">
      <w:pPr>
        <w:spacing w:after="0" w:line="240" w:lineRule="auto"/>
      </w:pPr>
      <w:r>
        <w:separator/>
      </w:r>
    </w:p>
  </w:footnote>
  <w:footnote w:type="continuationSeparator" w:id="0">
    <w:p w14:paraId="3A008FD5" w14:textId="77777777" w:rsidR="004E6B08" w:rsidRDefault="004E6B08" w:rsidP="0006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283"/>
    <w:multiLevelType w:val="hybridMultilevel"/>
    <w:tmpl w:val="1250E1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6C57119"/>
    <w:multiLevelType w:val="hybridMultilevel"/>
    <w:tmpl w:val="4254EA3E"/>
    <w:lvl w:ilvl="0" w:tplc="F992F76A">
      <w:numFmt w:val="bullet"/>
      <w:lvlText w:val=""/>
      <w:lvlJc w:val="left"/>
      <w:pPr>
        <w:ind w:left="900" w:hanging="361"/>
      </w:pPr>
      <w:rPr>
        <w:rFonts w:ascii="Symbol" w:eastAsia="Symbol" w:hAnsi="Symbol" w:cs="Symbol" w:hint="default"/>
        <w:b w:val="0"/>
        <w:bCs w:val="0"/>
        <w:i w:val="0"/>
        <w:iCs w:val="0"/>
        <w:spacing w:val="0"/>
        <w:w w:val="99"/>
        <w:sz w:val="20"/>
        <w:szCs w:val="20"/>
        <w:lang w:val="en-US" w:eastAsia="en-US" w:bidi="ar-SA"/>
      </w:rPr>
    </w:lvl>
    <w:lvl w:ilvl="1" w:tplc="4A40ECEA">
      <w:numFmt w:val="bullet"/>
      <w:lvlText w:val="•"/>
      <w:lvlJc w:val="left"/>
      <w:pPr>
        <w:ind w:left="1920" w:hanging="361"/>
      </w:pPr>
      <w:rPr>
        <w:rFonts w:hint="default"/>
        <w:lang w:val="en-US" w:eastAsia="en-US" w:bidi="ar-SA"/>
      </w:rPr>
    </w:lvl>
    <w:lvl w:ilvl="2" w:tplc="6406C3DE">
      <w:numFmt w:val="bullet"/>
      <w:lvlText w:val="•"/>
      <w:lvlJc w:val="left"/>
      <w:pPr>
        <w:ind w:left="2940" w:hanging="361"/>
      </w:pPr>
      <w:rPr>
        <w:rFonts w:hint="default"/>
        <w:lang w:val="en-US" w:eastAsia="en-US" w:bidi="ar-SA"/>
      </w:rPr>
    </w:lvl>
    <w:lvl w:ilvl="3" w:tplc="95BCB5FE">
      <w:numFmt w:val="bullet"/>
      <w:lvlText w:val="•"/>
      <w:lvlJc w:val="left"/>
      <w:pPr>
        <w:ind w:left="3960" w:hanging="361"/>
      </w:pPr>
      <w:rPr>
        <w:rFonts w:hint="default"/>
        <w:lang w:val="en-US" w:eastAsia="en-US" w:bidi="ar-SA"/>
      </w:rPr>
    </w:lvl>
    <w:lvl w:ilvl="4" w:tplc="798ED278">
      <w:numFmt w:val="bullet"/>
      <w:lvlText w:val="•"/>
      <w:lvlJc w:val="left"/>
      <w:pPr>
        <w:ind w:left="4980" w:hanging="361"/>
      </w:pPr>
      <w:rPr>
        <w:rFonts w:hint="default"/>
        <w:lang w:val="en-US" w:eastAsia="en-US" w:bidi="ar-SA"/>
      </w:rPr>
    </w:lvl>
    <w:lvl w:ilvl="5" w:tplc="E7FC2F62">
      <w:numFmt w:val="bullet"/>
      <w:lvlText w:val="•"/>
      <w:lvlJc w:val="left"/>
      <w:pPr>
        <w:ind w:left="6000" w:hanging="361"/>
      </w:pPr>
      <w:rPr>
        <w:rFonts w:hint="default"/>
        <w:lang w:val="en-US" w:eastAsia="en-US" w:bidi="ar-SA"/>
      </w:rPr>
    </w:lvl>
    <w:lvl w:ilvl="6" w:tplc="48241F9E">
      <w:numFmt w:val="bullet"/>
      <w:lvlText w:val="•"/>
      <w:lvlJc w:val="left"/>
      <w:pPr>
        <w:ind w:left="7020" w:hanging="361"/>
      </w:pPr>
      <w:rPr>
        <w:rFonts w:hint="default"/>
        <w:lang w:val="en-US" w:eastAsia="en-US" w:bidi="ar-SA"/>
      </w:rPr>
    </w:lvl>
    <w:lvl w:ilvl="7" w:tplc="425ACA4E">
      <w:numFmt w:val="bullet"/>
      <w:lvlText w:val="•"/>
      <w:lvlJc w:val="left"/>
      <w:pPr>
        <w:ind w:left="8040" w:hanging="361"/>
      </w:pPr>
      <w:rPr>
        <w:rFonts w:hint="default"/>
        <w:lang w:val="en-US" w:eastAsia="en-US" w:bidi="ar-SA"/>
      </w:rPr>
    </w:lvl>
    <w:lvl w:ilvl="8" w:tplc="AA4CCB1A">
      <w:numFmt w:val="bullet"/>
      <w:lvlText w:val="•"/>
      <w:lvlJc w:val="left"/>
      <w:pPr>
        <w:ind w:left="9060" w:hanging="361"/>
      </w:pPr>
      <w:rPr>
        <w:rFonts w:hint="default"/>
        <w:lang w:val="en-US" w:eastAsia="en-US" w:bidi="ar-SA"/>
      </w:rPr>
    </w:lvl>
  </w:abstractNum>
  <w:abstractNum w:abstractNumId="2" w15:restartNumberingAfterBreak="0">
    <w:nsid w:val="3883353D"/>
    <w:multiLevelType w:val="hybridMultilevel"/>
    <w:tmpl w:val="4A74A1DE"/>
    <w:lvl w:ilvl="0" w:tplc="3642EE6C">
      <w:start w:val="1"/>
      <w:numFmt w:val="decimal"/>
      <w:lvlText w:val="%1."/>
      <w:lvlJc w:val="left"/>
      <w:pPr>
        <w:ind w:left="9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DF2E4BC">
      <w:numFmt w:val="bullet"/>
      <w:lvlText w:val="•"/>
      <w:lvlJc w:val="left"/>
      <w:pPr>
        <w:ind w:left="1920" w:hanging="361"/>
      </w:pPr>
      <w:rPr>
        <w:rFonts w:hint="default"/>
        <w:lang w:val="en-US" w:eastAsia="en-US" w:bidi="ar-SA"/>
      </w:rPr>
    </w:lvl>
    <w:lvl w:ilvl="2" w:tplc="B626608E">
      <w:numFmt w:val="bullet"/>
      <w:lvlText w:val="•"/>
      <w:lvlJc w:val="left"/>
      <w:pPr>
        <w:ind w:left="2940" w:hanging="361"/>
      </w:pPr>
      <w:rPr>
        <w:rFonts w:hint="default"/>
        <w:lang w:val="en-US" w:eastAsia="en-US" w:bidi="ar-SA"/>
      </w:rPr>
    </w:lvl>
    <w:lvl w:ilvl="3" w:tplc="9536C62E">
      <w:numFmt w:val="bullet"/>
      <w:lvlText w:val="•"/>
      <w:lvlJc w:val="left"/>
      <w:pPr>
        <w:ind w:left="3960" w:hanging="361"/>
      </w:pPr>
      <w:rPr>
        <w:rFonts w:hint="default"/>
        <w:lang w:val="en-US" w:eastAsia="en-US" w:bidi="ar-SA"/>
      </w:rPr>
    </w:lvl>
    <w:lvl w:ilvl="4" w:tplc="5EDC7372">
      <w:numFmt w:val="bullet"/>
      <w:lvlText w:val="•"/>
      <w:lvlJc w:val="left"/>
      <w:pPr>
        <w:ind w:left="4980" w:hanging="361"/>
      </w:pPr>
      <w:rPr>
        <w:rFonts w:hint="default"/>
        <w:lang w:val="en-US" w:eastAsia="en-US" w:bidi="ar-SA"/>
      </w:rPr>
    </w:lvl>
    <w:lvl w:ilvl="5" w:tplc="45CE4CBE">
      <w:numFmt w:val="bullet"/>
      <w:lvlText w:val="•"/>
      <w:lvlJc w:val="left"/>
      <w:pPr>
        <w:ind w:left="6000" w:hanging="361"/>
      </w:pPr>
      <w:rPr>
        <w:rFonts w:hint="default"/>
        <w:lang w:val="en-US" w:eastAsia="en-US" w:bidi="ar-SA"/>
      </w:rPr>
    </w:lvl>
    <w:lvl w:ilvl="6" w:tplc="A79CA2B4">
      <w:numFmt w:val="bullet"/>
      <w:lvlText w:val="•"/>
      <w:lvlJc w:val="left"/>
      <w:pPr>
        <w:ind w:left="7020" w:hanging="361"/>
      </w:pPr>
      <w:rPr>
        <w:rFonts w:hint="default"/>
        <w:lang w:val="en-US" w:eastAsia="en-US" w:bidi="ar-SA"/>
      </w:rPr>
    </w:lvl>
    <w:lvl w:ilvl="7" w:tplc="7AA0D9FA">
      <w:numFmt w:val="bullet"/>
      <w:lvlText w:val="•"/>
      <w:lvlJc w:val="left"/>
      <w:pPr>
        <w:ind w:left="8040" w:hanging="361"/>
      </w:pPr>
      <w:rPr>
        <w:rFonts w:hint="default"/>
        <w:lang w:val="en-US" w:eastAsia="en-US" w:bidi="ar-SA"/>
      </w:rPr>
    </w:lvl>
    <w:lvl w:ilvl="8" w:tplc="FEA0F6F6">
      <w:numFmt w:val="bullet"/>
      <w:lvlText w:val="•"/>
      <w:lvlJc w:val="left"/>
      <w:pPr>
        <w:ind w:left="9060" w:hanging="361"/>
      </w:pPr>
      <w:rPr>
        <w:rFonts w:hint="default"/>
        <w:lang w:val="en-US" w:eastAsia="en-US" w:bidi="ar-SA"/>
      </w:rPr>
    </w:lvl>
  </w:abstractNum>
  <w:abstractNum w:abstractNumId="3" w15:restartNumberingAfterBreak="0">
    <w:nsid w:val="77357C7F"/>
    <w:multiLevelType w:val="hybridMultilevel"/>
    <w:tmpl w:val="0CC681C2"/>
    <w:lvl w:ilvl="0" w:tplc="17300354">
      <w:start w:val="1"/>
      <w:numFmt w:val="bullet"/>
      <w:lvlText w:val=""/>
      <w:lvlJc w:val="left"/>
      <w:pPr>
        <w:ind w:left="420" w:hanging="360"/>
      </w:pPr>
      <w:rPr>
        <w:rFonts w:ascii="Symbol" w:eastAsia="Times New Roman" w:hAnsi="Symbol"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num w:numId="1" w16cid:durableId="1994869852">
    <w:abstractNumId w:val="2"/>
  </w:num>
  <w:num w:numId="2" w16cid:durableId="1445222773">
    <w:abstractNumId w:val="1"/>
  </w:num>
  <w:num w:numId="3" w16cid:durableId="427118854">
    <w:abstractNumId w:val="0"/>
  </w:num>
  <w:num w:numId="4" w16cid:durableId="823857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29"/>
    <w:rsid w:val="00063252"/>
    <w:rsid w:val="000746CD"/>
    <w:rsid w:val="000A066C"/>
    <w:rsid w:val="002452C4"/>
    <w:rsid w:val="00336CA4"/>
    <w:rsid w:val="00357E3A"/>
    <w:rsid w:val="00393A1B"/>
    <w:rsid w:val="004739A2"/>
    <w:rsid w:val="004E6B08"/>
    <w:rsid w:val="005226F9"/>
    <w:rsid w:val="005B13C7"/>
    <w:rsid w:val="005E0D6F"/>
    <w:rsid w:val="005E7067"/>
    <w:rsid w:val="00603947"/>
    <w:rsid w:val="00653BDD"/>
    <w:rsid w:val="00660372"/>
    <w:rsid w:val="007A0C6D"/>
    <w:rsid w:val="0081013D"/>
    <w:rsid w:val="008540B1"/>
    <w:rsid w:val="0085579B"/>
    <w:rsid w:val="00901F29"/>
    <w:rsid w:val="009818FB"/>
    <w:rsid w:val="009C0CF5"/>
    <w:rsid w:val="00A02BE0"/>
    <w:rsid w:val="00BB0CB0"/>
    <w:rsid w:val="00BD01DA"/>
    <w:rsid w:val="00C07109"/>
    <w:rsid w:val="00C14CE5"/>
    <w:rsid w:val="00C930A8"/>
    <w:rsid w:val="00CF1FBA"/>
    <w:rsid w:val="00D23B5C"/>
    <w:rsid w:val="00EE5C68"/>
    <w:rsid w:val="00F127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6764"/>
  <w15:chartTrackingRefBased/>
  <w15:docId w15:val="{ABC86950-73C5-4D6C-98E7-0EC505B9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901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901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01F2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01F2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01F2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01F2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01F2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01F2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01F2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01F2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901F2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01F2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01F2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01F2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01F2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01F2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01F2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01F29"/>
    <w:rPr>
      <w:rFonts w:eastAsiaTheme="majorEastAsia" w:cstheme="majorBidi"/>
      <w:color w:val="272727" w:themeColor="text1" w:themeTint="D8"/>
    </w:rPr>
  </w:style>
  <w:style w:type="paragraph" w:styleId="Judul">
    <w:name w:val="Title"/>
    <w:basedOn w:val="Normal"/>
    <w:next w:val="Normal"/>
    <w:link w:val="JudulKAR"/>
    <w:uiPriority w:val="10"/>
    <w:qFormat/>
    <w:rsid w:val="0090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01F2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01F2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01F2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01F29"/>
    <w:pPr>
      <w:spacing w:before="160"/>
      <w:jc w:val="center"/>
    </w:pPr>
    <w:rPr>
      <w:i/>
      <w:iCs/>
      <w:color w:val="404040" w:themeColor="text1" w:themeTint="BF"/>
    </w:rPr>
  </w:style>
  <w:style w:type="character" w:customStyle="1" w:styleId="KutipanKAR">
    <w:name w:val="Kutipan KAR"/>
    <w:basedOn w:val="FontParagrafDefault"/>
    <w:link w:val="Kutipan"/>
    <w:uiPriority w:val="29"/>
    <w:rsid w:val="00901F29"/>
    <w:rPr>
      <w:i/>
      <w:iCs/>
      <w:color w:val="404040" w:themeColor="text1" w:themeTint="BF"/>
    </w:rPr>
  </w:style>
  <w:style w:type="paragraph" w:styleId="DaftarParagraf">
    <w:name w:val="List Paragraph"/>
    <w:basedOn w:val="Normal"/>
    <w:uiPriority w:val="34"/>
    <w:qFormat/>
    <w:rsid w:val="00901F29"/>
    <w:pPr>
      <w:ind w:left="720"/>
      <w:contextualSpacing/>
    </w:pPr>
  </w:style>
  <w:style w:type="character" w:styleId="PenekananKeras">
    <w:name w:val="Intense Emphasis"/>
    <w:basedOn w:val="FontParagrafDefault"/>
    <w:uiPriority w:val="21"/>
    <w:qFormat/>
    <w:rsid w:val="00901F29"/>
    <w:rPr>
      <w:i/>
      <w:iCs/>
      <w:color w:val="0F4761" w:themeColor="accent1" w:themeShade="BF"/>
    </w:rPr>
  </w:style>
  <w:style w:type="paragraph" w:styleId="KutipanyangSering">
    <w:name w:val="Intense Quote"/>
    <w:basedOn w:val="Normal"/>
    <w:next w:val="Normal"/>
    <w:link w:val="KutipanyangSeringKAR"/>
    <w:uiPriority w:val="30"/>
    <w:qFormat/>
    <w:rsid w:val="00901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01F29"/>
    <w:rPr>
      <w:i/>
      <w:iCs/>
      <w:color w:val="0F4761" w:themeColor="accent1" w:themeShade="BF"/>
    </w:rPr>
  </w:style>
  <w:style w:type="character" w:styleId="ReferensiyangSering">
    <w:name w:val="Intense Reference"/>
    <w:basedOn w:val="FontParagrafDefault"/>
    <w:uiPriority w:val="32"/>
    <w:qFormat/>
    <w:rsid w:val="00901F29"/>
    <w:rPr>
      <w:b/>
      <w:bCs/>
      <w:smallCaps/>
      <w:color w:val="0F4761" w:themeColor="accent1" w:themeShade="BF"/>
      <w:spacing w:val="5"/>
    </w:rPr>
  </w:style>
  <w:style w:type="table" w:customStyle="1" w:styleId="TableNormal1">
    <w:name w:val="Table Normal1"/>
    <w:uiPriority w:val="2"/>
    <w:semiHidden/>
    <w:unhideWhenUsed/>
    <w:qFormat/>
    <w:rsid w:val="00901F2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KAR"/>
    <w:uiPriority w:val="99"/>
    <w:unhideWhenUsed/>
    <w:rsid w:val="00063252"/>
    <w:pPr>
      <w:tabs>
        <w:tab w:val="center" w:pos="4513"/>
        <w:tab w:val="right" w:pos="9026"/>
      </w:tabs>
      <w:spacing w:after="0" w:line="240" w:lineRule="auto"/>
    </w:pPr>
  </w:style>
  <w:style w:type="character" w:customStyle="1" w:styleId="HeaderKAR">
    <w:name w:val="Header KAR"/>
    <w:basedOn w:val="FontParagrafDefault"/>
    <w:link w:val="Header"/>
    <w:uiPriority w:val="99"/>
    <w:rsid w:val="00063252"/>
  </w:style>
  <w:style w:type="paragraph" w:styleId="Footer">
    <w:name w:val="footer"/>
    <w:basedOn w:val="Normal"/>
    <w:link w:val="FooterKAR"/>
    <w:uiPriority w:val="99"/>
    <w:unhideWhenUsed/>
    <w:rsid w:val="00063252"/>
    <w:pPr>
      <w:tabs>
        <w:tab w:val="center" w:pos="4513"/>
        <w:tab w:val="right" w:pos="9026"/>
      </w:tabs>
      <w:spacing w:after="0" w:line="240" w:lineRule="auto"/>
    </w:pPr>
  </w:style>
  <w:style w:type="character" w:customStyle="1" w:styleId="FooterKAR">
    <w:name w:val="Footer KAR"/>
    <w:basedOn w:val="FontParagrafDefault"/>
    <w:link w:val="Footer"/>
    <w:uiPriority w:val="99"/>
    <w:rsid w:val="00063252"/>
  </w:style>
  <w:style w:type="character" w:styleId="Hyperlink">
    <w:name w:val="Hyperlink"/>
    <w:basedOn w:val="FontParagrafDefault"/>
    <w:uiPriority w:val="99"/>
    <w:unhideWhenUsed/>
    <w:rsid w:val="00BD01DA"/>
    <w:rPr>
      <w:color w:val="467886" w:themeColor="hyperlink"/>
      <w:u w:val="single"/>
    </w:rPr>
  </w:style>
  <w:style w:type="character" w:styleId="SebutanYangBelumTerselesaikan">
    <w:name w:val="Unresolved Mention"/>
    <w:basedOn w:val="FontParagrafDefault"/>
    <w:uiPriority w:val="99"/>
    <w:semiHidden/>
    <w:unhideWhenUsed/>
    <w:rsid w:val="00BD01DA"/>
    <w:rPr>
      <w:color w:val="605E5C"/>
      <w:shd w:val="clear" w:color="auto" w:fill="E1DFDD"/>
    </w:rPr>
  </w:style>
  <w:style w:type="character" w:styleId="HiperlinkyangDiikuti">
    <w:name w:val="FollowedHyperlink"/>
    <w:basedOn w:val="FontParagrafDefault"/>
    <w:uiPriority w:val="99"/>
    <w:semiHidden/>
    <w:unhideWhenUsed/>
    <w:rsid w:val="007A0C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20https:/doi.org/10.1016/j.techfore.2025.124353" TargetMode="External"/><Relationship Id="rId18" Type="http://schemas.openxmlformats.org/officeDocument/2006/relationships/hyperlink" Target="https://doi.org/10.1108/CR-01-2025-0028" TargetMode="External"/><Relationship Id="rId26" Type="http://schemas.openxmlformats.org/officeDocument/2006/relationships/hyperlink" Target="https://doi.org/10.4337/9781800371415.00016" TargetMode="External"/><Relationship Id="rId39" Type="http://schemas.openxmlformats.org/officeDocument/2006/relationships/hyperlink" Target="https://doi.org/10.1016/j.joitmc.2025.100609" TargetMode="External"/><Relationship Id="rId21" Type="http://schemas.openxmlformats.org/officeDocument/2006/relationships/hyperlink" Target="https://doi.org/10.1108/JRIM-04-2024-0180" TargetMode="External"/><Relationship Id="rId34" Type="http://schemas.openxmlformats.org/officeDocument/2006/relationships/hyperlink" Target="https://doi.org/10.1016/j.ssaho.2026.102624" TargetMode="External"/><Relationship Id="rId42" Type="http://schemas.openxmlformats.org/officeDocument/2006/relationships/hyperlink" Target="https://doi.org/10.1002/sd.70413" TargetMode="External"/><Relationship Id="rId47" Type="http://schemas.openxmlformats.org/officeDocument/2006/relationships/hyperlink" Target="https://doi.org/10.1093/scipol/sct044" TargetMode="External"/><Relationship Id="rId50" Type="http://schemas.openxmlformats.org/officeDocument/2006/relationships/hyperlink" Target="https://doi.org/10.3390/economies10120308"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heritage8100421" TargetMode="External"/><Relationship Id="rId17" Type="http://schemas.openxmlformats.org/officeDocument/2006/relationships/hyperlink" Target="https://doi.org/10.1080/17510694.2021.1980672" TargetMode="External"/><Relationship Id="rId25" Type="http://schemas.openxmlformats.org/officeDocument/2006/relationships/hyperlink" Target="https://www.open-access.bcu.ac.uk/id/eprint/16354" TargetMode="External"/><Relationship Id="rId33" Type="http://schemas.openxmlformats.org/officeDocument/2006/relationships/hyperlink" Target="https://netlibrary.aau.at/obvuklhs/content/titleinfo/10196265/full.pdf" TargetMode="External"/><Relationship Id="rId38" Type="http://schemas.openxmlformats.org/officeDocument/2006/relationships/hyperlink" Target="https://doi.org/10.18089/tms.20250103" TargetMode="External"/><Relationship Id="rId46" Type="http://schemas.openxmlformats.org/officeDocument/2006/relationships/hyperlink" Target="http://www.aensi.org/anas.html" TargetMode="External"/><Relationship Id="rId2" Type="http://schemas.openxmlformats.org/officeDocument/2006/relationships/numbering" Target="numbering.xml"/><Relationship Id="rId16" Type="http://schemas.openxmlformats.org/officeDocument/2006/relationships/hyperlink" Target="https://doi.org/10.1108/JSBED-06-2020-0219" TargetMode="External"/><Relationship Id="rId20" Type="http://schemas.openxmlformats.org/officeDocument/2006/relationships/hyperlink" Target="%20https:/doi.org/10.1007/s11747-020-00749-9" TargetMode="External"/><Relationship Id="rId29" Type="http://schemas.openxmlformats.org/officeDocument/2006/relationships/hyperlink" Target="https://doi.org/10.1080/17569370.2022.2095729" TargetMode="External"/><Relationship Id="rId41" Type="http://schemas.openxmlformats.org/officeDocument/2006/relationships/hyperlink" Target="https://doi.org/10.1039/D4SE01537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scipol/scaa076" TargetMode="External"/><Relationship Id="rId24" Type="http://schemas.openxmlformats.org/officeDocument/2006/relationships/hyperlink" Target="https://doi.org/10.1016/j.heliyon.2024.e31133" TargetMode="External"/><Relationship Id="rId32" Type="http://schemas.openxmlformats.org/officeDocument/2006/relationships/hyperlink" Target="https://doi.org/10.1177/1059601114560063" TargetMode="External"/><Relationship Id="rId37" Type="http://schemas.openxmlformats.org/officeDocument/2006/relationships/hyperlink" Target="https://doi.org/10.1007/s11625-022-01190-3" TargetMode="External"/><Relationship Id="rId40" Type="http://schemas.openxmlformats.org/officeDocument/2006/relationships/hyperlink" Target="https://doi.org/10.1108/JBIM-12-2021-0581" TargetMode="External"/><Relationship Id="rId45" Type="http://schemas.openxmlformats.org/officeDocument/2006/relationships/hyperlink" Target="https://doi.org/10.29036/jots.v12i22.220" TargetMode="External"/><Relationship Id="rId53" Type="http://schemas.openxmlformats.org/officeDocument/2006/relationships/hyperlink" Target="https://doi.org/10.1177/13567667221090990" TargetMode="External"/><Relationship Id="rId5" Type="http://schemas.openxmlformats.org/officeDocument/2006/relationships/webSettings" Target="webSettings.xml"/><Relationship Id="rId15" Type="http://schemas.openxmlformats.org/officeDocument/2006/relationships/hyperlink" Target="https://doi.org/10.1108/JFBM-10-2021-0131" TargetMode="External"/><Relationship Id="rId23" Type="http://schemas.openxmlformats.org/officeDocument/2006/relationships/hyperlink" Target="https://doi.org/10.1016/j.chbr.2024.100524" TargetMode="External"/><Relationship Id="rId28" Type="http://schemas.openxmlformats.org/officeDocument/2006/relationships/hyperlink" Target="https://doi.org/10.3390/su142215029" TargetMode="External"/><Relationship Id="rId36" Type="http://schemas.openxmlformats.org/officeDocument/2006/relationships/hyperlink" Target="https://doi.org/10.1016/j.daach.2024.e00317" TargetMode="External"/><Relationship Id="rId49" Type="http://schemas.openxmlformats.org/officeDocument/2006/relationships/hyperlink" Target="https://doi.org/10.1037/a0034447" TargetMode="External"/><Relationship Id="rId10" Type="http://schemas.openxmlformats.org/officeDocument/2006/relationships/hyperlink" Target="https://doi.org/10.1016/j.indmarman.2023.08.013" TargetMode="External"/><Relationship Id="rId19" Type="http://schemas.openxmlformats.org/officeDocument/2006/relationships/hyperlink" Target="https://doi.org/10.51936/tip.59.3.729&#8211;744" TargetMode="External"/><Relationship Id="rId31" Type="http://schemas.openxmlformats.org/officeDocument/2006/relationships/hyperlink" Target="https://doi.org/10.3390/su15087007" TargetMode="External"/><Relationship Id="rId44" Type="http://schemas.openxmlformats.org/officeDocument/2006/relationships/hyperlink" Target="https://doi.org/10.1108/JFMM-02-2022-0026" TargetMode="External"/><Relationship Id="rId52" Type="http://schemas.openxmlformats.org/officeDocument/2006/relationships/hyperlink" Target="http/doi.org/10.22059/ijms.2022.338005.674933" TargetMode="External"/><Relationship Id="rId4" Type="http://schemas.openxmlformats.org/officeDocument/2006/relationships/settings" Target="settings.xml"/><Relationship Id="rId9" Type="http://schemas.openxmlformats.org/officeDocument/2006/relationships/hyperlink" Target="https://doi.org/10.3390/su18031270" TargetMode="External"/><Relationship Id="rId14" Type="http://schemas.openxmlformats.org/officeDocument/2006/relationships/hyperlink" Target="https://doi.org/10.1007/s10055-022-00712-9" TargetMode="External"/><Relationship Id="rId22" Type="http://schemas.openxmlformats.org/officeDocument/2006/relationships/hyperlink" Target="https://doi.org/10.1016/j.ijinfomgt.2021.102466" TargetMode="External"/><Relationship Id="rId27" Type="http://schemas.openxmlformats.org/officeDocument/2006/relationships/hyperlink" Target="https://doi.org/10.4337/00472875251380185" TargetMode="External"/><Relationship Id="rId30" Type="http://schemas.openxmlformats.org/officeDocument/2006/relationships/hyperlink" Target="https://doi.org/10.1016/j.heliyon.2023.e13908" TargetMode="External"/><Relationship Id="rId35" Type="http://schemas.openxmlformats.org/officeDocument/2006/relationships/hyperlink" Target="https://doi.org/10.1016/j.joitmc.2025.100585" TargetMode="External"/><Relationship Id="rId43" Type="http://schemas.openxmlformats.org/officeDocument/2006/relationships/hyperlink" Target="https://doi.org/10.3390/su12072764" TargetMode="External"/><Relationship Id="rId48" Type="http://schemas.openxmlformats.org/officeDocument/2006/relationships/hyperlink" Target="https://doi.org/10.1016/j.jbusres.2019.09.022" TargetMode="External"/><Relationship Id="rId8" Type="http://schemas.openxmlformats.org/officeDocument/2006/relationships/hyperlink" Target="https://doi.org/10.5367/ijei.2015.0178" TargetMode="External"/><Relationship Id="rId51" Type="http://schemas.openxmlformats.org/officeDocument/2006/relationships/hyperlink" Target="https://doi.org/10.37641/jimkes.v14i1.4622" TargetMode="External"/><Relationship Id="rId3"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CC87-D58D-4B89-B6DF-212E0F51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7995</Words>
  <Characters>52017</Characters>
  <Application>Microsoft Office Word</Application>
  <DocSecurity>0</DocSecurity>
  <Lines>644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Ganjar Wibowo</dc:creator>
  <cp:keywords/>
  <dc:description/>
  <cp:lastModifiedBy>Ganjar Wibowo</cp:lastModifiedBy>
  <cp:revision>6</cp:revision>
  <dcterms:created xsi:type="dcterms:W3CDTF">2026-03-22T15:06:00Z</dcterms:created>
  <dcterms:modified xsi:type="dcterms:W3CDTF">2026-03-23T06:33:00Z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c85c81b1-b61f-4884-8688-e3c60421e7a6</vt:lpwstr>
  </property>
</Properties>
</file>