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9DE15" w14:textId="77777777" w:rsidR="00355B0D" w:rsidRPr="00CA4FF0" w:rsidRDefault="00F77F3D" w:rsidP="00CA4FF0">
      <w:pPr>
        <w:spacing w:before="200" w:after="200"/>
        <w:jc w:val="both"/>
        <w:rPr>
          <w:rFonts w:ascii="Times New Roman" w:hAnsi="Times New Roman" w:cs="Times New Roman"/>
        </w:rPr>
      </w:pPr>
      <w:r w:rsidRPr="00CA4FF0">
        <w:rPr>
          <w:rFonts w:ascii="Times New Roman" w:hAnsi="Times New Roman" w:cs="Times New Roman"/>
          <w:b/>
          <w:bCs/>
          <w:color w:val="1F4E79"/>
          <w:sz w:val="32"/>
          <w:szCs w:val="32"/>
        </w:rPr>
        <w:t>Quality of Growth Monitoring and Promotion Services and Child Nutritional Outcomes: A Cross-Sectional Study in Sulima Chiefdom, Sierra Leone</w:t>
      </w:r>
    </w:p>
    <w:p w14:paraId="6719BFC4" w14:textId="77777777" w:rsidR="00355B0D" w:rsidRPr="00CA4FF0" w:rsidRDefault="00F77F3D">
      <w:pPr>
        <w:spacing w:after="80"/>
        <w:jc w:val="center"/>
        <w:rPr>
          <w:rFonts w:ascii="Times New Roman" w:hAnsi="Times New Roman" w:cs="Times New Roman"/>
        </w:rPr>
      </w:pPr>
      <w:r w:rsidRPr="00CA4FF0">
        <w:rPr>
          <w:rFonts w:ascii="Times New Roman" w:hAnsi="Times New Roman" w:cs="Times New Roman"/>
        </w:rPr>
        <w:t>Philip Amara Saffa, MPH</w:t>
      </w:r>
      <w:r w:rsidRPr="00CA4FF0">
        <w:rPr>
          <w:rFonts w:ascii="Times New Roman" w:hAnsi="Times New Roman" w:cs="Times New Roman"/>
          <w:vertAlign w:val="superscript"/>
        </w:rPr>
        <w:t>*</w:t>
      </w:r>
      <w:r w:rsidRPr="00CA4FF0">
        <w:rPr>
          <w:rFonts w:ascii="Times New Roman" w:hAnsi="Times New Roman" w:cs="Times New Roman"/>
        </w:rPr>
        <w:t xml:space="preserve">, Daniel J. Sama, PhD, Emmanuel Komba </w:t>
      </w:r>
      <w:proofErr w:type="spellStart"/>
      <w:r w:rsidRPr="00CA4FF0">
        <w:rPr>
          <w:rFonts w:ascii="Times New Roman" w:hAnsi="Times New Roman" w:cs="Times New Roman"/>
        </w:rPr>
        <w:t>Finoh</w:t>
      </w:r>
      <w:proofErr w:type="spellEnd"/>
      <w:r w:rsidRPr="00CA4FF0">
        <w:rPr>
          <w:rFonts w:ascii="Times New Roman" w:hAnsi="Times New Roman" w:cs="Times New Roman"/>
        </w:rPr>
        <w:t xml:space="preserve">, MPH, </w:t>
      </w:r>
      <w:proofErr w:type="spellStart"/>
      <w:r w:rsidRPr="00CA4FF0">
        <w:rPr>
          <w:rFonts w:ascii="Times New Roman" w:hAnsi="Times New Roman" w:cs="Times New Roman"/>
        </w:rPr>
        <w:t>Pieh</w:t>
      </w:r>
      <w:proofErr w:type="spellEnd"/>
      <w:r w:rsidRPr="00CA4FF0">
        <w:rPr>
          <w:rFonts w:ascii="Times New Roman" w:hAnsi="Times New Roman" w:cs="Times New Roman"/>
        </w:rPr>
        <w:t xml:space="preserve"> </w:t>
      </w:r>
      <w:proofErr w:type="spellStart"/>
      <w:r w:rsidRPr="00CA4FF0">
        <w:rPr>
          <w:rFonts w:ascii="Times New Roman" w:hAnsi="Times New Roman" w:cs="Times New Roman"/>
        </w:rPr>
        <w:t>Bendu</w:t>
      </w:r>
      <w:proofErr w:type="spellEnd"/>
      <w:r w:rsidRPr="00CA4FF0">
        <w:rPr>
          <w:rFonts w:ascii="Times New Roman" w:hAnsi="Times New Roman" w:cs="Times New Roman"/>
        </w:rPr>
        <w:t xml:space="preserve">, MPH, Joseph </w:t>
      </w:r>
      <w:proofErr w:type="spellStart"/>
      <w:r w:rsidRPr="00CA4FF0">
        <w:rPr>
          <w:rFonts w:ascii="Times New Roman" w:hAnsi="Times New Roman" w:cs="Times New Roman"/>
        </w:rPr>
        <w:t>Lamin</w:t>
      </w:r>
      <w:proofErr w:type="spellEnd"/>
      <w:r w:rsidRPr="00CA4FF0">
        <w:rPr>
          <w:rFonts w:ascii="Times New Roman" w:hAnsi="Times New Roman" w:cs="Times New Roman"/>
        </w:rPr>
        <w:t>, MPH</w:t>
      </w:r>
    </w:p>
    <w:p w14:paraId="61DEB105" w14:textId="77777777" w:rsidR="00355B0D" w:rsidRPr="00CA4FF0" w:rsidRDefault="00F77F3D">
      <w:pPr>
        <w:spacing w:after="80"/>
        <w:jc w:val="center"/>
        <w:rPr>
          <w:rFonts w:ascii="Times New Roman" w:hAnsi="Times New Roman" w:cs="Times New Roman"/>
        </w:rPr>
      </w:pPr>
      <w:r w:rsidRPr="00CA4FF0">
        <w:rPr>
          <w:rFonts w:ascii="Times New Roman" w:hAnsi="Times New Roman" w:cs="Times New Roman"/>
          <w:i/>
          <w:iCs/>
          <w:color w:val="555555"/>
          <w:sz w:val="20"/>
          <w:szCs w:val="20"/>
        </w:rPr>
        <w:t>Department of Biostatistics, School of Public Health, Njala University, Bo, Sierra Leone</w:t>
      </w:r>
    </w:p>
    <w:p w14:paraId="3739FF75" w14:textId="77777777" w:rsidR="00355B0D" w:rsidRPr="00CA4FF0" w:rsidRDefault="00F77F3D">
      <w:pPr>
        <w:pBdr>
          <w:bottom w:val="single" w:sz="4" w:space="0" w:color="1F4E79"/>
        </w:pBdr>
        <w:spacing w:after="240"/>
        <w:jc w:val="center"/>
        <w:rPr>
          <w:rFonts w:ascii="Times New Roman" w:hAnsi="Times New Roman" w:cs="Times New Roman"/>
        </w:rPr>
      </w:pPr>
      <w:r w:rsidRPr="00CA4FF0">
        <w:rPr>
          <w:rFonts w:ascii="Times New Roman" w:hAnsi="Times New Roman" w:cs="Times New Roman"/>
          <w:b/>
          <w:bCs/>
          <w:sz w:val="20"/>
          <w:szCs w:val="20"/>
        </w:rPr>
        <w:t xml:space="preserve">*Corresponding Author: </w:t>
      </w:r>
      <w:r w:rsidRPr="00CA4FF0">
        <w:rPr>
          <w:rFonts w:ascii="Times New Roman" w:hAnsi="Times New Roman" w:cs="Times New Roman"/>
          <w:sz w:val="20"/>
          <w:szCs w:val="20"/>
        </w:rPr>
        <w:t xml:space="preserve">Philip Amara Saffa, MPH | Email: </w:t>
      </w:r>
      <w:hyperlink r:id="rId7" w:history="1">
        <w:r w:rsidR="00CA4FF0" w:rsidRPr="00CA4FF0">
          <w:rPr>
            <w:rStyle w:val="Hyperlink"/>
            <w:rFonts w:ascii="Times New Roman" w:hAnsi="Times New Roman" w:cs="Times New Roman"/>
            <w:sz w:val="20"/>
            <w:szCs w:val="20"/>
          </w:rPr>
          <w:t>philipsaffa99@gmail.com</w:t>
        </w:r>
      </w:hyperlink>
      <w:r w:rsidR="00CA4FF0" w:rsidRPr="00CA4FF0">
        <w:rPr>
          <w:rFonts w:ascii="Times New Roman" w:hAnsi="Times New Roman" w:cs="Times New Roman"/>
          <w:sz w:val="20"/>
          <w:szCs w:val="20"/>
        </w:rPr>
        <w:t xml:space="preserve"> </w:t>
      </w:r>
    </w:p>
    <w:p w14:paraId="470A01E5" w14:textId="77777777" w:rsidR="00355B0D" w:rsidRPr="00CA4FF0" w:rsidRDefault="00F77F3D">
      <w:pPr>
        <w:pStyle w:val="Heading1"/>
        <w:pBdr>
          <w:bottom w:val="single" w:sz="4" w:space="0" w:color="1F4E79"/>
        </w:pBdr>
        <w:rPr>
          <w:rFonts w:ascii="Times New Roman" w:hAnsi="Times New Roman" w:cs="Times New Roman"/>
        </w:rPr>
      </w:pPr>
      <w:bookmarkStart w:id="0" w:name="_GoBack"/>
      <w:r w:rsidRPr="00CA4FF0">
        <w:rPr>
          <w:rFonts w:ascii="Times New Roman" w:hAnsi="Times New Roman" w:cs="Times New Roman"/>
        </w:rPr>
        <w:t>ABSTRACT</w:t>
      </w:r>
    </w:p>
    <w:bookmarkEnd w:id="0"/>
    <w:p w14:paraId="65F79896"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Background:</w:t>
      </w:r>
      <w:r w:rsidRPr="00CA4FF0">
        <w:rPr>
          <w:rFonts w:ascii="Times New Roman" w:hAnsi="Times New Roman" w:cs="Times New Roman"/>
        </w:rPr>
        <w:t xml:space="preserve"> Globally, 149 million children under five years remain stunted, with S</w:t>
      </w:r>
      <w:r w:rsidRPr="00CA4FF0">
        <w:rPr>
          <w:rFonts w:ascii="Times New Roman" w:hAnsi="Times New Roman" w:cs="Times New Roman"/>
        </w:rPr>
        <w:t>ub-Saharan Africa carrying a disproportionate burden. Growth Monitoring and Promotion (GMP) is a cornerstone preventive intervention, yet evidence on the drivers of GMP utilisation and its quantified effect on nutritional outcomes in conflict-affected, geo</w:t>
      </w:r>
      <w:r w:rsidRPr="00CA4FF0">
        <w:rPr>
          <w:rFonts w:ascii="Times New Roman" w:hAnsi="Times New Roman" w:cs="Times New Roman"/>
        </w:rPr>
        <w:t>graphically isolated communities remains limited. Sierra Leone, with a stunting prevalence of 29% nationally and acutely worse rates in remote northern districts, presents a critical evidence gap.</w:t>
      </w:r>
    </w:p>
    <w:p w14:paraId="66A5AFFF"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Methods:</w:t>
      </w:r>
      <w:r w:rsidRPr="00CA4FF0">
        <w:rPr>
          <w:rFonts w:ascii="Times New Roman" w:hAnsi="Times New Roman" w:cs="Times New Roman"/>
        </w:rPr>
        <w:t xml:space="preserve"> A community-based cross-sectional study was conduc</w:t>
      </w:r>
      <w:r w:rsidRPr="00CA4FF0">
        <w:rPr>
          <w:rFonts w:ascii="Times New Roman" w:hAnsi="Times New Roman" w:cs="Times New Roman"/>
        </w:rPr>
        <w:t>ted among 617 mother–child dyads in Sulima Chiefdom, Falaba District, Sierra Leone. Anthropometric assessment — height-for-age z-score (HAZ), weight-for-age z-score (WAZ), weight-for-height z-score (WHZ), and mid-upper arm circumference (MUAC) — was conduc</w:t>
      </w:r>
      <w:r w:rsidRPr="00CA4FF0">
        <w:rPr>
          <w:rFonts w:ascii="Times New Roman" w:hAnsi="Times New Roman" w:cs="Times New Roman"/>
        </w:rPr>
        <w:t>ted using WHO 2006 Child Growth Standards. Bivariable logistic regression estimated crude odds ratios (</w:t>
      </w:r>
      <w:proofErr w:type="spellStart"/>
      <w:r w:rsidRPr="00CA4FF0">
        <w:rPr>
          <w:rFonts w:ascii="Times New Roman" w:hAnsi="Times New Roman" w:cs="Times New Roman"/>
        </w:rPr>
        <w:t>cOR</w:t>
      </w:r>
      <w:proofErr w:type="spellEnd"/>
      <w:r w:rsidRPr="00CA4FF0">
        <w:rPr>
          <w:rFonts w:ascii="Times New Roman" w:hAnsi="Times New Roman" w:cs="Times New Roman"/>
        </w:rPr>
        <w:t>) for factors associated with regular GMP attendance. Multivariable logistic regression with Hosmer-</w:t>
      </w:r>
      <w:proofErr w:type="spellStart"/>
      <w:r w:rsidRPr="00CA4FF0">
        <w:rPr>
          <w:rFonts w:ascii="Times New Roman" w:hAnsi="Times New Roman" w:cs="Times New Roman"/>
        </w:rPr>
        <w:t>Lemeshow</w:t>
      </w:r>
      <w:proofErr w:type="spellEnd"/>
      <w:r w:rsidRPr="00CA4FF0">
        <w:rPr>
          <w:rFonts w:ascii="Times New Roman" w:hAnsi="Times New Roman" w:cs="Times New Roman"/>
        </w:rPr>
        <w:t xml:space="preserve"> goodness-of-fit testing identified indepe</w:t>
      </w:r>
      <w:r w:rsidRPr="00CA4FF0">
        <w:rPr>
          <w:rFonts w:ascii="Times New Roman" w:hAnsi="Times New Roman" w:cs="Times New Roman"/>
        </w:rPr>
        <w:t>ndent predictors. Linear regression modelled the independent effect of GMP attendance on HAZ and WAZ, adjusting for child-level confounders. All analyses were conducted in IBM SPSS Statistics v26.0.</w:t>
      </w:r>
    </w:p>
    <w:p w14:paraId="7D5DACFD"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Results:</w:t>
      </w:r>
      <w:r w:rsidRPr="00CA4FF0">
        <w:rPr>
          <w:rFonts w:ascii="Times New Roman" w:hAnsi="Times New Roman" w:cs="Times New Roman"/>
        </w:rPr>
        <w:t xml:space="preserve"> Overall regular GMP attendance was 41.8% (n=258/</w:t>
      </w:r>
      <w:r w:rsidRPr="00CA4FF0">
        <w:rPr>
          <w:rFonts w:ascii="Times New Roman" w:hAnsi="Times New Roman" w:cs="Times New Roman"/>
        </w:rPr>
        <w:t>617). Stunting prevalence was 28.7% (95% CI: 25.1–32.3%), exceeding the WHO high-concern threshold; Global Acute Malnutrition (GAM) prevalence was 18.3% (95% CI: 15.3–21.4%), surpassing the WHO emergency threshold of 15%. Regular GMP attendees exhibited si</w:t>
      </w:r>
      <w:r w:rsidRPr="00CA4FF0">
        <w:rPr>
          <w:rFonts w:ascii="Times New Roman" w:hAnsi="Times New Roman" w:cs="Times New Roman"/>
        </w:rPr>
        <w:t>gnificantly lower stunting (19.0% vs 35.7%; OR=0.42, 95% CI: 0.29–0.62, p&lt;0.001) and a 0.49 SD higher mean HAZ (−1.01 vs −1.50; t=5.01, p&lt;0.001, Cohen's d=0.41). In multivariable analysis, positive attitude toward GMP (</w:t>
      </w:r>
      <w:proofErr w:type="spellStart"/>
      <w:r w:rsidRPr="00CA4FF0">
        <w:rPr>
          <w:rFonts w:ascii="Times New Roman" w:hAnsi="Times New Roman" w:cs="Times New Roman"/>
        </w:rPr>
        <w:t>aOR</w:t>
      </w:r>
      <w:proofErr w:type="spellEnd"/>
      <w:r w:rsidRPr="00CA4FF0">
        <w:rPr>
          <w:rFonts w:ascii="Times New Roman" w:hAnsi="Times New Roman" w:cs="Times New Roman"/>
        </w:rPr>
        <w:t>=3.72, 95% CI: 1.53–9.08), IYCF co</w:t>
      </w:r>
      <w:r w:rsidRPr="00CA4FF0">
        <w:rPr>
          <w:rFonts w:ascii="Times New Roman" w:hAnsi="Times New Roman" w:cs="Times New Roman"/>
        </w:rPr>
        <w:t>unselling through any channel (</w:t>
      </w:r>
      <w:proofErr w:type="spellStart"/>
      <w:r w:rsidRPr="00CA4FF0">
        <w:rPr>
          <w:rFonts w:ascii="Times New Roman" w:hAnsi="Times New Roman" w:cs="Times New Roman"/>
        </w:rPr>
        <w:t>aOR</w:t>
      </w:r>
      <w:proofErr w:type="spellEnd"/>
      <w:r w:rsidRPr="00CA4FF0">
        <w:rPr>
          <w:rFonts w:ascii="Times New Roman" w:hAnsi="Times New Roman" w:cs="Times New Roman"/>
        </w:rPr>
        <w:t>=4.20, 95% CI: 1.40–12.63), and mother support group membership (</w:t>
      </w:r>
      <w:proofErr w:type="spellStart"/>
      <w:r w:rsidRPr="00CA4FF0">
        <w:rPr>
          <w:rFonts w:ascii="Times New Roman" w:hAnsi="Times New Roman" w:cs="Times New Roman"/>
        </w:rPr>
        <w:t>aOR</w:t>
      </w:r>
      <w:proofErr w:type="spellEnd"/>
      <w:r w:rsidRPr="00CA4FF0">
        <w:rPr>
          <w:rFonts w:ascii="Times New Roman" w:hAnsi="Times New Roman" w:cs="Times New Roman"/>
        </w:rPr>
        <w:t xml:space="preserve">=1.87, 95% CI: 1.30–2.68) were the strongest independent predictors of regular attendance. Each additional </w:t>
      </w:r>
      <w:proofErr w:type="spellStart"/>
      <w:r w:rsidRPr="00CA4FF0">
        <w:rPr>
          <w:rFonts w:ascii="Times New Roman" w:hAnsi="Times New Roman" w:cs="Times New Roman"/>
        </w:rPr>
        <w:t>kilometre</w:t>
      </w:r>
      <w:proofErr w:type="spellEnd"/>
      <w:r w:rsidRPr="00CA4FF0">
        <w:rPr>
          <w:rFonts w:ascii="Times New Roman" w:hAnsi="Times New Roman" w:cs="Times New Roman"/>
        </w:rPr>
        <w:t xml:space="preserve"> to the primary health centre reduced </w:t>
      </w:r>
      <w:r w:rsidRPr="00CA4FF0">
        <w:rPr>
          <w:rFonts w:ascii="Times New Roman" w:hAnsi="Times New Roman" w:cs="Times New Roman"/>
        </w:rPr>
        <w:t>attendance odds by 8% (</w:t>
      </w:r>
      <w:proofErr w:type="spellStart"/>
      <w:r w:rsidRPr="00CA4FF0">
        <w:rPr>
          <w:rFonts w:ascii="Times New Roman" w:hAnsi="Times New Roman" w:cs="Times New Roman"/>
        </w:rPr>
        <w:t>aOR</w:t>
      </w:r>
      <w:proofErr w:type="spellEnd"/>
      <w:r w:rsidRPr="00CA4FF0">
        <w:rPr>
          <w:rFonts w:ascii="Times New Roman" w:hAnsi="Times New Roman" w:cs="Times New Roman"/>
        </w:rPr>
        <w:t>=0.92, 95% CI: 0.85–0.99). Regular GMP attendance was independently associated with a 0.365 SD improvement in HAZ (β=0.365, SE=0.102, p&lt;0.001) and 0.343 SD improvement in WAZ (β=0.343, SE=0.095, p&lt;0.001), after adjustment for chil</w:t>
      </w:r>
      <w:r w:rsidRPr="00CA4FF0">
        <w:rPr>
          <w:rFonts w:ascii="Times New Roman" w:hAnsi="Times New Roman" w:cs="Times New Roman"/>
        </w:rPr>
        <w:t>d age, morbidity, feeding practices, and household food security.</w:t>
      </w:r>
    </w:p>
    <w:p w14:paraId="0DC26092"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Conclusion:</w:t>
      </w:r>
      <w:r w:rsidRPr="00CA4FF0">
        <w:rPr>
          <w:rFonts w:ascii="Times New Roman" w:hAnsi="Times New Roman" w:cs="Times New Roman"/>
        </w:rPr>
        <w:t xml:space="preserve"> GMP participation is independently and significantly associated with improved child linear growth and ponderal status in one of Sierra Leone's most underserved communities. The k</w:t>
      </w:r>
      <w:r w:rsidRPr="00CA4FF0">
        <w:rPr>
          <w:rFonts w:ascii="Times New Roman" w:hAnsi="Times New Roman" w:cs="Times New Roman"/>
        </w:rPr>
        <w:t>ey modifiable drivers are not individual-level knowledge but demand-side attitudinal factors and integration with IYCF counselling and community support structures. Programmes must pivot from mere attendance registration to quality engagement, supported by</w:t>
      </w:r>
      <w:r w:rsidRPr="00CA4FF0">
        <w:rPr>
          <w:rFonts w:ascii="Times New Roman" w:hAnsi="Times New Roman" w:cs="Times New Roman"/>
        </w:rPr>
        <w:t xml:space="preserve"> integrated service delivery and community </w:t>
      </w:r>
      <w:proofErr w:type="spellStart"/>
      <w:r w:rsidRPr="00CA4FF0">
        <w:rPr>
          <w:rFonts w:ascii="Times New Roman" w:hAnsi="Times New Roman" w:cs="Times New Roman"/>
        </w:rPr>
        <w:t>mobilisation</w:t>
      </w:r>
      <w:proofErr w:type="spellEnd"/>
      <w:r w:rsidRPr="00CA4FF0">
        <w:rPr>
          <w:rFonts w:ascii="Times New Roman" w:hAnsi="Times New Roman" w:cs="Times New Roman"/>
        </w:rPr>
        <w:t>.</w:t>
      </w:r>
    </w:p>
    <w:p w14:paraId="74FF81D9" w14:textId="77777777" w:rsidR="00355B0D" w:rsidRPr="00CA4FF0" w:rsidRDefault="00F77F3D" w:rsidP="00CA4FF0">
      <w:pPr>
        <w:pBdr>
          <w:top w:val="single" w:sz="2" w:space="0" w:color="CCCCCC"/>
        </w:pBdr>
        <w:spacing w:before="120" w:after="200"/>
        <w:jc w:val="both"/>
        <w:rPr>
          <w:rFonts w:ascii="Times New Roman" w:hAnsi="Times New Roman" w:cs="Times New Roman"/>
        </w:rPr>
      </w:pPr>
      <w:r w:rsidRPr="00CA4FF0">
        <w:rPr>
          <w:rFonts w:ascii="Times New Roman" w:hAnsi="Times New Roman" w:cs="Times New Roman"/>
          <w:b/>
          <w:bCs/>
          <w:sz w:val="20"/>
          <w:szCs w:val="20"/>
        </w:rPr>
        <w:lastRenderedPageBreak/>
        <w:t xml:space="preserve">Keywords: </w:t>
      </w:r>
      <w:r w:rsidRPr="00CA4FF0">
        <w:rPr>
          <w:rFonts w:ascii="Times New Roman" w:hAnsi="Times New Roman" w:cs="Times New Roman"/>
          <w:i/>
          <w:iCs/>
          <w:sz w:val="20"/>
          <w:szCs w:val="20"/>
        </w:rPr>
        <w:t>growth monitoring and promotion; child undernutrition; stunting; Sierra Leone; health-seeking behaviour; IYCF; cross-sectional study</w:t>
      </w:r>
    </w:p>
    <w:p w14:paraId="0925669C"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1. INTRODUCTION</w:t>
      </w:r>
    </w:p>
    <w:p w14:paraId="7ADE1D0D"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1.1 Global and Regional Context</w:t>
      </w:r>
    </w:p>
    <w:p w14:paraId="360D6646"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Child un</w:t>
      </w:r>
      <w:r w:rsidRPr="00CA4FF0">
        <w:rPr>
          <w:rFonts w:ascii="Times New Roman" w:hAnsi="Times New Roman" w:cs="Times New Roman"/>
        </w:rPr>
        <w:t>dernutrition constitutes one of the gravest and most persistent public health crises of the twenty-first century. The World Health Organization (WHO) estimates that approximately 149 million children under five years are currently stunted, 45 million are w</w:t>
      </w:r>
      <w:r w:rsidRPr="00CA4FF0">
        <w:rPr>
          <w:rFonts w:ascii="Times New Roman" w:hAnsi="Times New Roman" w:cs="Times New Roman"/>
        </w:rPr>
        <w:t>asted, and over 39 million are overweight — burdens concentrated overwhelmingly in low- and middle-income countries.</w:t>
      </w:r>
      <w:r w:rsidRPr="00CA4FF0">
        <w:rPr>
          <w:rFonts w:ascii="Times New Roman" w:hAnsi="Times New Roman" w:cs="Times New Roman"/>
          <w:color w:val="1F4E79"/>
          <w:sz w:val="18"/>
          <w:szCs w:val="18"/>
          <w:vertAlign w:val="superscript"/>
        </w:rPr>
        <w:t>[1]</w:t>
      </w:r>
      <w:r w:rsidRPr="00CA4FF0">
        <w:rPr>
          <w:rFonts w:ascii="Times New Roman" w:hAnsi="Times New Roman" w:cs="Times New Roman"/>
        </w:rPr>
        <w:t xml:space="preserve"> UNICEF estimates that undernutrition in its various forms contributes to more than 45% of all under-five mortality globally, with surviv</w:t>
      </w:r>
      <w:r w:rsidRPr="00CA4FF0">
        <w:rPr>
          <w:rFonts w:ascii="Times New Roman" w:hAnsi="Times New Roman" w:cs="Times New Roman"/>
        </w:rPr>
        <w:t>ors bearing lifelong consequences including impaired neurocognitive development, diminished educational attainment, and reduced adult economic productivity.</w:t>
      </w:r>
      <w:r w:rsidRPr="00CA4FF0">
        <w:rPr>
          <w:rFonts w:ascii="Times New Roman" w:hAnsi="Times New Roman" w:cs="Times New Roman"/>
          <w:color w:val="1F4E79"/>
          <w:sz w:val="18"/>
          <w:szCs w:val="18"/>
          <w:vertAlign w:val="superscript"/>
        </w:rPr>
        <w:t>[2]</w:t>
      </w:r>
      <w:r w:rsidRPr="00CA4FF0">
        <w:rPr>
          <w:rFonts w:ascii="Times New Roman" w:hAnsi="Times New Roman" w:cs="Times New Roman"/>
        </w:rPr>
        <w:t xml:space="preserve"> Sub-Saharan Africa shoulders a disproportionate fraction of this burden, accounting for approxim</w:t>
      </w:r>
      <w:r w:rsidRPr="00CA4FF0">
        <w:rPr>
          <w:rFonts w:ascii="Times New Roman" w:hAnsi="Times New Roman" w:cs="Times New Roman"/>
        </w:rPr>
        <w:t>ately 40% of the world's stunted children and nearly half of all child deaths attributable to undernutrition.</w:t>
      </w:r>
      <w:r w:rsidRPr="00CA4FF0">
        <w:rPr>
          <w:rFonts w:ascii="Times New Roman" w:hAnsi="Times New Roman" w:cs="Times New Roman"/>
          <w:color w:val="1F4E79"/>
          <w:sz w:val="18"/>
          <w:szCs w:val="18"/>
          <w:vertAlign w:val="superscript"/>
        </w:rPr>
        <w:t>[3]</w:t>
      </w:r>
    </w:p>
    <w:p w14:paraId="3B194A4C"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Growth Monitoring and Promotion (GMP) — the regular measurement of a child's anthropometric indices at defined intervals, followed by caregiver</w:t>
      </w:r>
      <w:r w:rsidRPr="00CA4FF0">
        <w:rPr>
          <w:rFonts w:ascii="Times New Roman" w:hAnsi="Times New Roman" w:cs="Times New Roman"/>
        </w:rPr>
        <w:t xml:space="preserve"> counselling and referral — is recognised globally as a high-priority preventive </w:t>
      </w:r>
      <w:proofErr w:type="gramStart"/>
      <w:r w:rsidRPr="00CA4FF0">
        <w:rPr>
          <w:rFonts w:ascii="Times New Roman" w:hAnsi="Times New Roman" w:cs="Times New Roman"/>
        </w:rPr>
        <w:t>intervention.</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8]</w:t>
      </w:r>
      <w:r w:rsidRPr="00CA4FF0">
        <w:rPr>
          <w:rFonts w:ascii="Times New Roman" w:hAnsi="Times New Roman" w:cs="Times New Roman"/>
        </w:rPr>
        <w:t xml:space="preserve"> Its theoretical premise rests on early detection of growth faltering before irreversible damage occurs, triggering timely corrective action. When implemented </w:t>
      </w:r>
      <w:r w:rsidRPr="00CA4FF0">
        <w:rPr>
          <w:rFonts w:ascii="Times New Roman" w:hAnsi="Times New Roman" w:cs="Times New Roman"/>
        </w:rPr>
        <w:t xml:space="preserve">with quality and consistency, GMP functions simultaneously as a surveillance system, a platform for vitamin A supplementation and </w:t>
      </w:r>
      <w:proofErr w:type="spellStart"/>
      <w:r w:rsidRPr="00CA4FF0">
        <w:rPr>
          <w:rFonts w:ascii="Times New Roman" w:hAnsi="Times New Roman" w:cs="Times New Roman"/>
        </w:rPr>
        <w:t>immunisation</w:t>
      </w:r>
      <w:proofErr w:type="spellEnd"/>
      <w:r w:rsidRPr="00CA4FF0">
        <w:rPr>
          <w:rFonts w:ascii="Times New Roman" w:hAnsi="Times New Roman" w:cs="Times New Roman"/>
        </w:rPr>
        <w:t xml:space="preserve"> delivery, and a behaviour-change contact point. Seminal evidence from South Asia and Sub-Saharan Africa has demon</w:t>
      </w:r>
      <w:r w:rsidRPr="00CA4FF0">
        <w:rPr>
          <w:rFonts w:ascii="Times New Roman" w:hAnsi="Times New Roman" w:cs="Times New Roman"/>
        </w:rPr>
        <w:t xml:space="preserve">strated that children attending GMP regularly exhibit lower odds of severe undernutrition, higher dietary diversity scores, and improved maternal health </w:t>
      </w:r>
      <w:proofErr w:type="gramStart"/>
      <w:r w:rsidRPr="00CA4FF0">
        <w:rPr>
          <w:rFonts w:ascii="Times New Roman" w:hAnsi="Times New Roman" w:cs="Times New Roman"/>
        </w:rPr>
        <w:t>literacy.</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4,5]</w:t>
      </w:r>
    </w:p>
    <w:p w14:paraId="5444084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Sierra Leone presents one of the most challenging nutritional environments in West Afric</w:t>
      </w:r>
      <w:r w:rsidRPr="00CA4FF0">
        <w:rPr>
          <w:rFonts w:ascii="Times New Roman" w:hAnsi="Times New Roman" w:cs="Times New Roman"/>
        </w:rPr>
        <w:t>a. The country's protracted civil conflict (1991–2002) and the 2014–2016 Ebola epidemic have cumulatively eroded health infrastructure and community trust in health services. The Sierra Leone Demographic and Health Survey 2019 (SLDHS 2019) reported a natio</w:t>
      </w:r>
      <w:r w:rsidRPr="00CA4FF0">
        <w:rPr>
          <w:rFonts w:ascii="Times New Roman" w:hAnsi="Times New Roman" w:cs="Times New Roman"/>
        </w:rPr>
        <w:t xml:space="preserve">nal stunting prevalence of 29%, a wasting rate of 8%, and an underweight rate of 12% — all above WHO high-concern thresholds — with marked north-south and rural-urban </w:t>
      </w:r>
      <w:proofErr w:type="gramStart"/>
      <w:r w:rsidRPr="00CA4FF0">
        <w:rPr>
          <w:rFonts w:ascii="Times New Roman" w:hAnsi="Times New Roman" w:cs="Times New Roman"/>
        </w:rPr>
        <w:t>disparities.</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6]</w:t>
      </w:r>
      <w:r w:rsidRPr="00CA4FF0">
        <w:rPr>
          <w:rFonts w:ascii="Times New Roman" w:hAnsi="Times New Roman" w:cs="Times New Roman"/>
        </w:rPr>
        <w:t xml:space="preserve"> Falaba District, in the remote Northern Province, exhibits substantially </w:t>
      </w:r>
      <w:r w:rsidRPr="00CA4FF0">
        <w:rPr>
          <w:rFonts w:ascii="Times New Roman" w:hAnsi="Times New Roman" w:cs="Times New Roman"/>
        </w:rPr>
        <w:t>higher rates. GMP is formally integrated into the national Basic Package of Essential Health Services (BPEHS) and mandated through peripheral health units, yet utilisation remains well below programme targets.</w:t>
      </w:r>
    </w:p>
    <w:p w14:paraId="50FF1869"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1.2 Research Gap and Justification</w:t>
      </w:r>
    </w:p>
    <w:p w14:paraId="655854F3"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A critical </w:t>
      </w:r>
      <w:r w:rsidRPr="00CA4FF0">
        <w:rPr>
          <w:rFonts w:ascii="Times New Roman" w:hAnsi="Times New Roman" w:cs="Times New Roman"/>
        </w:rPr>
        <w:t>evidence gap persists in the existing literature. Studies from Sierra Leone and comparable contexts document either GMP coverage rates or nutritional outcomes in isolation; almost none quantifies the dose-response relationship between GMP attendance qualit</w:t>
      </w:r>
      <w:r w:rsidRPr="00CA4FF0">
        <w:rPr>
          <w:rFonts w:ascii="Times New Roman" w:hAnsi="Times New Roman" w:cs="Times New Roman"/>
        </w:rPr>
        <w:t>y and anthropometric outcomes while simultaneously identifying independent determinants of attendance through multivariable inference. This conflation of 'ever attended' with 'regularly attended' has obscured the programme-level signal: it is not mere cont</w:t>
      </w:r>
      <w:r w:rsidRPr="00CA4FF0">
        <w:rPr>
          <w:rFonts w:ascii="Times New Roman" w:hAnsi="Times New Roman" w:cs="Times New Roman"/>
        </w:rPr>
        <w:t>act but quality, regularity, and integrated service delivery that drive measurable nutritional benefit. Furthermore, studies routinely test knowledge as the primary modifiable lever without adequately adjusting for attitudinal, social network, and health s</w:t>
      </w:r>
      <w:r w:rsidRPr="00CA4FF0">
        <w:rPr>
          <w:rFonts w:ascii="Times New Roman" w:hAnsi="Times New Roman" w:cs="Times New Roman"/>
        </w:rPr>
        <w:t xml:space="preserve">ystem structural factors — producing recommendations </w:t>
      </w:r>
      <w:proofErr w:type="spellStart"/>
      <w:r w:rsidRPr="00CA4FF0">
        <w:rPr>
          <w:rFonts w:ascii="Times New Roman" w:hAnsi="Times New Roman" w:cs="Times New Roman"/>
        </w:rPr>
        <w:t>centred</w:t>
      </w:r>
      <w:proofErr w:type="spellEnd"/>
      <w:r w:rsidRPr="00CA4FF0">
        <w:rPr>
          <w:rFonts w:ascii="Times New Roman" w:hAnsi="Times New Roman" w:cs="Times New Roman"/>
        </w:rPr>
        <w:t xml:space="preserve"> on health education that fail to shift population-level utilisation.</w:t>
      </w:r>
    </w:p>
    <w:p w14:paraId="08BFE232"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The present study addresses three specific gaps: (1) the absence of community-level evidence on GMP utilisation patterns and n</w:t>
      </w:r>
      <w:r w:rsidRPr="00CA4FF0">
        <w:rPr>
          <w:rFonts w:ascii="Times New Roman" w:hAnsi="Times New Roman" w:cs="Times New Roman"/>
        </w:rPr>
        <w:t xml:space="preserve">utritional outcomes in Sulima Chiefdom, one of Sierra Leone's most geographically isolated and nutritionally vulnerable communities; (2) the lack of multivariable inference on determinants of regular — not merely ever — GMP attendance, controlling for the </w:t>
      </w:r>
      <w:r w:rsidRPr="00CA4FF0">
        <w:rPr>
          <w:rFonts w:ascii="Times New Roman" w:hAnsi="Times New Roman" w:cs="Times New Roman"/>
        </w:rPr>
        <w:t>full socio-ecological determinant space; and (3) the need to quantify the independent effect of GMP attendance on anthropometric z-scores through linear regression, establishing effect sizes necessary for health economic analysis and programme investment d</w:t>
      </w:r>
      <w:r w:rsidRPr="00CA4FF0">
        <w:rPr>
          <w:rFonts w:ascii="Times New Roman" w:hAnsi="Times New Roman" w:cs="Times New Roman"/>
        </w:rPr>
        <w:t>ecisions.</w:t>
      </w:r>
    </w:p>
    <w:p w14:paraId="44554B91"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2. MATERIALS AND METHODS</w:t>
      </w:r>
    </w:p>
    <w:p w14:paraId="1740C462"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2.1 Study Design and Setting</w:t>
      </w:r>
    </w:p>
    <w:p w14:paraId="2ABA9AC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community-based cross-sectional study was conducted in Sulima Chiefdom, Falaba District, Northern Province, Sierra Leone, between January and March 2026. Falaba District is geographically re</w:t>
      </w:r>
      <w:r w:rsidRPr="00CA4FF0">
        <w:rPr>
          <w:rFonts w:ascii="Times New Roman" w:hAnsi="Times New Roman" w:cs="Times New Roman"/>
        </w:rPr>
        <w:t>mote, characterised by poor road connectivity, seasonal flooding, low literacy, and limited functional health facilities relative to its population. The population comprised mothers or primary caregivers of children aged 0–59 months residing in Sulima Chie</w:t>
      </w:r>
      <w:r w:rsidRPr="00CA4FF0">
        <w:rPr>
          <w:rFonts w:ascii="Times New Roman" w:hAnsi="Times New Roman" w:cs="Times New Roman"/>
        </w:rPr>
        <w:t>fdom.</w:t>
      </w:r>
    </w:p>
    <w:p w14:paraId="53CF859A"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2.2 Sample Size and Sampling</w:t>
      </w:r>
    </w:p>
    <w:p w14:paraId="5B45343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sample size of 617 was determined using the Cochran formula for cross-sectional surveys, based on an anticipated GMP utilisation rate of 50% (</w:t>
      </w:r>
      <w:proofErr w:type="spellStart"/>
      <w:r w:rsidRPr="00CA4FF0">
        <w:rPr>
          <w:rFonts w:ascii="Times New Roman" w:hAnsi="Times New Roman" w:cs="Times New Roman"/>
        </w:rPr>
        <w:t>maximising</w:t>
      </w:r>
      <w:proofErr w:type="spellEnd"/>
      <w:r w:rsidRPr="00CA4FF0">
        <w:rPr>
          <w:rFonts w:ascii="Times New Roman" w:hAnsi="Times New Roman" w:cs="Times New Roman"/>
        </w:rPr>
        <w:t xml:space="preserve"> sample size at 50% prevalence), with a 5% margin of error, 95% confidence level, and a 10% non-respon</w:t>
      </w:r>
      <w:r w:rsidRPr="00CA4FF0">
        <w:rPr>
          <w:rFonts w:ascii="Times New Roman" w:hAnsi="Times New Roman" w:cs="Times New Roman"/>
        </w:rPr>
        <w:t>se adjustment. A two-stage cluster sampling approach was employed: in Stage 1, villages and communities were selected by probability proportional to size (PPS); in Stage 2, households with at least one eligible child aged 0–59 months were selected by syste</w:t>
      </w:r>
      <w:r w:rsidRPr="00CA4FF0">
        <w:rPr>
          <w:rFonts w:ascii="Times New Roman" w:hAnsi="Times New Roman" w:cs="Times New Roman"/>
        </w:rPr>
        <w:t>matic random sampling. Where a household contained more than one eligible child, the youngest was selected using the Kish grid to avoid intracluster correlation bias.</w:t>
      </w:r>
    </w:p>
    <w:p w14:paraId="08F128EE"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2.3 Data Collection</w:t>
      </w:r>
    </w:p>
    <w:p w14:paraId="26BBEB1C"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Trained data collectors administered a structured questionnaire acros</w:t>
      </w:r>
      <w:r w:rsidRPr="00CA4FF0">
        <w:rPr>
          <w:rFonts w:ascii="Times New Roman" w:hAnsi="Times New Roman" w:cs="Times New Roman"/>
        </w:rPr>
        <w:t xml:space="preserve">s five domains: (A) maternal socio-demographic characteristics; (B) child characteristics and health history; (C) GMP utilisation history and programme quality indicators; (D) maternal knowledge, attitude, and perception regarding GMP and child nutrition; </w:t>
      </w:r>
      <w:r w:rsidRPr="00CA4FF0">
        <w:rPr>
          <w:rFonts w:ascii="Times New Roman" w:hAnsi="Times New Roman" w:cs="Times New Roman"/>
        </w:rPr>
        <w:t xml:space="preserve">and (E) household and health system factors, including barriers to service access and community health worker contacts. Anthropometric measurements </w:t>
      </w:r>
      <w:r w:rsidRPr="00CA4FF0">
        <w:rPr>
          <w:rFonts w:ascii="Times New Roman" w:hAnsi="Times New Roman" w:cs="Times New Roman"/>
        </w:rPr>
        <w:t xml:space="preserve">weight (kg), recumbent length or standing height (cm), and MUAC (mm) </w:t>
      </w:r>
      <w:r w:rsidRPr="00CA4FF0">
        <w:rPr>
          <w:rFonts w:ascii="Times New Roman" w:hAnsi="Times New Roman" w:cs="Times New Roman"/>
        </w:rPr>
        <w:t>were taken in triplicate using cali</w:t>
      </w:r>
      <w:r w:rsidRPr="00CA4FF0">
        <w:rPr>
          <w:rFonts w:ascii="Times New Roman" w:hAnsi="Times New Roman" w:cs="Times New Roman"/>
        </w:rPr>
        <w:t xml:space="preserve">brated instruments following WHO standard operating procedures, with the median recorded. Z-scores were computed using the WHO 2006 Child Growth Standards and the WHO </w:t>
      </w:r>
      <w:proofErr w:type="spellStart"/>
      <w:r w:rsidRPr="00CA4FF0">
        <w:rPr>
          <w:rFonts w:ascii="Times New Roman" w:hAnsi="Times New Roman" w:cs="Times New Roman"/>
        </w:rPr>
        <w:t>anthro</w:t>
      </w:r>
      <w:proofErr w:type="spellEnd"/>
      <w:r w:rsidRPr="00CA4FF0">
        <w:rPr>
          <w:rFonts w:ascii="Times New Roman" w:hAnsi="Times New Roman" w:cs="Times New Roman"/>
        </w:rPr>
        <w:t xml:space="preserve"> macro.</w:t>
      </w:r>
    </w:p>
    <w:p w14:paraId="123750F0"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2.4 Outcome Variables</w:t>
      </w:r>
    </w:p>
    <w:p w14:paraId="6F28D0C4"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 xml:space="preserve">Primary outcome: </w:t>
      </w:r>
      <w:r w:rsidRPr="00CA4FF0">
        <w:rPr>
          <w:rFonts w:ascii="Times New Roman" w:hAnsi="Times New Roman" w:cs="Times New Roman"/>
        </w:rPr>
        <w:t>Regular GMP attendance, defined as a</w:t>
      </w:r>
      <w:r w:rsidRPr="00CA4FF0">
        <w:rPr>
          <w:rFonts w:ascii="Times New Roman" w:hAnsi="Times New Roman" w:cs="Times New Roman"/>
        </w:rPr>
        <w:t>ttending ≥4 GMP sessions in the 6 months preceding the survey (consistent with WHO monthly session protocols), coded as binary (Yes/No).</w:t>
      </w:r>
    </w:p>
    <w:p w14:paraId="0BDDD74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 xml:space="preserve">Secondary outcomes: </w:t>
      </w:r>
      <w:r w:rsidRPr="00CA4FF0">
        <w:rPr>
          <w:rFonts w:ascii="Times New Roman" w:hAnsi="Times New Roman" w:cs="Times New Roman"/>
        </w:rPr>
        <w:t>Height-for-Age Z-score (HAZ), Weight-for-Age Z-score (WAZ), and Weight-for-Height Z-score (WHZ). Cl</w:t>
      </w:r>
      <w:r w:rsidRPr="00CA4FF0">
        <w:rPr>
          <w:rFonts w:ascii="Times New Roman" w:hAnsi="Times New Roman" w:cs="Times New Roman"/>
        </w:rPr>
        <w:t xml:space="preserve">inical thresholds followed WHO standards: stunting (HAZ &lt;−2 SD), wasting (WHZ &lt;−2 SD), underweight (WAZ &lt;−2 SD), moderate acute malnutrition (MAM: MUAC 115–124 mm), and severe acute malnutrition (SAM: MUAC &lt;115 mm). Global Acute Malnutrition (GAM) = SAM + </w:t>
      </w:r>
      <w:r w:rsidRPr="00CA4FF0">
        <w:rPr>
          <w:rFonts w:ascii="Times New Roman" w:hAnsi="Times New Roman" w:cs="Times New Roman"/>
        </w:rPr>
        <w:t>MAM.</w:t>
      </w:r>
    </w:p>
    <w:p w14:paraId="5898A42B"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lastRenderedPageBreak/>
        <w:t>2.5 Statistical Analysis</w:t>
      </w:r>
    </w:p>
    <w:p w14:paraId="72DEFC9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All analyses were conducted using IBM SPSS Statistics (Version 26.0; IBM Corp., Armonk, NY, USA). Continuous variables were described using mean ± standard deviation (SD) for normally distributed data (assessed by Shapiro-Wilk</w:t>
      </w:r>
      <w:r w:rsidRPr="00CA4FF0">
        <w:rPr>
          <w:rFonts w:ascii="Times New Roman" w:hAnsi="Times New Roman" w:cs="Times New Roman"/>
        </w:rPr>
        <w:t xml:space="preserve"> test) or median (interquartile range [IQR]) for non-normal distributions. Categorical variables were presented as frequencies and percentages with 95% Wilson confidence intervals. Bivariable logistic regression estimated crude odds ratios (</w:t>
      </w:r>
      <w:proofErr w:type="spellStart"/>
      <w:r w:rsidRPr="00CA4FF0">
        <w:rPr>
          <w:rFonts w:ascii="Times New Roman" w:hAnsi="Times New Roman" w:cs="Times New Roman"/>
        </w:rPr>
        <w:t>cOR</w:t>
      </w:r>
      <w:proofErr w:type="spellEnd"/>
      <w:r w:rsidRPr="00CA4FF0">
        <w:rPr>
          <w:rFonts w:ascii="Times New Roman" w:hAnsi="Times New Roman" w:cs="Times New Roman"/>
        </w:rPr>
        <w:t>) with 95% c</w:t>
      </w:r>
      <w:r w:rsidRPr="00CA4FF0">
        <w:rPr>
          <w:rFonts w:ascii="Times New Roman" w:hAnsi="Times New Roman" w:cs="Times New Roman"/>
        </w:rPr>
        <w:t>onfidence intervals for each candidate predictor of regular GMP attendance. Variables with p&lt;0.25 in bivariable analysis and those with established clinical or programmatic relevance were entered into the multivariable model.</w:t>
      </w:r>
    </w:p>
    <w:p w14:paraId="6F8DB13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Multivariable binary logistic </w:t>
      </w:r>
      <w:r w:rsidRPr="00CA4FF0">
        <w:rPr>
          <w:rFonts w:ascii="Times New Roman" w:hAnsi="Times New Roman" w:cs="Times New Roman"/>
        </w:rPr>
        <w:t>regression was performed using the Enter method (forced entry), which is preferred over stepwise selection for confirmatory inference and to prevent spurious variable exclusion due to multicollinearity. Model fit was assessed with the Hosmer-</w:t>
      </w:r>
      <w:proofErr w:type="spellStart"/>
      <w:r w:rsidRPr="00CA4FF0">
        <w:rPr>
          <w:rFonts w:ascii="Times New Roman" w:hAnsi="Times New Roman" w:cs="Times New Roman"/>
        </w:rPr>
        <w:t>Lemeshow</w:t>
      </w:r>
      <w:proofErr w:type="spellEnd"/>
      <w:r w:rsidRPr="00CA4FF0">
        <w:rPr>
          <w:rFonts w:ascii="Times New Roman" w:hAnsi="Times New Roman" w:cs="Times New Roman"/>
        </w:rPr>
        <w:t xml:space="preserve"> goodn</w:t>
      </w:r>
      <w:r w:rsidRPr="00CA4FF0">
        <w:rPr>
          <w:rFonts w:ascii="Times New Roman" w:hAnsi="Times New Roman" w:cs="Times New Roman"/>
        </w:rPr>
        <w:t>ess-of-fit test (adequate fit: p&gt;0.05) and the Nagelkerke R² pseudo-coefficient. Multicollinearity was evaluated using the Variance Inflation Factor (VIF); all VIFs were &lt;5.0. Multiple linear regression was performed with HAZ and WAZ as dependent variables</w:t>
      </w:r>
      <w:r w:rsidRPr="00CA4FF0">
        <w:rPr>
          <w:rFonts w:ascii="Times New Roman" w:hAnsi="Times New Roman" w:cs="Times New Roman"/>
        </w:rPr>
        <w:t xml:space="preserve">, adjusting simultaneously for child age, sex, birth weight, exclusive breastfeeding, recent diarrhoea and ARI episodes, vitamin A supplementation status, maternal knowledge category, household food security, IYCF counselling exposure, and distance to the </w:t>
      </w:r>
      <w:r w:rsidRPr="00CA4FF0">
        <w:rPr>
          <w:rFonts w:ascii="Times New Roman" w:hAnsi="Times New Roman" w:cs="Times New Roman"/>
        </w:rPr>
        <w:t>primary health centre. A dose-response analysis examined the relationship between GMP visit frequency and stunting prevalence and mean HAZ. Statistical significance was defined at p&lt;0.05 (two-tailed); borderline trends at p&lt;0.10 are noted where relevant. E</w:t>
      </w:r>
      <w:r w:rsidRPr="00CA4FF0">
        <w:rPr>
          <w:rFonts w:ascii="Times New Roman" w:hAnsi="Times New Roman" w:cs="Times New Roman"/>
        </w:rPr>
        <w:t>ffect sizes are reported using Cohen's d for mean differences and Nagelkerke R² for logistic models.</w:t>
      </w:r>
    </w:p>
    <w:p w14:paraId="29D50611"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2.6 Ethical Considerations</w:t>
      </w:r>
    </w:p>
    <w:p w14:paraId="6C5687B9"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Ethical approval was obtained from the Institutional Review Board of Njala University and the Sierra Leone Ethics and Scientific</w:t>
      </w:r>
      <w:r w:rsidRPr="00CA4FF0">
        <w:rPr>
          <w:rFonts w:ascii="Times New Roman" w:hAnsi="Times New Roman" w:cs="Times New Roman"/>
        </w:rPr>
        <w:t xml:space="preserve"> Review Committee. Informed written consent was obtained from all participants prior to data collection. Participation was voluntary, and confidentiality was assured through data anonymisation. Children identified with SAM during anthropometric screening w</w:t>
      </w:r>
      <w:r w:rsidRPr="00CA4FF0">
        <w:rPr>
          <w:rFonts w:ascii="Times New Roman" w:hAnsi="Times New Roman" w:cs="Times New Roman"/>
        </w:rPr>
        <w:t>ere immediately referred to the nearest CMAM-capable facility.</w:t>
      </w:r>
    </w:p>
    <w:p w14:paraId="4EA1C455"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3. RESULTS</w:t>
      </w:r>
    </w:p>
    <w:p w14:paraId="2EF5E219"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3.1 Sample Characteristics</w:t>
      </w:r>
    </w:p>
    <w:p w14:paraId="29EF9E2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total of 617 mother–child dyads were enrolled, achieving the target sample with a response rate of 97.3%. The majority of mothers were married (69.4%), a</w:t>
      </w:r>
      <w:r w:rsidRPr="00CA4FF0">
        <w:rPr>
          <w:rFonts w:ascii="Times New Roman" w:hAnsi="Times New Roman" w:cs="Times New Roman"/>
        </w:rPr>
        <w:t>ged 20–24 years (38.1%), and residing in villages (72.6%). Over 76% of households had a monthly income below 1,000,000 SLL (&lt;US$50), and 44.2% fell below 500,000 SLL, indicating profound economic vulnerability. Formal education was absent among 45.2% of mo</w:t>
      </w:r>
      <w:r w:rsidRPr="00CA4FF0">
        <w:rPr>
          <w:rFonts w:ascii="Times New Roman" w:hAnsi="Times New Roman" w:cs="Times New Roman"/>
        </w:rPr>
        <w:t>thers (n=279), with only 4.9% completing tertiary education. Household food insecurity was near-universal: only 18.0% of households were food secure, while 15.9% were severely food insecure. Children were approximately equally distributed by sex (54.5% mal</w:t>
      </w:r>
      <w:r w:rsidRPr="00CA4FF0">
        <w:rPr>
          <w:rFonts w:ascii="Times New Roman" w:hAnsi="Times New Roman" w:cs="Times New Roman"/>
        </w:rPr>
        <w:t>e) across the 0–59-month spectrum. Low birth weight was reported in 14.1% (n=87), and only 25.6% of children had been exclusively breastfed for the first six months. Full vaccination coverage was achieved in 51.9% (n=320). Detailed characteristics are pres</w:t>
      </w:r>
      <w:r w:rsidRPr="00CA4FF0">
        <w:rPr>
          <w:rFonts w:ascii="Times New Roman" w:hAnsi="Times New Roman" w:cs="Times New Roman"/>
        </w:rPr>
        <w:t>ented in Table 1 (Supplementary Material).</w:t>
      </w:r>
    </w:p>
    <w:p w14:paraId="68939D3A"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3.2 GMP Utilisation</w:t>
      </w:r>
    </w:p>
    <w:p w14:paraId="0203B076"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 xml:space="preserve">Of 617 children, 480 (77.8%, 95% CI: 74.5–81.1%) had ever attended a GMP session. However, regular attendance — ≥4 sessions in the past six months </w:t>
      </w:r>
      <w:r w:rsidRPr="00CA4FF0">
        <w:rPr>
          <w:rFonts w:ascii="Times New Roman" w:hAnsi="Times New Roman" w:cs="Times New Roman"/>
        </w:rPr>
        <w:t>was substantially lower at 41.8% (n=258, 95%</w:t>
      </w:r>
      <w:r w:rsidRPr="00CA4FF0">
        <w:rPr>
          <w:rFonts w:ascii="Times New Roman" w:hAnsi="Times New Roman" w:cs="Times New Roman"/>
        </w:rPr>
        <w:t xml:space="preserve"> CI: 37.9–45.7%). Continuity of GMP participation since birth was maintained in only 43.1% (n=266). Among GMP attendees, 64.3% received nutrition counselling, 55.4% received growth chart explanation, and 64.0% had a child health </w:t>
      </w:r>
      <w:proofErr w:type="spellStart"/>
      <w:r w:rsidRPr="00CA4FF0">
        <w:rPr>
          <w:rFonts w:ascii="Times New Roman" w:hAnsi="Times New Roman" w:cs="Times New Roman"/>
        </w:rPr>
        <w:t>card</w:t>
      </w:r>
      <w:proofErr w:type="spellEnd"/>
      <w:r w:rsidRPr="00CA4FF0">
        <w:rPr>
          <w:rFonts w:ascii="Times New Roman" w:hAnsi="Times New Roman" w:cs="Times New Roman"/>
        </w:rPr>
        <w:t xml:space="preserve"> available. These figur</w:t>
      </w:r>
      <w:r w:rsidRPr="00CA4FF0">
        <w:rPr>
          <w:rFonts w:ascii="Times New Roman" w:hAnsi="Times New Roman" w:cs="Times New Roman"/>
        </w:rPr>
        <w:t xml:space="preserve">es indicate a notable dissociation between physical attendance and service quality </w:t>
      </w:r>
      <w:proofErr w:type="gramStart"/>
      <w:r w:rsidRPr="00CA4FF0">
        <w:rPr>
          <w:rFonts w:ascii="Times New Roman" w:hAnsi="Times New Roman" w:cs="Times New Roman"/>
        </w:rPr>
        <w:t>receipt</w:t>
      </w:r>
      <w:r w:rsidR="00CA4FF0" w:rsidRPr="00CA4FF0">
        <w:rPr>
          <w:rFonts w:ascii="Times New Roman" w:hAnsi="Times New Roman" w:cs="Times New Roman"/>
        </w:rPr>
        <w:t xml:space="preserve"> </w:t>
      </w:r>
      <w:r w:rsidRPr="00CA4FF0">
        <w:rPr>
          <w:rFonts w:ascii="Times New Roman" w:hAnsi="Times New Roman" w:cs="Times New Roman"/>
        </w:rPr>
        <w:t xml:space="preserve"> a</w:t>
      </w:r>
      <w:proofErr w:type="gramEnd"/>
      <w:r w:rsidRPr="00CA4FF0">
        <w:rPr>
          <w:rFonts w:ascii="Times New Roman" w:hAnsi="Times New Roman" w:cs="Times New Roman"/>
        </w:rPr>
        <w:t xml:space="preserve"> pattern with direct implications for programme effectiveness.</w:t>
      </w:r>
    </w:p>
    <w:p w14:paraId="6295520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gap between ever-attendance (77.8%) and regular attendance (41.8%)</w:t>
      </w:r>
      <w:r w:rsidRPr="00CA4FF0">
        <w:rPr>
          <w:rFonts w:ascii="Times New Roman" w:hAnsi="Times New Roman" w:cs="Times New Roman"/>
        </w:rPr>
        <w:t xml:space="preserve"> a </w:t>
      </w:r>
      <w:r w:rsidRPr="00CA4FF0">
        <w:rPr>
          <w:rFonts w:ascii="Times New Roman" w:hAnsi="Times New Roman" w:cs="Times New Roman"/>
          <w:b/>
          <w:bCs/>
        </w:rPr>
        <w:t>36 percentage-point defi</w:t>
      </w:r>
      <w:r w:rsidRPr="00CA4FF0">
        <w:rPr>
          <w:rFonts w:ascii="Times New Roman" w:hAnsi="Times New Roman" w:cs="Times New Roman"/>
          <w:b/>
          <w:bCs/>
        </w:rPr>
        <w:t>cit</w:t>
      </w:r>
      <w:r w:rsidRPr="00CA4FF0">
        <w:rPr>
          <w:rFonts w:ascii="Times New Roman" w:hAnsi="Times New Roman" w:cs="Times New Roman"/>
        </w:rPr>
        <w:t xml:space="preserve"> </w:t>
      </w:r>
      <w:r w:rsidRPr="00CA4FF0">
        <w:rPr>
          <w:rFonts w:ascii="Times New Roman" w:hAnsi="Times New Roman" w:cs="Times New Roman"/>
        </w:rPr>
        <w:t>constitutes the central programmatic finding of this study. It implies that while community awareness of GMP exists, sustained, quality engagement remains the critical unmet target.</w:t>
      </w:r>
    </w:p>
    <w:p w14:paraId="15794C2A"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3.3 Nutritional Status</w:t>
      </w:r>
    </w:p>
    <w:p w14:paraId="696B9B6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Table 2 presents nutritional status indicator</w:t>
      </w:r>
      <w:r w:rsidRPr="00CA4FF0">
        <w:rPr>
          <w:rFonts w:ascii="Times New Roman" w:hAnsi="Times New Roman" w:cs="Times New Roman"/>
        </w:rPr>
        <w:t xml:space="preserve">s for the full sample. The overall stunting prevalence was 28.7% (95% CI: 25.1–32.3%), exceeding the WHO threshold of 20% that defines high public health concern and mirroring the SLDHS 2019 national estimate of 29%. </w:t>
      </w:r>
      <w:r w:rsidRPr="00CA4FF0">
        <w:rPr>
          <w:rFonts w:ascii="Times New Roman" w:hAnsi="Times New Roman" w:cs="Times New Roman"/>
          <w:i/>
          <w:iCs/>
        </w:rPr>
        <w:t xml:space="preserve">Global Acute Malnutrition (GAM) </w:t>
      </w:r>
      <w:r w:rsidRPr="00CA4FF0">
        <w:rPr>
          <w:rFonts w:ascii="Times New Roman" w:hAnsi="Times New Roman" w:cs="Times New Roman"/>
        </w:rPr>
        <w:t>prevale</w:t>
      </w:r>
      <w:r w:rsidRPr="00CA4FF0">
        <w:rPr>
          <w:rFonts w:ascii="Times New Roman" w:hAnsi="Times New Roman" w:cs="Times New Roman"/>
        </w:rPr>
        <w:t>nce reached 18.3% (95% CI: 15.3–21.4%), exceeding the WHO emergency threshold of 15% and indicating a nutrition emergency in this population. Wasting affected 8.1% of children (exceeding the WHO critical threshold of 5%), underweight 22.4%, SAM 1.0%, and M</w:t>
      </w:r>
      <w:r w:rsidRPr="00CA4FF0">
        <w:rPr>
          <w:rFonts w:ascii="Times New Roman" w:hAnsi="Times New Roman" w:cs="Times New Roman"/>
        </w:rPr>
        <w:t>AM 18.2%. Mean anthropometric z-scores were: HAZ −1.30 ± 1.23, WAZ −1.13 ± 1.12, and WHZ −0.51 ± 1.07. Stunting increased with age, peaking in the 36–47-month age group (36.5%), consistent with cumulative growth faltering during the complementary feeding t</w:t>
      </w:r>
      <w:r w:rsidRPr="00CA4FF0">
        <w:rPr>
          <w:rFonts w:ascii="Times New Roman" w:hAnsi="Times New Roman" w:cs="Times New Roman"/>
        </w:rPr>
        <w:t>ransition period.</w:t>
      </w:r>
    </w:p>
    <w:p w14:paraId="6035CECE" w14:textId="77777777" w:rsidR="00355B0D" w:rsidRPr="00CA4FF0" w:rsidRDefault="00F77F3D">
      <w:pPr>
        <w:spacing w:before="200" w:after="80"/>
        <w:rPr>
          <w:rFonts w:ascii="Times New Roman" w:hAnsi="Times New Roman" w:cs="Times New Roman"/>
        </w:rPr>
      </w:pPr>
      <w:r w:rsidRPr="00CA4FF0">
        <w:rPr>
          <w:rFonts w:ascii="Times New Roman" w:hAnsi="Times New Roman" w:cs="Times New Roman"/>
          <w:b/>
          <w:bCs/>
        </w:rPr>
        <w:t xml:space="preserve">Table 2. </w:t>
      </w:r>
      <w:r w:rsidRPr="00CA4FF0">
        <w:rPr>
          <w:rFonts w:ascii="Times New Roman" w:hAnsi="Times New Roman" w:cs="Times New Roman"/>
        </w:rPr>
        <w:t>Nutritional status of children under five years, Sulima Chiefdom, Sierra Leone (N=617)</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6"/>
        <w:gridCol w:w="1014"/>
        <w:gridCol w:w="1364"/>
        <w:gridCol w:w="985"/>
        <w:gridCol w:w="985"/>
        <w:gridCol w:w="1913"/>
      </w:tblGrid>
      <w:tr w:rsidR="00355B0D" w:rsidRPr="00CA4FF0" w14:paraId="6FEB88A7" w14:textId="77777777" w:rsidTr="00CA4FF0">
        <w:tblPrEx>
          <w:tblCellMar>
            <w:top w:w="0" w:type="dxa"/>
            <w:bottom w:w="0" w:type="dxa"/>
          </w:tblCellMar>
        </w:tblPrEx>
        <w:trPr>
          <w:trHeight w:val="431"/>
        </w:trPr>
        <w:tc>
          <w:tcPr>
            <w:tcW w:w="290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B4B8F81"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Nutritional Indicator</w:t>
            </w:r>
          </w:p>
        </w:tc>
        <w:tc>
          <w:tcPr>
            <w:tcW w:w="1014"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CCF318"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n</w:t>
            </w:r>
          </w:p>
        </w:tc>
        <w:tc>
          <w:tcPr>
            <w:tcW w:w="1364"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D96D882"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Prevalence (%)</w:t>
            </w:r>
          </w:p>
        </w:tc>
        <w:tc>
          <w:tcPr>
            <w:tcW w:w="98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EFC9F35"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95% CI Lower</w:t>
            </w:r>
          </w:p>
        </w:tc>
        <w:tc>
          <w:tcPr>
            <w:tcW w:w="98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74A5FE"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95% CI Upper</w:t>
            </w:r>
          </w:p>
        </w:tc>
        <w:tc>
          <w:tcPr>
            <w:tcW w:w="1913"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210F749"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WHO Threshold</w:t>
            </w:r>
          </w:p>
        </w:tc>
      </w:tr>
      <w:tr w:rsidR="00355B0D" w:rsidRPr="00CA4FF0" w14:paraId="17E7C063" w14:textId="77777777" w:rsidTr="00CA4FF0">
        <w:tblPrEx>
          <w:tblCellMar>
            <w:top w:w="0" w:type="dxa"/>
            <w:bottom w:w="0" w:type="dxa"/>
          </w:tblCellMar>
        </w:tblPrEx>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9E6666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Stunting (HAZ &lt;−2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6F3617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177</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1EE3F0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28.7</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BF60AD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25.1</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90A1B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32.3</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3CC83C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&gt;20% high concern</w:t>
            </w:r>
          </w:p>
        </w:tc>
      </w:tr>
      <w:tr w:rsidR="00355B0D" w:rsidRPr="00CA4FF0" w14:paraId="59DB7661" w14:textId="77777777" w:rsidTr="00CA4FF0">
        <w:tblPrEx>
          <w:tblCellMar>
            <w:top w:w="0" w:type="dxa"/>
            <w:bottom w:w="0" w:type="dxa"/>
          </w:tblCellMar>
        </w:tblPrEx>
        <w:trPr>
          <w:trHeight w:val="264"/>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0CC42B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Wasting (WHZ &lt;−2 SD)</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27915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50</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0697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8.1</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D9C09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6.0</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BD03B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10.3</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45690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&gt;5% critical</w:t>
            </w:r>
          </w:p>
        </w:tc>
      </w:tr>
      <w:tr w:rsidR="00355B0D" w:rsidRPr="00CA4FF0" w14:paraId="67DBF0A2" w14:textId="77777777" w:rsidTr="00CA4FF0">
        <w:tblPrEx>
          <w:tblCellMar>
            <w:top w:w="0" w:type="dxa"/>
            <w:bottom w:w="0" w:type="dxa"/>
          </w:tblCellMar>
        </w:tblPrEx>
        <w:trPr>
          <w:trHeight w:val="51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359479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Underweight (WAZ &lt;−2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31C82B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138</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7CE661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22.4</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42E62A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19.1</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28AAD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25.7</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D20A1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&gt;20% high concern</w:t>
            </w:r>
          </w:p>
        </w:tc>
      </w:tr>
      <w:tr w:rsidR="00355B0D" w:rsidRPr="00CA4FF0" w14:paraId="543601FE" w14:textId="77777777" w:rsidTr="00CA4FF0">
        <w:tblPrEx>
          <w:tblCellMar>
            <w:top w:w="0" w:type="dxa"/>
            <w:bottom w:w="0" w:type="dxa"/>
          </w:tblCellMar>
        </w:tblPrEx>
        <w:trPr>
          <w:trHeight w:val="558"/>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AB745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Global Acute Malnutrition (GAM)</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9BAA6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113</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E578F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18.3</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DF76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15.3</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E88D7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21.4</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8916A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&gt;15% emergency </w:t>
            </w:r>
            <w:r w:rsidRPr="00CA4FF0">
              <w:rPr>
                <w:rFonts w:ascii="Segoe UI Symbol" w:hAnsi="Segoe UI Symbol" w:cs="Segoe UI Symbol"/>
              </w:rPr>
              <w:t>★</w:t>
            </w:r>
          </w:p>
        </w:tc>
      </w:tr>
      <w:tr w:rsidR="00355B0D" w:rsidRPr="00CA4FF0" w14:paraId="5AE5B261" w14:textId="77777777" w:rsidTr="00CA4FF0">
        <w:tblPrEx>
          <w:tblCellMar>
            <w:top w:w="0" w:type="dxa"/>
            <w:bottom w:w="0" w:type="dxa"/>
          </w:tblCellMar>
        </w:tblPrEx>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6F74F8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Moderate Acute Malnutrition (MAM)</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8B1E6B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112</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BED1F6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18.2</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2DA5DE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15.1</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E5041B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21.2</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7F55C6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2B3DA080" w14:textId="77777777" w:rsidTr="00CA4FF0">
        <w:tblPrEx>
          <w:tblCellMar>
            <w:top w:w="0" w:type="dxa"/>
            <w:bottom w:w="0" w:type="dxa"/>
          </w:tblCellMar>
        </w:tblPrEx>
        <w:trPr>
          <w:trHeight w:val="519"/>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F9157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Severe Acute Malnutrition (SAM)</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B97B7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C1E9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2133B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0.2</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C9415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DD060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755F1504" w14:textId="77777777" w:rsidTr="00CA4FF0">
        <w:tblPrEx>
          <w:tblCellMar>
            <w:top w:w="0" w:type="dxa"/>
            <w:bottom w:w="0" w:type="dxa"/>
          </w:tblCellMar>
        </w:tblPrEx>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643136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HAZ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64D675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1.30 ± 1.23</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2830CC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88D749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5BEF0A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92396D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w:t>
            </w:r>
          </w:p>
        </w:tc>
      </w:tr>
      <w:tr w:rsidR="00355B0D" w:rsidRPr="00CA4FF0" w14:paraId="384837A6" w14:textId="77777777" w:rsidTr="00CA4FF0">
        <w:tblPrEx>
          <w:tblCellMar>
            <w:top w:w="0" w:type="dxa"/>
            <w:bottom w:w="0" w:type="dxa"/>
          </w:tblCellMar>
        </w:tblPrEx>
        <w:trPr>
          <w:trHeight w:val="529"/>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B622E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WAZ (±SD)</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65D9D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1.13 ± 1.12</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3432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15248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277A0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814BD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w:t>
            </w:r>
          </w:p>
        </w:tc>
      </w:tr>
      <w:tr w:rsidR="00355B0D" w:rsidRPr="00CA4FF0" w14:paraId="7E4D4D7D" w14:textId="77777777" w:rsidTr="00CA4FF0">
        <w:tblPrEx>
          <w:tblCellMar>
            <w:top w:w="0" w:type="dxa"/>
            <w:bottom w:w="0" w:type="dxa"/>
          </w:tblCellMar>
        </w:tblPrEx>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58BB76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WHZ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C075A3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0.51 ± 1.07</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11D80A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3DD136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33E51F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8DBAB7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w:t>
            </w:r>
          </w:p>
        </w:tc>
      </w:tr>
      <w:tr w:rsidR="00355B0D" w:rsidRPr="00CA4FF0" w14:paraId="1646BFE4" w14:textId="77777777" w:rsidTr="00CA4FF0">
        <w:tblPrEx>
          <w:tblCellMar>
            <w:top w:w="0" w:type="dxa"/>
            <w:bottom w:w="0" w:type="dxa"/>
          </w:tblCellMar>
        </w:tblPrEx>
        <w:trPr>
          <w:trHeight w:val="519"/>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A2B82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lastRenderedPageBreak/>
              <w:t>Mean MUAC, mm (±SD)</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7ED6C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131.84 ± 7.55</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0275D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6ED7D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5B828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AABDF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≥125 mm normal</w:t>
            </w:r>
          </w:p>
        </w:tc>
      </w:tr>
    </w:tbl>
    <w:p w14:paraId="333C5DC7"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Segoe UI Symbol" w:hAnsi="Segoe UI Symbol" w:cs="Segoe UI Symbol"/>
          <w:i/>
          <w:iCs/>
          <w:color w:val="555555"/>
          <w:sz w:val="18"/>
          <w:szCs w:val="18"/>
        </w:rPr>
        <w:t>★</w:t>
      </w:r>
      <w:r w:rsidRPr="00CA4FF0">
        <w:rPr>
          <w:rFonts w:ascii="Times New Roman" w:hAnsi="Times New Roman" w:cs="Times New Roman"/>
          <w:i/>
          <w:iCs/>
          <w:color w:val="555555"/>
          <w:sz w:val="18"/>
          <w:szCs w:val="18"/>
        </w:rPr>
        <w:t xml:space="preserve"> GAM ≥15% denotes a nutrition emergency per WHO/UNHCR standards. HAZ = Height-for-Age Z-score; WAZ = Weight-for-Age Z-score; WHZ = Weight-for-Height Z-score; MUAC = Mid-Upper Arm Circumference; SD = Standard Deviation.</w:t>
      </w:r>
    </w:p>
    <w:p w14:paraId="2DE66DDE" w14:textId="77777777" w:rsidR="00355B0D" w:rsidRPr="00CA4FF0" w:rsidRDefault="00355B0D">
      <w:pPr>
        <w:spacing w:after="80"/>
        <w:rPr>
          <w:rFonts w:ascii="Times New Roman" w:hAnsi="Times New Roman" w:cs="Times New Roman"/>
        </w:rPr>
      </w:pPr>
    </w:p>
    <w:p w14:paraId="7C119791"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3.4 Association Between GMP Attenda</w:t>
      </w:r>
      <w:r w:rsidRPr="00CA4FF0">
        <w:rPr>
          <w:rFonts w:ascii="Times New Roman" w:hAnsi="Times New Roman" w:cs="Times New Roman"/>
        </w:rPr>
        <w:t>nce and Nutritional Outcomes</w:t>
      </w:r>
    </w:p>
    <w:p w14:paraId="49F07F2D"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association between regular GMP attendance and nutritional outcomes was consistent across all anthropometric indicators (Table 3). Stunting prevalence was 19.0% among regular attendees versus 35.7% among irregular attendees</w:t>
      </w:r>
      <w:r w:rsidRPr="00CA4FF0">
        <w:rPr>
          <w:rFonts w:ascii="Times New Roman" w:hAnsi="Times New Roman" w:cs="Times New Roman"/>
        </w:rPr>
        <w:t xml:space="preserve"> (OR=0.42, 95% CI: 0.29–0.62, p&lt;0.001) — a near-halving of stunting risk. GAM prevalence was 14.0% versus 21.4% (OR=0.59, 95% CI: 0.39–0.92, p=0.023). Wasting was 4.7% in regular attendees versus 10.6% in irregular attendees (OR=0.41, 95% CI: 0.21–0.81, p=</w:t>
      </w:r>
      <w:r w:rsidRPr="00CA4FF0">
        <w:rPr>
          <w:rFonts w:ascii="Times New Roman" w:hAnsi="Times New Roman" w:cs="Times New Roman"/>
        </w:rPr>
        <w:t>0.012). Underweight affected 17.8% of regular versus 25.6% of irregular attendees (OR=0.63, 95% CI: 0.42–0.94, p=0.028).</w:t>
      </w:r>
    </w:p>
    <w:p w14:paraId="2A4BB199"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difference in continuous anthropometric z-scores was statistically significant and clinically meaningful. Regular GMP attendees had</w:t>
      </w:r>
      <w:r w:rsidRPr="00CA4FF0">
        <w:rPr>
          <w:rFonts w:ascii="Times New Roman" w:hAnsi="Times New Roman" w:cs="Times New Roman"/>
        </w:rPr>
        <w:t xml:space="preserve"> a mean HAZ of −1.009 (SD=1.200) compared to −1.502 (SD=1.211) among irregular attendees (mean difference: </w:t>
      </w:r>
      <w:r w:rsidRPr="00CA4FF0">
        <w:rPr>
          <w:rFonts w:ascii="Times New Roman" w:hAnsi="Times New Roman" w:cs="Times New Roman"/>
          <w:b/>
          <w:bCs/>
        </w:rPr>
        <w:t>+0.493 SD</w:t>
      </w:r>
      <w:r w:rsidRPr="00CA4FF0">
        <w:rPr>
          <w:rFonts w:ascii="Times New Roman" w:hAnsi="Times New Roman" w:cs="Times New Roman"/>
        </w:rPr>
        <w:t xml:space="preserve">; </w:t>
      </w:r>
      <w:proofErr w:type="gramStart"/>
      <w:r w:rsidRPr="00CA4FF0">
        <w:rPr>
          <w:rFonts w:ascii="Times New Roman" w:hAnsi="Times New Roman" w:cs="Times New Roman"/>
        </w:rPr>
        <w:t>t[</w:t>
      </w:r>
      <w:proofErr w:type="gramEnd"/>
      <w:r w:rsidRPr="00CA4FF0">
        <w:rPr>
          <w:rFonts w:ascii="Times New Roman" w:hAnsi="Times New Roman" w:cs="Times New Roman"/>
        </w:rPr>
        <w:t xml:space="preserve">615]=5.01, p&lt;0.001; Cohen's d=0.41 — a moderate effect). For WAZ, the difference was +0.355 SD (−0.920 vs −1.275; </w:t>
      </w:r>
      <w:proofErr w:type="gramStart"/>
      <w:r w:rsidRPr="00CA4FF0">
        <w:rPr>
          <w:rFonts w:ascii="Times New Roman" w:hAnsi="Times New Roman" w:cs="Times New Roman"/>
        </w:rPr>
        <w:t>t[</w:t>
      </w:r>
      <w:proofErr w:type="gramEnd"/>
      <w:r w:rsidRPr="00CA4FF0">
        <w:rPr>
          <w:rFonts w:ascii="Times New Roman" w:hAnsi="Times New Roman" w:cs="Times New Roman"/>
        </w:rPr>
        <w:t xml:space="preserve">615]=3.94, p&lt;0.001; </w:t>
      </w:r>
      <w:r w:rsidRPr="00CA4FF0">
        <w:rPr>
          <w:rFonts w:ascii="Times New Roman" w:hAnsi="Times New Roman" w:cs="Times New Roman"/>
        </w:rPr>
        <w:t xml:space="preserve">Cohen's d=0.32). For WHZ, the difference was +0.407 SD (−0.272 vs −0.679; </w:t>
      </w:r>
      <w:proofErr w:type="gramStart"/>
      <w:r w:rsidRPr="00CA4FF0">
        <w:rPr>
          <w:rFonts w:ascii="Times New Roman" w:hAnsi="Times New Roman" w:cs="Times New Roman"/>
        </w:rPr>
        <w:t>t[</w:t>
      </w:r>
      <w:proofErr w:type="gramEnd"/>
      <w:r w:rsidRPr="00CA4FF0">
        <w:rPr>
          <w:rFonts w:ascii="Times New Roman" w:hAnsi="Times New Roman" w:cs="Times New Roman"/>
        </w:rPr>
        <w:t>615]=4.72, p&lt;0.001; Cohen's d=0.39).</w:t>
      </w:r>
    </w:p>
    <w:p w14:paraId="34E902AA" w14:textId="77777777" w:rsidR="00355B0D" w:rsidRPr="00CA4FF0" w:rsidRDefault="00F77F3D">
      <w:pPr>
        <w:spacing w:before="200" w:after="80"/>
        <w:rPr>
          <w:rFonts w:ascii="Times New Roman" w:hAnsi="Times New Roman" w:cs="Times New Roman"/>
        </w:rPr>
      </w:pPr>
      <w:r w:rsidRPr="00CA4FF0">
        <w:rPr>
          <w:rFonts w:ascii="Times New Roman" w:hAnsi="Times New Roman" w:cs="Times New Roman"/>
          <w:b/>
          <w:bCs/>
        </w:rPr>
        <w:t xml:space="preserve">Table 3. </w:t>
      </w:r>
      <w:r w:rsidRPr="00CA4FF0">
        <w:rPr>
          <w:rFonts w:ascii="Times New Roman" w:hAnsi="Times New Roman" w:cs="Times New Roman"/>
        </w:rPr>
        <w:t>Association between regular GMP attendance and child nutritional outcomes, Sulima Chiefdom (N=617)</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1"/>
        <w:gridCol w:w="1150"/>
        <w:gridCol w:w="1150"/>
        <w:gridCol w:w="1841"/>
        <w:gridCol w:w="1150"/>
        <w:gridCol w:w="2025"/>
      </w:tblGrid>
      <w:tr w:rsidR="00355B0D" w:rsidRPr="00CA4FF0" w14:paraId="22D9177E" w14:textId="77777777" w:rsidTr="00CA4FF0">
        <w:tblPrEx>
          <w:tblCellMar>
            <w:top w:w="0" w:type="dxa"/>
            <w:bottom w:w="0" w:type="dxa"/>
          </w:tblCellMar>
        </w:tblPrEx>
        <w:trPr>
          <w:trHeight w:val="435"/>
        </w:trPr>
        <w:tc>
          <w:tcPr>
            <w:tcW w:w="2301"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A18038E"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Outcome</w:t>
            </w:r>
          </w:p>
        </w:tc>
        <w:tc>
          <w:tcPr>
            <w:tcW w:w="11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64D4996"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Regular (n=258)</w:t>
            </w:r>
          </w:p>
        </w:tc>
        <w:tc>
          <w:tcPr>
            <w:tcW w:w="11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E0CC1A7"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Irregular (</w:t>
            </w:r>
            <w:r w:rsidRPr="00CA4FF0">
              <w:rPr>
                <w:rFonts w:ascii="Times New Roman" w:hAnsi="Times New Roman" w:cs="Times New Roman"/>
                <w:b/>
                <w:bCs/>
                <w:color w:val="FFFFFF"/>
                <w:sz w:val="18"/>
                <w:szCs w:val="18"/>
              </w:rPr>
              <w:t>n=359)</w:t>
            </w:r>
          </w:p>
        </w:tc>
        <w:tc>
          <w:tcPr>
            <w:tcW w:w="1841"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A6E0C6B"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Crude OR (95% CI)</w:t>
            </w:r>
          </w:p>
        </w:tc>
        <w:tc>
          <w:tcPr>
            <w:tcW w:w="11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ADF3C2A"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p-value</w:t>
            </w:r>
          </w:p>
        </w:tc>
        <w:tc>
          <w:tcPr>
            <w:tcW w:w="202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7113E22F"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Mean Difference</w:t>
            </w:r>
          </w:p>
        </w:tc>
      </w:tr>
      <w:tr w:rsidR="00355B0D" w:rsidRPr="00CA4FF0" w14:paraId="531F9A79" w14:textId="77777777" w:rsidTr="00CA4FF0">
        <w:tblPrEx>
          <w:tblCellMar>
            <w:top w:w="0" w:type="dxa"/>
            <w:bottom w:w="0" w:type="dxa"/>
          </w:tblCellMar>
        </w:tblPrEx>
        <w:trPr>
          <w:trHeight w:val="53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D66FE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Stunting (HAZ &lt;−2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338009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19.0%</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67C32B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35.7%</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5B292C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0.42 (0.29–0.62)</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EB60FF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98F8CF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16.7 pp</w:t>
            </w:r>
          </w:p>
        </w:tc>
      </w:tr>
      <w:tr w:rsidR="00355B0D" w:rsidRPr="00CA4FF0" w14:paraId="7FA6D007" w14:textId="77777777" w:rsidTr="00CA4FF0">
        <w:tblPrEx>
          <w:tblCellMar>
            <w:top w:w="0" w:type="dxa"/>
            <w:bottom w:w="0" w:type="dxa"/>
          </w:tblCellMar>
        </w:tblPrEx>
        <w:trPr>
          <w:trHeight w:val="524"/>
        </w:trPr>
        <w:tc>
          <w:tcPr>
            <w:tcW w:w="2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75FD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Wasting (WHZ &lt;−2 SD)</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8661E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4.7%</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65E77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10.6%</w:t>
            </w:r>
          </w:p>
        </w:tc>
        <w:tc>
          <w:tcPr>
            <w:tcW w:w="18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6D2A8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0.41 (0.21–0.81)</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0456C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0.012</w:t>
            </w:r>
          </w:p>
        </w:tc>
        <w:tc>
          <w:tcPr>
            <w:tcW w:w="202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81E7C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5.9 pp</w:t>
            </w:r>
          </w:p>
        </w:tc>
      </w:tr>
      <w:tr w:rsidR="00355B0D" w:rsidRPr="00CA4FF0" w14:paraId="6FAA65E2" w14:textId="77777777" w:rsidTr="00CA4FF0">
        <w:tblPrEx>
          <w:tblCellMar>
            <w:top w:w="0" w:type="dxa"/>
            <w:bottom w:w="0" w:type="dxa"/>
          </w:tblCellMar>
        </w:tblPrEx>
        <w:trPr>
          <w:trHeight w:val="53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D87A8F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Underweight (WAZ &lt;−2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869A82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17.8%</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863CDC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25.6%</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7D9682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0.63 (0.42–0.94)</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A7DE13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0.028</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A349E5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7.8 pp</w:t>
            </w:r>
          </w:p>
        </w:tc>
      </w:tr>
      <w:tr w:rsidR="00355B0D" w:rsidRPr="00CA4FF0" w14:paraId="2FB80CB8" w14:textId="77777777" w:rsidTr="00CA4FF0">
        <w:tblPrEx>
          <w:tblCellMar>
            <w:top w:w="0" w:type="dxa"/>
            <w:bottom w:w="0" w:type="dxa"/>
          </w:tblCellMar>
        </w:tblPrEx>
        <w:trPr>
          <w:trHeight w:val="534"/>
        </w:trPr>
        <w:tc>
          <w:tcPr>
            <w:tcW w:w="2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394D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Global Acute Malnutrition</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422B8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14.0%</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8C22F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21.4%</w:t>
            </w:r>
          </w:p>
        </w:tc>
        <w:tc>
          <w:tcPr>
            <w:tcW w:w="18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2670E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0.59 (0.39–0.92)</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C5AAC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0.023</w:t>
            </w:r>
          </w:p>
        </w:tc>
        <w:tc>
          <w:tcPr>
            <w:tcW w:w="202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3566D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7.4 pp</w:t>
            </w:r>
          </w:p>
        </w:tc>
      </w:tr>
      <w:tr w:rsidR="00355B0D" w:rsidRPr="00CA4FF0" w14:paraId="0B4FFF44" w14:textId="77777777" w:rsidTr="00CA4FF0">
        <w:tblPrEx>
          <w:tblCellMar>
            <w:top w:w="0" w:type="dxa"/>
            <w:bottom w:w="0" w:type="dxa"/>
          </w:tblCellMar>
        </w:tblPrEx>
        <w:trPr>
          <w:trHeight w:val="52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2CCBFE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HAZ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3EB62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1.01 (1.20)</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829EC1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1.50 (1.21)</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B52374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C20206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787AEF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+0.49 SD (d=0.41)</w:t>
            </w:r>
          </w:p>
        </w:tc>
      </w:tr>
      <w:tr w:rsidR="00355B0D" w:rsidRPr="00CA4FF0" w14:paraId="32F6A818" w14:textId="77777777" w:rsidTr="00CA4FF0">
        <w:tblPrEx>
          <w:tblCellMar>
            <w:top w:w="0" w:type="dxa"/>
            <w:bottom w:w="0" w:type="dxa"/>
          </w:tblCellMar>
        </w:tblPrEx>
        <w:trPr>
          <w:trHeight w:val="534"/>
        </w:trPr>
        <w:tc>
          <w:tcPr>
            <w:tcW w:w="2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09CC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WAZ (SD)</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8A9C2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0.92 (1.09)</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94C68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1.28 (1.11)</w:t>
            </w:r>
          </w:p>
        </w:tc>
        <w:tc>
          <w:tcPr>
            <w:tcW w:w="18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9009E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D8778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6E27B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+0.36 SD (d=0.32)</w:t>
            </w:r>
          </w:p>
        </w:tc>
      </w:tr>
      <w:tr w:rsidR="00355B0D" w:rsidRPr="00CA4FF0" w14:paraId="35E28DEC" w14:textId="77777777" w:rsidTr="00CA4FF0">
        <w:tblPrEx>
          <w:tblCellMar>
            <w:top w:w="0" w:type="dxa"/>
            <w:bottom w:w="0" w:type="dxa"/>
          </w:tblCellMar>
        </w:tblPrEx>
        <w:trPr>
          <w:trHeight w:val="53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B9B69E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WHZ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43B6E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0.27 (1.03)</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704866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0.68 (1.07)</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3A5CB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A78228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DD16A2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+0.41 SD (d=0.39)</w:t>
            </w:r>
          </w:p>
        </w:tc>
      </w:tr>
    </w:tbl>
    <w:p w14:paraId="4F6B6735"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Times New Roman" w:hAnsi="Times New Roman" w:cs="Times New Roman"/>
          <w:i/>
          <w:iCs/>
          <w:color w:val="555555"/>
          <w:sz w:val="18"/>
          <w:szCs w:val="18"/>
        </w:rPr>
        <w:t>OR = Odds Ratio; CI = Confidence Interval; pp = percentage points; d = Cohen's d effect size. †Independent samples t-test. All tests two-tailed; significance at p&lt;0.05.</w:t>
      </w:r>
    </w:p>
    <w:p w14:paraId="6663393D" w14:textId="77777777" w:rsidR="00355B0D" w:rsidRPr="00CA4FF0" w:rsidRDefault="00355B0D">
      <w:pPr>
        <w:spacing w:after="80"/>
        <w:rPr>
          <w:rFonts w:ascii="Times New Roman" w:hAnsi="Times New Roman" w:cs="Times New Roman"/>
        </w:rPr>
      </w:pPr>
    </w:p>
    <w:p w14:paraId="0797C2F6"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3.5 Dose-Response Analysis</w:t>
      </w:r>
    </w:p>
    <w:p w14:paraId="641F1D2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A dose-response relationship between the number of GMP sessions attended in the preceding six months and nutritional status was observed. Stunting prevalence declined progressively from 32.5% at zero sessions to 13.3% at six sessions, and mean HAZ improved</w:t>
      </w:r>
      <w:r w:rsidRPr="00CA4FF0">
        <w:rPr>
          <w:rFonts w:ascii="Times New Roman" w:hAnsi="Times New Roman" w:cs="Times New Roman"/>
        </w:rPr>
        <w:t xml:space="preserve"> correspondingly from −1.49 (0 sessions) to −0.72 (6 sessions) — a total improvement of 0.77 SD units across the full visit-frequency range.</w:t>
      </w:r>
      <w:r w:rsidRPr="00CA4FF0">
        <w:rPr>
          <w:rFonts w:ascii="Times New Roman" w:hAnsi="Times New Roman" w:cs="Times New Roman"/>
        </w:rPr>
        <w:t xml:space="preserve"> Spearman's rank correlation confirmed a significant positive association between GMP visit frequency and HAZ (ρ=0.1</w:t>
      </w:r>
      <w:r w:rsidRPr="00CA4FF0">
        <w:rPr>
          <w:rFonts w:ascii="Times New Roman" w:hAnsi="Times New Roman" w:cs="Times New Roman"/>
        </w:rPr>
        <w:t>70, p&lt;0.001) and WAZ (ρ=0.121, p=0.003)</w:t>
      </w:r>
      <w:r w:rsidRPr="00CA4FF0">
        <w:rPr>
          <w:rFonts w:ascii="Times New Roman" w:hAnsi="Times New Roman" w:cs="Times New Roman"/>
        </w:rPr>
        <w:t>, providing dose-response evidence consistent with a biological causal interpretation. These data are presented in Figure 1 and the supporting data table below.</w:t>
      </w:r>
    </w:p>
    <w:p w14:paraId="18AD3296" w14:textId="77777777" w:rsidR="00355B0D" w:rsidRPr="00CA4FF0" w:rsidRDefault="00F77F3D">
      <w:pPr>
        <w:spacing w:before="200" w:after="60"/>
        <w:rPr>
          <w:rFonts w:ascii="Times New Roman" w:hAnsi="Times New Roman" w:cs="Times New Roman"/>
        </w:rPr>
      </w:pPr>
      <w:r w:rsidRPr="00CA4FF0">
        <w:rPr>
          <w:rFonts w:ascii="Times New Roman" w:hAnsi="Times New Roman" w:cs="Times New Roman"/>
          <w:b/>
          <w:bCs/>
        </w:rPr>
        <w:t xml:space="preserve">Figure 1. </w:t>
      </w:r>
      <w:r w:rsidRPr="00CA4FF0">
        <w:rPr>
          <w:rFonts w:ascii="Times New Roman" w:hAnsi="Times New Roman" w:cs="Times New Roman"/>
        </w:rPr>
        <w:t>Dose-Response Relationship Between GMP Session</w:t>
      </w:r>
      <w:r w:rsidRPr="00CA4FF0">
        <w:rPr>
          <w:rFonts w:ascii="Times New Roman" w:hAnsi="Times New Roman" w:cs="Times New Roman"/>
        </w:rPr>
        <w:t xml:space="preserve"> Frequency and Child Nutritional Outcomes (Sulima Chiefdom, N=617)</w:t>
      </w:r>
    </w:p>
    <w:p w14:paraId="477A75CA" w14:textId="77777777" w:rsidR="00355B0D" w:rsidRPr="00CA4FF0" w:rsidRDefault="00F77F3D">
      <w:pPr>
        <w:spacing w:after="80"/>
        <w:rPr>
          <w:rFonts w:ascii="Times New Roman" w:hAnsi="Times New Roman" w:cs="Times New Roman"/>
        </w:rPr>
      </w:pPr>
      <w:r w:rsidRPr="00CA4FF0">
        <w:rPr>
          <w:rFonts w:ascii="Times New Roman" w:hAnsi="Times New Roman" w:cs="Times New Roman"/>
          <w:i/>
          <w:iCs/>
          <w:color w:val="555555"/>
          <w:sz w:val="18"/>
          <w:szCs w:val="18"/>
        </w:rPr>
        <w:t>Panel A: Stunting prevalence (%) by number of GMP sessions attended in the preceding 6 months. Panel B: Mean Height-for-Age Z-score (HAZ) by GMP session frequency. Spearman's ρ=0.170 (HAZ),</w:t>
      </w:r>
      <w:r w:rsidRPr="00CA4FF0">
        <w:rPr>
          <w:rFonts w:ascii="Times New Roman" w:hAnsi="Times New Roman" w:cs="Times New Roman"/>
          <w:i/>
          <w:iCs/>
          <w:color w:val="555555"/>
          <w:sz w:val="18"/>
          <w:szCs w:val="18"/>
        </w:rPr>
        <w:t xml:space="preserve"> p&lt;0.001; ρ=0.121 (WAZ), p=0.003. Dashed lines indicate WHO high-concern threshold (stunting: 20%) and WHO reference mean (HAZ: 0.00).</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5"/>
        <w:gridCol w:w="1835"/>
        <w:gridCol w:w="1835"/>
        <w:gridCol w:w="1835"/>
        <w:gridCol w:w="2248"/>
      </w:tblGrid>
      <w:tr w:rsidR="00355B0D" w:rsidRPr="00CA4FF0" w14:paraId="3C59DCF0" w14:textId="77777777" w:rsidTr="00CA4FF0">
        <w:tblPrEx>
          <w:tblCellMar>
            <w:top w:w="0" w:type="dxa"/>
            <w:bottom w:w="0" w:type="dxa"/>
          </w:tblCellMar>
        </w:tblPrEx>
        <w:trPr>
          <w:trHeight w:val="431"/>
        </w:trPr>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005A34B"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GMP Sessions (6 months)</w:t>
            </w:r>
          </w:p>
        </w:tc>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3565714"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Stunting Prevalence (%)</w:t>
            </w:r>
          </w:p>
        </w:tc>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12576426"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Mean HAZ (SD)</w:t>
            </w:r>
          </w:p>
        </w:tc>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DA9BD07"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Correlation Statistic</w:t>
            </w:r>
          </w:p>
        </w:tc>
        <w:tc>
          <w:tcPr>
            <w:tcW w:w="224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3C58A5D"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Significance</w:t>
            </w:r>
          </w:p>
        </w:tc>
      </w:tr>
      <w:tr w:rsidR="00355B0D" w:rsidRPr="00CA4FF0" w14:paraId="4E4CCC78" w14:textId="77777777" w:rsidTr="00CA4FF0">
        <w:tblPrEx>
          <w:tblCellMar>
            <w:top w:w="0" w:type="dxa"/>
            <w:bottom w:w="0" w:type="dxa"/>
          </w:tblCellMar>
        </w:tblPrEx>
        <w:trPr>
          <w:trHeight w:val="264"/>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E7DC42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19DA9AE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32.5</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72766DF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1.49</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4466280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 (Reference)</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1E195E8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1B04D46E" w14:textId="77777777" w:rsidTr="00CA4FF0">
        <w:tblPrEx>
          <w:tblCellMar>
            <w:top w:w="0" w:type="dxa"/>
            <w:bottom w:w="0" w:type="dxa"/>
          </w:tblCellMar>
        </w:tblPrEx>
        <w:trPr>
          <w:trHeight w:val="264"/>
        </w:trPr>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4CE67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3353E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30.1</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25ABF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1.38</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3ED2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22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EE3F7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333F2513" w14:textId="77777777" w:rsidTr="00CA4FF0">
        <w:tblPrEx>
          <w:tblCellMar>
            <w:top w:w="0" w:type="dxa"/>
            <w:bottom w:w="0" w:type="dxa"/>
          </w:tblCellMar>
        </w:tblPrEx>
        <w:trPr>
          <w:trHeight w:val="264"/>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2356358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3D509DB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26.8</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8C034C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1.24</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60B482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07FDEB7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29AC372A" w14:textId="77777777" w:rsidTr="00CA4FF0">
        <w:tblPrEx>
          <w:tblCellMar>
            <w:top w:w="0" w:type="dxa"/>
            <w:bottom w:w="0" w:type="dxa"/>
          </w:tblCellMar>
        </w:tblPrEx>
        <w:trPr>
          <w:trHeight w:val="254"/>
        </w:trPr>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7E128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98DF7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23.4</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C0C03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1.15</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39A4FA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22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1EF701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394C02B0" w14:textId="77777777" w:rsidTr="00CA4FF0">
        <w:tblPrEx>
          <w:tblCellMar>
            <w:top w:w="0" w:type="dxa"/>
            <w:bottom w:w="0" w:type="dxa"/>
          </w:tblCellMar>
        </w:tblPrEx>
        <w:trPr>
          <w:trHeight w:val="264"/>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4ECD160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2CD4021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19.7</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C60C82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1.02</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07EB68E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ρ = 0.170 (HAZ)</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6D24D6A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p &lt; 0.001</w:t>
            </w:r>
          </w:p>
        </w:tc>
      </w:tr>
      <w:tr w:rsidR="00355B0D" w:rsidRPr="00CA4FF0" w14:paraId="75E8B172" w14:textId="77777777" w:rsidTr="00CA4FF0">
        <w:tblPrEx>
          <w:tblCellMar>
            <w:top w:w="0" w:type="dxa"/>
            <w:bottom w:w="0" w:type="dxa"/>
          </w:tblCellMar>
        </w:tblPrEx>
        <w:trPr>
          <w:trHeight w:val="529"/>
        </w:trPr>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FE5F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5</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F702C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16.2</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31C33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0.91</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1BD12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ρ = 0.121 (WAZ)</w:t>
            </w:r>
          </w:p>
        </w:tc>
        <w:tc>
          <w:tcPr>
            <w:tcW w:w="22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34994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p = 0.003</w:t>
            </w:r>
          </w:p>
        </w:tc>
      </w:tr>
      <w:tr w:rsidR="00355B0D" w:rsidRPr="00CA4FF0" w14:paraId="4AAF194E" w14:textId="77777777" w:rsidTr="00CA4FF0">
        <w:tblPrEx>
          <w:tblCellMar>
            <w:top w:w="0" w:type="dxa"/>
            <w:bottom w:w="0" w:type="dxa"/>
          </w:tblCellMar>
        </w:tblPrEx>
        <w:trPr>
          <w:trHeight w:val="529"/>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7AEC6A4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AB54BF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13.3</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782FB1B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r w:rsidRPr="00CA4FF0">
              <w:rPr>
                <w:rFonts w:ascii="Times New Roman" w:hAnsi="Times New Roman" w:cs="Times New Roman"/>
              </w:rPr>
              <w:t>0.72</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8C1D72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0.77 SD improvement</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1F66ED6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Across visit range</w:t>
            </w:r>
          </w:p>
        </w:tc>
      </w:tr>
    </w:tbl>
    <w:p w14:paraId="3A6AB3B5"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Times New Roman" w:hAnsi="Times New Roman" w:cs="Times New Roman"/>
          <w:i/>
          <w:iCs/>
          <w:color w:val="555555"/>
          <w:sz w:val="18"/>
          <w:szCs w:val="18"/>
        </w:rPr>
        <w:t xml:space="preserve">Figure 1 Data. Each row represents aggregate data for children attending the indicated number of GMP sessions in the 6 months preceding survey. Stunting = HAZ &lt;−2 SD. WHO emergency threshold for stunting: &gt;20%. For journal submission, these data should be </w:t>
      </w:r>
      <w:r w:rsidRPr="00CA4FF0">
        <w:rPr>
          <w:rFonts w:ascii="Times New Roman" w:hAnsi="Times New Roman" w:cs="Times New Roman"/>
          <w:i/>
          <w:iCs/>
          <w:color w:val="555555"/>
          <w:sz w:val="18"/>
          <w:szCs w:val="18"/>
        </w:rPr>
        <w:t>plotted as a dual-axis line chart: primary axis = stunting prevalence (%); secondary axis = mean HAZ. The progressive decline in stunting prevalence alongside the increasing mean HAZ across the 0–6 session spectrum constitutes the dose-response signal.</w:t>
      </w:r>
    </w:p>
    <w:p w14:paraId="2A7CEF96" w14:textId="77777777" w:rsidR="00355B0D" w:rsidRPr="00CA4FF0" w:rsidRDefault="00355B0D">
      <w:pPr>
        <w:spacing w:after="80"/>
        <w:rPr>
          <w:rFonts w:ascii="Times New Roman" w:hAnsi="Times New Roman" w:cs="Times New Roman"/>
        </w:rPr>
      </w:pPr>
    </w:p>
    <w:p w14:paraId="16001640"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w:t>
      </w:r>
      <w:r w:rsidRPr="00CA4FF0">
        <w:rPr>
          <w:rFonts w:ascii="Times New Roman" w:hAnsi="Times New Roman" w:cs="Times New Roman"/>
        </w:rPr>
        <w:t>6 Linear Regression: Independent Effect of GMP on Anthropometric Z-Scores</w:t>
      </w:r>
    </w:p>
    <w:p w14:paraId="1C62570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In multiple linear regression adjusting for child age, sex, birth weight, exclusive breastfeeding, recent diarrhoea and ARI episodes, vitamin A supplementation, maternal knowledge, h</w:t>
      </w:r>
      <w:r w:rsidRPr="00CA4FF0">
        <w:rPr>
          <w:rFonts w:ascii="Times New Roman" w:hAnsi="Times New Roman" w:cs="Times New Roman"/>
        </w:rPr>
        <w:t xml:space="preserve">ousehold food security, IYCF counselling, and distance to PHC (n=617), regular GMP attendance remained a </w:t>
      </w:r>
      <w:r w:rsidRPr="00CA4FF0">
        <w:rPr>
          <w:rFonts w:ascii="Times New Roman" w:hAnsi="Times New Roman" w:cs="Times New Roman"/>
          <w:b/>
          <w:bCs/>
        </w:rPr>
        <w:t>significant and independent predictor of HAZ</w:t>
      </w:r>
      <w:r w:rsidRPr="00CA4FF0">
        <w:rPr>
          <w:rFonts w:ascii="Times New Roman" w:hAnsi="Times New Roman" w:cs="Times New Roman"/>
        </w:rPr>
        <w:t xml:space="preserve"> (β=0.365, SE=0.102, 95% CI: 0.165–0.564, p&lt;0.001) and WAZ (β=0.343, SE=0.095, 95% CI: 0.157–0.529, p&lt;0.001</w:t>
      </w:r>
      <w:r w:rsidRPr="00CA4FF0">
        <w:rPr>
          <w:rFonts w:ascii="Times New Roman" w:hAnsi="Times New Roman" w:cs="Times New Roman"/>
        </w:rPr>
        <w:t>). The HAZ model explained 10.0% of the variance (R²=0.100, Adjusted R²=0.081). Good maternal knowledge was independently associated with +0.566 SD HAZ (β=0.566, SE=0.163, p&lt;0.001) compared to poor knowledge, suggesting knowledge operates on nutritional st</w:t>
      </w:r>
      <w:r w:rsidRPr="00CA4FF0">
        <w:rPr>
          <w:rFonts w:ascii="Times New Roman" w:hAnsi="Times New Roman" w:cs="Times New Roman"/>
        </w:rPr>
        <w:t>atus through pathways partially independent of GMP participation. Child age was negatively associated with HAZ (β=−0.010, p&lt;0.001), confirming the age-related accumulation of chronic undernutrition.</w:t>
      </w:r>
    </w:p>
    <w:p w14:paraId="03B1E08B"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3.7 Determinants of Regular GMP Attendance: Multivariable</w:t>
      </w:r>
      <w:r w:rsidRPr="00CA4FF0">
        <w:rPr>
          <w:rFonts w:ascii="Times New Roman" w:hAnsi="Times New Roman" w:cs="Times New Roman"/>
        </w:rPr>
        <w:t xml:space="preserve"> Analysis</w:t>
      </w:r>
    </w:p>
    <w:p w14:paraId="59FFFA07"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The multivariable logistic regression model showed adequate fit (Hosmer-</w:t>
      </w:r>
      <w:proofErr w:type="spellStart"/>
      <w:r w:rsidRPr="00CA4FF0">
        <w:rPr>
          <w:rFonts w:ascii="Times New Roman" w:hAnsi="Times New Roman" w:cs="Times New Roman"/>
        </w:rPr>
        <w:t>Lemeshow</w:t>
      </w:r>
      <w:proofErr w:type="spellEnd"/>
      <w:r w:rsidRPr="00CA4FF0">
        <w:rPr>
          <w:rFonts w:ascii="Times New Roman" w:hAnsi="Times New Roman" w:cs="Times New Roman"/>
        </w:rPr>
        <w:t xml:space="preserve"> p=0.331; Nagelkerke R²=0.211; classification accuracy=65.2%). Six independent predictors of regular GMP attendance were identified (Table 4):</w:t>
      </w:r>
    </w:p>
    <w:p w14:paraId="4C27CDF6"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Positive attitude towar</w:t>
      </w:r>
      <w:r w:rsidRPr="00CA4FF0">
        <w:rPr>
          <w:rFonts w:ascii="Times New Roman" w:hAnsi="Times New Roman" w:cs="Times New Roman"/>
          <w:b/>
          <w:bCs/>
        </w:rPr>
        <w:t>d GMP (vs negative):</w:t>
      </w:r>
      <w:r w:rsidRPr="00CA4FF0">
        <w:rPr>
          <w:rFonts w:ascii="Times New Roman" w:hAnsi="Times New Roman" w:cs="Times New Roman"/>
        </w:rPr>
        <w:t xml:space="preserve"> </w:t>
      </w:r>
      <w:proofErr w:type="spellStart"/>
      <w:r w:rsidRPr="00CA4FF0">
        <w:rPr>
          <w:rFonts w:ascii="Times New Roman" w:hAnsi="Times New Roman" w:cs="Times New Roman"/>
        </w:rPr>
        <w:t>aOR</w:t>
      </w:r>
      <w:proofErr w:type="spellEnd"/>
      <w:r w:rsidRPr="00CA4FF0">
        <w:rPr>
          <w:rFonts w:ascii="Times New Roman" w:hAnsi="Times New Roman" w:cs="Times New Roman"/>
        </w:rPr>
        <w:t>=3.72, 95% CI: 1.53–9.08, p=0.004. The strongest retained attitudinal predictor, highlighting that demand-generation through quality service interaction is paramount.</w:t>
      </w:r>
    </w:p>
    <w:p w14:paraId="2E153407"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IYCF counselling through any channel (vs none):</w:t>
      </w:r>
      <w:r w:rsidRPr="00CA4FF0">
        <w:rPr>
          <w:rFonts w:ascii="Times New Roman" w:hAnsi="Times New Roman" w:cs="Times New Roman"/>
        </w:rPr>
        <w:t xml:space="preserve"> </w:t>
      </w:r>
      <w:proofErr w:type="spellStart"/>
      <w:r w:rsidRPr="00CA4FF0">
        <w:rPr>
          <w:rFonts w:ascii="Times New Roman" w:hAnsi="Times New Roman" w:cs="Times New Roman"/>
        </w:rPr>
        <w:t>aOR</w:t>
      </w:r>
      <w:proofErr w:type="spellEnd"/>
      <w:r w:rsidRPr="00CA4FF0">
        <w:rPr>
          <w:rFonts w:ascii="Times New Roman" w:hAnsi="Times New Roman" w:cs="Times New Roman"/>
        </w:rPr>
        <w:t>=4.20, 95% CI:</w:t>
      </w:r>
      <w:r w:rsidRPr="00CA4FF0">
        <w:rPr>
          <w:rFonts w:ascii="Times New Roman" w:hAnsi="Times New Roman" w:cs="Times New Roman"/>
        </w:rPr>
        <w:t xml:space="preserve"> 1.40–12.63, p=0.010. Mothers who received IYCF counselling were four times more likely to attend GMP regularly, demonstrating the critical synergy between integrated nutrition services and GMP engagement.</w:t>
      </w:r>
    </w:p>
    <w:p w14:paraId="7E79CC54"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Mother support group membership (vs non-member):</w:t>
      </w:r>
      <w:r w:rsidRPr="00CA4FF0">
        <w:rPr>
          <w:rFonts w:ascii="Times New Roman" w:hAnsi="Times New Roman" w:cs="Times New Roman"/>
        </w:rPr>
        <w:t xml:space="preserve"> </w:t>
      </w:r>
      <w:proofErr w:type="spellStart"/>
      <w:r w:rsidRPr="00CA4FF0">
        <w:rPr>
          <w:rFonts w:ascii="Times New Roman" w:hAnsi="Times New Roman" w:cs="Times New Roman"/>
        </w:rPr>
        <w:t>a</w:t>
      </w:r>
      <w:r w:rsidRPr="00CA4FF0">
        <w:rPr>
          <w:rFonts w:ascii="Times New Roman" w:hAnsi="Times New Roman" w:cs="Times New Roman"/>
        </w:rPr>
        <w:t>OR</w:t>
      </w:r>
      <w:proofErr w:type="spellEnd"/>
      <w:r w:rsidRPr="00CA4FF0">
        <w:rPr>
          <w:rFonts w:ascii="Times New Roman" w:hAnsi="Times New Roman" w:cs="Times New Roman"/>
        </w:rPr>
        <w:t>=1.87, 95% CI: 1.30–2.68, p&lt;0.001. The most precisely estimated predictor, reflecting the role of peer networks and social capital in sustaining health-seeking behaviour.</w:t>
      </w:r>
    </w:p>
    <w:p w14:paraId="21A09FE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Medium perceived benefit of GMP (vs low):</w:t>
      </w:r>
      <w:r w:rsidRPr="00CA4FF0">
        <w:rPr>
          <w:rFonts w:ascii="Times New Roman" w:hAnsi="Times New Roman" w:cs="Times New Roman"/>
        </w:rPr>
        <w:t xml:space="preserve"> </w:t>
      </w:r>
      <w:proofErr w:type="spellStart"/>
      <w:r w:rsidRPr="00CA4FF0">
        <w:rPr>
          <w:rFonts w:ascii="Times New Roman" w:hAnsi="Times New Roman" w:cs="Times New Roman"/>
        </w:rPr>
        <w:t>aOR</w:t>
      </w:r>
      <w:proofErr w:type="spellEnd"/>
      <w:r w:rsidRPr="00CA4FF0">
        <w:rPr>
          <w:rFonts w:ascii="Times New Roman" w:hAnsi="Times New Roman" w:cs="Times New Roman"/>
        </w:rPr>
        <w:t>=1.79, 95% CI: 1.11–2.89, p=0.018. Per</w:t>
      </w:r>
      <w:r w:rsidRPr="00CA4FF0">
        <w:rPr>
          <w:rFonts w:ascii="Times New Roman" w:hAnsi="Times New Roman" w:cs="Times New Roman"/>
        </w:rPr>
        <w:t>ceived benefit — a construct from the Health Belief Model — independently drove attendance after adjustment for knowledge.</w:t>
      </w:r>
    </w:p>
    <w:p w14:paraId="2A238EF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Single marital status (vs married):</w:t>
      </w:r>
      <w:r w:rsidRPr="00CA4FF0">
        <w:rPr>
          <w:rFonts w:ascii="Times New Roman" w:hAnsi="Times New Roman" w:cs="Times New Roman"/>
        </w:rPr>
        <w:t xml:space="preserve"> </w:t>
      </w:r>
      <w:proofErr w:type="spellStart"/>
      <w:r w:rsidRPr="00CA4FF0">
        <w:rPr>
          <w:rFonts w:ascii="Times New Roman" w:hAnsi="Times New Roman" w:cs="Times New Roman"/>
        </w:rPr>
        <w:t>aOR</w:t>
      </w:r>
      <w:proofErr w:type="spellEnd"/>
      <w:r w:rsidRPr="00CA4FF0">
        <w:rPr>
          <w:rFonts w:ascii="Times New Roman" w:hAnsi="Times New Roman" w:cs="Times New Roman"/>
        </w:rPr>
        <w:t>=0.57, 95% CI: 0.35–0.93, p=0.024. Single mothers had 43% lower odds of regular attendance, li</w:t>
      </w:r>
      <w:r w:rsidRPr="00CA4FF0">
        <w:rPr>
          <w:rFonts w:ascii="Times New Roman" w:hAnsi="Times New Roman" w:cs="Times New Roman"/>
        </w:rPr>
        <w:t>kely reflecting reduced household decision-making support and increased caregiving burden.</w:t>
      </w:r>
    </w:p>
    <w:p w14:paraId="3130E4C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Distance to PHC (per additional km):</w:t>
      </w:r>
      <w:r w:rsidRPr="00CA4FF0">
        <w:rPr>
          <w:rFonts w:ascii="Times New Roman" w:hAnsi="Times New Roman" w:cs="Times New Roman"/>
        </w:rPr>
        <w:t xml:space="preserve"> </w:t>
      </w:r>
      <w:proofErr w:type="spellStart"/>
      <w:r w:rsidRPr="00CA4FF0">
        <w:rPr>
          <w:rFonts w:ascii="Times New Roman" w:hAnsi="Times New Roman" w:cs="Times New Roman"/>
        </w:rPr>
        <w:t>aOR</w:t>
      </w:r>
      <w:proofErr w:type="spellEnd"/>
      <w:r w:rsidRPr="00CA4FF0">
        <w:rPr>
          <w:rFonts w:ascii="Times New Roman" w:hAnsi="Times New Roman" w:cs="Times New Roman"/>
        </w:rPr>
        <w:t xml:space="preserve">=0.92, 95% CI: 0.85–0.99, p=0.026. Each additional </w:t>
      </w:r>
      <w:proofErr w:type="spellStart"/>
      <w:r w:rsidRPr="00CA4FF0">
        <w:rPr>
          <w:rFonts w:ascii="Times New Roman" w:hAnsi="Times New Roman" w:cs="Times New Roman"/>
        </w:rPr>
        <w:t>kilometre</w:t>
      </w:r>
      <w:proofErr w:type="spellEnd"/>
      <w:r w:rsidRPr="00CA4FF0">
        <w:rPr>
          <w:rFonts w:ascii="Times New Roman" w:hAnsi="Times New Roman" w:cs="Times New Roman"/>
        </w:rPr>
        <w:t xml:space="preserve"> reduced attendance odds by 8%. This variable was unmasked only in the adjusted model (crude p=0.065).</w:t>
      </w:r>
    </w:p>
    <w:p w14:paraId="3BC5D64D"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Maternal knowledge category was fully attenuated after adjustment</w:t>
      </w:r>
      <w:r w:rsidRPr="00CA4FF0">
        <w:rPr>
          <w:rFonts w:ascii="Times New Roman" w:hAnsi="Times New Roman" w:cs="Times New Roman"/>
        </w:rPr>
        <w:t xml:space="preserve"> (Good vs Poor: </w:t>
      </w:r>
      <w:proofErr w:type="spellStart"/>
      <w:r w:rsidRPr="00CA4FF0">
        <w:rPr>
          <w:rFonts w:ascii="Times New Roman" w:hAnsi="Times New Roman" w:cs="Times New Roman"/>
        </w:rPr>
        <w:t>aOR</w:t>
      </w:r>
      <w:proofErr w:type="spellEnd"/>
      <w:r w:rsidRPr="00CA4FF0">
        <w:rPr>
          <w:rFonts w:ascii="Times New Roman" w:hAnsi="Times New Roman" w:cs="Times New Roman"/>
        </w:rPr>
        <w:t>=1.23</w:t>
      </w:r>
      <w:r w:rsidRPr="00CA4FF0">
        <w:rPr>
          <w:rFonts w:ascii="Times New Roman" w:hAnsi="Times New Roman" w:cs="Times New Roman"/>
        </w:rPr>
        <w:t>, p=0.807), indicating that the knowledge-attendance relationship is mediated or confounded by attitude, perceived benefit, and IYCF counselling access.</w:t>
      </w:r>
    </w:p>
    <w:p w14:paraId="2FBB154D" w14:textId="77777777" w:rsidR="00355B0D" w:rsidRPr="00CA4FF0" w:rsidRDefault="00F77F3D">
      <w:pPr>
        <w:spacing w:before="200" w:after="80"/>
        <w:rPr>
          <w:rFonts w:ascii="Times New Roman" w:hAnsi="Times New Roman" w:cs="Times New Roman"/>
        </w:rPr>
      </w:pPr>
      <w:r w:rsidRPr="00CA4FF0">
        <w:rPr>
          <w:rFonts w:ascii="Times New Roman" w:hAnsi="Times New Roman" w:cs="Times New Roman"/>
          <w:b/>
          <w:bCs/>
        </w:rPr>
        <w:t xml:space="preserve">Table 4. </w:t>
      </w:r>
      <w:r w:rsidRPr="00CA4FF0">
        <w:rPr>
          <w:rFonts w:ascii="Times New Roman" w:hAnsi="Times New Roman" w:cs="Times New Roman"/>
        </w:rPr>
        <w:t>Independent predictors of regular GMP attendance: multivariable logistic regression (N=617)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1"/>
        <w:gridCol w:w="1005"/>
        <w:gridCol w:w="1005"/>
        <w:gridCol w:w="1758"/>
        <w:gridCol w:w="1130"/>
        <w:gridCol w:w="1708"/>
      </w:tblGrid>
      <w:tr w:rsidR="00355B0D" w:rsidRPr="00CA4FF0" w14:paraId="447F554F" w14:textId="77777777" w:rsidTr="00CA4FF0">
        <w:tblPrEx>
          <w:tblCellMar>
            <w:top w:w="0" w:type="dxa"/>
            <w:bottom w:w="0" w:type="dxa"/>
          </w:tblCellMar>
        </w:tblPrEx>
        <w:trPr>
          <w:trHeight w:val="421"/>
        </w:trPr>
        <w:tc>
          <w:tcPr>
            <w:tcW w:w="3141"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72CEFD5"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Variable</w:t>
            </w:r>
          </w:p>
        </w:tc>
        <w:tc>
          <w:tcPr>
            <w:tcW w:w="100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1F99572" w14:textId="77777777" w:rsidR="00355B0D" w:rsidRPr="00CA4FF0" w:rsidRDefault="00F77F3D">
            <w:pPr>
              <w:jc w:val="center"/>
              <w:rPr>
                <w:rFonts w:ascii="Times New Roman" w:hAnsi="Times New Roman" w:cs="Times New Roman"/>
              </w:rPr>
            </w:pPr>
            <w:proofErr w:type="spellStart"/>
            <w:r w:rsidRPr="00CA4FF0">
              <w:rPr>
                <w:rFonts w:ascii="Times New Roman" w:hAnsi="Times New Roman" w:cs="Times New Roman"/>
                <w:b/>
                <w:bCs/>
                <w:color w:val="FFFFFF"/>
                <w:sz w:val="18"/>
                <w:szCs w:val="18"/>
              </w:rPr>
              <w:t>cOR</w:t>
            </w:r>
            <w:proofErr w:type="spellEnd"/>
          </w:p>
        </w:tc>
        <w:tc>
          <w:tcPr>
            <w:tcW w:w="100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EE712CC" w14:textId="77777777" w:rsidR="00355B0D" w:rsidRPr="00CA4FF0" w:rsidRDefault="00F77F3D">
            <w:pPr>
              <w:jc w:val="center"/>
              <w:rPr>
                <w:rFonts w:ascii="Times New Roman" w:hAnsi="Times New Roman" w:cs="Times New Roman"/>
              </w:rPr>
            </w:pPr>
            <w:proofErr w:type="spellStart"/>
            <w:r w:rsidRPr="00CA4FF0">
              <w:rPr>
                <w:rFonts w:ascii="Times New Roman" w:hAnsi="Times New Roman" w:cs="Times New Roman"/>
                <w:b/>
                <w:bCs/>
                <w:color w:val="FFFFFF"/>
                <w:sz w:val="18"/>
                <w:szCs w:val="18"/>
              </w:rPr>
              <w:t>aOR</w:t>
            </w:r>
            <w:proofErr w:type="spellEnd"/>
          </w:p>
        </w:tc>
        <w:tc>
          <w:tcPr>
            <w:tcW w:w="175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1C91AE4"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95% CI (Adjusted)</w:t>
            </w:r>
          </w:p>
        </w:tc>
        <w:tc>
          <w:tcPr>
            <w:tcW w:w="11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B195D32"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p-value</w:t>
            </w:r>
          </w:p>
        </w:tc>
        <w:tc>
          <w:tcPr>
            <w:tcW w:w="170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718FBC3"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Status</w:t>
            </w:r>
          </w:p>
        </w:tc>
      </w:tr>
      <w:tr w:rsidR="00355B0D" w:rsidRPr="00CA4FF0" w14:paraId="44B03C88" w14:textId="77777777" w:rsidTr="00CA4FF0">
        <w:tblPrEx>
          <w:tblCellMar>
            <w:top w:w="0" w:type="dxa"/>
            <w:bottom w:w="0" w:type="dxa"/>
          </w:tblCellMar>
        </w:tblPrEx>
        <w:trPr>
          <w:trHeight w:val="517"/>
        </w:trPr>
        <w:tc>
          <w:tcPr>
            <w:tcW w:w="31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3F89FF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Attitude: Positive vs Negative</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41EF3D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6.39</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27D89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3.72</w:t>
            </w:r>
          </w:p>
        </w:tc>
        <w:tc>
          <w:tcPr>
            <w:tcW w:w="175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5025A6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1.53–9.08</w:t>
            </w:r>
          </w:p>
        </w:tc>
        <w:tc>
          <w:tcPr>
            <w:tcW w:w="113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654049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0.004</w:t>
            </w:r>
          </w:p>
        </w:tc>
        <w:tc>
          <w:tcPr>
            <w:tcW w:w="170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0407AB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651DB15E" w14:textId="77777777" w:rsidTr="00CA4FF0">
        <w:tblPrEx>
          <w:tblCellMar>
            <w:top w:w="0" w:type="dxa"/>
            <w:bottom w:w="0" w:type="dxa"/>
          </w:tblCellMar>
        </w:tblPrEx>
        <w:trPr>
          <w:trHeight w:val="508"/>
        </w:trPr>
        <w:tc>
          <w:tcPr>
            <w:tcW w:w="31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0F11E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IYCF counselling: </w:t>
            </w:r>
            <w:proofErr w:type="gramStart"/>
            <w:r w:rsidRPr="00CA4FF0">
              <w:rPr>
                <w:rFonts w:ascii="Times New Roman" w:hAnsi="Times New Roman" w:cs="Times New Roman"/>
              </w:rPr>
              <w:t>Yes</w:t>
            </w:r>
            <w:proofErr w:type="gramEnd"/>
            <w:r w:rsidRPr="00CA4FF0">
              <w:rPr>
                <w:rFonts w:ascii="Times New Roman" w:hAnsi="Times New Roman" w:cs="Times New Roman"/>
              </w:rPr>
              <w:t xml:space="preserve"> vs No</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2E099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7.52</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3263F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4.20</w:t>
            </w:r>
          </w:p>
        </w:tc>
        <w:tc>
          <w:tcPr>
            <w:tcW w:w="175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327FA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1.40–12.63</w:t>
            </w:r>
          </w:p>
        </w:tc>
        <w:tc>
          <w:tcPr>
            <w:tcW w:w="11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572F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0.010</w:t>
            </w:r>
          </w:p>
        </w:tc>
        <w:tc>
          <w:tcPr>
            <w:tcW w:w="170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C491E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5B74D1BD" w14:textId="77777777" w:rsidTr="00CA4FF0">
        <w:tblPrEx>
          <w:tblCellMar>
            <w:top w:w="0" w:type="dxa"/>
            <w:bottom w:w="0" w:type="dxa"/>
          </w:tblCellMar>
        </w:tblPrEx>
        <w:trPr>
          <w:trHeight w:val="517"/>
        </w:trPr>
        <w:tc>
          <w:tcPr>
            <w:tcW w:w="31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F2A3F5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Mother support group: </w:t>
            </w:r>
            <w:proofErr w:type="gramStart"/>
            <w:r w:rsidRPr="00CA4FF0">
              <w:rPr>
                <w:rFonts w:ascii="Times New Roman" w:hAnsi="Times New Roman" w:cs="Times New Roman"/>
              </w:rPr>
              <w:t>Yes</w:t>
            </w:r>
            <w:proofErr w:type="gramEnd"/>
            <w:r w:rsidRPr="00CA4FF0">
              <w:rPr>
                <w:rFonts w:ascii="Times New Roman" w:hAnsi="Times New Roman" w:cs="Times New Roman"/>
              </w:rPr>
              <w:t xml:space="preserve"> vs No</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2CBA39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1.91</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94F0B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1.87</w:t>
            </w:r>
          </w:p>
        </w:tc>
        <w:tc>
          <w:tcPr>
            <w:tcW w:w="175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86ACAD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1.30–2.68</w:t>
            </w:r>
          </w:p>
        </w:tc>
        <w:tc>
          <w:tcPr>
            <w:tcW w:w="113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3F3F8B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170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198515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38D7B7CA" w14:textId="77777777" w:rsidTr="00CA4FF0">
        <w:tblPrEx>
          <w:tblCellMar>
            <w:top w:w="0" w:type="dxa"/>
            <w:bottom w:w="0" w:type="dxa"/>
          </w:tblCellMar>
        </w:tblPrEx>
        <w:trPr>
          <w:trHeight w:val="517"/>
        </w:trPr>
        <w:tc>
          <w:tcPr>
            <w:tcW w:w="31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9F31C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Perceived benefit: Medium vs Low</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456B4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3.00</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3116F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1.79</w:t>
            </w:r>
          </w:p>
        </w:tc>
        <w:tc>
          <w:tcPr>
            <w:tcW w:w="175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4A3CC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1.11–2.89</w:t>
            </w:r>
          </w:p>
        </w:tc>
        <w:tc>
          <w:tcPr>
            <w:tcW w:w="11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0B33C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0.018</w:t>
            </w:r>
          </w:p>
        </w:tc>
        <w:tc>
          <w:tcPr>
            <w:tcW w:w="170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CD3E3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416D33C8" w14:textId="77777777" w:rsidTr="00CA4FF0">
        <w:tblPrEx>
          <w:tblCellMar>
            <w:top w:w="0" w:type="dxa"/>
            <w:bottom w:w="0" w:type="dxa"/>
          </w:tblCellMar>
        </w:tblPrEx>
        <w:trPr>
          <w:trHeight w:val="278"/>
        </w:trPr>
        <w:tc>
          <w:tcPr>
            <w:tcW w:w="31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6B29FF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Marital: Single vs Married</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DB0A46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0.64</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CA0923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0.57</w:t>
            </w:r>
          </w:p>
        </w:tc>
        <w:tc>
          <w:tcPr>
            <w:tcW w:w="175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715E6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0.35–0.93</w:t>
            </w:r>
          </w:p>
        </w:tc>
        <w:tc>
          <w:tcPr>
            <w:tcW w:w="113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E31EDA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0.024</w:t>
            </w:r>
          </w:p>
        </w:tc>
        <w:tc>
          <w:tcPr>
            <w:tcW w:w="170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C76B79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2F4F1E18" w14:textId="77777777" w:rsidTr="00CA4FF0">
        <w:tblPrEx>
          <w:tblCellMar>
            <w:top w:w="0" w:type="dxa"/>
            <w:bottom w:w="0" w:type="dxa"/>
          </w:tblCellMar>
        </w:tblPrEx>
        <w:trPr>
          <w:trHeight w:val="546"/>
        </w:trPr>
        <w:tc>
          <w:tcPr>
            <w:tcW w:w="31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684E0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Distance to PHC (per km)</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86629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0.94</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814B5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0.92</w:t>
            </w:r>
          </w:p>
        </w:tc>
        <w:tc>
          <w:tcPr>
            <w:tcW w:w="175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33441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0.85–0.99</w:t>
            </w:r>
          </w:p>
        </w:tc>
        <w:tc>
          <w:tcPr>
            <w:tcW w:w="11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C6C0E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0.026</w:t>
            </w:r>
          </w:p>
        </w:tc>
        <w:tc>
          <w:tcPr>
            <w:tcW w:w="170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E416E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Unmasked </w:t>
            </w:r>
            <w:r w:rsidRPr="00CA4FF0">
              <w:rPr>
                <w:rFonts w:ascii="Segoe UI Symbol" w:hAnsi="Segoe UI Symbol" w:cs="Segoe UI Symbol"/>
              </w:rPr>
              <w:t>★</w:t>
            </w:r>
          </w:p>
        </w:tc>
      </w:tr>
      <w:tr w:rsidR="00355B0D" w:rsidRPr="00CA4FF0" w14:paraId="146DCE2F" w14:textId="77777777" w:rsidTr="00CA4FF0">
        <w:tblPrEx>
          <w:tblCellMar>
            <w:top w:w="0" w:type="dxa"/>
            <w:bottom w:w="0" w:type="dxa"/>
          </w:tblCellMar>
        </w:tblPrEx>
        <w:trPr>
          <w:trHeight w:val="508"/>
        </w:trPr>
        <w:tc>
          <w:tcPr>
            <w:tcW w:w="3141"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09423C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Attitude: Neutral vs Negative</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4D16481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2.14</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6AD98B2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1.49</w:t>
            </w:r>
          </w:p>
        </w:tc>
        <w:tc>
          <w:tcPr>
            <w:tcW w:w="175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36BC325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0.98–2.26</w:t>
            </w:r>
          </w:p>
        </w:tc>
        <w:tc>
          <w:tcPr>
            <w:tcW w:w="1130"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6CE4A92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0.062</w:t>
            </w:r>
          </w:p>
        </w:tc>
        <w:tc>
          <w:tcPr>
            <w:tcW w:w="170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1B39D35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Attenuated †</w:t>
            </w:r>
          </w:p>
        </w:tc>
      </w:tr>
      <w:tr w:rsidR="00355B0D" w:rsidRPr="00CA4FF0" w14:paraId="5F06190F" w14:textId="77777777" w:rsidTr="00CA4FF0">
        <w:tblPrEx>
          <w:tblCellMar>
            <w:top w:w="0" w:type="dxa"/>
            <w:bottom w:w="0" w:type="dxa"/>
          </w:tblCellMar>
        </w:tblPrEx>
        <w:trPr>
          <w:trHeight w:val="536"/>
        </w:trPr>
        <w:tc>
          <w:tcPr>
            <w:tcW w:w="3141"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538B942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lastRenderedPageBreak/>
              <w:t>Knowledge: Good vs Poor</w:t>
            </w:r>
          </w:p>
        </w:tc>
        <w:tc>
          <w:tcPr>
            <w:tcW w:w="1005"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2CC0578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4.72</w:t>
            </w:r>
          </w:p>
        </w:tc>
        <w:tc>
          <w:tcPr>
            <w:tcW w:w="1005"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69EB37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1.23</w:t>
            </w:r>
          </w:p>
        </w:tc>
        <w:tc>
          <w:tcPr>
            <w:tcW w:w="1758"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7FAEB95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0.24–6.32</w:t>
            </w:r>
          </w:p>
        </w:tc>
        <w:tc>
          <w:tcPr>
            <w:tcW w:w="1130"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6D091BF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0.807</w:t>
            </w:r>
          </w:p>
        </w:tc>
        <w:tc>
          <w:tcPr>
            <w:tcW w:w="1708"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1182B92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Attenuated </w:t>
            </w:r>
            <w:r w:rsidRPr="00CA4FF0">
              <w:rPr>
                <w:rFonts w:ascii="Segoe UI Symbol" w:hAnsi="Segoe UI Symbol" w:cs="Segoe UI Symbol"/>
              </w:rPr>
              <w:t>✕</w:t>
            </w:r>
          </w:p>
        </w:tc>
      </w:tr>
      <w:tr w:rsidR="00355B0D" w:rsidRPr="00CA4FF0" w14:paraId="27A2B6F2" w14:textId="77777777" w:rsidTr="00CA4FF0">
        <w:tblPrEx>
          <w:tblCellMar>
            <w:top w:w="0" w:type="dxa"/>
            <w:bottom w:w="0" w:type="dxa"/>
          </w:tblCellMar>
        </w:tblPrEx>
        <w:trPr>
          <w:trHeight w:val="546"/>
        </w:trPr>
        <w:tc>
          <w:tcPr>
            <w:tcW w:w="3141"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07FC330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Knowledge: Moderate vs Poor</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713DB66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1.98</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678B961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1.04</w:t>
            </w:r>
          </w:p>
        </w:tc>
        <w:tc>
          <w:tcPr>
            <w:tcW w:w="175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7109AFD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0.42–2.60</w:t>
            </w:r>
          </w:p>
        </w:tc>
        <w:tc>
          <w:tcPr>
            <w:tcW w:w="1130"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1BAADF5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0.928</w:t>
            </w:r>
          </w:p>
        </w:tc>
        <w:tc>
          <w:tcPr>
            <w:tcW w:w="170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05479EC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Attenuated </w:t>
            </w:r>
            <w:r w:rsidRPr="00CA4FF0">
              <w:rPr>
                <w:rFonts w:ascii="Segoe UI Symbol" w:hAnsi="Segoe UI Symbol" w:cs="Segoe UI Symbol"/>
              </w:rPr>
              <w:t>✕</w:t>
            </w:r>
          </w:p>
        </w:tc>
      </w:tr>
    </w:tbl>
    <w:p w14:paraId="2851316A" w14:textId="77777777" w:rsidR="00355B0D" w:rsidRPr="00CA4FF0" w:rsidRDefault="00F77F3D">
      <w:pPr>
        <w:pBdr>
          <w:top w:val="single" w:sz="2" w:space="0" w:color="CCCCCC"/>
        </w:pBdr>
        <w:spacing w:before="60" w:after="60"/>
        <w:rPr>
          <w:rFonts w:ascii="Times New Roman" w:hAnsi="Times New Roman" w:cs="Times New Roman"/>
        </w:rPr>
      </w:pPr>
      <w:proofErr w:type="spellStart"/>
      <w:r w:rsidRPr="00CA4FF0">
        <w:rPr>
          <w:rFonts w:ascii="Times New Roman" w:hAnsi="Times New Roman" w:cs="Times New Roman"/>
          <w:i/>
          <w:iCs/>
          <w:color w:val="555555"/>
          <w:sz w:val="18"/>
          <w:szCs w:val="18"/>
        </w:rPr>
        <w:t>cOR</w:t>
      </w:r>
      <w:proofErr w:type="spellEnd"/>
      <w:r w:rsidRPr="00CA4FF0">
        <w:rPr>
          <w:rFonts w:ascii="Times New Roman" w:hAnsi="Times New Roman" w:cs="Times New Roman"/>
          <w:i/>
          <w:iCs/>
          <w:color w:val="555555"/>
          <w:sz w:val="18"/>
          <w:szCs w:val="18"/>
        </w:rPr>
        <w:t xml:space="preserve"> = Crude Odds Ratio; </w:t>
      </w:r>
      <w:proofErr w:type="spellStart"/>
      <w:r w:rsidRPr="00CA4FF0">
        <w:rPr>
          <w:rFonts w:ascii="Times New Roman" w:hAnsi="Times New Roman" w:cs="Times New Roman"/>
          <w:i/>
          <w:iCs/>
          <w:color w:val="555555"/>
          <w:sz w:val="18"/>
          <w:szCs w:val="18"/>
        </w:rPr>
        <w:t>aOR</w:t>
      </w:r>
      <w:proofErr w:type="spellEnd"/>
      <w:r w:rsidRPr="00CA4FF0">
        <w:rPr>
          <w:rFonts w:ascii="Times New Roman" w:hAnsi="Times New Roman" w:cs="Times New Roman"/>
          <w:i/>
          <w:iCs/>
          <w:color w:val="555555"/>
          <w:sz w:val="18"/>
          <w:szCs w:val="18"/>
        </w:rPr>
        <w:t xml:space="preserve"> = Adjusted Odds Ratio. Model fit: Nagelkerke R²=0.211; Hosmer-</w:t>
      </w:r>
      <w:proofErr w:type="spellStart"/>
      <w:r w:rsidRPr="00CA4FF0">
        <w:rPr>
          <w:rFonts w:ascii="Times New Roman" w:hAnsi="Times New Roman" w:cs="Times New Roman"/>
          <w:i/>
          <w:iCs/>
          <w:color w:val="555555"/>
          <w:sz w:val="18"/>
          <w:szCs w:val="18"/>
        </w:rPr>
        <w:t>Lemeshow</w:t>
      </w:r>
      <w:proofErr w:type="spellEnd"/>
      <w:r w:rsidRPr="00CA4FF0">
        <w:rPr>
          <w:rFonts w:ascii="Times New Roman" w:hAnsi="Times New Roman" w:cs="Times New Roman"/>
          <w:i/>
          <w:iCs/>
          <w:color w:val="555555"/>
          <w:sz w:val="18"/>
          <w:szCs w:val="18"/>
        </w:rPr>
        <w:t xml:space="preserve"> p=0.331; Classification accuracy=65.2%. </w:t>
      </w:r>
      <w:r w:rsidRPr="00CA4FF0">
        <w:rPr>
          <w:rFonts w:ascii="Segoe UI Symbol" w:hAnsi="Segoe UI Symbol" w:cs="Segoe UI Symbol"/>
          <w:i/>
          <w:iCs/>
          <w:color w:val="555555"/>
          <w:sz w:val="18"/>
          <w:szCs w:val="18"/>
        </w:rPr>
        <w:t>★</w:t>
      </w:r>
      <w:r w:rsidRPr="00CA4FF0">
        <w:rPr>
          <w:rFonts w:ascii="Times New Roman" w:hAnsi="Times New Roman" w:cs="Times New Roman"/>
          <w:i/>
          <w:iCs/>
          <w:color w:val="555555"/>
          <w:sz w:val="18"/>
          <w:szCs w:val="18"/>
        </w:rPr>
        <w:t xml:space="preserve"> p&lt;0.05; † p&lt;0.10; </w:t>
      </w:r>
      <w:r w:rsidRPr="00CA4FF0">
        <w:rPr>
          <w:rFonts w:ascii="Segoe UI Symbol" w:hAnsi="Segoe UI Symbol" w:cs="Segoe UI Symbol"/>
          <w:i/>
          <w:iCs/>
          <w:color w:val="555555"/>
          <w:sz w:val="18"/>
          <w:szCs w:val="18"/>
        </w:rPr>
        <w:t>✕</w:t>
      </w:r>
      <w:r w:rsidRPr="00CA4FF0">
        <w:rPr>
          <w:rFonts w:ascii="Times New Roman" w:hAnsi="Times New Roman" w:cs="Times New Roman"/>
          <w:i/>
          <w:iCs/>
          <w:color w:val="555555"/>
          <w:sz w:val="18"/>
          <w:szCs w:val="18"/>
        </w:rPr>
        <w:t xml:space="preserve"> non-significant.</w:t>
      </w:r>
    </w:p>
    <w:p w14:paraId="4DE17EA2" w14:textId="77777777" w:rsidR="00355B0D" w:rsidRPr="00CA4FF0" w:rsidRDefault="00355B0D">
      <w:pPr>
        <w:spacing w:after="80"/>
        <w:rPr>
          <w:rFonts w:ascii="Times New Roman" w:hAnsi="Times New Roman" w:cs="Times New Roman"/>
        </w:rPr>
      </w:pPr>
    </w:p>
    <w:p w14:paraId="5EC3DF7F"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4. DISCUSSION</w:t>
      </w:r>
    </w:p>
    <w:p w14:paraId="1B61F264"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4.1 Principal Findings</w:t>
      </w:r>
    </w:p>
    <w:p w14:paraId="179CA55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This study makes four original contribut</w:t>
      </w:r>
      <w:r w:rsidRPr="00CA4FF0">
        <w:rPr>
          <w:rFonts w:ascii="Times New Roman" w:hAnsi="Times New Roman" w:cs="Times New Roman"/>
        </w:rPr>
        <w:t>ions to the literature on GMP in low-resource settings. First, it demonstrates — using multivariable linear regression with rigorous confounder adjustment — that regular GMP attendance is independently associated with a 0.365 SD improvement in HAZ and a 0.</w:t>
      </w:r>
      <w:r w:rsidRPr="00CA4FF0">
        <w:rPr>
          <w:rFonts w:ascii="Times New Roman" w:hAnsi="Times New Roman" w:cs="Times New Roman"/>
        </w:rPr>
        <w:t>343 SD improvement in WAZ among children under five in one of Sierra Leone's most nutritionally vulnerable communities. This effect size, equivalent to reducing stunting prevalence from 35.7% to 19.0%, is both statistically robust and programmatically mean</w:t>
      </w:r>
      <w:r w:rsidRPr="00CA4FF0">
        <w:rPr>
          <w:rFonts w:ascii="Times New Roman" w:hAnsi="Times New Roman" w:cs="Times New Roman"/>
        </w:rPr>
        <w:t>ingful. Second, it quantifies a critical 36 percentage-point gap between ever-attendance and regular attendance, establishing that coverage metrics alone are misleading proxies for programme effectiveness. Third, it demonstrates, via multivariable inferenc</w:t>
      </w:r>
      <w:r w:rsidRPr="00CA4FF0">
        <w:rPr>
          <w:rFonts w:ascii="Times New Roman" w:hAnsi="Times New Roman" w:cs="Times New Roman"/>
        </w:rPr>
        <w:t>e, that attitude toward GMP, IYCF counselling access, and social capital — not maternal knowledge per se — are the independent drivers of regular attendance. Fourth, it provides dose-response evidence: stunting prevalence declines from 32.5% at zero GMP co</w:t>
      </w:r>
      <w:r w:rsidRPr="00CA4FF0">
        <w:rPr>
          <w:rFonts w:ascii="Times New Roman" w:hAnsi="Times New Roman" w:cs="Times New Roman"/>
        </w:rPr>
        <w:t>ntacts to 13.3% at six contacts, and mean HAZ improves by 0.77 SD units across the range of visit frequencies (ρ=0.170, p&lt;0.001).</w:t>
      </w:r>
    </w:p>
    <w:p w14:paraId="6F7FF197"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4.2 The Coverage-Quality Paradox</w:t>
      </w:r>
    </w:p>
    <w:p w14:paraId="1A6418C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observation that 77.8% of mothers had ever attended GMP while only 41.8% attended regular</w:t>
      </w:r>
      <w:r w:rsidRPr="00CA4FF0">
        <w:rPr>
          <w:rFonts w:ascii="Times New Roman" w:hAnsi="Times New Roman" w:cs="Times New Roman"/>
        </w:rPr>
        <w:t xml:space="preserve">ly challenges the common use of ever-attendance as a programme indicator. Similar coverage-quality paradoxes have been documented in </w:t>
      </w:r>
      <w:proofErr w:type="gramStart"/>
      <w:r w:rsidRPr="00CA4FF0">
        <w:rPr>
          <w:rFonts w:ascii="Times New Roman" w:hAnsi="Times New Roman" w:cs="Times New Roman"/>
        </w:rPr>
        <w:t>Ghana</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9]</w:t>
      </w:r>
      <w:r w:rsidRPr="00CA4FF0">
        <w:rPr>
          <w:rFonts w:ascii="Times New Roman" w:hAnsi="Times New Roman" w:cs="Times New Roman"/>
        </w:rPr>
        <w:t xml:space="preserve"> and Ethiopia,</w:t>
      </w:r>
      <w:r w:rsidRPr="00CA4FF0">
        <w:rPr>
          <w:rFonts w:ascii="Times New Roman" w:hAnsi="Times New Roman" w:cs="Times New Roman"/>
          <w:color w:val="1F4E79"/>
          <w:sz w:val="18"/>
          <w:szCs w:val="18"/>
          <w:vertAlign w:val="superscript"/>
        </w:rPr>
        <w:t>[10]</w:t>
      </w:r>
      <w:r w:rsidRPr="00CA4FF0">
        <w:rPr>
          <w:rFonts w:ascii="Times New Roman" w:hAnsi="Times New Roman" w:cs="Times New Roman"/>
        </w:rPr>
        <w:t xml:space="preserve"> where high nominal GMP coverage coexisted with poor weight monitoring quality and limited counse</w:t>
      </w:r>
      <w:r w:rsidRPr="00CA4FF0">
        <w:rPr>
          <w:rFonts w:ascii="Times New Roman" w:hAnsi="Times New Roman" w:cs="Times New Roman"/>
        </w:rPr>
        <w:t>lling provision. In this study, only 55.4% of attendees received growth chart explanation and only 64.3% received nutrition counselling — service quality failures that limit GMP's behaviour-change potential even among those who physically attend. Programme</w:t>
      </w:r>
      <w:r w:rsidRPr="00CA4FF0">
        <w:rPr>
          <w:rFonts w:ascii="Times New Roman" w:hAnsi="Times New Roman" w:cs="Times New Roman"/>
        </w:rPr>
        <w:t>s that report coverage without stratifying by regularity and service quality are systematically overestimating their reach and impact.</w:t>
      </w:r>
    </w:p>
    <w:p w14:paraId="0D176BEE"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4.3 Attitude, Not Knowledge, Drives Attendance: A Paradigm Shift</w:t>
      </w:r>
    </w:p>
    <w:p w14:paraId="56943093"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The attenuation of maternal knowledge from </w:t>
      </w:r>
      <w:proofErr w:type="spellStart"/>
      <w:r w:rsidRPr="00CA4FF0">
        <w:rPr>
          <w:rFonts w:ascii="Times New Roman" w:hAnsi="Times New Roman" w:cs="Times New Roman"/>
        </w:rPr>
        <w:t>cOR</w:t>
      </w:r>
      <w:proofErr w:type="spellEnd"/>
      <w:r w:rsidRPr="00CA4FF0">
        <w:rPr>
          <w:rFonts w:ascii="Times New Roman" w:hAnsi="Times New Roman" w:cs="Times New Roman"/>
        </w:rPr>
        <w:t xml:space="preserve">=4.72 to </w:t>
      </w:r>
      <w:proofErr w:type="spellStart"/>
      <w:r w:rsidRPr="00CA4FF0">
        <w:rPr>
          <w:rFonts w:ascii="Times New Roman" w:hAnsi="Times New Roman" w:cs="Times New Roman"/>
        </w:rPr>
        <w:t>aOR</w:t>
      </w:r>
      <w:proofErr w:type="spellEnd"/>
      <w:r w:rsidRPr="00CA4FF0">
        <w:rPr>
          <w:rFonts w:ascii="Times New Roman" w:hAnsi="Times New Roman" w:cs="Times New Roman"/>
        </w:rPr>
        <w:t>=1.23 (non-significant) after adjustment, while positive attitude (</w:t>
      </w:r>
      <w:proofErr w:type="spellStart"/>
      <w:r w:rsidRPr="00CA4FF0">
        <w:rPr>
          <w:rFonts w:ascii="Times New Roman" w:hAnsi="Times New Roman" w:cs="Times New Roman"/>
        </w:rPr>
        <w:t>aOR</w:t>
      </w:r>
      <w:proofErr w:type="spellEnd"/>
      <w:r w:rsidRPr="00CA4FF0">
        <w:rPr>
          <w:rFonts w:ascii="Times New Roman" w:hAnsi="Times New Roman" w:cs="Times New Roman"/>
        </w:rPr>
        <w:t>=3.72) and perceived benefit (</w:t>
      </w:r>
      <w:proofErr w:type="spellStart"/>
      <w:r w:rsidRPr="00CA4FF0">
        <w:rPr>
          <w:rFonts w:ascii="Times New Roman" w:hAnsi="Times New Roman" w:cs="Times New Roman"/>
        </w:rPr>
        <w:t>aOR</w:t>
      </w:r>
      <w:proofErr w:type="spellEnd"/>
      <w:r w:rsidRPr="00CA4FF0">
        <w:rPr>
          <w:rFonts w:ascii="Times New Roman" w:hAnsi="Times New Roman" w:cs="Times New Roman"/>
        </w:rPr>
        <w:t>=1.79) remained independently significant, has profound programmatic implications. This finding</w:t>
      </w:r>
      <w:r w:rsidRPr="00CA4FF0">
        <w:rPr>
          <w:rFonts w:ascii="Times New Roman" w:hAnsi="Times New Roman" w:cs="Times New Roman"/>
        </w:rPr>
        <w:t xml:space="preserve"> is consistent with the Health Belief </w:t>
      </w:r>
      <w:proofErr w:type="gramStart"/>
      <w:r w:rsidRPr="00CA4FF0">
        <w:rPr>
          <w:rFonts w:ascii="Times New Roman" w:hAnsi="Times New Roman" w:cs="Times New Roman"/>
        </w:rPr>
        <w:t>Model,</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11]</w:t>
      </w:r>
      <w:r w:rsidRPr="00CA4FF0">
        <w:rPr>
          <w:rFonts w:ascii="Times New Roman" w:hAnsi="Times New Roman" w:cs="Times New Roman"/>
        </w:rPr>
        <w:t xml:space="preserve"> which posits that perceived susceptibility and perceived benefit — not information per se — are the proximal determinants of health-seeking behaviour. It is also concordant with a growing body of literature </w:t>
      </w:r>
      <w:r w:rsidRPr="00CA4FF0">
        <w:rPr>
          <w:rFonts w:ascii="Times New Roman" w:hAnsi="Times New Roman" w:cs="Times New Roman"/>
        </w:rPr>
        <w:t xml:space="preserve">from sub-Saharan Africa demonstrating that knowledge-based interventions in isolation are insufficient to sustain GMP </w:t>
      </w:r>
      <w:proofErr w:type="gramStart"/>
      <w:r w:rsidRPr="00CA4FF0">
        <w:rPr>
          <w:rFonts w:ascii="Times New Roman" w:hAnsi="Times New Roman" w:cs="Times New Roman"/>
        </w:rPr>
        <w:t>attendance.</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5,12]</w:t>
      </w:r>
      <w:r w:rsidRPr="00CA4FF0">
        <w:rPr>
          <w:rFonts w:ascii="Times New Roman" w:hAnsi="Times New Roman" w:cs="Times New Roman"/>
        </w:rPr>
        <w:t xml:space="preserve"> What moves mothers to attend regularly is a positive experiential attitude built through high-quality, respectful servic</w:t>
      </w:r>
      <w:r w:rsidRPr="00CA4FF0">
        <w:rPr>
          <w:rFonts w:ascii="Times New Roman" w:hAnsi="Times New Roman" w:cs="Times New Roman"/>
        </w:rPr>
        <w:t>e interactions, peer reinforcement via mother support groups (</w:t>
      </w:r>
      <w:proofErr w:type="spellStart"/>
      <w:r w:rsidRPr="00CA4FF0">
        <w:rPr>
          <w:rFonts w:ascii="Times New Roman" w:hAnsi="Times New Roman" w:cs="Times New Roman"/>
        </w:rPr>
        <w:t>aOR</w:t>
      </w:r>
      <w:proofErr w:type="spellEnd"/>
      <w:r w:rsidRPr="00CA4FF0">
        <w:rPr>
          <w:rFonts w:ascii="Times New Roman" w:hAnsi="Times New Roman" w:cs="Times New Roman"/>
        </w:rPr>
        <w:t xml:space="preserve">=1.87, p&lt;0.001), and the tangible perceived value of counselling (IYCF counselling effect: </w:t>
      </w:r>
      <w:proofErr w:type="spellStart"/>
      <w:r w:rsidRPr="00CA4FF0">
        <w:rPr>
          <w:rFonts w:ascii="Times New Roman" w:hAnsi="Times New Roman" w:cs="Times New Roman"/>
        </w:rPr>
        <w:t>aOR</w:t>
      </w:r>
      <w:proofErr w:type="spellEnd"/>
      <w:r w:rsidRPr="00CA4FF0">
        <w:rPr>
          <w:rFonts w:ascii="Times New Roman" w:hAnsi="Times New Roman" w:cs="Times New Roman"/>
        </w:rPr>
        <w:t xml:space="preserve">=4.20). Health education content may be </w:t>
      </w:r>
      <w:r w:rsidRPr="00CA4FF0">
        <w:rPr>
          <w:rFonts w:ascii="Times New Roman" w:hAnsi="Times New Roman" w:cs="Times New Roman"/>
        </w:rPr>
        <w:lastRenderedPageBreak/>
        <w:t>necessary but is insufficient; the quality of the service</w:t>
      </w:r>
      <w:r w:rsidRPr="00CA4FF0">
        <w:rPr>
          <w:rFonts w:ascii="Times New Roman" w:hAnsi="Times New Roman" w:cs="Times New Roman"/>
        </w:rPr>
        <w:t xml:space="preserve"> encounter and the social architecture around it are the decisive factors.</w:t>
      </w:r>
    </w:p>
    <w:p w14:paraId="0E184A34"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4.4 IYCF Integration and Social Capital as Structural Amplifiers</w:t>
      </w:r>
    </w:p>
    <w:p w14:paraId="54E3555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finding that IYCF counselling through any channel quadrupled the odds of regular GMP attendance (</w:t>
      </w:r>
      <w:proofErr w:type="spellStart"/>
      <w:r w:rsidRPr="00CA4FF0">
        <w:rPr>
          <w:rFonts w:ascii="Times New Roman" w:hAnsi="Times New Roman" w:cs="Times New Roman"/>
        </w:rPr>
        <w:t>aOR</w:t>
      </w:r>
      <w:proofErr w:type="spellEnd"/>
      <w:r w:rsidRPr="00CA4FF0">
        <w:rPr>
          <w:rFonts w:ascii="Times New Roman" w:hAnsi="Times New Roman" w:cs="Times New Roman"/>
        </w:rPr>
        <w:t>=4.20, 95% C</w:t>
      </w:r>
      <w:r w:rsidRPr="00CA4FF0">
        <w:rPr>
          <w:rFonts w:ascii="Times New Roman" w:hAnsi="Times New Roman" w:cs="Times New Roman"/>
        </w:rPr>
        <w:t>I: 1.40–12.63, p=0.010) — independent of knowledge, attitude, and support group membership — suggests that GMP and IYCF form a mutually reinforcing service ecosystem. Mothers exposed to IYCF counselling develop a framework for understanding child growth th</w:t>
      </w:r>
      <w:r w:rsidRPr="00CA4FF0">
        <w:rPr>
          <w:rFonts w:ascii="Times New Roman" w:hAnsi="Times New Roman" w:cs="Times New Roman"/>
        </w:rPr>
        <w:t>at makes GMP attendance purposeful rather than perfunctory. This finding supports WHO/UNICEF recommendations for integrated Essential Nutrition Actions delivery and should accelerate Sierra Leone's national policy shift toward truly integrated maternal and</w:t>
      </w:r>
      <w:r w:rsidRPr="00CA4FF0">
        <w:rPr>
          <w:rFonts w:ascii="Times New Roman" w:hAnsi="Times New Roman" w:cs="Times New Roman"/>
        </w:rPr>
        <w:t xml:space="preserve"> child health service </w:t>
      </w:r>
      <w:proofErr w:type="gramStart"/>
      <w:r w:rsidRPr="00CA4FF0">
        <w:rPr>
          <w:rFonts w:ascii="Times New Roman" w:hAnsi="Times New Roman" w:cs="Times New Roman"/>
        </w:rPr>
        <w:t>packages.</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14]</w:t>
      </w:r>
      <w:r w:rsidRPr="00CA4FF0">
        <w:rPr>
          <w:rFonts w:ascii="Times New Roman" w:hAnsi="Times New Roman" w:cs="Times New Roman"/>
        </w:rPr>
        <w:t xml:space="preserve"> Mother support group membership was the most precisely estimated independent predictor (</w:t>
      </w:r>
      <w:proofErr w:type="spellStart"/>
      <w:r w:rsidRPr="00CA4FF0">
        <w:rPr>
          <w:rFonts w:ascii="Times New Roman" w:hAnsi="Times New Roman" w:cs="Times New Roman"/>
        </w:rPr>
        <w:t>aOR</w:t>
      </w:r>
      <w:proofErr w:type="spellEnd"/>
      <w:r w:rsidRPr="00CA4FF0">
        <w:rPr>
          <w:rFonts w:ascii="Times New Roman" w:hAnsi="Times New Roman" w:cs="Times New Roman"/>
        </w:rPr>
        <w:t>=1.87, 95% CI: 1.30–2.68), confirming the critical role of peer social capital in sustaining health-seeking behaviour. Social net</w:t>
      </w:r>
      <w:r w:rsidRPr="00CA4FF0">
        <w:rPr>
          <w:rFonts w:ascii="Times New Roman" w:hAnsi="Times New Roman" w:cs="Times New Roman"/>
        </w:rPr>
        <w:t xml:space="preserve">work theory predicts that health behaviours are reinforced through norm diffusion within trusted peer </w:t>
      </w:r>
      <w:proofErr w:type="gramStart"/>
      <w:r w:rsidRPr="00CA4FF0">
        <w:rPr>
          <w:rFonts w:ascii="Times New Roman" w:hAnsi="Times New Roman" w:cs="Times New Roman"/>
        </w:rPr>
        <w:t>networks,</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13]</w:t>
      </w:r>
      <w:r w:rsidRPr="00CA4FF0">
        <w:rPr>
          <w:rFonts w:ascii="Times New Roman" w:hAnsi="Times New Roman" w:cs="Times New Roman"/>
        </w:rPr>
        <w:t xml:space="preserve"> and the present findings add quantitative community-level evidence in support of this model.</w:t>
      </w:r>
    </w:p>
    <w:p w14:paraId="304E3AD5"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4.5 Distance as a Structural Determinant: The A</w:t>
      </w:r>
      <w:r w:rsidRPr="00CA4FF0">
        <w:rPr>
          <w:rFonts w:ascii="Times New Roman" w:hAnsi="Times New Roman" w:cs="Times New Roman"/>
        </w:rPr>
        <w:t>ttitude-Distance Threshold</w:t>
      </w:r>
    </w:p>
    <w:p w14:paraId="4433CEC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Geographic access — operationalised as distance to the nearest primary health centre — emerged as a significant structural determinant of regular GMP attendance in the adjusted model (</w:t>
      </w:r>
      <w:proofErr w:type="spellStart"/>
      <w:r w:rsidRPr="00CA4FF0">
        <w:rPr>
          <w:rFonts w:ascii="Times New Roman" w:hAnsi="Times New Roman" w:cs="Times New Roman"/>
        </w:rPr>
        <w:t>aOR</w:t>
      </w:r>
      <w:proofErr w:type="spellEnd"/>
      <w:r w:rsidRPr="00CA4FF0">
        <w:rPr>
          <w:rFonts w:ascii="Times New Roman" w:hAnsi="Times New Roman" w:cs="Times New Roman"/>
        </w:rPr>
        <w:t>=0.92 per km, p=0.026), despite failing to</w:t>
      </w:r>
      <w:r w:rsidRPr="00CA4FF0">
        <w:rPr>
          <w:rFonts w:ascii="Times New Roman" w:hAnsi="Times New Roman" w:cs="Times New Roman"/>
        </w:rPr>
        <w:t xml:space="preserve"> reach significance in crude analysis (p=0.065). The 8% reduction in odds per additional </w:t>
      </w:r>
      <w:proofErr w:type="spellStart"/>
      <w:r w:rsidRPr="00CA4FF0">
        <w:rPr>
          <w:rFonts w:ascii="Times New Roman" w:hAnsi="Times New Roman" w:cs="Times New Roman"/>
        </w:rPr>
        <w:t>kilometre</w:t>
      </w:r>
      <w:proofErr w:type="spellEnd"/>
      <w:r w:rsidRPr="00CA4FF0">
        <w:rPr>
          <w:rFonts w:ascii="Times New Roman" w:hAnsi="Times New Roman" w:cs="Times New Roman"/>
        </w:rPr>
        <w:t xml:space="preserve"> implies that for a community located 10 km from the PHC, GMP attendance odds are approximately 56% lower than for a community at the facility boundary. At 15</w:t>
      </w:r>
      <w:r w:rsidRPr="00CA4FF0">
        <w:rPr>
          <w:rFonts w:ascii="Times New Roman" w:hAnsi="Times New Roman" w:cs="Times New Roman"/>
        </w:rPr>
        <w:t xml:space="preserve"> km, modelled attendance odds are reduced by approximately 72%.</w:t>
      </w:r>
    </w:p>
    <w:p w14:paraId="128F7FA2"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 xml:space="preserve">A critical question emerges from these data: </w:t>
      </w:r>
      <w:r w:rsidRPr="00CA4FF0">
        <w:rPr>
          <w:rFonts w:ascii="Times New Roman" w:hAnsi="Times New Roman" w:cs="Times New Roman"/>
        </w:rPr>
        <w:t>at what distance threshold does a mother's positive attitude toward GMP become insufficient to overcome the physical barrier of distance? Convertin</w:t>
      </w:r>
      <w:r w:rsidRPr="00CA4FF0">
        <w:rPr>
          <w:rFonts w:ascii="Times New Roman" w:hAnsi="Times New Roman" w:cs="Times New Roman"/>
        </w:rPr>
        <w:t xml:space="preserve">g the </w:t>
      </w:r>
      <w:proofErr w:type="spellStart"/>
      <w:r w:rsidRPr="00CA4FF0">
        <w:rPr>
          <w:rFonts w:ascii="Times New Roman" w:hAnsi="Times New Roman" w:cs="Times New Roman"/>
        </w:rPr>
        <w:t>aOR</w:t>
      </w:r>
      <w:proofErr w:type="spellEnd"/>
      <w:r w:rsidRPr="00CA4FF0">
        <w:rPr>
          <w:rFonts w:ascii="Times New Roman" w:hAnsi="Times New Roman" w:cs="Times New Roman"/>
        </w:rPr>
        <w:t xml:space="preserve"> for distance (0.92 per km) and the </w:t>
      </w:r>
      <w:proofErr w:type="spellStart"/>
      <w:r w:rsidRPr="00CA4FF0">
        <w:rPr>
          <w:rFonts w:ascii="Times New Roman" w:hAnsi="Times New Roman" w:cs="Times New Roman"/>
        </w:rPr>
        <w:t>aOR</w:t>
      </w:r>
      <w:proofErr w:type="spellEnd"/>
      <w:r w:rsidRPr="00CA4FF0">
        <w:rPr>
          <w:rFonts w:ascii="Times New Roman" w:hAnsi="Times New Roman" w:cs="Times New Roman"/>
        </w:rPr>
        <w:t xml:space="preserve"> for positive attitude (3.72), the </w:t>
      </w:r>
      <w:proofErr w:type="spellStart"/>
      <w:r w:rsidRPr="00CA4FF0">
        <w:rPr>
          <w:rFonts w:ascii="Times New Roman" w:hAnsi="Times New Roman" w:cs="Times New Roman"/>
        </w:rPr>
        <w:t>neutralisation</w:t>
      </w:r>
      <w:proofErr w:type="spellEnd"/>
      <w:r w:rsidRPr="00CA4FF0">
        <w:rPr>
          <w:rFonts w:ascii="Times New Roman" w:hAnsi="Times New Roman" w:cs="Times New Roman"/>
        </w:rPr>
        <w:t xml:space="preserve"> point can be estimated as: each </w:t>
      </w:r>
      <w:proofErr w:type="spellStart"/>
      <w:r w:rsidRPr="00CA4FF0">
        <w:rPr>
          <w:rFonts w:ascii="Times New Roman" w:hAnsi="Times New Roman" w:cs="Times New Roman"/>
        </w:rPr>
        <w:t>kilometre</w:t>
      </w:r>
      <w:proofErr w:type="spellEnd"/>
      <w:r w:rsidRPr="00CA4FF0">
        <w:rPr>
          <w:rFonts w:ascii="Times New Roman" w:hAnsi="Times New Roman" w:cs="Times New Roman"/>
        </w:rPr>
        <w:t xml:space="preserve"> of distance attenuates attendance odds by 8%; a positive attitude multiplies odds by approximately 3.72-fold. Logari</w:t>
      </w:r>
      <w:r w:rsidRPr="00CA4FF0">
        <w:rPr>
          <w:rFonts w:ascii="Times New Roman" w:hAnsi="Times New Roman" w:cs="Times New Roman"/>
        </w:rPr>
        <w:t>thmically, a positive attitude confers a protective advantage equivalent to approximately 16 km of additional distance [</w:t>
      </w:r>
      <w:proofErr w:type="gramStart"/>
      <w:r w:rsidRPr="00CA4FF0">
        <w:rPr>
          <w:rFonts w:ascii="Times New Roman" w:hAnsi="Times New Roman" w:cs="Times New Roman"/>
        </w:rPr>
        <w:t>ln(</w:t>
      </w:r>
      <w:proofErr w:type="gramEnd"/>
      <w:r w:rsidRPr="00CA4FF0">
        <w:rPr>
          <w:rFonts w:ascii="Times New Roman" w:hAnsi="Times New Roman" w:cs="Times New Roman"/>
        </w:rPr>
        <w:t xml:space="preserve">3.72)/ln(1/0.92) ≈ 15.8 km]. Beyond this threshold — operationally estimated at approximately 15–16 km from the PHC — the protective </w:t>
      </w:r>
      <w:r w:rsidRPr="00CA4FF0">
        <w:rPr>
          <w:rFonts w:ascii="Times New Roman" w:hAnsi="Times New Roman" w:cs="Times New Roman"/>
        </w:rPr>
        <w:t xml:space="preserve">effect of positive attitude is entirely consumed by the structural penalty of distance. In this sample, 26.9% of participants resided more than 5 km from the PHC. This implies that for a meaningful and growing subpopulation of Sulima Chiefdom, demand-side </w:t>
      </w:r>
      <w:r w:rsidRPr="00CA4FF0">
        <w:rPr>
          <w:rFonts w:ascii="Times New Roman" w:hAnsi="Times New Roman" w:cs="Times New Roman"/>
        </w:rPr>
        <w:t>attitudinal interventions — however effective — are structurally insufficient without corresponding investment in outreach services, community-based GMP posts, or transport subsidies.</w:t>
      </w:r>
    </w:p>
    <w:p w14:paraId="26202233"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4.6 Nutritional Emergency Context</w:t>
      </w:r>
    </w:p>
    <w:p w14:paraId="39CCC8C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GAM prevalence of 18.3% in this st</w:t>
      </w:r>
      <w:r w:rsidRPr="00CA4FF0">
        <w:rPr>
          <w:rFonts w:ascii="Times New Roman" w:hAnsi="Times New Roman" w:cs="Times New Roman"/>
        </w:rPr>
        <w:t>udy — exceeding the WHO emergency threshold of 15% — places Sulima Chiefdom in a nutrition emergency that warrants immediate humanitarian and developmental response. The stunting prevalence of 28.7% indicates entrenched chronic undernutrition, with the age</w:t>
      </w:r>
      <w:r w:rsidRPr="00CA4FF0">
        <w:rPr>
          <w:rFonts w:ascii="Times New Roman" w:hAnsi="Times New Roman" w:cs="Times New Roman"/>
        </w:rPr>
        <w:t xml:space="preserve"> trajectory (rising from 15.8% at 0–5 months to 36.5% at 36–47 months) indicating that growth faltering accelerates during the complementary feeding window (6–24 months). SAM prevalence of 1.0% represents approximately 6 children in every 617, each facing </w:t>
      </w:r>
      <w:r w:rsidRPr="00CA4FF0">
        <w:rPr>
          <w:rFonts w:ascii="Times New Roman" w:hAnsi="Times New Roman" w:cs="Times New Roman"/>
        </w:rPr>
        <w:t>a case fatality rate of 20–30% without treatment — underscoring the urgent referral imperative of functional GMP.</w:t>
      </w:r>
    </w:p>
    <w:p w14:paraId="003F7AB9"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 xml:space="preserve">The 0.493 SD HAZ difference between regular and irregular GMP attendees translates, at a population level, to a shift in the proportion below </w:t>
      </w:r>
      <w:r w:rsidRPr="00CA4FF0">
        <w:rPr>
          <w:rFonts w:ascii="Times New Roman" w:hAnsi="Times New Roman" w:cs="Times New Roman"/>
        </w:rPr>
        <w:t>−</w:t>
      </w:r>
      <w:r w:rsidRPr="00CA4FF0">
        <w:rPr>
          <w:rFonts w:ascii="Times New Roman" w:hAnsi="Times New Roman" w:cs="Times New Roman"/>
        </w:rPr>
        <w:t xml:space="preserve">2 SD from 35.7% to 19.0% — a reduction of 16.7 percentage points. Were the entire Sulima Chiefdom under-five population to achieve regular GMP attendance, the application of this effect estimate suggests stunting prevalence could be brought below the WHO </w:t>
      </w:r>
      <w:r w:rsidRPr="00CA4FF0">
        <w:rPr>
          <w:rFonts w:ascii="Times New Roman" w:hAnsi="Times New Roman" w:cs="Times New Roman"/>
        </w:rPr>
        <w:t xml:space="preserve">high-concern threshold of 20%. This model-derived projection </w:t>
      </w:r>
      <w:r w:rsidRPr="00CA4FF0">
        <w:rPr>
          <w:rFonts w:ascii="Times New Roman" w:hAnsi="Times New Roman" w:cs="Times New Roman"/>
          <w:b/>
          <w:bCs/>
        </w:rPr>
        <w:t>provides a quantitative basis for investment decisions</w:t>
      </w:r>
      <w:r w:rsidRPr="00CA4FF0">
        <w:rPr>
          <w:rFonts w:ascii="Times New Roman" w:hAnsi="Times New Roman" w:cs="Times New Roman"/>
        </w:rPr>
        <w:t xml:space="preserve"> and target-setting that is currently absent from Sierra Leone's district health planning frameworks.</w:t>
      </w:r>
    </w:p>
    <w:p w14:paraId="1E53CB6C"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4.7 Sensitivity Analysis: Addressing Healthy User Bias</w:t>
      </w:r>
    </w:p>
    <w:p w14:paraId="0FAFBB44" w14:textId="77777777" w:rsidR="00355B0D" w:rsidRPr="00CA4FF0" w:rsidRDefault="00F77F3D">
      <w:pPr>
        <w:spacing w:after="100" w:line="276" w:lineRule="auto"/>
        <w:jc w:val="both"/>
        <w:rPr>
          <w:rFonts w:ascii="Times New Roman" w:hAnsi="Times New Roman" w:cs="Times New Roman"/>
        </w:rPr>
      </w:pPr>
      <w:r w:rsidRPr="00CA4FF0">
        <w:rPr>
          <w:rFonts w:ascii="Times New Roman" w:hAnsi="Times New Roman" w:cs="Times New Roman"/>
        </w:rPr>
        <w:t xml:space="preserve">As a cross-sectional study, the claim that GMP attendance </w:t>
      </w:r>
      <w:r w:rsidRPr="00CA4FF0">
        <w:rPr>
          <w:rFonts w:ascii="Times New Roman" w:hAnsi="Times New Roman" w:cs="Times New Roman"/>
          <w:i/>
          <w:iCs/>
        </w:rPr>
        <w:t>causes</w:t>
      </w:r>
      <w:r w:rsidRPr="00CA4FF0">
        <w:rPr>
          <w:rFonts w:ascii="Times New Roman" w:hAnsi="Times New Roman" w:cs="Times New Roman"/>
        </w:rPr>
        <w:t xml:space="preserve"> improved child growth is subject to the healthy user bias — families who are more health-conscious may be simultaneously more likely to </w:t>
      </w:r>
      <w:r w:rsidRPr="00CA4FF0">
        <w:rPr>
          <w:rFonts w:ascii="Times New Roman" w:hAnsi="Times New Roman" w:cs="Times New Roman"/>
        </w:rPr>
        <w:t>attend GMP and to provide better home nutrition. While definitive causal inference requires a prospective or experimental design, three analytical features of the present study mitigate this concern and support a plausible causal interpretation:</w:t>
      </w:r>
    </w:p>
    <w:p w14:paraId="63AFD713" w14:textId="77777777" w:rsidR="00355B0D" w:rsidRPr="00CA4FF0" w:rsidRDefault="00F77F3D">
      <w:pPr>
        <w:spacing w:after="80" w:line="276" w:lineRule="auto"/>
        <w:ind w:left="480"/>
        <w:jc w:val="both"/>
        <w:rPr>
          <w:rFonts w:ascii="Times New Roman" w:hAnsi="Times New Roman" w:cs="Times New Roman"/>
        </w:rPr>
      </w:pPr>
      <w:r w:rsidRPr="00CA4FF0">
        <w:rPr>
          <w:rFonts w:ascii="Times New Roman" w:hAnsi="Times New Roman" w:cs="Times New Roman"/>
          <w:b/>
          <w:bCs/>
        </w:rPr>
        <w:t>1. Confoun</w:t>
      </w:r>
      <w:r w:rsidRPr="00CA4FF0">
        <w:rPr>
          <w:rFonts w:ascii="Times New Roman" w:hAnsi="Times New Roman" w:cs="Times New Roman"/>
          <w:b/>
          <w:bCs/>
        </w:rPr>
        <w:t xml:space="preserve">der adjustment: </w:t>
      </w:r>
      <w:r w:rsidRPr="00CA4FF0">
        <w:rPr>
          <w:rFonts w:ascii="Times New Roman" w:hAnsi="Times New Roman" w:cs="Times New Roman"/>
        </w:rPr>
        <w:t>The multivariable linear regression explicitly controlled for household food security, morbidity (diarrhoea and ARI), exclusive breastfeeding, birth weight, vitamin A supplementation, maternal knowledge, and IYCF counselling — the most plau</w:t>
      </w:r>
      <w:r w:rsidRPr="00CA4FF0">
        <w:rPr>
          <w:rFonts w:ascii="Times New Roman" w:hAnsi="Times New Roman" w:cs="Times New Roman"/>
        </w:rPr>
        <w:t>sible proxies for the 'health-conscious family' phenotype. The GMP attendance effect on HAZ (β=0.365, p&lt;0.001) remained significant after simultaneous adjustment for all these variables, suggesting the effect is not explained by baseline health-consciousne</w:t>
      </w:r>
      <w:r w:rsidRPr="00CA4FF0">
        <w:rPr>
          <w:rFonts w:ascii="Times New Roman" w:hAnsi="Times New Roman" w:cs="Times New Roman"/>
        </w:rPr>
        <w:t>ss.</w:t>
      </w:r>
    </w:p>
    <w:p w14:paraId="6BDAD6A8" w14:textId="77777777" w:rsidR="00355B0D" w:rsidRPr="00CA4FF0" w:rsidRDefault="00F77F3D">
      <w:pPr>
        <w:spacing w:after="80" w:line="276" w:lineRule="auto"/>
        <w:ind w:left="480"/>
        <w:jc w:val="both"/>
        <w:rPr>
          <w:rFonts w:ascii="Times New Roman" w:hAnsi="Times New Roman" w:cs="Times New Roman"/>
        </w:rPr>
      </w:pPr>
      <w:r w:rsidRPr="00CA4FF0">
        <w:rPr>
          <w:rFonts w:ascii="Times New Roman" w:hAnsi="Times New Roman" w:cs="Times New Roman"/>
          <w:b/>
          <w:bCs/>
        </w:rPr>
        <w:t xml:space="preserve">2. Dose-response evidence (Bradford Hill criterion): </w:t>
      </w:r>
      <w:r w:rsidRPr="00CA4FF0">
        <w:rPr>
          <w:rFonts w:ascii="Times New Roman" w:hAnsi="Times New Roman" w:cs="Times New Roman"/>
        </w:rPr>
        <w:t>The progressive improvement in both stunting prevalence (32.5% at 0 sessions → 13.3% at 6 sessions) and mean HAZ (−1.49 → −0.72) across the full spectrum of visit frequency, confirmed by Spearman's c</w:t>
      </w:r>
      <w:r w:rsidRPr="00CA4FF0">
        <w:rPr>
          <w:rFonts w:ascii="Times New Roman" w:hAnsi="Times New Roman" w:cs="Times New Roman"/>
        </w:rPr>
        <w:t>orrelation (ρ=0.170, p&lt;0.001), satisfies the dose-response criterion for causal inference. A healthy user bias would be unlikely to produce such a clean gradient across six attendance categories.</w:t>
      </w:r>
    </w:p>
    <w:p w14:paraId="4569D44E" w14:textId="77777777" w:rsidR="00355B0D" w:rsidRPr="00CA4FF0" w:rsidRDefault="00F77F3D">
      <w:pPr>
        <w:spacing w:after="120" w:line="276" w:lineRule="auto"/>
        <w:ind w:left="480"/>
        <w:jc w:val="both"/>
        <w:rPr>
          <w:rFonts w:ascii="Times New Roman" w:hAnsi="Times New Roman" w:cs="Times New Roman"/>
        </w:rPr>
      </w:pPr>
      <w:r w:rsidRPr="00CA4FF0">
        <w:rPr>
          <w:rFonts w:ascii="Times New Roman" w:hAnsi="Times New Roman" w:cs="Times New Roman"/>
          <w:b/>
          <w:bCs/>
        </w:rPr>
        <w:t xml:space="preserve">3. Biological plausibility and external consistency: </w:t>
      </w:r>
      <w:r w:rsidRPr="00CA4FF0">
        <w:rPr>
          <w:rFonts w:ascii="Times New Roman" w:hAnsi="Times New Roman" w:cs="Times New Roman"/>
        </w:rPr>
        <w:t>The eff</w:t>
      </w:r>
      <w:r w:rsidRPr="00CA4FF0">
        <w:rPr>
          <w:rFonts w:ascii="Times New Roman" w:hAnsi="Times New Roman" w:cs="Times New Roman"/>
        </w:rPr>
        <w:t xml:space="preserve">ect sizes observed (Cohen's d=0.41 for HAZ) are consistent with those reported in quasi-experimental and experimental evaluations of GMP programmes in analogous Sub-Saharan African </w:t>
      </w:r>
      <w:proofErr w:type="gramStart"/>
      <w:r w:rsidRPr="00CA4FF0">
        <w:rPr>
          <w:rFonts w:ascii="Times New Roman" w:hAnsi="Times New Roman" w:cs="Times New Roman"/>
        </w:rPr>
        <w:t>settings,</w:t>
      </w:r>
      <w:r w:rsidRPr="00CA4FF0">
        <w:rPr>
          <w:rFonts w:ascii="Times New Roman" w:hAnsi="Times New Roman" w:cs="Times New Roman"/>
          <w:color w:val="1F4E79"/>
          <w:sz w:val="18"/>
          <w:szCs w:val="18"/>
          <w:vertAlign w:val="superscript"/>
        </w:rPr>
        <w:t>[</w:t>
      </w:r>
      <w:proofErr w:type="gramEnd"/>
      <w:r w:rsidRPr="00CA4FF0">
        <w:rPr>
          <w:rFonts w:ascii="Times New Roman" w:hAnsi="Times New Roman" w:cs="Times New Roman"/>
          <w:color w:val="1F4E79"/>
          <w:sz w:val="18"/>
          <w:szCs w:val="18"/>
          <w:vertAlign w:val="superscript"/>
        </w:rPr>
        <w:t>4,5]</w:t>
      </w:r>
      <w:r w:rsidRPr="00CA4FF0">
        <w:rPr>
          <w:rFonts w:ascii="Times New Roman" w:hAnsi="Times New Roman" w:cs="Times New Roman"/>
        </w:rPr>
        <w:t xml:space="preserve"> and the biological mechanism — early detection of growth fal</w:t>
      </w:r>
      <w:r w:rsidRPr="00CA4FF0">
        <w:rPr>
          <w:rFonts w:ascii="Times New Roman" w:hAnsi="Times New Roman" w:cs="Times New Roman"/>
        </w:rPr>
        <w:t>tering triggering corrective feeding and referral — is well-established.</w:t>
      </w:r>
    </w:p>
    <w:p w14:paraId="0802961F"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Future research in this setting should employ a prospective cohort design or quasi-experimental approach (e.g., difference-in-differences comparing communities before and after satell</w:t>
      </w:r>
      <w:r w:rsidRPr="00CA4FF0">
        <w:rPr>
          <w:rFonts w:ascii="Times New Roman" w:hAnsi="Times New Roman" w:cs="Times New Roman"/>
        </w:rPr>
        <w:t>ite GMP post deployment) to definitively establish causality. Researchers should additionally explore propensity score matching of regular and irregular attendees on observable health-seeking proxies as a sensitivity analysis.</w:t>
      </w:r>
    </w:p>
    <w:p w14:paraId="6645D84F"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4.8 Limitations</w:t>
      </w:r>
    </w:p>
    <w:p w14:paraId="20883F9E"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cross-sec</w:t>
      </w:r>
      <w:r w:rsidRPr="00CA4FF0">
        <w:rPr>
          <w:rFonts w:ascii="Times New Roman" w:hAnsi="Times New Roman" w:cs="Times New Roman"/>
        </w:rPr>
        <w:t>tional study design precludes causal inference; the observed association between GMP attendance and improved z-scores could reflect healthy user bias as discussed in Section 4.7. Recall bias for self-reported GMP visits is possible, though the use of child</w:t>
      </w:r>
      <w:r w:rsidRPr="00CA4FF0">
        <w:rPr>
          <w:rFonts w:ascii="Times New Roman" w:hAnsi="Times New Roman" w:cs="Times New Roman"/>
        </w:rPr>
        <w:t xml:space="preserve"> health cards as verification reduced this risk. The study is geographically bounded to Sulima Chiefdom, limiting direct generalisation to other districts; however, the socioeconomic and epidemiological profile of Sulima is broadly representative of rural </w:t>
      </w:r>
      <w:r w:rsidRPr="00CA4FF0">
        <w:rPr>
          <w:rFonts w:ascii="Times New Roman" w:hAnsi="Times New Roman" w:cs="Times New Roman"/>
        </w:rPr>
        <w:t>Falaba District and analogous communities across Sierra Leone's Northern Province. Selection bias is unlikely, given the high response rate (97.3%) and cluster-random sampling design.</w:t>
      </w:r>
    </w:p>
    <w:p w14:paraId="25FD5FF9"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lastRenderedPageBreak/>
        <w:t>5. CONCLUSIONS AND RECOMMENDATIONS</w:t>
      </w:r>
    </w:p>
    <w:p w14:paraId="0457A98E"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This study provides the first communi</w:t>
      </w:r>
      <w:r w:rsidRPr="00CA4FF0">
        <w:rPr>
          <w:rFonts w:ascii="Times New Roman" w:hAnsi="Times New Roman" w:cs="Times New Roman"/>
        </w:rPr>
        <w:t xml:space="preserve">ty-level, multivariable evidence from Sulima Chiefdom, Sierra Leone, demonstrating that </w:t>
      </w:r>
      <w:r w:rsidRPr="00CA4FF0">
        <w:rPr>
          <w:rFonts w:ascii="Times New Roman" w:hAnsi="Times New Roman" w:cs="Times New Roman"/>
          <w:b/>
          <w:bCs/>
        </w:rPr>
        <w:t>regular GMP attendance independently improves child linear growth and weight-for-age, reduces stunting prevalence by more than 16 percentage points, and halves the odds</w:t>
      </w:r>
      <w:r w:rsidRPr="00CA4FF0">
        <w:rPr>
          <w:rFonts w:ascii="Times New Roman" w:hAnsi="Times New Roman" w:cs="Times New Roman"/>
          <w:b/>
          <w:bCs/>
        </w:rPr>
        <w:t xml:space="preserve"> of wasting</w:t>
      </w:r>
      <w:r w:rsidRPr="00CA4FF0">
        <w:rPr>
          <w:rFonts w:ascii="Times New Roman" w:hAnsi="Times New Roman" w:cs="Times New Roman"/>
        </w:rPr>
        <w:t>. The study community is in a nutrition emergency — GAM exceeds the WHO emergency threshold at 18.3% — and the 36 percentage-point gap between ever-attendance and regular attendance represents an urgent, addressable programmatic failure.</w:t>
      </w:r>
    </w:p>
    <w:p w14:paraId="321054C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Critica</w:t>
      </w:r>
      <w:r w:rsidRPr="00CA4FF0">
        <w:rPr>
          <w:rFonts w:ascii="Times New Roman" w:hAnsi="Times New Roman" w:cs="Times New Roman"/>
        </w:rPr>
        <w:t>lly, the key modifiable drivers of regular attendance are not individual-level knowledge (which was fully attenuated in the adjusted model) but attitudinal, relational, and structural: a positive experiential attitude toward GMP (</w:t>
      </w:r>
      <w:proofErr w:type="spellStart"/>
      <w:r w:rsidRPr="00CA4FF0">
        <w:rPr>
          <w:rFonts w:ascii="Times New Roman" w:hAnsi="Times New Roman" w:cs="Times New Roman"/>
        </w:rPr>
        <w:t>aOR</w:t>
      </w:r>
      <w:proofErr w:type="spellEnd"/>
      <w:r w:rsidRPr="00CA4FF0">
        <w:rPr>
          <w:rFonts w:ascii="Times New Roman" w:hAnsi="Times New Roman" w:cs="Times New Roman"/>
        </w:rPr>
        <w:t>=3.72), integration wit</w:t>
      </w:r>
      <w:r w:rsidRPr="00CA4FF0">
        <w:rPr>
          <w:rFonts w:ascii="Times New Roman" w:hAnsi="Times New Roman" w:cs="Times New Roman"/>
        </w:rPr>
        <w:t>h IYCF counselling (</w:t>
      </w:r>
      <w:proofErr w:type="spellStart"/>
      <w:r w:rsidRPr="00CA4FF0">
        <w:rPr>
          <w:rFonts w:ascii="Times New Roman" w:hAnsi="Times New Roman" w:cs="Times New Roman"/>
        </w:rPr>
        <w:t>aOR</w:t>
      </w:r>
      <w:proofErr w:type="spellEnd"/>
      <w:r w:rsidRPr="00CA4FF0">
        <w:rPr>
          <w:rFonts w:ascii="Times New Roman" w:hAnsi="Times New Roman" w:cs="Times New Roman"/>
        </w:rPr>
        <w:t>=4.20), participation in mother support groups (</w:t>
      </w:r>
      <w:proofErr w:type="spellStart"/>
      <w:r w:rsidRPr="00CA4FF0">
        <w:rPr>
          <w:rFonts w:ascii="Times New Roman" w:hAnsi="Times New Roman" w:cs="Times New Roman"/>
        </w:rPr>
        <w:t>aOR</w:t>
      </w:r>
      <w:proofErr w:type="spellEnd"/>
      <w:r w:rsidRPr="00CA4FF0">
        <w:rPr>
          <w:rFonts w:ascii="Times New Roman" w:hAnsi="Times New Roman" w:cs="Times New Roman"/>
        </w:rPr>
        <w:t>=1.87), and medium perceived benefit (</w:t>
      </w:r>
      <w:proofErr w:type="spellStart"/>
      <w:r w:rsidRPr="00CA4FF0">
        <w:rPr>
          <w:rFonts w:ascii="Times New Roman" w:hAnsi="Times New Roman" w:cs="Times New Roman"/>
        </w:rPr>
        <w:t>aOR</w:t>
      </w:r>
      <w:proofErr w:type="spellEnd"/>
      <w:r w:rsidRPr="00CA4FF0">
        <w:rPr>
          <w:rFonts w:ascii="Times New Roman" w:hAnsi="Times New Roman" w:cs="Times New Roman"/>
        </w:rPr>
        <w:t>=1.79). The distance-attitude threshold analysis demonstrates that for communities beyond approximately 15 km from the PHC, demand-side attit</w:t>
      </w:r>
      <w:r w:rsidRPr="00CA4FF0">
        <w:rPr>
          <w:rFonts w:ascii="Times New Roman" w:hAnsi="Times New Roman" w:cs="Times New Roman"/>
        </w:rPr>
        <w:t>udinal interventions are structurally insufficient without corresponding investment in outreach delivery. These findings mandate a programmatic pivot from information-</w:t>
      </w:r>
      <w:proofErr w:type="spellStart"/>
      <w:r w:rsidRPr="00CA4FF0">
        <w:rPr>
          <w:rFonts w:ascii="Times New Roman" w:hAnsi="Times New Roman" w:cs="Times New Roman"/>
        </w:rPr>
        <w:t>centred</w:t>
      </w:r>
      <w:proofErr w:type="spellEnd"/>
      <w:r w:rsidRPr="00CA4FF0">
        <w:rPr>
          <w:rFonts w:ascii="Times New Roman" w:hAnsi="Times New Roman" w:cs="Times New Roman"/>
        </w:rPr>
        <w:t xml:space="preserve"> health education to quality-</w:t>
      </w:r>
      <w:proofErr w:type="spellStart"/>
      <w:r w:rsidRPr="00CA4FF0">
        <w:rPr>
          <w:rFonts w:ascii="Times New Roman" w:hAnsi="Times New Roman" w:cs="Times New Roman"/>
        </w:rPr>
        <w:t>centred</w:t>
      </w:r>
      <w:proofErr w:type="spellEnd"/>
      <w:r w:rsidRPr="00CA4FF0">
        <w:rPr>
          <w:rFonts w:ascii="Times New Roman" w:hAnsi="Times New Roman" w:cs="Times New Roman"/>
        </w:rPr>
        <w:t xml:space="preserve"> service delivery, social capital investment, </w:t>
      </w:r>
      <w:r w:rsidRPr="00CA4FF0">
        <w:rPr>
          <w:rFonts w:ascii="Times New Roman" w:hAnsi="Times New Roman" w:cs="Times New Roman"/>
        </w:rPr>
        <w:t>and structural outreach.</w:t>
      </w:r>
    </w:p>
    <w:p w14:paraId="37900B03"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5.1 Recommendations for Programme and Policy</w:t>
      </w:r>
    </w:p>
    <w:p w14:paraId="2C0353F3"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1.</w:t>
      </w:r>
      <w:r w:rsidRPr="00CA4FF0">
        <w:rPr>
          <w:rFonts w:ascii="Times New Roman" w:hAnsi="Times New Roman" w:cs="Times New Roman"/>
        </w:rPr>
        <w:t xml:space="preserve">  </w:t>
      </w:r>
      <w:r w:rsidRPr="00CA4FF0">
        <w:rPr>
          <w:rFonts w:ascii="Times New Roman" w:hAnsi="Times New Roman" w:cs="Times New Roman"/>
          <w:b/>
          <w:bCs/>
        </w:rPr>
        <w:t>Redefine GMP success metrics.</w:t>
      </w:r>
      <w:r w:rsidRPr="00CA4FF0">
        <w:rPr>
          <w:rFonts w:ascii="Times New Roman" w:hAnsi="Times New Roman" w:cs="Times New Roman"/>
        </w:rPr>
        <w:t xml:space="preserve"> Sierra Leone's DHIS2 framework should adopt regular attendance rate (≥4 sessions/6 months) and a service quality index (counselling received, growth chart explanation, weight recorded) as primary indicators, replacing ever-attendance.</w:t>
      </w:r>
    </w:p>
    <w:p w14:paraId="16B84D4C"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2.</w:t>
      </w:r>
      <w:r w:rsidRPr="00CA4FF0">
        <w:rPr>
          <w:rFonts w:ascii="Times New Roman" w:hAnsi="Times New Roman" w:cs="Times New Roman"/>
        </w:rPr>
        <w:t xml:space="preserve">  </w:t>
      </w:r>
      <w:r w:rsidRPr="00CA4FF0">
        <w:rPr>
          <w:rFonts w:ascii="Times New Roman" w:hAnsi="Times New Roman" w:cs="Times New Roman"/>
          <w:b/>
          <w:bCs/>
        </w:rPr>
        <w:t>Integrate IYCF c</w:t>
      </w:r>
      <w:r w:rsidRPr="00CA4FF0">
        <w:rPr>
          <w:rFonts w:ascii="Times New Roman" w:hAnsi="Times New Roman" w:cs="Times New Roman"/>
          <w:b/>
          <w:bCs/>
        </w:rPr>
        <w:t>ounselling universally.</w:t>
      </w:r>
      <w:r w:rsidRPr="00CA4FF0">
        <w:rPr>
          <w:rFonts w:ascii="Times New Roman" w:hAnsi="Times New Roman" w:cs="Times New Roman"/>
        </w:rPr>
        <w:t xml:space="preserve"> Given </w:t>
      </w:r>
      <w:proofErr w:type="spellStart"/>
      <w:r w:rsidRPr="00CA4FF0">
        <w:rPr>
          <w:rFonts w:ascii="Times New Roman" w:hAnsi="Times New Roman" w:cs="Times New Roman"/>
        </w:rPr>
        <w:t>aOR</w:t>
      </w:r>
      <w:proofErr w:type="spellEnd"/>
      <w:r w:rsidRPr="00CA4FF0">
        <w:rPr>
          <w:rFonts w:ascii="Times New Roman" w:hAnsi="Times New Roman" w:cs="Times New Roman"/>
        </w:rPr>
        <w:t>=4.20, IYCF counselling through community health workers, ANC, and community sessions should be delivered as a standard package alongside — not separately from — GMP, across all PHU catchments.</w:t>
      </w:r>
    </w:p>
    <w:p w14:paraId="377A230B"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3.</w:t>
      </w:r>
      <w:r w:rsidRPr="00CA4FF0">
        <w:rPr>
          <w:rFonts w:ascii="Times New Roman" w:hAnsi="Times New Roman" w:cs="Times New Roman"/>
        </w:rPr>
        <w:t xml:space="preserve">  </w:t>
      </w:r>
      <w:r w:rsidRPr="00CA4FF0">
        <w:rPr>
          <w:rFonts w:ascii="Times New Roman" w:hAnsi="Times New Roman" w:cs="Times New Roman"/>
          <w:b/>
          <w:bCs/>
        </w:rPr>
        <w:t xml:space="preserve">Invest in mother support </w:t>
      </w:r>
      <w:r w:rsidRPr="00CA4FF0">
        <w:rPr>
          <w:rFonts w:ascii="Times New Roman" w:hAnsi="Times New Roman" w:cs="Times New Roman"/>
          <w:b/>
          <w:bCs/>
        </w:rPr>
        <w:t>groups as infrastructure.</w:t>
      </w:r>
      <w:r w:rsidRPr="00CA4FF0">
        <w:rPr>
          <w:rFonts w:ascii="Times New Roman" w:hAnsi="Times New Roman" w:cs="Times New Roman"/>
        </w:rPr>
        <w:t xml:space="preserve"> Support groups should be formally embedded in the community health worker programme with structured training, facilitation manuals, and district-level monitoring.</w:t>
      </w:r>
    </w:p>
    <w:p w14:paraId="639F2CF1"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4.</w:t>
      </w:r>
      <w:r w:rsidRPr="00CA4FF0">
        <w:rPr>
          <w:rFonts w:ascii="Times New Roman" w:hAnsi="Times New Roman" w:cs="Times New Roman"/>
        </w:rPr>
        <w:t xml:space="preserve">  </w:t>
      </w:r>
      <w:r w:rsidRPr="00CA4FF0">
        <w:rPr>
          <w:rFonts w:ascii="Times New Roman" w:hAnsi="Times New Roman" w:cs="Times New Roman"/>
          <w:b/>
          <w:bCs/>
        </w:rPr>
        <w:t>Deploy satellite GMP posts for distant communities.</w:t>
      </w:r>
      <w:r w:rsidRPr="00CA4FF0">
        <w:rPr>
          <w:rFonts w:ascii="Times New Roman" w:hAnsi="Times New Roman" w:cs="Times New Roman"/>
        </w:rPr>
        <w:t xml:space="preserve"> The 8% per-</w:t>
      </w:r>
      <w:r w:rsidRPr="00CA4FF0">
        <w:rPr>
          <w:rFonts w:ascii="Times New Roman" w:hAnsi="Times New Roman" w:cs="Times New Roman"/>
        </w:rPr>
        <w:t>km distance effect — and the estimated 15–16 km attitude-</w:t>
      </w:r>
      <w:proofErr w:type="spellStart"/>
      <w:r w:rsidRPr="00CA4FF0">
        <w:rPr>
          <w:rFonts w:ascii="Times New Roman" w:hAnsi="Times New Roman" w:cs="Times New Roman"/>
        </w:rPr>
        <w:t>neutralisation</w:t>
      </w:r>
      <w:proofErr w:type="spellEnd"/>
      <w:r w:rsidRPr="00CA4FF0">
        <w:rPr>
          <w:rFonts w:ascii="Times New Roman" w:hAnsi="Times New Roman" w:cs="Times New Roman"/>
        </w:rPr>
        <w:t xml:space="preserve"> threshold — mandate community-based GMP delivery for populations &gt;5 km from the nearest PHC (26.9% of this sample), staffed by trained CHWs with calibrated equipment.</w:t>
      </w:r>
    </w:p>
    <w:p w14:paraId="6C8C127C" w14:textId="77777777" w:rsidR="00355B0D" w:rsidRPr="00CA4FF0" w:rsidRDefault="00F77F3D">
      <w:pPr>
        <w:spacing w:after="200" w:line="276" w:lineRule="auto"/>
        <w:ind w:left="240"/>
        <w:jc w:val="both"/>
        <w:rPr>
          <w:rFonts w:ascii="Times New Roman" w:hAnsi="Times New Roman" w:cs="Times New Roman"/>
        </w:rPr>
      </w:pPr>
      <w:r w:rsidRPr="00CA4FF0">
        <w:rPr>
          <w:rFonts w:ascii="Times New Roman" w:hAnsi="Times New Roman" w:cs="Times New Roman"/>
          <w:b/>
          <w:bCs/>
        </w:rPr>
        <w:t>5.</w:t>
      </w:r>
      <w:r w:rsidRPr="00CA4FF0">
        <w:rPr>
          <w:rFonts w:ascii="Times New Roman" w:hAnsi="Times New Roman" w:cs="Times New Roman"/>
        </w:rPr>
        <w:t xml:space="preserve">  </w:t>
      </w:r>
      <w:r w:rsidRPr="00CA4FF0">
        <w:rPr>
          <w:rFonts w:ascii="Times New Roman" w:hAnsi="Times New Roman" w:cs="Times New Roman"/>
          <w:b/>
          <w:bCs/>
        </w:rPr>
        <w:t>Target nutrit</w:t>
      </w:r>
      <w:r w:rsidRPr="00CA4FF0">
        <w:rPr>
          <w:rFonts w:ascii="Times New Roman" w:hAnsi="Times New Roman" w:cs="Times New Roman"/>
          <w:b/>
          <w:bCs/>
        </w:rPr>
        <w:t>ion emergency response.</w:t>
      </w:r>
      <w:r w:rsidRPr="00CA4FF0">
        <w:rPr>
          <w:rFonts w:ascii="Times New Roman" w:hAnsi="Times New Roman" w:cs="Times New Roman"/>
        </w:rPr>
        <w:t xml:space="preserve"> GAM &gt;15% triggers the CMAM emergency threshold; Sulima Chiefdom requires immediate scale-up of therapeutic feeding alongside GMP quality improvement.</w:t>
      </w:r>
    </w:p>
    <w:p w14:paraId="54ADFF54"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DECLARATIONS</w:t>
      </w:r>
    </w:p>
    <w:p w14:paraId="32292317"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Funding:</w:t>
      </w:r>
      <w:r w:rsidRPr="00CA4FF0">
        <w:rPr>
          <w:rFonts w:ascii="Times New Roman" w:hAnsi="Times New Roman" w:cs="Times New Roman"/>
        </w:rPr>
        <w:t xml:space="preserve"> No external funding was received for this study.</w:t>
      </w:r>
    </w:p>
    <w:p w14:paraId="6F340092"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Conflict of</w:t>
      </w:r>
      <w:r w:rsidRPr="00CA4FF0">
        <w:rPr>
          <w:rFonts w:ascii="Times New Roman" w:hAnsi="Times New Roman" w:cs="Times New Roman"/>
          <w:b/>
          <w:bCs/>
        </w:rPr>
        <w:t xml:space="preserve"> Interest:</w:t>
      </w:r>
      <w:r w:rsidRPr="00CA4FF0">
        <w:rPr>
          <w:rFonts w:ascii="Times New Roman" w:hAnsi="Times New Roman" w:cs="Times New Roman"/>
        </w:rPr>
        <w:t xml:space="preserve"> The authors declare no competing interests.</w:t>
      </w:r>
    </w:p>
    <w:p w14:paraId="3906CB5D"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Data Availability:</w:t>
      </w:r>
      <w:r w:rsidRPr="00CA4FF0">
        <w:rPr>
          <w:rFonts w:ascii="Times New Roman" w:hAnsi="Times New Roman" w:cs="Times New Roman"/>
        </w:rPr>
        <w:t xml:space="preserve"> The anonymised dataset supporting the findings of this study is available from the corresponding author upon reasonable request.</w:t>
      </w:r>
    </w:p>
    <w:p w14:paraId="54B47F0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Ethical Approval:</w:t>
      </w:r>
      <w:r w:rsidRPr="00CA4FF0">
        <w:rPr>
          <w:rFonts w:ascii="Times New Roman" w:hAnsi="Times New Roman" w:cs="Times New Roman"/>
        </w:rPr>
        <w:t xml:space="preserve"> Obtained from Njala University Inst</w:t>
      </w:r>
      <w:r w:rsidRPr="00CA4FF0">
        <w:rPr>
          <w:rFonts w:ascii="Times New Roman" w:hAnsi="Times New Roman" w:cs="Times New Roman"/>
        </w:rPr>
        <w:t>itutional Review Board and the Sierra Leone Ethics and Scientific Review Committee.</w:t>
      </w:r>
    </w:p>
    <w:p w14:paraId="2B7A445A" w14:textId="77777777" w:rsidR="00355B0D" w:rsidRPr="00CA4FF0" w:rsidRDefault="00355B0D">
      <w:pPr>
        <w:spacing w:after="80"/>
        <w:rPr>
          <w:rFonts w:ascii="Times New Roman" w:hAnsi="Times New Roman" w:cs="Times New Roman"/>
        </w:rPr>
      </w:pPr>
    </w:p>
    <w:p w14:paraId="0C9D007F"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ACKNOWLEDGEMENTS</w:t>
      </w:r>
    </w:p>
    <w:p w14:paraId="7E28CCC4"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authors thank the mothers and caregivers of Sulima Chiefdom for their participation, the community health workers who facilitated data collection, and</w:t>
      </w:r>
      <w:r w:rsidRPr="00CA4FF0">
        <w:rPr>
          <w:rFonts w:ascii="Times New Roman" w:hAnsi="Times New Roman" w:cs="Times New Roman"/>
        </w:rPr>
        <w:t xml:space="preserve"> the Falaba District Health Management Team for logistical support. This study was conducted under the academic supervision of the Department of Epidemiology and Biostatistics, Njala University, Sierra Leone.</w:t>
      </w:r>
    </w:p>
    <w:p w14:paraId="7E448A17" w14:textId="77777777" w:rsidR="00355B0D" w:rsidRPr="00CA4FF0" w:rsidRDefault="00355B0D">
      <w:pPr>
        <w:spacing w:after="80"/>
        <w:rPr>
          <w:rFonts w:ascii="Times New Roman" w:hAnsi="Times New Roman" w:cs="Times New Roman"/>
        </w:rPr>
      </w:pPr>
    </w:p>
    <w:p w14:paraId="26727D2F"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REFERENCES</w:t>
      </w:r>
    </w:p>
    <w:p w14:paraId="11392C0D"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World</w:t>
      </w:r>
      <w:proofErr w:type="gramEnd"/>
      <w:r w:rsidRPr="00CA4FF0">
        <w:rPr>
          <w:rFonts w:ascii="Times New Roman" w:hAnsi="Times New Roman" w:cs="Times New Roman"/>
          <w:sz w:val="18"/>
          <w:szCs w:val="18"/>
        </w:rPr>
        <w:t xml:space="preserve"> Health Organization, "Joint Child Malnutrition Estimates 2023 Edition," WHO, Geneva, 2023.</w:t>
      </w:r>
    </w:p>
    <w:p w14:paraId="595B9622"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[2</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UNICEF</w:t>
      </w:r>
      <w:proofErr w:type="gramEnd"/>
      <w:r w:rsidRPr="00CA4FF0">
        <w:rPr>
          <w:rFonts w:ascii="Times New Roman" w:hAnsi="Times New Roman" w:cs="Times New Roman"/>
          <w:sz w:val="18"/>
          <w:szCs w:val="18"/>
        </w:rPr>
        <w:t>, "Malnutrition: Current Status and Progress," UNICEF Data: Monitoring the Situation of Children and Women, New York, 2023.</w:t>
      </w:r>
    </w:p>
    <w:p w14:paraId="299B8506"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[3</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UNICEF</w:t>
      </w:r>
      <w:proofErr w:type="gramEnd"/>
      <w:r w:rsidRPr="00CA4FF0">
        <w:rPr>
          <w:rFonts w:ascii="Times New Roman" w:hAnsi="Times New Roman" w:cs="Times New Roman"/>
          <w:sz w:val="18"/>
          <w:szCs w:val="18"/>
        </w:rPr>
        <w:t>, "The Stat</w:t>
      </w:r>
      <w:r w:rsidRPr="00CA4FF0">
        <w:rPr>
          <w:rFonts w:ascii="Times New Roman" w:hAnsi="Times New Roman" w:cs="Times New Roman"/>
          <w:sz w:val="18"/>
          <w:szCs w:val="18"/>
        </w:rPr>
        <w:t>e of the World's Children 2021: On My Mind — Promoting, Protecting and Caring for Children's Mental Health," UNICEF, New York, 2022.</w:t>
      </w:r>
    </w:p>
    <w:p w14:paraId="4E4AF585"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[4</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C.</w:t>
      </w:r>
      <w:proofErr w:type="gramEnd"/>
      <w:r w:rsidRPr="00CA4FF0">
        <w:rPr>
          <w:rFonts w:ascii="Times New Roman" w:hAnsi="Times New Roman" w:cs="Times New Roman"/>
          <w:sz w:val="18"/>
          <w:szCs w:val="18"/>
        </w:rPr>
        <w:t xml:space="preserve"> G. </w:t>
      </w:r>
      <w:proofErr w:type="spellStart"/>
      <w:r w:rsidRPr="00CA4FF0">
        <w:rPr>
          <w:rFonts w:ascii="Times New Roman" w:hAnsi="Times New Roman" w:cs="Times New Roman"/>
          <w:sz w:val="18"/>
          <w:szCs w:val="18"/>
        </w:rPr>
        <w:t>Victora</w:t>
      </w:r>
      <w:proofErr w:type="spellEnd"/>
      <w:r w:rsidRPr="00CA4FF0">
        <w:rPr>
          <w:rFonts w:ascii="Times New Roman" w:hAnsi="Times New Roman" w:cs="Times New Roman"/>
          <w:sz w:val="18"/>
          <w:szCs w:val="18"/>
        </w:rPr>
        <w:t xml:space="preserve">, M. de </w:t>
      </w:r>
      <w:proofErr w:type="spellStart"/>
      <w:r w:rsidRPr="00CA4FF0">
        <w:rPr>
          <w:rFonts w:ascii="Times New Roman" w:hAnsi="Times New Roman" w:cs="Times New Roman"/>
          <w:sz w:val="18"/>
          <w:szCs w:val="18"/>
        </w:rPr>
        <w:t>Onis</w:t>
      </w:r>
      <w:proofErr w:type="spellEnd"/>
      <w:r w:rsidRPr="00CA4FF0">
        <w:rPr>
          <w:rFonts w:ascii="Times New Roman" w:hAnsi="Times New Roman" w:cs="Times New Roman"/>
          <w:sz w:val="18"/>
          <w:szCs w:val="18"/>
        </w:rPr>
        <w:t xml:space="preserve">, P. C. </w:t>
      </w:r>
      <w:proofErr w:type="spellStart"/>
      <w:r w:rsidRPr="00CA4FF0">
        <w:rPr>
          <w:rFonts w:ascii="Times New Roman" w:hAnsi="Times New Roman" w:cs="Times New Roman"/>
          <w:sz w:val="18"/>
          <w:szCs w:val="18"/>
        </w:rPr>
        <w:t>Hallal</w:t>
      </w:r>
      <w:proofErr w:type="spellEnd"/>
      <w:r w:rsidRPr="00CA4FF0">
        <w:rPr>
          <w:rFonts w:ascii="Times New Roman" w:hAnsi="Times New Roman" w:cs="Times New Roman"/>
          <w:sz w:val="18"/>
          <w:szCs w:val="18"/>
        </w:rPr>
        <w:t xml:space="preserve">, M. </w:t>
      </w:r>
      <w:proofErr w:type="spellStart"/>
      <w:r w:rsidRPr="00CA4FF0">
        <w:rPr>
          <w:rFonts w:ascii="Times New Roman" w:hAnsi="Times New Roman" w:cs="Times New Roman"/>
          <w:sz w:val="18"/>
          <w:szCs w:val="18"/>
        </w:rPr>
        <w:t>Blössner</w:t>
      </w:r>
      <w:proofErr w:type="spellEnd"/>
      <w:r w:rsidRPr="00CA4FF0">
        <w:rPr>
          <w:rFonts w:ascii="Times New Roman" w:hAnsi="Times New Roman" w:cs="Times New Roman"/>
          <w:sz w:val="18"/>
          <w:szCs w:val="18"/>
        </w:rPr>
        <w:t>, and R. Shrimpton, "Worldwide timing of growth faltering: revisit</w:t>
      </w:r>
      <w:r w:rsidRPr="00CA4FF0">
        <w:rPr>
          <w:rFonts w:ascii="Times New Roman" w:hAnsi="Times New Roman" w:cs="Times New Roman"/>
          <w:sz w:val="18"/>
          <w:szCs w:val="18"/>
        </w:rPr>
        <w:t>ing implications for interventions," Pediatrics, vol. 125, no. 3, pp. e473–e480, 2010.</w:t>
      </w:r>
    </w:p>
    <w:p w14:paraId="2CB9CDF4"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[5</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D.</w:t>
      </w:r>
      <w:proofErr w:type="gramEnd"/>
      <w:r w:rsidRPr="00CA4FF0">
        <w:rPr>
          <w:rFonts w:ascii="Times New Roman" w:hAnsi="Times New Roman" w:cs="Times New Roman"/>
          <w:sz w:val="18"/>
          <w:szCs w:val="18"/>
        </w:rPr>
        <w:t xml:space="preserve"> </w:t>
      </w:r>
      <w:proofErr w:type="spellStart"/>
      <w:r w:rsidRPr="00CA4FF0">
        <w:rPr>
          <w:rFonts w:ascii="Times New Roman" w:hAnsi="Times New Roman" w:cs="Times New Roman"/>
          <w:sz w:val="18"/>
          <w:szCs w:val="18"/>
        </w:rPr>
        <w:t>Roberfroid</w:t>
      </w:r>
      <w:proofErr w:type="spellEnd"/>
      <w:r w:rsidRPr="00CA4FF0">
        <w:rPr>
          <w:rFonts w:ascii="Times New Roman" w:hAnsi="Times New Roman" w:cs="Times New Roman"/>
          <w:sz w:val="18"/>
          <w:szCs w:val="18"/>
        </w:rPr>
        <w:t xml:space="preserve">, G. H. </w:t>
      </w:r>
      <w:proofErr w:type="spellStart"/>
      <w:r w:rsidRPr="00CA4FF0">
        <w:rPr>
          <w:rFonts w:ascii="Times New Roman" w:hAnsi="Times New Roman" w:cs="Times New Roman"/>
          <w:sz w:val="18"/>
          <w:szCs w:val="18"/>
        </w:rPr>
        <w:t>Pelto</w:t>
      </w:r>
      <w:proofErr w:type="spellEnd"/>
      <w:r w:rsidRPr="00CA4FF0">
        <w:rPr>
          <w:rFonts w:ascii="Times New Roman" w:hAnsi="Times New Roman" w:cs="Times New Roman"/>
          <w:sz w:val="18"/>
          <w:szCs w:val="18"/>
        </w:rPr>
        <w:t xml:space="preserve">, and P. </w:t>
      </w:r>
      <w:proofErr w:type="spellStart"/>
      <w:r w:rsidRPr="00CA4FF0">
        <w:rPr>
          <w:rFonts w:ascii="Times New Roman" w:hAnsi="Times New Roman" w:cs="Times New Roman"/>
          <w:sz w:val="18"/>
          <w:szCs w:val="18"/>
        </w:rPr>
        <w:t>Kolsteren</w:t>
      </w:r>
      <w:proofErr w:type="spellEnd"/>
      <w:r w:rsidRPr="00CA4FF0">
        <w:rPr>
          <w:rFonts w:ascii="Times New Roman" w:hAnsi="Times New Roman" w:cs="Times New Roman"/>
          <w:sz w:val="18"/>
          <w:szCs w:val="18"/>
        </w:rPr>
        <w:t>, "Plot and see! Maternal comprehension of growth charts worldwide," Trop. Med. Int. Health, vol. 12, no. 9, pp. 1074–10</w:t>
      </w:r>
      <w:r w:rsidRPr="00CA4FF0">
        <w:rPr>
          <w:rFonts w:ascii="Times New Roman" w:hAnsi="Times New Roman" w:cs="Times New Roman"/>
          <w:sz w:val="18"/>
          <w:szCs w:val="18"/>
        </w:rPr>
        <w:t>86, 2007.</w:t>
      </w:r>
    </w:p>
    <w:p w14:paraId="6F1ECCEC"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[6</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Statistics</w:t>
      </w:r>
      <w:proofErr w:type="gramEnd"/>
      <w:r w:rsidRPr="00CA4FF0">
        <w:rPr>
          <w:rFonts w:ascii="Times New Roman" w:hAnsi="Times New Roman" w:cs="Times New Roman"/>
          <w:sz w:val="18"/>
          <w:szCs w:val="18"/>
        </w:rPr>
        <w:t xml:space="preserve"> Sierra Leone (SSL) and ICF, "Sierra Leone Demographic and Health Survey 2019," SSL and ICF, Freetown, Sierra Leone, 2020.</w:t>
      </w:r>
    </w:p>
    <w:p w14:paraId="0BA87E49"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[7</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R.</w:t>
      </w:r>
      <w:proofErr w:type="gramEnd"/>
      <w:r w:rsidRPr="00CA4FF0">
        <w:rPr>
          <w:rFonts w:ascii="Times New Roman" w:hAnsi="Times New Roman" w:cs="Times New Roman"/>
          <w:sz w:val="18"/>
          <w:szCs w:val="18"/>
        </w:rPr>
        <w:t xml:space="preserve"> E. Black, C. G. </w:t>
      </w:r>
      <w:proofErr w:type="spellStart"/>
      <w:r w:rsidRPr="00CA4FF0">
        <w:rPr>
          <w:rFonts w:ascii="Times New Roman" w:hAnsi="Times New Roman" w:cs="Times New Roman"/>
          <w:sz w:val="18"/>
          <w:szCs w:val="18"/>
        </w:rPr>
        <w:t>Victora</w:t>
      </w:r>
      <w:proofErr w:type="spellEnd"/>
      <w:r w:rsidRPr="00CA4FF0">
        <w:rPr>
          <w:rFonts w:ascii="Times New Roman" w:hAnsi="Times New Roman" w:cs="Times New Roman"/>
          <w:sz w:val="18"/>
          <w:szCs w:val="18"/>
        </w:rPr>
        <w:t>, S. P. Walker et al., "Maternal and child undernutrition and overweight in l</w:t>
      </w:r>
      <w:r w:rsidRPr="00CA4FF0">
        <w:rPr>
          <w:rFonts w:ascii="Times New Roman" w:hAnsi="Times New Roman" w:cs="Times New Roman"/>
          <w:sz w:val="18"/>
          <w:szCs w:val="18"/>
        </w:rPr>
        <w:t>ow-income and middle-income countries," Lancet, vol. 382, no. 9890, pp. 427–451, 2013.</w:t>
      </w:r>
    </w:p>
    <w:p w14:paraId="5A01766F"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[8</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World</w:t>
      </w:r>
      <w:proofErr w:type="gramEnd"/>
      <w:r w:rsidRPr="00CA4FF0">
        <w:rPr>
          <w:rFonts w:ascii="Times New Roman" w:hAnsi="Times New Roman" w:cs="Times New Roman"/>
          <w:sz w:val="18"/>
          <w:szCs w:val="18"/>
        </w:rPr>
        <w:t xml:space="preserve"> Health Organization, "Training Course on Child Growth Assessment," WHO, Geneva, 2008.</w:t>
      </w:r>
    </w:p>
    <w:p w14:paraId="052957D8"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[9</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D.</w:t>
      </w:r>
      <w:proofErr w:type="gramEnd"/>
      <w:r w:rsidRPr="00CA4FF0">
        <w:rPr>
          <w:rFonts w:ascii="Times New Roman" w:hAnsi="Times New Roman" w:cs="Times New Roman"/>
          <w:sz w:val="18"/>
          <w:szCs w:val="18"/>
        </w:rPr>
        <w:t xml:space="preserve"> A. </w:t>
      </w:r>
      <w:proofErr w:type="spellStart"/>
      <w:r w:rsidRPr="00CA4FF0">
        <w:rPr>
          <w:rFonts w:ascii="Times New Roman" w:hAnsi="Times New Roman" w:cs="Times New Roman"/>
          <w:sz w:val="18"/>
          <w:szCs w:val="18"/>
        </w:rPr>
        <w:t>Amugsi</w:t>
      </w:r>
      <w:proofErr w:type="spellEnd"/>
      <w:r w:rsidRPr="00CA4FF0">
        <w:rPr>
          <w:rFonts w:ascii="Times New Roman" w:hAnsi="Times New Roman" w:cs="Times New Roman"/>
          <w:sz w:val="18"/>
          <w:szCs w:val="18"/>
        </w:rPr>
        <w:t xml:space="preserve">, M. B. </w:t>
      </w:r>
      <w:proofErr w:type="spellStart"/>
      <w:r w:rsidRPr="00CA4FF0">
        <w:rPr>
          <w:rFonts w:ascii="Times New Roman" w:hAnsi="Times New Roman" w:cs="Times New Roman"/>
          <w:sz w:val="18"/>
          <w:szCs w:val="18"/>
        </w:rPr>
        <w:t>Mittelmark</w:t>
      </w:r>
      <w:proofErr w:type="spellEnd"/>
      <w:r w:rsidRPr="00CA4FF0">
        <w:rPr>
          <w:rFonts w:ascii="Times New Roman" w:hAnsi="Times New Roman" w:cs="Times New Roman"/>
          <w:sz w:val="18"/>
          <w:szCs w:val="18"/>
        </w:rPr>
        <w:t>, A. Lartey, K. P. Asante, K. Kristensen, and R. Abrams, "Influence of childcare practices on nutritional status of Ghanaian children: a regression analysis of the Ghana Demographic and Health Surveys," BMJ Open, vol. 4, no.</w:t>
      </w:r>
      <w:r w:rsidRPr="00CA4FF0">
        <w:rPr>
          <w:rFonts w:ascii="Times New Roman" w:hAnsi="Times New Roman" w:cs="Times New Roman"/>
          <w:sz w:val="18"/>
          <w:szCs w:val="18"/>
        </w:rPr>
        <w:t xml:space="preserve"> 11, p. e005340, 2014.</w:t>
      </w:r>
    </w:p>
    <w:p w14:paraId="1E1BB2F1"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[10</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T.</w:t>
      </w:r>
      <w:proofErr w:type="gramEnd"/>
      <w:r w:rsidRPr="00CA4FF0">
        <w:rPr>
          <w:rFonts w:ascii="Times New Roman" w:hAnsi="Times New Roman" w:cs="Times New Roman"/>
          <w:sz w:val="18"/>
          <w:szCs w:val="18"/>
        </w:rPr>
        <w:t xml:space="preserve"> </w:t>
      </w:r>
      <w:proofErr w:type="spellStart"/>
      <w:r w:rsidRPr="00CA4FF0">
        <w:rPr>
          <w:rFonts w:ascii="Times New Roman" w:hAnsi="Times New Roman" w:cs="Times New Roman"/>
          <w:sz w:val="18"/>
          <w:szCs w:val="18"/>
        </w:rPr>
        <w:t>Girma</w:t>
      </w:r>
      <w:proofErr w:type="spellEnd"/>
      <w:r w:rsidRPr="00CA4FF0">
        <w:rPr>
          <w:rFonts w:ascii="Times New Roman" w:hAnsi="Times New Roman" w:cs="Times New Roman"/>
          <w:sz w:val="18"/>
          <w:szCs w:val="18"/>
        </w:rPr>
        <w:t xml:space="preserve">, H. Y. Hassen, and R. </w:t>
      </w:r>
      <w:proofErr w:type="spellStart"/>
      <w:r w:rsidRPr="00CA4FF0">
        <w:rPr>
          <w:rFonts w:ascii="Times New Roman" w:hAnsi="Times New Roman" w:cs="Times New Roman"/>
          <w:sz w:val="18"/>
          <w:szCs w:val="18"/>
        </w:rPr>
        <w:t>Tamrat</w:t>
      </w:r>
      <w:proofErr w:type="spellEnd"/>
      <w:r w:rsidRPr="00CA4FF0">
        <w:rPr>
          <w:rFonts w:ascii="Times New Roman" w:hAnsi="Times New Roman" w:cs="Times New Roman"/>
          <w:sz w:val="18"/>
          <w:szCs w:val="18"/>
        </w:rPr>
        <w:t>, "Predictors of growth monitoring and promotion service utilisation in rural Ethiopia: a cross-sectional study," BMC Health Serv. Res., vol. 19, no. 1, pp. 1–9, 2019.</w:t>
      </w:r>
    </w:p>
    <w:p w14:paraId="27AC873E"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[11</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I.</w:t>
      </w:r>
      <w:proofErr w:type="gramEnd"/>
      <w:r w:rsidRPr="00CA4FF0">
        <w:rPr>
          <w:rFonts w:ascii="Times New Roman" w:hAnsi="Times New Roman" w:cs="Times New Roman"/>
          <w:sz w:val="18"/>
          <w:szCs w:val="18"/>
        </w:rPr>
        <w:t xml:space="preserve"> M. Rosenstock</w:t>
      </w:r>
      <w:r w:rsidRPr="00CA4FF0">
        <w:rPr>
          <w:rFonts w:ascii="Times New Roman" w:hAnsi="Times New Roman" w:cs="Times New Roman"/>
          <w:sz w:val="18"/>
          <w:szCs w:val="18"/>
        </w:rPr>
        <w:t xml:space="preserve">, "Historical origins of the Health Belief Model," Health Educ. </w:t>
      </w:r>
      <w:proofErr w:type="spellStart"/>
      <w:r w:rsidRPr="00CA4FF0">
        <w:rPr>
          <w:rFonts w:ascii="Times New Roman" w:hAnsi="Times New Roman" w:cs="Times New Roman"/>
          <w:sz w:val="18"/>
          <w:szCs w:val="18"/>
        </w:rPr>
        <w:t>Monogr</w:t>
      </w:r>
      <w:proofErr w:type="spellEnd"/>
      <w:r w:rsidRPr="00CA4FF0">
        <w:rPr>
          <w:rFonts w:ascii="Times New Roman" w:hAnsi="Times New Roman" w:cs="Times New Roman"/>
          <w:sz w:val="18"/>
          <w:szCs w:val="18"/>
        </w:rPr>
        <w:t>., vol. 2, no. 4, pp. 328–335, 1974.</w:t>
      </w:r>
    </w:p>
    <w:p w14:paraId="20CD1823"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[12</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C.</w:t>
      </w:r>
      <w:proofErr w:type="gramEnd"/>
      <w:r w:rsidRPr="00CA4FF0">
        <w:rPr>
          <w:rFonts w:ascii="Times New Roman" w:hAnsi="Times New Roman" w:cs="Times New Roman"/>
          <w:sz w:val="18"/>
          <w:szCs w:val="18"/>
        </w:rPr>
        <w:t xml:space="preserve"> Becker, L. M. Hernandez, and R. Khanam, "Knowledge and utilization of growth monitoring and promotion services among caregivers of children </w:t>
      </w:r>
      <w:r w:rsidRPr="00CA4FF0">
        <w:rPr>
          <w:rFonts w:ascii="Times New Roman" w:hAnsi="Times New Roman" w:cs="Times New Roman"/>
          <w:sz w:val="18"/>
          <w:szCs w:val="18"/>
        </w:rPr>
        <w:t>under-five in rural Bangladesh," Int. J. Environ. Res. Public Health, vol. 14, no. 6, p. 624, 2017.</w:t>
      </w:r>
    </w:p>
    <w:p w14:paraId="7723BC8C"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[13</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N.</w:t>
      </w:r>
      <w:proofErr w:type="gramEnd"/>
      <w:r w:rsidRPr="00CA4FF0">
        <w:rPr>
          <w:rFonts w:ascii="Times New Roman" w:hAnsi="Times New Roman" w:cs="Times New Roman"/>
          <w:sz w:val="18"/>
          <w:szCs w:val="18"/>
        </w:rPr>
        <w:t xml:space="preserve"> A. Christakis and J. H. Fowler, "The spread of obesity in a large social network over 32 years," N. Engl. J. Med., vol. 357, no. 4, pp. 370–379, 20</w:t>
      </w:r>
      <w:r w:rsidRPr="00CA4FF0">
        <w:rPr>
          <w:rFonts w:ascii="Times New Roman" w:hAnsi="Times New Roman" w:cs="Times New Roman"/>
          <w:sz w:val="18"/>
          <w:szCs w:val="18"/>
        </w:rPr>
        <w:t>07.</w:t>
      </w:r>
    </w:p>
    <w:p w14:paraId="31052BCA"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[14</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WHO</w:t>
      </w:r>
      <w:proofErr w:type="gramEnd"/>
      <w:r w:rsidRPr="00CA4FF0">
        <w:rPr>
          <w:rFonts w:ascii="Times New Roman" w:hAnsi="Times New Roman" w:cs="Times New Roman"/>
          <w:sz w:val="18"/>
          <w:szCs w:val="18"/>
        </w:rPr>
        <w:t>/UNICEF, "Essential Nutrition Actions: Improving Maternal, Newborn, Infant and Young Child Health and Nutrition," WHO, Geneva, 2012.</w:t>
      </w:r>
    </w:p>
    <w:p w14:paraId="2E6DB1A3"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[15</w:t>
      </w:r>
      <w:proofErr w:type="gramStart"/>
      <w:r w:rsidRPr="00CA4FF0">
        <w:rPr>
          <w:rFonts w:ascii="Times New Roman" w:hAnsi="Times New Roman" w:cs="Times New Roman"/>
          <w:b/>
          <w:bCs/>
          <w:color w:val="1F4E79"/>
          <w:sz w:val="18"/>
          <w:szCs w:val="18"/>
        </w:rPr>
        <w:t>]</w:t>
      </w:r>
      <w:r w:rsidRPr="00CA4FF0">
        <w:rPr>
          <w:rFonts w:ascii="Times New Roman" w:hAnsi="Times New Roman" w:cs="Times New Roman"/>
          <w:sz w:val="18"/>
          <w:szCs w:val="18"/>
        </w:rPr>
        <w:t xml:space="preserve">  NCD</w:t>
      </w:r>
      <w:proofErr w:type="gramEnd"/>
      <w:r w:rsidRPr="00CA4FF0">
        <w:rPr>
          <w:rFonts w:ascii="Times New Roman" w:hAnsi="Times New Roman" w:cs="Times New Roman"/>
          <w:sz w:val="18"/>
          <w:szCs w:val="18"/>
        </w:rPr>
        <w:t xml:space="preserve"> Risk Factor Collaboration (NCD-</w:t>
      </w:r>
      <w:proofErr w:type="spellStart"/>
      <w:r w:rsidRPr="00CA4FF0">
        <w:rPr>
          <w:rFonts w:ascii="Times New Roman" w:hAnsi="Times New Roman" w:cs="Times New Roman"/>
          <w:sz w:val="18"/>
          <w:szCs w:val="18"/>
        </w:rPr>
        <w:t>RisC</w:t>
      </w:r>
      <w:proofErr w:type="spellEnd"/>
      <w:r w:rsidRPr="00CA4FF0">
        <w:rPr>
          <w:rFonts w:ascii="Times New Roman" w:hAnsi="Times New Roman" w:cs="Times New Roman"/>
          <w:sz w:val="18"/>
          <w:szCs w:val="18"/>
        </w:rPr>
        <w:t>), "Height and body-mass index trajectories of school-aged childr</w:t>
      </w:r>
      <w:r w:rsidRPr="00CA4FF0">
        <w:rPr>
          <w:rFonts w:ascii="Times New Roman" w:hAnsi="Times New Roman" w:cs="Times New Roman"/>
          <w:sz w:val="18"/>
          <w:szCs w:val="18"/>
        </w:rPr>
        <w:t>en and adolescents from 1985 to 2019 in 200 countries," Lancet, vol. 396, no. 10261, pp. 1511–1524, 2020.</w:t>
      </w:r>
    </w:p>
    <w:p w14:paraId="4144781B" w14:textId="77777777" w:rsidR="00355B0D" w:rsidRPr="00CA4FF0" w:rsidRDefault="00355B0D">
      <w:pPr>
        <w:spacing w:after="80"/>
        <w:rPr>
          <w:rFonts w:ascii="Times New Roman" w:hAnsi="Times New Roman" w:cs="Times New Roman"/>
        </w:rPr>
      </w:pPr>
    </w:p>
    <w:sectPr w:rsidR="00355B0D" w:rsidRPr="00CA4FF0">
      <w:footerReference w:type="default" r:id="rId8"/>
      <w:pgSz w:w="12240" w:h="15840"/>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992A7" w14:textId="77777777" w:rsidR="00F77F3D" w:rsidRDefault="00F77F3D">
      <w:r>
        <w:separator/>
      </w:r>
    </w:p>
  </w:endnote>
  <w:endnote w:type="continuationSeparator" w:id="0">
    <w:p w14:paraId="490E3C46" w14:textId="77777777" w:rsidR="00F77F3D" w:rsidRDefault="00F7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9E9E" w14:textId="77777777" w:rsidR="00355B0D" w:rsidRDefault="00F77F3D">
    <w:pPr>
      <w:jc w:val="center"/>
    </w:pPr>
    <w:r>
      <w:rPr>
        <w:color w:val="888888"/>
        <w:sz w:val="18"/>
        <w:szCs w:val="18"/>
      </w:rPr>
      <w:t>Saff</w:t>
    </w:r>
    <w:r>
      <w:rPr>
        <w:color w:val="888888"/>
        <w:sz w:val="18"/>
        <w:szCs w:val="18"/>
      </w:rPr>
      <w:t>a et al.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4D760" w14:textId="77777777" w:rsidR="00F77F3D" w:rsidRDefault="00F77F3D">
      <w:r>
        <w:separator/>
      </w:r>
    </w:p>
  </w:footnote>
  <w:footnote w:type="continuationSeparator" w:id="0">
    <w:p w14:paraId="21DF6828" w14:textId="77777777" w:rsidR="00F77F3D" w:rsidRDefault="00F77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477DD"/>
    <w:multiLevelType w:val="hybridMultilevel"/>
    <w:tmpl w:val="7124FD46"/>
    <w:lvl w:ilvl="0" w:tplc="23C2150C">
      <w:start w:val="1"/>
      <w:numFmt w:val="bullet"/>
      <w:lvlText w:val="●"/>
      <w:lvlJc w:val="left"/>
      <w:pPr>
        <w:ind w:left="720" w:hanging="360"/>
      </w:pPr>
    </w:lvl>
    <w:lvl w:ilvl="1" w:tplc="DD244662">
      <w:start w:val="1"/>
      <w:numFmt w:val="bullet"/>
      <w:lvlText w:val="○"/>
      <w:lvlJc w:val="left"/>
      <w:pPr>
        <w:ind w:left="1440" w:hanging="360"/>
      </w:pPr>
    </w:lvl>
    <w:lvl w:ilvl="2" w:tplc="A0D210EC">
      <w:start w:val="1"/>
      <w:numFmt w:val="bullet"/>
      <w:lvlText w:val="■"/>
      <w:lvlJc w:val="left"/>
      <w:pPr>
        <w:ind w:left="2160" w:hanging="360"/>
      </w:pPr>
    </w:lvl>
    <w:lvl w:ilvl="3" w:tplc="68EEE5B4">
      <w:start w:val="1"/>
      <w:numFmt w:val="bullet"/>
      <w:lvlText w:val="●"/>
      <w:lvlJc w:val="left"/>
      <w:pPr>
        <w:ind w:left="2880" w:hanging="360"/>
      </w:pPr>
    </w:lvl>
    <w:lvl w:ilvl="4" w:tplc="F15CF348">
      <w:start w:val="1"/>
      <w:numFmt w:val="bullet"/>
      <w:lvlText w:val="○"/>
      <w:lvlJc w:val="left"/>
      <w:pPr>
        <w:ind w:left="3600" w:hanging="360"/>
      </w:pPr>
    </w:lvl>
    <w:lvl w:ilvl="5" w:tplc="DA92BEBA">
      <w:start w:val="1"/>
      <w:numFmt w:val="bullet"/>
      <w:lvlText w:val="■"/>
      <w:lvlJc w:val="left"/>
      <w:pPr>
        <w:ind w:left="4320" w:hanging="360"/>
      </w:pPr>
    </w:lvl>
    <w:lvl w:ilvl="6" w:tplc="8342DD5E">
      <w:start w:val="1"/>
      <w:numFmt w:val="bullet"/>
      <w:lvlText w:val="●"/>
      <w:lvlJc w:val="left"/>
      <w:pPr>
        <w:ind w:left="5040" w:hanging="360"/>
      </w:pPr>
    </w:lvl>
    <w:lvl w:ilvl="7" w:tplc="003C79FE">
      <w:start w:val="1"/>
      <w:numFmt w:val="bullet"/>
      <w:lvlText w:val="●"/>
      <w:lvlJc w:val="left"/>
      <w:pPr>
        <w:ind w:left="5760" w:hanging="360"/>
      </w:pPr>
    </w:lvl>
    <w:lvl w:ilvl="8" w:tplc="756880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0D"/>
    <w:rsid w:val="00355B0D"/>
    <w:rsid w:val="00CA4FF0"/>
    <w:rsid w:val="00EE7338"/>
    <w:rsid w:val="00F7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44E8"/>
  <w15:docId w15:val="{E86CEA76-320F-4696-AB15-CE13F803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1F4E79"/>
      <w:sz w:val="24"/>
      <w:szCs w:val="24"/>
    </w:rPr>
  </w:style>
  <w:style w:type="paragraph" w:styleId="Heading3">
    <w:name w:val="heading 3"/>
    <w:uiPriority w:val="9"/>
    <w:semiHidden/>
    <w:unhideWhenUsed/>
    <w:qFormat/>
    <w:pPr>
      <w:spacing w:before="200" w:after="100"/>
      <w:outlineLvl w:val="2"/>
    </w:pPr>
    <w:rPr>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4FF0"/>
    <w:pPr>
      <w:tabs>
        <w:tab w:val="center" w:pos="4680"/>
        <w:tab w:val="right" w:pos="9360"/>
      </w:tabs>
    </w:pPr>
  </w:style>
  <w:style w:type="character" w:customStyle="1" w:styleId="HeaderChar">
    <w:name w:val="Header Char"/>
    <w:basedOn w:val="DefaultParagraphFont"/>
    <w:link w:val="Header"/>
    <w:uiPriority w:val="99"/>
    <w:rsid w:val="00CA4FF0"/>
  </w:style>
  <w:style w:type="paragraph" w:styleId="Footer">
    <w:name w:val="footer"/>
    <w:basedOn w:val="Normal"/>
    <w:link w:val="FooterChar"/>
    <w:uiPriority w:val="99"/>
    <w:unhideWhenUsed/>
    <w:rsid w:val="00CA4FF0"/>
    <w:pPr>
      <w:tabs>
        <w:tab w:val="center" w:pos="4680"/>
        <w:tab w:val="right" w:pos="9360"/>
      </w:tabs>
    </w:pPr>
  </w:style>
  <w:style w:type="character" w:customStyle="1" w:styleId="FooterChar">
    <w:name w:val="Footer Char"/>
    <w:basedOn w:val="DefaultParagraphFont"/>
    <w:link w:val="Footer"/>
    <w:uiPriority w:val="99"/>
    <w:rsid w:val="00CA4FF0"/>
  </w:style>
  <w:style w:type="character" w:styleId="UnresolvedMention">
    <w:name w:val="Unresolved Mention"/>
    <w:basedOn w:val="DefaultParagraphFont"/>
    <w:uiPriority w:val="99"/>
    <w:semiHidden/>
    <w:unhideWhenUsed/>
    <w:rsid w:val="00CA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ilipsaffa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SAFFA</cp:lastModifiedBy>
  <cp:revision>2</cp:revision>
  <cp:lastPrinted>2026-03-29T23:34:00Z</cp:lastPrinted>
  <dcterms:created xsi:type="dcterms:W3CDTF">2026-03-29T23:42:00Z</dcterms:created>
  <dcterms:modified xsi:type="dcterms:W3CDTF">2026-03-29T23:42:00Z</dcterms:modified>
</cp:coreProperties>
</file>