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B1ED1" w14:textId="154A6591" w:rsidR="00BC3832" w:rsidRPr="00CF5538" w:rsidRDefault="00BC3832" w:rsidP="00874CEE">
      <w:pPr>
        <w:jc w:val="both"/>
        <w:rPr>
          <w:b/>
          <w:bCs/>
          <w:i/>
          <w:iCs/>
          <w:sz w:val="28"/>
          <w:szCs w:val="28"/>
        </w:rPr>
      </w:pPr>
      <w:r w:rsidRPr="00CF5538">
        <w:rPr>
          <w:b/>
          <w:bCs/>
          <w:i/>
          <w:iCs/>
          <w:sz w:val="28"/>
          <w:szCs w:val="28"/>
        </w:rPr>
        <w:t xml:space="preserve">       </w:t>
      </w:r>
      <w:r w:rsidRPr="00CF5538">
        <w:rPr>
          <w:b/>
          <w:bCs/>
          <w:i/>
          <w:iCs/>
          <w:sz w:val="28"/>
          <w:szCs w:val="28"/>
        </w:rPr>
        <w:t>A Comprehensive Study of Gold and Silver in the 21st Century</w:t>
      </w:r>
    </w:p>
    <w:p w14:paraId="6D6F08E4" w14:textId="45378317" w:rsidR="00BC3832" w:rsidRPr="00CF5538" w:rsidRDefault="00BC3832" w:rsidP="00874CEE">
      <w:pPr>
        <w:jc w:val="both"/>
        <w:rPr>
          <w:b/>
          <w:bCs/>
          <w:i/>
          <w:iCs/>
          <w:sz w:val="16"/>
          <w:szCs w:val="16"/>
        </w:rPr>
      </w:pPr>
      <w:r w:rsidRPr="00CF5538">
        <w:rPr>
          <w:b/>
          <w:bCs/>
          <w:i/>
          <w:iCs/>
          <w:sz w:val="16"/>
          <w:szCs w:val="16"/>
        </w:rPr>
        <w:t xml:space="preserve">                                                                                                      By </w:t>
      </w:r>
      <w:r w:rsidR="005B30FB" w:rsidRPr="00CF5538">
        <w:rPr>
          <w:b/>
          <w:bCs/>
          <w:i/>
          <w:iCs/>
          <w:sz w:val="16"/>
          <w:szCs w:val="16"/>
        </w:rPr>
        <w:t>Mrs. Ummu</w:t>
      </w:r>
      <w:r w:rsidRPr="00CF5538">
        <w:rPr>
          <w:b/>
          <w:bCs/>
          <w:i/>
          <w:iCs/>
          <w:sz w:val="16"/>
          <w:szCs w:val="16"/>
        </w:rPr>
        <w:t xml:space="preserve"> Aimen</w:t>
      </w:r>
    </w:p>
    <w:p w14:paraId="63E49A43" w14:textId="77777777" w:rsidR="00BC3832" w:rsidRPr="00CF5538" w:rsidRDefault="00BC3832" w:rsidP="00874CEE">
      <w:pPr>
        <w:jc w:val="both"/>
        <w:rPr>
          <w:i/>
          <w:iCs/>
        </w:rPr>
      </w:pPr>
    </w:p>
    <w:p w14:paraId="73C744BB" w14:textId="77777777" w:rsidR="00BC3832" w:rsidRPr="00CF5538" w:rsidRDefault="00BC3832" w:rsidP="00874CEE">
      <w:pPr>
        <w:jc w:val="both"/>
        <w:rPr>
          <w:i/>
          <w:iCs/>
        </w:rPr>
      </w:pPr>
    </w:p>
    <w:p w14:paraId="6113FE9E" w14:textId="53FEDF3F" w:rsidR="00BC3832" w:rsidRPr="00CF5538" w:rsidRDefault="00BC3832" w:rsidP="00874CEE">
      <w:pPr>
        <w:jc w:val="both"/>
        <w:rPr>
          <w:i/>
          <w:iCs/>
        </w:rPr>
      </w:pPr>
      <w:r w:rsidRPr="00CF5538">
        <w:rPr>
          <w:i/>
          <w:iCs/>
        </w:rPr>
        <w:t>Abstract:</w:t>
      </w:r>
    </w:p>
    <w:p w14:paraId="2E06B88C" w14:textId="5C80AEE8" w:rsidR="00BC3832" w:rsidRPr="00CF5538" w:rsidRDefault="00BC3832" w:rsidP="00874CEE">
      <w:pPr>
        <w:jc w:val="both"/>
        <w:rPr>
          <w:i/>
          <w:iCs/>
        </w:rPr>
      </w:pPr>
      <w:r w:rsidRPr="00CF5538">
        <w:rPr>
          <w:i/>
          <w:iCs/>
        </w:rPr>
        <w:t>Over the past hundred years, gold and silver have shaped global finance, shifting from monetary anchors to strategic investment assets. Gold’s dominance under the Gold Standard defined early 20th</w:t>
      </w:r>
      <w:r w:rsidRPr="00CF5538">
        <w:rPr>
          <w:rFonts w:ascii="Cambria Math" w:hAnsi="Cambria Math" w:cs="Cambria Math"/>
          <w:i/>
          <w:iCs/>
        </w:rPr>
        <w:t>‑</w:t>
      </w:r>
      <w:r w:rsidRPr="00CF5538">
        <w:rPr>
          <w:i/>
          <w:iCs/>
        </w:rPr>
        <w:t>century monetary discipline, until the 1971 collapse of Bretton Woods ushered in the fiat</w:t>
      </w:r>
      <w:r w:rsidRPr="00CF5538">
        <w:rPr>
          <w:rFonts w:ascii="Cambria Math" w:hAnsi="Cambria Math" w:cs="Cambria Math"/>
          <w:i/>
          <w:iCs/>
        </w:rPr>
        <w:t>‑</w:t>
      </w:r>
      <w:r w:rsidRPr="00CF5538">
        <w:rPr>
          <w:i/>
          <w:iCs/>
        </w:rPr>
        <w:t>currency era. Silver, once a cornerstone of global coinage, evolved into a dual</w:t>
      </w:r>
      <w:r w:rsidRPr="00CF5538">
        <w:rPr>
          <w:rFonts w:ascii="Cambria Math" w:hAnsi="Cambria Math" w:cs="Cambria Math"/>
          <w:i/>
          <w:iCs/>
        </w:rPr>
        <w:t>‑</w:t>
      </w:r>
      <w:r w:rsidRPr="00CF5538">
        <w:rPr>
          <w:i/>
          <w:iCs/>
        </w:rPr>
        <w:t>purpose metal</w:t>
      </w:r>
      <w:r w:rsidRPr="00CF5538">
        <w:rPr>
          <w:rFonts w:ascii="Aptos" w:hAnsi="Aptos" w:cs="Aptos"/>
          <w:i/>
          <w:iCs/>
        </w:rPr>
        <w:t>—</w:t>
      </w:r>
      <w:r w:rsidRPr="00CF5538">
        <w:rPr>
          <w:i/>
          <w:iCs/>
        </w:rPr>
        <w:t>valued both for its monetary heritage and its expanding industrial applications.</w:t>
      </w:r>
      <w:r w:rsidRPr="00CF5538">
        <w:rPr>
          <w:i/>
          <w:iCs/>
        </w:rPr>
        <w:t xml:space="preserve"> </w:t>
      </w:r>
      <w:r w:rsidRPr="00CF5538">
        <w:rPr>
          <w:i/>
          <w:iCs/>
        </w:rPr>
        <w:t>Gold’s role as a safe</w:t>
      </w:r>
      <w:r w:rsidRPr="00CF5538">
        <w:rPr>
          <w:rFonts w:ascii="Cambria Math" w:hAnsi="Cambria Math" w:cs="Cambria Math"/>
          <w:i/>
          <w:iCs/>
        </w:rPr>
        <w:t>‑</w:t>
      </w:r>
      <w:r w:rsidRPr="00CF5538">
        <w:rPr>
          <w:i/>
          <w:iCs/>
        </w:rPr>
        <w:t xml:space="preserve">haven asset has only strengthened. During wars, recessions, and inflationary shocks, investors consistently turned to it for stability. As J.P. Morgan famously declared, </w:t>
      </w:r>
      <w:r w:rsidRPr="00CF5538">
        <w:rPr>
          <w:rFonts w:ascii="Aptos" w:hAnsi="Aptos" w:cs="Aptos"/>
          <w:i/>
          <w:iCs/>
        </w:rPr>
        <w:t>“</w:t>
      </w:r>
      <w:r w:rsidRPr="00CF5538">
        <w:rPr>
          <w:i/>
          <w:iCs/>
        </w:rPr>
        <w:t>Gold is money. Everything else is credit.</w:t>
      </w:r>
      <w:r w:rsidRPr="00CF5538">
        <w:rPr>
          <w:rFonts w:ascii="Aptos" w:hAnsi="Aptos" w:cs="Aptos"/>
          <w:i/>
          <w:iCs/>
        </w:rPr>
        <w:t>”</w:t>
      </w:r>
      <w:r w:rsidRPr="00CF5538">
        <w:rPr>
          <w:i/>
          <w:iCs/>
        </w:rPr>
        <w:t xml:space="preserve"> Even John Maynard Keynes</w:t>
      </w:r>
      <w:r w:rsidRPr="00CF5538">
        <w:rPr>
          <w:rFonts w:ascii="Aptos" w:hAnsi="Aptos" w:cs="Aptos"/>
          <w:i/>
          <w:iCs/>
        </w:rPr>
        <w:t>’</w:t>
      </w:r>
      <w:r w:rsidRPr="00CF5538">
        <w:rPr>
          <w:i/>
          <w:iCs/>
        </w:rPr>
        <w:t xml:space="preserve"> provocative remark, </w:t>
      </w:r>
      <w:r w:rsidRPr="00CF5538">
        <w:rPr>
          <w:rFonts w:ascii="Aptos" w:hAnsi="Aptos" w:cs="Aptos"/>
          <w:i/>
          <w:iCs/>
        </w:rPr>
        <w:t>“</w:t>
      </w:r>
      <w:r w:rsidRPr="00CF5538">
        <w:rPr>
          <w:i/>
          <w:iCs/>
        </w:rPr>
        <w:t>Gold is a barbarous relic,</w:t>
      </w:r>
      <w:r w:rsidRPr="00CF5538">
        <w:rPr>
          <w:rFonts w:ascii="Aptos" w:hAnsi="Aptos" w:cs="Aptos"/>
          <w:i/>
          <w:iCs/>
        </w:rPr>
        <w:t>”</w:t>
      </w:r>
      <w:r w:rsidRPr="00CF5538">
        <w:rPr>
          <w:i/>
          <w:iCs/>
        </w:rPr>
        <w:t xml:space="preserve"> has been challenged by gold</w:t>
      </w:r>
      <w:r w:rsidRPr="00CF5538">
        <w:rPr>
          <w:rFonts w:ascii="Aptos" w:hAnsi="Aptos" w:cs="Aptos"/>
          <w:i/>
          <w:iCs/>
        </w:rPr>
        <w:t>’</w:t>
      </w:r>
      <w:r w:rsidRPr="00CF5538">
        <w:rPr>
          <w:i/>
          <w:iCs/>
        </w:rPr>
        <w:t>s persistent relevance in central</w:t>
      </w:r>
      <w:r w:rsidRPr="00CF5538">
        <w:rPr>
          <w:rFonts w:ascii="Cambria Math" w:hAnsi="Cambria Math" w:cs="Cambria Math"/>
          <w:i/>
          <w:iCs/>
        </w:rPr>
        <w:t>‑</w:t>
      </w:r>
      <w:r w:rsidRPr="00CF5538">
        <w:rPr>
          <w:i/>
          <w:iCs/>
        </w:rPr>
        <w:t>bank reserves and global trade psychology. Warren Buffett captured its crisis</w:t>
      </w:r>
      <w:r w:rsidRPr="00CF5538">
        <w:rPr>
          <w:rFonts w:ascii="Cambria Math" w:hAnsi="Cambria Math" w:cs="Cambria Math"/>
          <w:i/>
          <w:iCs/>
        </w:rPr>
        <w:t>‑</w:t>
      </w:r>
      <w:r w:rsidRPr="00CF5538">
        <w:rPr>
          <w:i/>
          <w:iCs/>
        </w:rPr>
        <w:t xml:space="preserve">driven appeal when he said, </w:t>
      </w:r>
      <w:r w:rsidRPr="00CF5538">
        <w:rPr>
          <w:rFonts w:ascii="Aptos" w:hAnsi="Aptos" w:cs="Aptos"/>
          <w:i/>
          <w:iCs/>
        </w:rPr>
        <w:t>“</w:t>
      </w:r>
      <w:r w:rsidRPr="00CF5538">
        <w:rPr>
          <w:i/>
          <w:iCs/>
        </w:rPr>
        <w:t xml:space="preserve">Gold is a way of going long on </w:t>
      </w:r>
      <w:r w:rsidR="005B30FB" w:rsidRPr="00CF5538">
        <w:rPr>
          <w:i/>
          <w:iCs/>
        </w:rPr>
        <w:t>fear. “Silver</w:t>
      </w:r>
      <w:r w:rsidRPr="00CF5538">
        <w:rPr>
          <w:i/>
          <w:iCs/>
        </w:rPr>
        <w:t xml:space="preserve">, meanwhile, has mirrored industrial progress—from photography in the 20th century to solar panels, electronics, and medical technologies today. Its volatility has made it both a speculative </w:t>
      </w:r>
      <w:r w:rsidR="005B30FB" w:rsidRPr="00CF5538">
        <w:rPr>
          <w:i/>
          <w:iCs/>
        </w:rPr>
        <w:t>favourite</w:t>
      </w:r>
      <w:r w:rsidRPr="00CF5538">
        <w:rPr>
          <w:i/>
          <w:iCs/>
        </w:rPr>
        <w:t xml:space="preserve"> and a barometer of industrial demand.</w:t>
      </w:r>
      <w:r w:rsidRPr="00CF5538">
        <w:rPr>
          <w:i/>
          <w:iCs/>
        </w:rPr>
        <w:t xml:space="preserve"> </w:t>
      </w:r>
      <w:r w:rsidRPr="00CF5538">
        <w:rPr>
          <w:i/>
          <w:iCs/>
        </w:rPr>
        <w:t>In the 21st century, gold has re</w:t>
      </w:r>
      <w:r w:rsidRPr="00CF5538">
        <w:rPr>
          <w:rFonts w:ascii="Cambria Math" w:hAnsi="Cambria Math" w:cs="Cambria Math"/>
          <w:i/>
          <w:iCs/>
        </w:rPr>
        <w:t>‑</w:t>
      </w:r>
      <w:r w:rsidRPr="00CF5538">
        <w:rPr>
          <w:i/>
          <w:iCs/>
        </w:rPr>
        <w:t>emerged as a geopolitical hedge amid currency instability and global power shifts, while silver has become indispensable to the clean</w:t>
      </w:r>
      <w:r w:rsidRPr="00CF5538">
        <w:rPr>
          <w:rFonts w:ascii="Cambria Math" w:hAnsi="Cambria Math" w:cs="Cambria Math"/>
          <w:i/>
          <w:iCs/>
        </w:rPr>
        <w:t>‑</w:t>
      </w:r>
      <w:r w:rsidRPr="00CF5538">
        <w:rPr>
          <w:i/>
          <w:iCs/>
        </w:rPr>
        <w:t>energy transition. Together, these metals continue to influence investment strategies, economic policy debates, and global market sentiment, proving their enduring power in a rapidly changing world.</w:t>
      </w:r>
    </w:p>
    <w:p w14:paraId="6391D280" w14:textId="77777777" w:rsidR="00BC3832" w:rsidRPr="00CF5538" w:rsidRDefault="00BC3832" w:rsidP="00874CEE">
      <w:pPr>
        <w:jc w:val="both"/>
        <w:rPr>
          <w:b/>
          <w:bCs/>
          <w:i/>
          <w:iCs/>
        </w:rPr>
      </w:pPr>
    </w:p>
    <w:p w14:paraId="3D68A344" w14:textId="77777777" w:rsidR="00BC3832" w:rsidRPr="00CF5538" w:rsidRDefault="00BC3832" w:rsidP="00874CEE">
      <w:pPr>
        <w:jc w:val="both"/>
        <w:rPr>
          <w:b/>
          <w:bCs/>
          <w:i/>
          <w:iCs/>
        </w:rPr>
      </w:pPr>
    </w:p>
    <w:p w14:paraId="70FA147F" w14:textId="77777777" w:rsidR="00BC3832" w:rsidRPr="00CF5538" w:rsidRDefault="00BC3832" w:rsidP="00874CEE">
      <w:pPr>
        <w:jc w:val="both"/>
        <w:rPr>
          <w:b/>
          <w:bCs/>
          <w:i/>
          <w:iCs/>
        </w:rPr>
      </w:pPr>
    </w:p>
    <w:p w14:paraId="347F5835" w14:textId="724C3780" w:rsidR="00BC3832" w:rsidRPr="00CF5538" w:rsidRDefault="00BC3832" w:rsidP="00874CEE">
      <w:pPr>
        <w:jc w:val="both"/>
        <w:rPr>
          <w:b/>
          <w:bCs/>
          <w:i/>
          <w:iCs/>
        </w:rPr>
      </w:pPr>
      <w:r w:rsidRPr="00CF5538">
        <w:rPr>
          <w:b/>
          <w:bCs/>
          <w:i/>
          <w:iCs/>
        </w:rPr>
        <w:t>Keywords</w:t>
      </w:r>
    </w:p>
    <w:p w14:paraId="70D7E6AE" w14:textId="72DF9E63" w:rsidR="00BC3832" w:rsidRPr="00CF5538" w:rsidRDefault="00BC3832" w:rsidP="00874CEE">
      <w:pPr>
        <w:jc w:val="both"/>
        <w:rPr>
          <w:b/>
          <w:bCs/>
          <w:i/>
          <w:iCs/>
        </w:rPr>
      </w:pPr>
      <w:r w:rsidRPr="00CF5538">
        <w:rPr>
          <w:b/>
          <w:bCs/>
          <w:i/>
          <w:iCs/>
        </w:rPr>
        <w:t>#</w:t>
      </w:r>
      <w:r w:rsidRPr="00CF5538">
        <w:rPr>
          <w:b/>
          <w:bCs/>
          <w:i/>
          <w:iCs/>
        </w:rPr>
        <w:t xml:space="preserve">Monetary </w:t>
      </w:r>
      <w:r w:rsidR="005B30FB" w:rsidRPr="00CF5538">
        <w:rPr>
          <w:b/>
          <w:bCs/>
          <w:i/>
          <w:iCs/>
        </w:rPr>
        <w:t>Stability #</w:t>
      </w:r>
      <w:r w:rsidRPr="00CF5538">
        <w:rPr>
          <w:b/>
          <w:bCs/>
          <w:i/>
          <w:iCs/>
        </w:rPr>
        <w:t>Safe</w:t>
      </w:r>
      <w:r w:rsidRPr="00CF5538">
        <w:rPr>
          <w:rFonts w:ascii="Cambria Math" w:hAnsi="Cambria Math" w:cs="Cambria Math"/>
          <w:b/>
          <w:bCs/>
          <w:i/>
          <w:iCs/>
        </w:rPr>
        <w:t>‑</w:t>
      </w:r>
      <w:r w:rsidRPr="00CF5538">
        <w:rPr>
          <w:b/>
          <w:bCs/>
          <w:i/>
          <w:iCs/>
        </w:rPr>
        <w:t xml:space="preserve">Haven </w:t>
      </w:r>
      <w:r w:rsidR="005B30FB" w:rsidRPr="00CF5538">
        <w:rPr>
          <w:b/>
          <w:bCs/>
          <w:i/>
          <w:iCs/>
        </w:rPr>
        <w:t>Asset #</w:t>
      </w:r>
      <w:r w:rsidRPr="00CF5538">
        <w:rPr>
          <w:b/>
          <w:bCs/>
          <w:i/>
          <w:iCs/>
        </w:rPr>
        <w:t xml:space="preserve">Inflation </w:t>
      </w:r>
      <w:r w:rsidR="005B30FB" w:rsidRPr="00CF5538">
        <w:rPr>
          <w:b/>
          <w:bCs/>
          <w:i/>
          <w:iCs/>
        </w:rPr>
        <w:t>Hedge #</w:t>
      </w:r>
      <w:r w:rsidRPr="00CF5538">
        <w:rPr>
          <w:b/>
          <w:bCs/>
          <w:i/>
          <w:iCs/>
        </w:rPr>
        <w:t xml:space="preserve"> Geopolitical Risk  </w:t>
      </w:r>
    </w:p>
    <w:p w14:paraId="790B9DF2" w14:textId="67E24027" w:rsidR="00BC3832" w:rsidRPr="00CF5538" w:rsidRDefault="00BC3832" w:rsidP="00874CEE">
      <w:pPr>
        <w:jc w:val="both"/>
        <w:rPr>
          <w:b/>
          <w:bCs/>
          <w:i/>
          <w:iCs/>
        </w:rPr>
      </w:pPr>
      <w:r w:rsidRPr="00CF5538">
        <w:rPr>
          <w:b/>
          <w:bCs/>
          <w:i/>
          <w:iCs/>
        </w:rPr>
        <w:t>#</w:t>
      </w:r>
      <w:r w:rsidRPr="00CF5538">
        <w:rPr>
          <w:b/>
          <w:bCs/>
          <w:i/>
          <w:iCs/>
        </w:rPr>
        <w:t xml:space="preserve"> Commodity </w:t>
      </w:r>
      <w:r w:rsidR="005B30FB" w:rsidRPr="00CF5538">
        <w:rPr>
          <w:b/>
          <w:bCs/>
          <w:i/>
          <w:iCs/>
        </w:rPr>
        <w:t>Cycles #</w:t>
      </w:r>
      <w:r w:rsidRPr="00CF5538">
        <w:rPr>
          <w:b/>
          <w:bCs/>
          <w:i/>
          <w:iCs/>
        </w:rPr>
        <w:t xml:space="preserve">Store of </w:t>
      </w:r>
      <w:r w:rsidR="005B30FB" w:rsidRPr="00CF5538">
        <w:rPr>
          <w:b/>
          <w:bCs/>
          <w:i/>
          <w:iCs/>
        </w:rPr>
        <w:t>Value #</w:t>
      </w:r>
      <w:r w:rsidRPr="00CF5538">
        <w:rPr>
          <w:b/>
          <w:bCs/>
          <w:i/>
          <w:iCs/>
        </w:rPr>
        <w:t xml:space="preserve"> Market Volatility</w:t>
      </w:r>
    </w:p>
    <w:p w14:paraId="1E1BAFAD" w14:textId="77777777" w:rsidR="00BC3832" w:rsidRPr="00CF5538" w:rsidRDefault="00BC3832" w:rsidP="00874CEE">
      <w:pPr>
        <w:jc w:val="both"/>
        <w:rPr>
          <w:b/>
          <w:bCs/>
          <w:i/>
          <w:iCs/>
        </w:rPr>
      </w:pPr>
    </w:p>
    <w:p w14:paraId="5985E0AD" w14:textId="77777777" w:rsidR="00BC3832" w:rsidRPr="00CF5538" w:rsidRDefault="00BC3832" w:rsidP="00874CEE">
      <w:pPr>
        <w:jc w:val="both"/>
        <w:rPr>
          <w:b/>
          <w:bCs/>
          <w:i/>
          <w:iCs/>
        </w:rPr>
      </w:pPr>
    </w:p>
    <w:p w14:paraId="7B62D0FE" w14:textId="77777777" w:rsidR="00BC3832" w:rsidRPr="00CF5538" w:rsidRDefault="00BC3832" w:rsidP="00874CEE">
      <w:pPr>
        <w:jc w:val="both"/>
        <w:rPr>
          <w:b/>
          <w:bCs/>
          <w:i/>
          <w:iCs/>
        </w:rPr>
      </w:pPr>
    </w:p>
    <w:p w14:paraId="1BB8790E" w14:textId="77777777" w:rsidR="00BC3832" w:rsidRPr="00CF5538" w:rsidRDefault="00BC3832" w:rsidP="00874CEE">
      <w:pPr>
        <w:jc w:val="both"/>
        <w:rPr>
          <w:b/>
          <w:bCs/>
          <w:i/>
          <w:iCs/>
        </w:rPr>
      </w:pPr>
    </w:p>
    <w:p w14:paraId="0E74FB85" w14:textId="0A5937A5" w:rsidR="00BC3832" w:rsidRPr="004616FD" w:rsidRDefault="00BC3832" w:rsidP="00874CEE">
      <w:pPr>
        <w:jc w:val="both"/>
        <w:rPr>
          <w:b/>
          <w:bCs/>
          <w:i/>
          <w:iCs/>
        </w:rPr>
      </w:pPr>
      <w:r w:rsidRPr="004616FD">
        <w:rPr>
          <w:b/>
          <w:bCs/>
          <w:i/>
          <w:iCs/>
        </w:rPr>
        <w:lastRenderedPageBreak/>
        <w:t>Introduction:</w:t>
      </w:r>
    </w:p>
    <w:p w14:paraId="7FDCF822" w14:textId="19309399" w:rsidR="00BC3832" w:rsidRPr="004616FD" w:rsidRDefault="00BC3832" w:rsidP="00874CEE">
      <w:pPr>
        <w:jc w:val="both"/>
        <w:rPr>
          <w:i/>
          <w:iCs/>
        </w:rPr>
      </w:pPr>
      <w:r w:rsidRPr="004616FD">
        <w:rPr>
          <w:i/>
          <w:iCs/>
        </w:rPr>
        <w:t xml:space="preserve">Across the last century, gold and silver have remained two of the most influential forces shaping global economic </w:t>
      </w:r>
      <w:r w:rsidR="000637C7" w:rsidRPr="004616FD">
        <w:rPr>
          <w:i/>
          <w:iCs/>
        </w:rPr>
        <w:t>behaviour</w:t>
      </w:r>
      <w:r w:rsidRPr="004616FD">
        <w:rPr>
          <w:i/>
          <w:iCs/>
        </w:rPr>
        <w:t>, monetary policy, and investor psychology. Their journey reflects the broader evolution of the world economy—from rigid metallic standards to fluid fiat systems, from industrial revolutions to digital transformations, and from geopolitical upheavals to the rise of clean</w:t>
      </w:r>
      <w:r w:rsidRPr="004616FD">
        <w:rPr>
          <w:rFonts w:ascii="Cambria Math" w:hAnsi="Cambria Math" w:cs="Cambria Math"/>
          <w:i/>
          <w:iCs/>
        </w:rPr>
        <w:t>‑</w:t>
      </w:r>
      <w:r w:rsidRPr="004616FD">
        <w:rPr>
          <w:i/>
          <w:iCs/>
        </w:rPr>
        <w:t>energy technologies. Gold, long regarded as the ultimate symbol of monetary stability, has consistently served as a refuge during periods of uncertainty, anchoring financial systems even as global currencies detached from metal</w:t>
      </w:r>
      <w:r w:rsidRPr="004616FD">
        <w:rPr>
          <w:rFonts w:ascii="Cambria Math" w:hAnsi="Cambria Math" w:cs="Cambria Math"/>
          <w:i/>
          <w:iCs/>
        </w:rPr>
        <w:t>‑</w:t>
      </w:r>
      <w:r w:rsidRPr="004616FD">
        <w:rPr>
          <w:i/>
          <w:iCs/>
        </w:rPr>
        <w:t>based regimes. Silver, with its unique dual identity as both a precious and industrial metal, has mirrored technological progress, expanding its relevance from traditional coinage to advanced electronics, medicine, and renewable</w:t>
      </w:r>
      <w:r w:rsidRPr="004616FD">
        <w:rPr>
          <w:rFonts w:ascii="Cambria Math" w:hAnsi="Cambria Math" w:cs="Cambria Math"/>
          <w:i/>
          <w:iCs/>
        </w:rPr>
        <w:t>‑</w:t>
      </w:r>
      <w:r w:rsidRPr="004616FD">
        <w:rPr>
          <w:i/>
          <w:iCs/>
        </w:rPr>
        <w:t xml:space="preserve">energy </w:t>
      </w:r>
      <w:r w:rsidR="000637C7" w:rsidRPr="004616FD">
        <w:rPr>
          <w:i/>
          <w:iCs/>
        </w:rPr>
        <w:t>infrastructure. Together</w:t>
      </w:r>
      <w:r w:rsidRPr="004616FD">
        <w:rPr>
          <w:i/>
          <w:iCs/>
        </w:rPr>
        <w:t>, these metals offer a powerful lens through which to understand shifting global priorities: security versus growth, tradition versus innovation, and scarcity versus utility. Their enduring significance underscores a fundamental truth of modern finance—while economic systems evolve, the world’s reliance on tangible stores of value and industrial enablers remains remarkably persistent.</w:t>
      </w:r>
    </w:p>
    <w:p w14:paraId="1D5A7AB1" w14:textId="77777777" w:rsidR="00C36903" w:rsidRPr="004616FD" w:rsidRDefault="00C36903" w:rsidP="00874CEE">
      <w:pPr>
        <w:jc w:val="both"/>
        <w:rPr>
          <w:b/>
          <w:bCs/>
          <w:i/>
          <w:iCs/>
        </w:rPr>
      </w:pPr>
      <w:r w:rsidRPr="004616FD">
        <w:rPr>
          <w:b/>
          <w:bCs/>
          <w:i/>
          <w:iCs/>
        </w:rPr>
        <w:t>1. The Rise and Fall of the Gold Standard</w:t>
      </w:r>
    </w:p>
    <w:p w14:paraId="303A19F6" w14:textId="311477F7" w:rsidR="00C36903" w:rsidRPr="004616FD" w:rsidRDefault="00C36903" w:rsidP="00874CEE">
      <w:pPr>
        <w:jc w:val="both"/>
        <w:rPr>
          <w:i/>
          <w:iCs/>
        </w:rPr>
      </w:pPr>
      <w:r w:rsidRPr="004616FD">
        <w:rPr>
          <w:i/>
          <w:iCs/>
        </w:rPr>
        <w:t>The Gold Standard emerged as the backbone of global finance in the late 19th and early 20th centuries, anchoring currencies to fixed quantities of gold and enabling stable exchange rates across nations. Britain’s adoption of a de facto gold standard in 1717, followed by widespread global adoption by the 1870s, created a unified monetary framework that facilitated international trade and capital flows. However, the system’s rigidity became its greatest weakness. During the Great Depression, countries struggled to stimulate their economies because the Gold Standard restricted monetary expansion. Britain abandoned it in 1931, and the U.S. followed in 1933, with the final collapse occurring in 1971 when President Nixon ended dollar convertibility to gold, marking the transition to fiat currency.   Economists widely agree that the Gold Standard deepened the Great Depression by limiting governments’ ability to respond to crises. A 2012 survey found that 92% of economists opposed returning to it, citing volatility and policy constraints.   Its fall reshaped global finance, enabling flexible monetary policy but also introducing new risks such as inflation and currency debasement.</w:t>
      </w:r>
    </w:p>
    <w:p w14:paraId="24284AB4" w14:textId="77777777" w:rsidR="00C36903" w:rsidRPr="004616FD" w:rsidRDefault="00C36903" w:rsidP="00874CEE">
      <w:pPr>
        <w:jc w:val="both"/>
        <w:rPr>
          <w:b/>
          <w:bCs/>
          <w:i/>
          <w:iCs/>
        </w:rPr>
      </w:pPr>
      <w:r w:rsidRPr="004616FD">
        <w:rPr>
          <w:b/>
          <w:bCs/>
          <w:i/>
          <w:iCs/>
        </w:rPr>
        <w:t>2. Why Central Banks Are Buying Gold Again</w:t>
      </w:r>
    </w:p>
    <w:p w14:paraId="3241D246" w14:textId="6891E265" w:rsidR="00C36903" w:rsidRPr="004616FD" w:rsidRDefault="00C36903" w:rsidP="00874CEE">
      <w:pPr>
        <w:jc w:val="both"/>
        <w:rPr>
          <w:i/>
          <w:iCs/>
        </w:rPr>
      </w:pPr>
      <w:r w:rsidRPr="004616FD">
        <w:rPr>
          <w:i/>
          <w:iCs/>
        </w:rPr>
        <w:t>Central banks worldwide have dramatically increased gold purchases over the past decade, driven by geopolitical uncertainty, inflation concerns, and a strategic shift away from over</w:t>
      </w:r>
      <w:r w:rsidRPr="004616FD">
        <w:rPr>
          <w:rFonts w:ascii="Cambria Math" w:hAnsi="Cambria Math" w:cs="Cambria Math"/>
          <w:i/>
          <w:iCs/>
        </w:rPr>
        <w:t>‑</w:t>
      </w:r>
      <w:r w:rsidRPr="004616FD">
        <w:rPr>
          <w:i/>
          <w:iCs/>
        </w:rPr>
        <w:t>reliance on the U.S. dollar. China has been a leading buyer, extending its gold</w:t>
      </w:r>
      <w:r w:rsidRPr="004616FD">
        <w:rPr>
          <w:rFonts w:ascii="Cambria Math" w:hAnsi="Cambria Math" w:cs="Cambria Math"/>
          <w:i/>
          <w:iCs/>
        </w:rPr>
        <w:t>‑</w:t>
      </w:r>
      <w:r w:rsidRPr="004616FD">
        <w:rPr>
          <w:i/>
          <w:iCs/>
        </w:rPr>
        <w:t>buying streak for 15 consecutive months, adding 40,000 troy ounces in January alone.   Global central bank purchases exceeded 860 tonnes in 2025, continuing a multi</w:t>
      </w:r>
      <w:r w:rsidRPr="004616FD">
        <w:rPr>
          <w:rFonts w:ascii="Cambria Math" w:hAnsi="Cambria Math" w:cs="Cambria Math"/>
          <w:i/>
          <w:iCs/>
        </w:rPr>
        <w:t>‑</w:t>
      </w:r>
      <w:r w:rsidRPr="004616FD">
        <w:rPr>
          <w:i/>
          <w:iCs/>
        </w:rPr>
        <w:t>year trend of record accumulation.</w:t>
      </w:r>
      <w:r w:rsidR="00DC2FFC" w:rsidRPr="004616FD">
        <w:rPr>
          <w:i/>
          <w:iCs/>
        </w:rPr>
        <w:t xml:space="preserve"> </w:t>
      </w:r>
      <w:r w:rsidRPr="004616FD">
        <w:rPr>
          <w:i/>
          <w:iCs/>
        </w:rPr>
        <w:t>The World Gold Council reports that emerging</w:t>
      </w:r>
      <w:r w:rsidRPr="004616FD">
        <w:rPr>
          <w:rFonts w:ascii="Cambria Math" w:hAnsi="Cambria Math" w:cs="Cambria Math"/>
          <w:i/>
          <w:iCs/>
        </w:rPr>
        <w:t>‑</w:t>
      </w:r>
      <w:r w:rsidRPr="004616FD">
        <w:rPr>
          <w:i/>
          <w:iCs/>
        </w:rPr>
        <w:t>market central banks</w:t>
      </w:r>
      <w:r w:rsidRPr="004616FD">
        <w:rPr>
          <w:rFonts w:ascii="Aptos" w:hAnsi="Aptos" w:cs="Aptos"/>
          <w:i/>
          <w:iCs/>
        </w:rPr>
        <w:t>—</w:t>
      </w:r>
      <w:r w:rsidRPr="004616FD">
        <w:rPr>
          <w:i/>
          <w:iCs/>
        </w:rPr>
        <w:t>such as Poland, Brazil, Kazakhstan, and Uzbekistan</w:t>
      </w:r>
      <w:r w:rsidRPr="004616FD">
        <w:rPr>
          <w:rFonts w:ascii="Aptos" w:hAnsi="Aptos" w:cs="Aptos"/>
          <w:i/>
          <w:iCs/>
        </w:rPr>
        <w:t>—</w:t>
      </w:r>
      <w:r w:rsidRPr="004616FD">
        <w:rPr>
          <w:i/>
          <w:iCs/>
        </w:rPr>
        <w:t>are diversifying reserves to hedge against sanctions risk, currency volatility, and geopolitical fragmentation.   From 2022 to 2024, central banks purchased over 3,220 tonnes of gold—more than double the volume bought from 2014 to 2016—reflecting a structural shift rather than opportunistic buying.   Gold’s appeal lies in its neutrality: unlike foreign currency reserves, it carries no counterparty risk and cannot be frozen by foreign governments. As global debt rises and geopolitical tensions intensify, gold has re</w:t>
      </w:r>
      <w:r w:rsidRPr="004616FD">
        <w:rPr>
          <w:rFonts w:ascii="Cambria Math" w:hAnsi="Cambria Math" w:cs="Cambria Math"/>
          <w:i/>
          <w:iCs/>
        </w:rPr>
        <w:t>‑</w:t>
      </w:r>
      <w:r w:rsidRPr="004616FD">
        <w:rPr>
          <w:i/>
          <w:iCs/>
        </w:rPr>
        <w:t>emerged as a cornerstone of sovereign financial security.</w:t>
      </w:r>
    </w:p>
    <w:p w14:paraId="62CD1061" w14:textId="77777777" w:rsidR="00C36903" w:rsidRPr="004616FD" w:rsidRDefault="00C36903" w:rsidP="00874CEE">
      <w:pPr>
        <w:jc w:val="both"/>
        <w:rPr>
          <w:b/>
          <w:bCs/>
          <w:i/>
          <w:iCs/>
        </w:rPr>
      </w:pPr>
      <w:r w:rsidRPr="004616FD">
        <w:rPr>
          <w:b/>
          <w:bCs/>
          <w:i/>
          <w:iCs/>
        </w:rPr>
        <w:t>3. Silver’s New Identity in the Solar</w:t>
      </w:r>
      <w:r w:rsidRPr="004616FD">
        <w:rPr>
          <w:rFonts w:ascii="Cambria Math" w:hAnsi="Cambria Math" w:cs="Cambria Math"/>
          <w:b/>
          <w:bCs/>
          <w:i/>
          <w:iCs/>
        </w:rPr>
        <w:t>‑</w:t>
      </w:r>
      <w:r w:rsidRPr="004616FD">
        <w:rPr>
          <w:b/>
          <w:bCs/>
          <w:i/>
          <w:iCs/>
        </w:rPr>
        <w:t>Energy Revolution</w:t>
      </w:r>
    </w:p>
    <w:p w14:paraId="60F7EF49" w14:textId="69433262" w:rsidR="00C36903" w:rsidRPr="004616FD" w:rsidRDefault="00C36903" w:rsidP="00874CEE">
      <w:pPr>
        <w:jc w:val="both"/>
        <w:rPr>
          <w:i/>
          <w:iCs/>
        </w:rPr>
      </w:pPr>
      <w:r w:rsidRPr="004616FD">
        <w:rPr>
          <w:i/>
          <w:iCs/>
        </w:rPr>
        <w:t>Silver has transformed from a traditional precious metal into a critical industrial resource powering the global clean</w:t>
      </w:r>
      <w:r w:rsidRPr="004616FD">
        <w:rPr>
          <w:rFonts w:ascii="Cambria Math" w:hAnsi="Cambria Math" w:cs="Cambria Math"/>
          <w:i/>
          <w:iCs/>
        </w:rPr>
        <w:t>‑</w:t>
      </w:r>
      <w:r w:rsidRPr="004616FD">
        <w:rPr>
          <w:i/>
          <w:iCs/>
        </w:rPr>
        <w:t>energy transition. Its unmatched electrical conductivity makes it indispensable in photovoltaic (PV) cells, where it forms conductive pathways essential for converting sunlight into electricity. In 2025, industrial silver demand reached approximately 677 million ounces, with solar PV accounting for a major share. Motilal Oswal Financial Services projects that by 2027, solar manufacturers may require more than 20% of the world’s annual silver supply, driven by aggressive renewable</w:t>
      </w:r>
      <w:r w:rsidRPr="004616FD">
        <w:rPr>
          <w:rFonts w:ascii="Cambria Math" w:hAnsi="Cambria Math" w:cs="Cambria Math"/>
          <w:i/>
          <w:iCs/>
        </w:rPr>
        <w:t>‑</w:t>
      </w:r>
      <w:r w:rsidRPr="004616FD">
        <w:rPr>
          <w:i/>
          <w:iCs/>
        </w:rPr>
        <w:t>energy targets across China, India, Europe, and Southeast Asia.   Even though manufacturers are reducing silver usage per panel through “thrifting,” the explosive growth in global solar installations continues to push total demand higher. The PV sector alone is expected to consume over 200 million ounces in 2025.   This surge has contributed to persistent market deficits, with supply unable to scale quickly because 75% of silver is produced as a by</w:t>
      </w:r>
      <w:r w:rsidRPr="004616FD">
        <w:rPr>
          <w:rFonts w:ascii="Cambria Math" w:hAnsi="Cambria Math" w:cs="Cambria Math"/>
          <w:i/>
          <w:iCs/>
        </w:rPr>
        <w:t>‑</w:t>
      </w:r>
      <w:r w:rsidRPr="004616FD">
        <w:rPr>
          <w:i/>
          <w:iCs/>
        </w:rPr>
        <w:t>product of other metals.   Silver’s role in EVs, power grids, and electronics further strengthens its identity as a strategic industrial metal central to the world’s decarbonization agenda.</w:t>
      </w:r>
    </w:p>
    <w:p w14:paraId="7631C863" w14:textId="77777777" w:rsidR="00C36903" w:rsidRPr="004616FD" w:rsidRDefault="00C36903" w:rsidP="00874CEE">
      <w:pPr>
        <w:jc w:val="both"/>
        <w:rPr>
          <w:b/>
          <w:bCs/>
          <w:i/>
          <w:iCs/>
        </w:rPr>
      </w:pPr>
      <w:r w:rsidRPr="004616FD">
        <w:rPr>
          <w:b/>
          <w:bCs/>
          <w:i/>
          <w:iCs/>
        </w:rPr>
        <w:t>4. Gold vs. Inflation: A Century of Evidence</w:t>
      </w:r>
    </w:p>
    <w:p w14:paraId="3E8760B5" w14:textId="77777777" w:rsidR="00DC2FFC" w:rsidRPr="004616FD" w:rsidRDefault="00C36903" w:rsidP="00874CEE">
      <w:pPr>
        <w:jc w:val="both"/>
        <w:rPr>
          <w:i/>
          <w:iCs/>
        </w:rPr>
      </w:pPr>
      <w:r w:rsidRPr="004616FD">
        <w:rPr>
          <w:i/>
          <w:iCs/>
        </w:rPr>
        <w:t>Gold’s relationship with inflation is complex and far from linear. Empirical studies show that gold does not consistently hedge average inflation rates. A CFA Institute analysis of data from 1979–2024 found no meaningful correlation between monthly inflation changes and gold price movements.  However, gold behaves differently during periods of extreme inflation, geopolitical shocks, or currency crises. Research shows that gold reacts strongly when inflation exceeds the 90th percentile threshold, acting as a “super</w:t>
      </w:r>
      <w:r w:rsidRPr="004616FD">
        <w:rPr>
          <w:rFonts w:ascii="Cambria Math" w:hAnsi="Cambria Math" w:cs="Cambria Math"/>
          <w:i/>
          <w:iCs/>
        </w:rPr>
        <w:t>‑</w:t>
      </w:r>
      <w:r w:rsidRPr="004616FD">
        <w:rPr>
          <w:i/>
          <w:iCs/>
        </w:rPr>
        <w:t>hedge</w:t>
      </w:r>
      <w:r w:rsidRPr="004616FD">
        <w:rPr>
          <w:rFonts w:ascii="Aptos" w:hAnsi="Aptos" w:cs="Aptos"/>
          <w:i/>
          <w:iCs/>
        </w:rPr>
        <w:t>”</w:t>
      </w:r>
      <w:r w:rsidRPr="004616FD">
        <w:rPr>
          <w:i/>
          <w:iCs/>
        </w:rPr>
        <w:t xml:space="preserve"> during severe monetary instability.   Gold also responds more reliably to inflation expectations than to realized inflation. A study found that changes in 1</w:t>
      </w:r>
      <w:r w:rsidRPr="004616FD">
        <w:rPr>
          <w:rFonts w:ascii="Cambria Math" w:hAnsi="Cambria Math" w:cs="Cambria Math"/>
          <w:i/>
          <w:iCs/>
        </w:rPr>
        <w:t>‑</w:t>
      </w:r>
      <w:r w:rsidRPr="004616FD">
        <w:rPr>
          <w:i/>
          <w:iCs/>
        </w:rPr>
        <w:t>year and 5</w:t>
      </w:r>
      <w:r w:rsidRPr="004616FD">
        <w:rPr>
          <w:rFonts w:ascii="Cambria Math" w:hAnsi="Cambria Math" w:cs="Cambria Math"/>
          <w:i/>
          <w:iCs/>
        </w:rPr>
        <w:t>‑</w:t>
      </w:r>
      <w:r w:rsidRPr="004616FD">
        <w:rPr>
          <w:i/>
          <w:iCs/>
        </w:rPr>
        <w:t>year inflation expectations can move gold prices by 8</w:t>
      </w:r>
      <w:r w:rsidRPr="004616FD">
        <w:rPr>
          <w:rFonts w:ascii="Aptos" w:hAnsi="Aptos" w:cs="Aptos"/>
          <w:i/>
          <w:iCs/>
        </w:rPr>
        <w:t>–</w:t>
      </w:r>
      <w:r w:rsidRPr="004616FD">
        <w:rPr>
          <w:i/>
          <w:iCs/>
        </w:rPr>
        <w:t xml:space="preserve">12% annually. Over the long term, gold has outperformed inflation, with average annual price increases of around 8%, compared to </w:t>
      </w:r>
      <w:r w:rsidRPr="004616FD">
        <w:rPr>
          <w:i/>
          <w:iCs/>
        </w:rPr>
        <w:t xml:space="preserve">the </w:t>
      </w:r>
      <w:r w:rsidRPr="004616FD">
        <w:rPr>
          <w:i/>
          <w:iCs/>
        </w:rPr>
        <w:t>U.S. CPI’s 3.9%.</w:t>
      </w:r>
      <w:r w:rsidR="00DC2FFC" w:rsidRPr="004616FD">
        <w:rPr>
          <w:i/>
          <w:iCs/>
        </w:rPr>
        <w:t xml:space="preserve"> </w:t>
      </w:r>
      <w:r w:rsidRPr="004616FD">
        <w:rPr>
          <w:i/>
          <w:iCs/>
        </w:rPr>
        <w:t>Thus, while gold is not a perfect month</w:t>
      </w:r>
      <w:r w:rsidRPr="004616FD">
        <w:rPr>
          <w:rFonts w:ascii="Cambria Math" w:hAnsi="Cambria Math" w:cs="Cambria Math"/>
          <w:i/>
          <w:iCs/>
        </w:rPr>
        <w:t>‑</w:t>
      </w:r>
      <w:r w:rsidRPr="004616FD">
        <w:rPr>
          <w:i/>
          <w:iCs/>
        </w:rPr>
        <w:t>to</w:t>
      </w:r>
      <w:r w:rsidRPr="004616FD">
        <w:rPr>
          <w:rFonts w:ascii="Cambria Math" w:hAnsi="Cambria Math" w:cs="Cambria Math"/>
          <w:i/>
          <w:iCs/>
        </w:rPr>
        <w:t>‑</w:t>
      </w:r>
      <w:r w:rsidRPr="004616FD">
        <w:rPr>
          <w:i/>
          <w:iCs/>
        </w:rPr>
        <w:t>month inflation hedge, it remains a powerful long</w:t>
      </w:r>
      <w:r w:rsidRPr="004616FD">
        <w:rPr>
          <w:rFonts w:ascii="Cambria Math" w:hAnsi="Cambria Math" w:cs="Cambria Math"/>
          <w:i/>
          <w:iCs/>
        </w:rPr>
        <w:t>‑</w:t>
      </w:r>
      <w:r w:rsidRPr="004616FD">
        <w:rPr>
          <w:i/>
          <w:iCs/>
        </w:rPr>
        <w:t>term store of value and a defensive asset during inflationary shocks.</w:t>
      </w:r>
    </w:p>
    <w:p w14:paraId="07441E27" w14:textId="4BBA20C1" w:rsidR="00C36903" w:rsidRPr="004616FD" w:rsidRDefault="00C36903" w:rsidP="00874CEE">
      <w:pPr>
        <w:jc w:val="both"/>
        <w:rPr>
          <w:b/>
          <w:bCs/>
          <w:i/>
          <w:iCs/>
        </w:rPr>
      </w:pPr>
      <w:r w:rsidRPr="004616FD">
        <w:rPr>
          <w:b/>
          <w:bCs/>
          <w:i/>
          <w:iCs/>
        </w:rPr>
        <w:t>5. Silver’s Volatility: Blessing or Curse for Investors</w:t>
      </w:r>
    </w:p>
    <w:p w14:paraId="59D71FAC" w14:textId="04A2F3DC" w:rsidR="00C36903" w:rsidRPr="004616FD" w:rsidRDefault="00C36903" w:rsidP="00874CEE">
      <w:pPr>
        <w:jc w:val="both"/>
        <w:rPr>
          <w:i/>
          <w:iCs/>
        </w:rPr>
      </w:pPr>
      <w:r w:rsidRPr="004616FD">
        <w:rPr>
          <w:i/>
          <w:iCs/>
        </w:rPr>
        <w:t>Silver is historically more volatile than gold due to its smaller market size, dual industrial</w:t>
      </w:r>
      <w:r w:rsidRPr="004616FD">
        <w:rPr>
          <w:rFonts w:ascii="Cambria Math" w:hAnsi="Cambria Math" w:cs="Cambria Math"/>
          <w:i/>
          <w:iCs/>
        </w:rPr>
        <w:t>‑</w:t>
      </w:r>
      <w:r w:rsidRPr="004616FD">
        <w:rPr>
          <w:i/>
          <w:iCs/>
        </w:rPr>
        <w:t>investment identity, and sensitivity to speculative flows. Recent market events highlight this: silver experienced a dramatic flash crash from $121 to $64 per ounce, driven by margin hikes, speculative unwinding, and shifting risk sentiment.   UBS reports that silver saw daily price swings of 26% and intraday drops of nearly 38%—levels not seen in decades—making long</w:t>
      </w:r>
      <w:r w:rsidRPr="004616FD">
        <w:rPr>
          <w:rFonts w:ascii="Cambria Math" w:hAnsi="Cambria Math" w:cs="Cambria Math"/>
          <w:i/>
          <w:iCs/>
        </w:rPr>
        <w:t>‑</w:t>
      </w:r>
      <w:r w:rsidRPr="004616FD">
        <w:rPr>
          <w:i/>
          <w:iCs/>
        </w:rPr>
        <w:t>term positioning risky.   Silver’s volatility is amplified by its industrial dependence; economic slowdowns can depress demand, while technological booms (solar, EVs, electronics) can trigger sharp rallies. Despite this, silver’s long</w:t>
      </w:r>
      <w:r w:rsidRPr="004616FD">
        <w:rPr>
          <w:rFonts w:ascii="Cambria Math" w:hAnsi="Cambria Math" w:cs="Cambria Math"/>
          <w:i/>
          <w:iCs/>
        </w:rPr>
        <w:t>‑</w:t>
      </w:r>
      <w:r w:rsidRPr="004616FD">
        <w:rPr>
          <w:i/>
          <w:iCs/>
        </w:rPr>
        <w:t>term fundamentals remain strong. Supply constraints, rising industrial demand, and structural deficits support bullish long</w:t>
      </w:r>
      <w:r w:rsidRPr="004616FD">
        <w:rPr>
          <w:rFonts w:ascii="Cambria Math" w:hAnsi="Cambria Math" w:cs="Cambria Math"/>
          <w:i/>
          <w:iCs/>
        </w:rPr>
        <w:t>‑</w:t>
      </w:r>
      <w:r w:rsidRPr="004616FD">
        <w:rPr>
          <w:i/>
          <w:iCs/>
        </w:rPr>
        <w:t xml:space="preserve">term outlooks. Analysts note that corrections often represent </w:t>
      </w:r>
      <w:r w:rsidRPr="004616FD">
        <w:rPr>
          <w:rFonts w:ascii="Aptos" w:hAnsi="Aptos" w:cs="Aptos"/>
          <w:i/>
          <w:iCs/>
        </w:rPr>
        <w:t>“</w:t>
      </w:r>
      <w:r w:rsidRPr="004616FD">
        <w:rPr>
          <w:i/>
          <w:iCs/>
        </w:rPr>
        <w:t>healthy resets</w:t>
      </w:r>
      <w:r w:rsidRPr="004616FD">
        <w:rPr>
          <w:rFonts w:ascii="Aptos" w:hAnsi="Aptos" w:cs="Aptos"/>
          <w:i/>
          <w:iCs/>
        </w:rPr>
        <w:t>”</w:t>
      </w:r>
      <w:r w:rsidRPr="004616FD">
        <w:rPr>
          <w:i/>
          <w:iCs/>
        </w:rPr>
        <w:t xml:space="preserve"> rather than trend reversals.   For investors, silver’s volatility can be both an opportunity and a risk—ideal for tactical traders but requiring disciplined allocation for long</w:t>
      </w:r>
      <w:r w:rsidRPr="004616FD">
        <w:rPr>
          <w:rFonts w:ascii="Cambria Math" w:hAnsi="Cambria Math" w:cs="Cambria Math"/>
          <w:i/>
          <w:iCs/>
        </w:rPr>
        <w:t>‑</w:t>
      </w:r>
      <w:r w:rsidRPr="004616FD">
        <w:rPr>
          <w:i/>
          <w:iCs/>
        </w:rPr>
        <w:t>term portfolios.</w:t>
      </w:r>
    </w:p>
    <w:p w14:paraId="3AC24295" w14:textId="77777777" w:rsidR="00C36903" w:rsidRPr="004616FD" w:rsidRDefault="00C36903" w:rsidP="00874CEE">
      <w:pPr>
        <w:jc w:val="both"/>
        <w:rPr>
          <w:b/>
          <w:bCs/>
          <w:i/>
          <w:iCs/>
        </w:rPr>
      </w:pPr>
      <w:r w:rsidRPr="004616FD">
        <w:rPr>
          <w:b/>
          <w:bCs/>
          <w:i/>
          <w:iCs/>
        </w:rPr>
        <w:t>6. Gold in Times of War: A Historical Safety Net</w:t>
      </w:r>
    </w:p>
    <w:p w14:paraId="3B33AC0E" w14:textId="62ACDD1D" w:rsidR="00C36903" w:rsidRPr="004616FD" w:rsidRDefault="00C36903" w:rsidP="00874CEE">
      <w:pPr>
        <w:jc w:val="both"/>
        <w:rPr>
          <w:i/>
          <w:iCs/>
        </w:rPr>
      </w:pPr>
      <w:r w:rsidRPr="004616FD">
        <w:rPr>
          <w:i/>
          <w:iCs/>
        </w:rPr>
        <w:t>Gold has consistently served as a safe</w:t>
      </w:r>
      <w:r w:rsidRPr="004616FD">
        <w:rPr>
          <w:rFonts w:ascii="Cambria Math" w:hAnsi="Cambria Math" w:cs="Cambria Math"/>
          <w:i/>
          <w:iCs/>
        </w:rPr>
        <w:t>‑</w:t>
      </w:r>
      <w:r w:rsidRPr="004616FD">
        <w:rPr>
          <w:i/>
          <w:iCs/>
        </w:rPr>
        <w:t xml:space="preserve">haven asset during wars and geopolitical crises. During World </w:t>
      </w:r>
      <w:r w:rsidR="00DC2FFC" w:rsidRPr="004616FD">
        <w:rPr>
          <w:i/>
          <w:iCs/>
        </w:rPr>
        <w:t>Wars</w:t>
      </w:r>
      <w:r w:rsidRPr="004616FD">
        <w:rPr>
          <w:i/>
          <w:iCs/>
        </w:rPr>
        <w:t xml:space="preserve"> I and II, although prices were fixed, gold played a crucial role in international settlements and liquidity, helping nations finance war efforts. Once gold prices were liberalized post</w:t>
      </w:r>
      <w:r w:rsidRPr="004616FD">
        <w:rPr>
          <w:rFonts w:ascii="Cambria Math" w:hAnsi="Cambria Math" w:cs="Cambria Math"/>
          <w:i/>
          <w:iCs/>
        </w:rPr>
        <w:t>‑</w:t>
      </w:r>
      <w:r w:rsidRPr="004616FD">
        <w:rPr>
          <w:i/>
          <w:iCs/>
        </w:rPr>
        <w:t>1971, conflicts such as the Vietnam War, Soviet</w:t>
      </w:r>
      <w:r w:rsidRPr="004616FD">
        <w:rPr>
          <w:rFonts w:ascii="Cambria Math" w:hAnsi="Cambria Math" w:cs="Cambria Math"/>
          <w:i/>
          <w:iCs/>
        </w:rPr>
        <w:t>‑</w:t>
      </w:r>
      <w:r w:rsidRPr="004616FD">
        <w:rPr>
          <w:i/>
          <w:iCs/>
        </w:rPr>
        <w:t>Afghanistan War, and post</w:t>
      </w:r>
      <w:r w:rsidRPr="004616FD">
        <w:rPr>
          <w:rFonts w:ascii="Cambria Math" w:hAnsi="Cambria Math" w:cs="Cambria Math"/>
          <w:i/>
          <w:iCs/>
        </w:rPr>
        <w:t>‑</w:t>
      </w:r>
      <w:r w:rsidRPr="004616FD">
        <w:rPr>
          <w:i/>
          <w:iCs/>
        </w:rPr>
        <w:t xml:space="preserve">9/11 era saw significant gold price appreciation. For example, gold rose from $35 to $180 during the Vietnam War and exceeded $800 during the Afghanistan </w:t>
      </w:r>
      <w:r w:rsidR="00DC2FFC" w:rsidRPr="004616FD">
        <w:rPr>
          <w:i/>
          <w:iCs/>
        </w:rPr>
        <w:t>conflict. War</w:t>
      </w:r>
      <w:r w:rsidRPr="004616FD">
        <w:rPr>
          <w:i/>
          <w:iCs/>
        </w:rPr>
        <w:t xml:space="preserve"> cycles introduce uncertainty, inflationary pressures, and currency instability—conditions that historically drive investors toward gold. Analysts note that gold’s psychological appeal strengthens during conflict, as it represents a tangible store of value immune to political risk. Modern conflicts, including the Russia</w:t>
      </w:r>
      <w:r w:rsidRPr="004616FD">
        <w:rPr>
          <w:rFonts w:ascii="Cambria Math" w:hAnsi="Cambria Math" w:cs="Cambria Math"/>
          <w:i/>
          <w:iCs/>
        </w:rPr>
        <w:t>‑</w:t>
      </w:r>
      <w:r w:rsidRPr="004616FD">
        <w:rPr>
          <w:i/>
          <w:iCs/>
        </w:rPr>
        <w:t>Ukraine war, have similarly contributed to gold reaching new highs, reinforcing its role as a crisis hedge.</w:t>
      </w:r>
    </w:p>
    <w:p w14:paraId="512EF37B" w14:textId="77777777" w:rsidR="00C36903" w:rsidRPr="004616FD" w:rsidRDefault="00C36903" w:rsidP="00874CEE">
      <w:pPr>
        <w:jc w:val="both"/>
        <w:rPr>
          <w:b/>
          <w:bCs/>
          <w:i/>
          <w:iCs/>
        </w:rPr>
      </w:pPr>
      <w:r w:rsidRPr="004616FD">
        <w:rPr>
          <w:b/>
          <w:bCs/>
          <w:i/>
          <w:iCs/>
        </w:rPr>
        <w:t>7. Digital Gold vs. Physical Gold: Bitcoin Enters the Debate</w:t>
      </w:r>
    </w:p>
    <w:p w14:paraId="2C8EC390" w14:textId="342B4C27" w:rsidR="00C36903" w:rsidRPr="004616FD" w:rsidRDefault="00C36903" w:rsidP="00874CEE">
      <w:pPr>
        <w:jc w:val="both"/>
        <w:rPr>
          <w:i/>
          <w:iCs/>
        </w:rPr>
      </w:pPr>
      <w:r w:rsidRPr="004616FD">
        <w:rPr>
          <w:i/>
          <w:iCs/>
        </w:rPr>
        <w:t>Bitcoin is often compared to gold due to its capped supply and decentralized nature, earning the nickname “digital gold.” However, the two assets differ fundamentally. Gold is a physical commodity with a 5,000</w:t>
      </w:r>
      <w:r w:rsidRPr="004616FD">
        <w:rPr>
          <w:rFonts w:ascii="Cambria Math" w:hAnsi="Cambria Math" w:cs="Cambria Math"/>
          <w:i/>
          <w:iCs/>
        </w:rPr>
        <w:t>‑</w:t>
      </w:r>
      <w:r w:rsidRPr="004616FD">
        <w:rPr>
          <w:i/>
          <w:iCs/>
        </w:rPr>
        <w:t>year history, low volatility, and central</w:t>
      </w:r>
      <w:r w:rsidRPr="004616FD">
        <w:rPr>
          <w:rFonts w:ascii="Cambria Math" w:hAnsi="Cambria Math" w:cs="Cambria Math"/>
          <w:i/>
          <w:iCs/>
        </w:rPr>
        <w:t>‑</w:t>
      </w:r>
      <w:r w:rsidRPr="004616FD">
        <w:rPr>
          <w:i/>
          <w:iCs/>
        </w:rPr>
        <w:t>bank backing. Bitcoin is a 15</w:t>
      </w:r>
      <w:r w:rsidRPr="004616FD">
        <w:rPr>
          <w:rFonts w:ascii="Cambria Math" w:hAnsi="Cambria Math" w:cs="Cambria Math"/>
          <w:i/>
          <w:iCs/>
        </w:rPr>
        <w:t>‑</w:t>
      </w:r>
      <w:r w:rsidRPr="004616FD">
        <w:rPr>
          <w:i/>
          <w:iCs/>
        </w:rPr>
        <w:t>year</w:t>
      </w:r>
      <w:r w:rsidRPr="004616FD">
        <w:rPr>
          <w:rFonts w:ascii="Cambria Math" w:hAnsi="Cambria Math" w:cs="Cambria Math"/>
          <w:i/>
          <w:iCs/>
        </w:rPr>
        <w:t>‑</w:t>
      </w:r>
      <w:r w:rsidRPr="004616FD">
        <w:rPr>
          <w:i/>
          <w:iCs/>
        </w:rPr>
        <w:t>old digital asset with high volatility and technological dependence.  Bitcoin offers superior portability and borderless transferability, while gold offers stability and resilience in grid</w:t>
      </w:r>
      <w:r w:rsidRPr="004616FD">
        <w:rPr>
          <w:rFonts w:ascii="Cambria Math" w:hAnsi="Cambria Math" w:cs="Cambria Math"/>
          <w:i/>
          <w:iCs/>
        </w:rPr>
        <w:t>‑</w:t>
      </w:r>
      <w:r w:rsidRPr="004616FD">
        <w:rPr>
          <w:i/>
          <w:iCs/>
        </w:rPr>
        <w:t xml:space="preserve">down or crisis scenarios. Correlation studies show that Bitcoin and gold often move independently, with a recent correlation of –0.45, indicating divergent investor </w:t>
      </w:r>
      <w:r w:rsidR="0047193A" w:rsidRPr="004616FD">
        <w:rPr>
          <w:i/>
          <w:iCs/>
        </w:rPr>
        <w:t>behaviour</w:t>
      </w:r>
      <w:r w:rsidRPr="004616FD">
        <w:rPr>
          <w:i/>
          <w:iCs/>
        </w:rPr>
        <w:t>. During crises, gold tends to hold value, while Bitcoin behaves more like a high</w:t>
      </w:r>
      <w:r w:rsidRPr="004616FD">
        <w:rPr>
          <w:rFonts w:ascii="Cambria Math" w:hAnsi="Cambria Math" w:cs="Cambria Math"/>
          <w:i/>
          <w:iCs/>
        </w:rPr>
        <w:t>‑</w:t>
      </w:r>
      <w:r w:rsidRPr="004616FD">
        <w:rPr>
          <w:i/>
          <w:iCs/>
        </w:rPr>
        <w:t>beta risk asset. Investors increasingly hold both: gold for preservation, Bitcoin for growth potential. The debate reflects a broader shift toward diversified hedging strategies in an evolving monetary landscape.</w:t>
      </w:r>
    </w:p>
    <w:p w14:paraId="649BC3E3" w14:textId="77777777" w:rsidR="00C36903" w:rsidRPr="004616FD" w:rsidRDefault="00C36903" w:rsidP="00874CEE">
      <w:pPr>
        <w:jc w:val="both"/>
        <w:rPr>
          <w:b/>
          <w:bCs/>
          <w:i/>
          <w:iCs/>
        </w:rPr>
      </w:pPr>
      <w:r w:rsidRPr="004616FD">
        <w:rPr>
          <w:b/>
          <w:bCs/>
          <w:i/>
          <w:iCs/>
        </w:rPr>
        <w:t>8. Industrial Silver: From Photography to Photovoltaics</w:t>
      </w:r>
    </w:p>
    <w:p w14:paraId="09F58C42" w14:textId="7F9E42F3" w:rsidR="00C36903" w:rsidRPr="004616FD" w:rsidRDefault="00C36903" w:rsidP="00874CEE">
      <w:pPr>
        <w:jc w:val="both"/>
        <w:rPr>
          <w:i/>
          <w:iCs/>
        </w:rPr>
      </w:pPr>
      <w:r w:rsidRPr="004616FD">
        <w:rPr>
          <w:i/>
          <w:iCs/>
        </w:rPr>
        <w:t>Silver’s industrial evolution is remarkable. Once dominated by photography—which consumed 25% of global silver demand in 1999—its usage has shifted dramatically toward electronics, solar energy, EVs, and medical applications.</w:t>
      </w:r>
      <w:r w:rsidR="00CF5538" w:rsidRPr="004616FD">
        <w:rPr>
          <w:i/>
          <w:iCs/>
        </w:rPr>
        <w:t xml:space="preserve"> </w:t>
      </w:r>
      <w:r w:rsidRPr="004616FD">
        <w:rPr>
          <w:i/>
          <w:iCs/>
        </w:rPr>
        <w:t>By 2024, industrial applications consumed 680 million ounces, representing 59% of total demand.   Electronics alone used 445 million ounces in 2023, making it the largest industrial segment.</w:t>
      </w:r>
      <w:r w:rsidR="00CF5538" w:rsidRPr="004616FD">
        <w:rPr>
          <w:i/>
          <w:iCs/>
        </w:rPr>
        <w:t xml:space="preserve"> </w:t>
      </w:r>
      <w:r w:rsidRPr="004616FD">
        <w:rPr>
          <w:i/>
          <w:iCs/>
        </w:rPr>
        <w:t>Silver’s unmatched conductivity makes it essential for circuit boards, semiconductors, sensors, and data</w:t>
      </w:r>
      <w:r w:rsidRPr="004616FD">
        <w:rPr>
          <w:rFonts w:ascii="Cambria Math" w:hAnsi="Cambria Math" w:cs="Cambria Math"/>
          <w:i/>
          <w:iCs/>
        </w:rPr>
        <w:t>‑</w:t>
      </w:r>
      <w:r w:rsidR="005B30FB" w:rsidRPr="004616FD">
        <w:rPr>
          <w:i/>
          <w:iCs/>
        </w:rPr>
        <w:t>centre</w:t>
      </w:r>
      <w:r w:rsidRPr="004616FD">
        <w:rPr>
          <w:i/>
          <w:iCs/>
        </w:rPr>
        <w:t xml:space="preserve"> infrastructure. Solar PV demand has grown at a compound annual rate of 12% over the past decade, with each panel requiring ~20 grams of silver. Medical applications—from antimicrobial coatings to surgical tools—further diversify demand. This shift underscores silver’s transformation into a strategic industrial metal central to global technological progress.</w:t>
      </w:r>
    </w:p>
    <w:p w14:paraId="1914F386" w14:textId="77777777" w:rsidR="00C36903" w:rsidRPr="004616FD" w:rsidRDefault="00C36903" w:rsidP="00874CEE">
      <w:pPr>
        <w:jc w:val="both"/>
        <w:rPr>
          <w:b/>
          <w:bCs/>
          <w:i/>
          <w:iCs/>
        </w:rPr>
      </w:pPr>
      <w:r w:rsidRPr="004616FD">
        <w:rPr>
          <w:b/>
          <w:bCs/>
          <w:i/>
          <w:iCs/>
        </w:rPr>
        <w:t>9. The Future of Precious Metals in a De</w:t>
      </w:r>
      <w:r w:rsidRPr="004616FD">
        <w:rPr>
          <w:rFonts w:ascii="Cambria Math" w:hAnsi="Cambria Math" w:cs="Cambria Math"/>
          <w:b/>
          <w:bCs/>
          <w:i/>
          <w:iCs/>
        </w:rPr>
        <w:t>‑</w:t>
      </w:r>
      <w:r w:rsidRPr="004616FD">
        <w:rPr>
          <w:b/>
          <w:bCs/>
          <w:i/>
          <w:iCs/>
        </w:rPr>
        <w:t>Dollarizing World</w:t>
      </w:r>
    </w:p>
    <w:p w14:paraId="4A235C17" w14:textId="4204B6F6" w:rsidR="00C36903" w:rsidRPr="004616FD" w:rsidRDefault="00C36903" w:rsidP="00874CEE">
      <w:pPr>
        <w:jc w:val="both"/>
        <w:rPr>
          <w:i/>
          <w:iCs/>
        </w:rPr>
      </w:pPr>
      <w:r w:rsidRPr="004616FD">
        <w:rPr>
          <w:i/>
          <w:iCs/>
        </w:rPr>
        <w:t>De</w:t>
      </w:r>
      <w:r w:rsidRPr="004616FD">
        <w:rPr>
          <w:rFonts w:ascii="Cambria Math" w:hAnsi="Cambria Math" w:cs="Cambria Math"/>
          <w:i/>
          <w:iCs/>
        </w:rPr>
        <w:t>‑</w:t>
      </w:r>
      <w:r w:rsidRPr="004616FD">
        <w:rPr>
          <w:i/>
          <w:iCs/>
        </w:rPr>
        <w:t>dollarization is accelerating as nations diversify away from the U.S. dollar due to geopolitical tensions, sanctions risk, and rising U.S. debt. The dollar</w:t>
      </w:r>
      <w:r w:rsidRPr="004616FD">
        <w:rPr>
          <w:rFonts w:ascii="Aptos" w:hAnsi="Aptos" w:cs="Aptos"/>
          <w:i/>
          <w:iCs/>
        </w:rPr>
        <w:t>’</w:t>
      </w:r>
      <w:r w:rsidRPr="004616FD">
        <w:rPr>
          <w:i/>
          <w:iCs/>
        </w:rPr>
        <w:t xml:space="preserve">s share of global reserves has fallen from 71% in 2000 to 58.4% in 2025. Central banks are responding by increasing gold reserves, with purchases exceeding 1,000 tonnes annually since 2022.   </w:t>
      </w:r>
    </w:p>
    <w:p w14:paraId="0656BCE5" w14:textId="6147843A" w:rsidR="00C36903" w:rsidRPr="004616FD" w:rsidRDefault="00C36903" w:rsidP="00874CEE">
      <w:pPr>
        <w:jc w:val="both"/>
        <w:rPr>
          <w:i/>
          <w:iCs/>
        </w:rPr>
      </w:pPr>
      <w:r w:rsidRPr="004616FD">
        <w:rPr>
          <w:i/>
          <w:iCs/>
        </w:rPr>
        <w:t>BRICS nations are leading the shift, developing alternative payment systems and settling trade in local currencies.  Gold’s neutrality and immunity to political weaponization make it the preferred reserve asset in this transition. Silver also benefits indirectly, as investors seek hard assets amid currency debasement concerns.</w:t>
      </w:r>
      <w:r w:rsidR="00980489" w:rsidRPr="004616FD">
        <w:rPr>
          <w:i/>
          <w:iCs/>
        </w:rPr>
        <w:t xml:space="preserve"> </w:t>
      </w:r>
      <w:r w:rsidRPr="004616FD">
        <w:rPr>
          <w:i/>
          <w:iCs/>
        </w:rPr>
        <w:t>As global monetary power decentralizes, precious metals are poised to play a larger role in reserve portfolios and international settlements.</w:t>
      </w:r>
    </w:p>
    <w:p w14:paraId="447E66EA" w14:textId="77777777" w:rsidR="00C36903" w:rsidRPr="004616FD" w:rsidRDefault="00C36903" w:rsidP="00874CEE">
      <w:pPr>
        <w:jc w:val="both"/>
        <w:rPr>
          <w:b/>
          <w:bCs/>
          <w:i/>
          <w:iCs/>
        </w:rPr>
      </w:pPr>
      <w:r w:rsidRPr="004616FD">
        <w:rPr>
          <w:b/>
          <w:bCs/>
          <w:i/>
          <w:iCs/>
        </w:rPr>
        <w:t>10. Gold and Silver ETFs: Democratizing Access to Precious Metals</w:t>
      </w:r>
    </w:p>
    <w:p w14:paraId="34329E31" w14:textId="6702824A" w:rsidR="00666A0B" w:rsidRPr="004616FD" w:rsidRDefault="00C36903" w:rsidP="00874CEE">
      <w:pPr>
        <w:jc w:val="both"/>
        <w:rPr>
          <w:i/>
          <w:iCs/>
        </w:rPr>
      </w:pPr>
      <w:r w:rsidRPr="004616FD">
        <w:rPr>
          <w:i/>
          <w:iCs/>
        </w:rPr>
        <w:t>Gold and silver ETFs have revolutionized retail access to precious metals, offering liquidity, transparency, and low entry barriers. However, ETFs can amplify volatility, especially in silver.</w:t>
      </w:r>
      <w:r w:rsidR="00980489" w:rsidRPr="004616FD">
        <w:rPr>
          <w:i/>
          <w:iCs/>
        </w:rPr>
        <w:t xml:space="preserve"> </w:t>
      </w:r>
      <w:r w:rsidRPr="004616FD">
        <w:rPr>
          <w:i/>
          <w:iCs/>
        </w:rPr>
        <w:t>Silver ETFs recently crashed 38% in a week due to margin hikes, profit</w:t>
      </w:r>
      <w:r w:rsidRPr="004616FD">
        <w:rPr>
          <w:rFonts w:ascii="Cambria Math" w:hAnsi="Cambria Math" w:cs="Cambria Math"/>
          <w:i/>
          <w:iCs/>
        </w:rPr>
        <w:t>‑</w:t>
      </w:r>
      <w:r w:rsidRPr="004616FD">
        <w:rPr>
          <w:i/>
          <w:iCs/>
        </w:rPr>
        <w:t>booking, and macro pressures.</w:t>
      </w:r>
      <w:r w:rsidR="00980489" w:rsidRPr="004616FD">
        <w:rPr>
          <w:i/>
          <w:iCs/>
        </w:rPr>
        <w:t xml:space="preserve"> </w:t>
      </w:r>
      <w:r w:rsidRPr="004616FD">
        <w:rPr>
          <w:i/>
          <w:iCs/>
        </w:rPr>
        <w:t>Fund</w:t>
      </w:r>
      <w:r w:rsidRPr="004616FD">
        <w:rPr>
          <w:rFonts w:ascii="Cambria Math" w:hAnsi="Cambria Math" w:cs="Cambria Math"/>
          <w:i/>
          <w:iCs/>
        </w:rPr>
        <w:t>‑</w:t>
      </w:r>
      <w:r w:rsidRPr="004616FD">
        <w:rPr>
          <w:i/>
          <w:iCs/>
        </w:rPr>
        <w:t>of</w:t>
      </w:r>
      <w:r w:rsidRPr="004616FD">
        <w:rPr>
          <w:rFonts w:ascii="Cambria Math" w:hAnsi="Cambria Math" w:cs="Cambria Math"/>
          <w:i/>
          <w:iCs/>
        </w:rPr>
        <w:t>‑</w:t>
      </w:r>
      <w:r w:rsidRPr="004616FD">
        <w:rPr>
          <w:i/>
          <w:iCs/>
        </w:rPr>
        <w:t>Funds (</w:t>
      </w:r>
      <w:r w:rsidR="005B30FB" w:rsidRPr="004616FD">
        <w:rPr>
          <w:i/>
          <w:iCs/>
        </w:rPr>
        <w:t>Off’s</w:t>
      </w:r>
      <w:r w:rsidRPr="004616FD">
        <w:rPr>
          <w:i/>
          <w:iCs/>
        </w:rPr>
        <w:t xml:space="preserve">) based on ETFs often show return divergence due to timing mismatches, premiums/discounts, and liquidity issues. Gold </w:t>
      </w:r>
      <w:r w:rsidR="005B30FB" w:rsidRPr="004616FD">
        <w:rPr>
          <w:i/>
          <w:iCs/>
        </w:rPr>
        <w:t>Off’s</w:t>
      </w:r>
      <w:r w:rsidRPr="004616FD">
        <w:rPr>
          <w:i/>
          <w:iCs/>
        </w:rPr>
        <w:t xml:space="preserve"> delivered 72</w:t>
      </w:r>
      <w:r w:rsidRPr="004616FD">
        <w:rPr>
          <w:rFonts w:ascii="Aptos" w:hAnsi="Aptos" w:cs="Aptos"/>
          <w:i/>
          <w:iCs/>
        </w:rPr>
        <w:t>–</w:t>
      </w:r>
      <w:r w:rsidRPr="004616FD">
        <w:rPr>
          <w:i/>
          <w:iCs/>
        </w:rPr>
        <w:t>78% returns versus 77.5% for gold prices, while silver FoFs showed even wider gaps.</w:t>
      </w:r>
      <w:r w:rsidR="00980489" w:rsidRPr="004616FD">
        <w:rPr>
          <w:i/>
          <w:iCs/>
        </w:rPr>
        <w:t xml:space="preserve">  </w:t>
      </w:r>
      <w:r w:rsidRPr="004616FD">
        <w:rPr>
          <w:i/>
          <w:iCs/>
        </w:rPr>
        <w:t>Despite these challenges, ETFs remain powerful tools for diversification. They democratize access to metals once limited to institutional or physical buyers.</w:t>
      </w:r>
      <w:r w:rsidR="00CF67A3" w:rsidRPr="004616FD">
        <w:rPr>
          <w:i/>
          <w:iCs/>
        </w:rPr>
        <w:t xml:space="preserve"> </w:t>
      </w:r>
      <w:r w:rsidRPr="004616FD">
        <w:rPr>
          <w:i/>
          <w:iCs/>
        </w:rPr>
        <w:t>For long</w:t>
      </w:r>
      <w:r w:rsidRPr="004616FD">
        <w:rPr>
          <w:rFonts w:ascii="Cambria Math" w:hAnsi="Cambria Math" w:cs="Cambria Math"/>
          <w:i/>
          <w:iCs/>
        </w:rPr>
        <w:t>‑</w:t>
      </w:r>
      <w:r w:rsidRPr="004616FD">
        <w:rPr>
          <w:i/>
          <w:iCs/>
        </w:rPr>
        <w:t>term investors, disciplined allocation and awareness of tracking errors are essential</w:t>
      </w:r>
      <w:r w:rsidR="00CF67A3" w:rsidRPr="004616FD">
        <w:rPr>
          <w:i/>
          <w:iCs/>
        </w:rPr>
        <w:t>.</w:t>
      </w:r>
    </w:p>
    <w:p w14:paraId="754EC910" w14:textId="77777777" w:rsidR="00CF67A3" w:rsidRPr="004616FD" w:rsidRDefault="00CF67A3" w:rsidP="00874CEE">
      <w:pPr>
        <w:jc w:val="both"/>
        <w:rPr>
          <w:i/>
          <w:iCs/>
        </w:rPr>
      </w:pPr>
    </w:p>
    <w:p w14:paraId="0F41082F" w14:textId="236CD43E" w:rsidR="00DF40CF" w:rsidRPr="004616FD" w:rsidRDefault="00DF40CF" w:rsidP="00874CEE">
      <w:pPr>
        <w:jc w:val="both"/>
        <w:rPr>
          <w:b/>
          <w:bCs/>
          <w:i/>
          <w:iCs/>
        </w:rPr>
      </w:pPr>
      <w:r w:rsidRPr="004616FD">
        <w:rPr>
          <w:b/>
          <w:bCs/>
          <w:i/>
          <w:iCs/>
        </w:rPr>
        <w:t xml:space="preserve">11. Money Value Comparison: How Gold’s Rise Reshapes Currency Strength Worldwide </w:t>
      </w:r>
    </w:p>
    <w:p w14:paraId="52B5F533" w14:textId="7D978C9B" w:rsidR="00DF40CF" w:rsidRPr="004616FD" w:rsidRDefault="00DF40CF" w:rsidP="00874CEE">
      <w:pPr>
        <w:jc w:val="both"/>
        <w:rPr>
          <w:i/>
          <w:iCs/>
        </w:rPr>
      </w:pPr>
      <w:r w:rsidRPr="004616FD">
        <w:rPr>
          <w:i/>
          <w:iCs/>
        </w:rPr>
        <w:t xml:space="preserve">The rise in gold prices has long served as a mirror reflecting the weakening or strengthening of global currencies. When gold appreciates sharply, it often signals declining confidence in fiat money, rising inflation expectations, or geopolitical instability. Historically, currencies with high fiscal discipline—such as the Swiss franc—tend to depreciate less against gold, while those with persistent deficits or high inflation, like several Latin American currencies, lose value more rapidly. For example, between 2000 and 2025, </w:t>
      </w:r>
      <w:r w:rsidR="00CC2FE0" w:rsidRPr="004616FD">
        <w:rPr>
          <w:i/>
          <w:iCs/>
        </w:rPr>
        <w:t xml:space="preserve">the price of gold rose by </w:t>
      </w:r>
      <w:r w:rsidRPr="004616FD">
        <w:rPr>
          <w:i/>
          <w:iCs/>
        </w:rPr>
        <w:t>over 600%, while the U.S. dollar lost nearly 40% of its purchasing power due to cumulative inflation.</w:t>
      </w:r>
      <w:r w:rsidR="00CC2FE0" w:rsidRPr="004616FD">
        <w:rPr>
          <w:i/>
          <w:iCs/>
        </w:rPr>
        <w:t xml:space="preserve"> </w:t>
      </w:r>
      <w:r w:rsidRPr="004616FD">
        <w:rPr>
          <w:i/>
          <w:iCs/>
        </w:rPr>
        <w:t xml:space="preserve">In emerging markets, the effect is even more pronounced. The Turkish lira, Argentine peso, and Nigerian naira saw gold prices rise more than 1,000% in local terms over the past decade, reflecting currency erosion.  </w:t>
      </w:r>
    </w:p>
    <w:p w14:paraId="298C79C0" w14:textId="77777777" w:rsidR="00DF40CF" w:rsidRPr="004616FD" w:rsidRDefault="00DF40CF" w:rsidP="00874CEE">
      <w:pPr>
        <w:jc w:val="both"/>
        <w:rPr>
          <w:b/>
          <w:bCs/>
          <w:i/>
          <w:iCs/>
        </w:rPr>
      </w:pPr>
      <w:r w:rsidRPr="004616FD">
        <w:rPr>
          <w:b/>
          <w:bCs/>
          <w:i/>
          <w:iCs/>
        </w:rPr>
        <w:t>Gold’s rise also influences global reserve strategies: central banks diversify into gold when they anticipate long</w:t>
      </w:r>
      <w:r w:rsidRPr="004616FD">
        <w:rPr>
          <w:rFonts w:ascii="Cambria Math" w:hAnsi="Cambria Math" w:cs="Cambria Math"/>
          <w:b/>
          <w:bCs/>
          <w:i/>
          <w:iCs/>
        </w:rPr>
        <w:t>‑</w:t>
      </w:r>
      <w:r w:rsidRPr="004616FD">
        <w:rPr>
          <w:b/>
          <w:bCs/>
          <w:i/>
          <w:iCs/>
        </w:rPr>
        <w:t xml:space="preserve">term currency depreciation.  </w:t>
      </w:r>
    </w:p>
    <w:p w14:paraId="0D277486" w14:textId="77777777" w:rsidR="00DF40CF" w:rsidRPr="004616FD" w:rsidRDefault="00DF40CF" w:rsidP="00874CEE">
      <w:pPr>
        <w:jc w:val="both"/>
        <w:rPr>
          <w:b/>
          <w:bCs/>
          <w:i/>
          <w:iCs/>
        </w:rPr>
      </w:pPr>
      <w:r w:rsidRPr="004616FD">
        <w:rPr>
          <w:b/>
          <w:bCs/>
          <w:i/>
          <w:iCs/>
        </w:rPr>
        <w:t xml:space="preserve">Indian Perspective:  </w:t>
      </w:r>
    </w:p>
    <w:p w14:paraId="3DADEDE1" w14:textId="77777777" w:rsidR="00DF40CF" w:rsidRPr="004616FD" w:rsidRDefault="00DF40CF" w:rsidP="00874CEE">
      <w:pPr>
        <w:jc w:val="both"/>
        <w:rPr>
          <w:i/>
          <w:iCs/>
        </w:rPr>
      </w:pPr>
      <w:r w:rsidRPr="004616FD">
        <w:rPr>
          <w:i/>
          <w:iCs/>
        </w:rPr>
        <w:t>For India, gold’s rise directly affects household wealth, as Indian families hold over 25,000 tonnes of gold—one of the world’s largest private reserves. When gold rises, Indian household balance sheets strengthen, acting as a natural hedge against rupee depreciation and inflation.</w:t>
      </w:r>
    </w:p>
    <w:p w14:paraId="66C98CD7" w14:textId="52970B4E" w:rsidR="00DF40CF" w:rsidRPr="004616FD" w:rsidRDefault="00DF40CF" w:rsidP="00874CEE">
      <w:pPr>
        <w:jc w:val="both"/>
        <w:rPr>
          <w:i/>
          <w:iCs/>
        </w:rPr>
      </w:pPr>
      <w:r w:rsidRPr="004616FD">
        <w:rPr>
          <w:b/>
          <w:bCs/>
          <w:i/>
          <w:iCs/>
        </w:rPr>
        <w:t>12. Gold and Silver in Asia, Europe, and the United States: A Comparative Global Landscap</w:t>
      </w:r>
      <w:r w:rsidR="00CC2FE0" w:rsidRPr="004616FD">
        <w:rPr>
          <w:b/>
          <w:bCs/>
          <w:i/>
          <w:iCs/>
        </w:rPr>
        <w:t>e</w:t>
      </w:r>
    </w:p>
    <w:p w14:paraId="4F7D6DEB" w14:textId="7B7F740F" w:rsidR="00DF40CF" w:rsidRPr="004616FD" w:rsidRDefault="00DF40CF" w:rsidP="00874CEE">
      <w:pPr>
        <w:jc w:val="both"/>
        <w:rPr>
          <w:i/>
          <w:iCs/>
        </w:rPr>
      </w:pPr>
      <w:r w:rsidRPr="004616FD">
        <w:rPr>
          <w:i/>
          <w:iCs/>
        </w:rPr>
        <w:t>Asia remains the world’s largest consumer of gold and silver, driven by cultural traditions, investment demand, and industrial usage. China and India together account for nearly 50% of global gold consumption. China is also the world’s largest silver industrial consumer, especially in electronics and solar manufacturing.  Europe, by contrast, treats gold primarily as a financial asset. Switzerland is a global refining hub, while Germany leads in retail gold investment through bars and coins. European central banks, especially in Eastern Europe, have increased gold reserves to reduce reliance on the U.S. dollar. The United States approaches precious metals differently: gold is viewed as a hedge against market volatility, while silver demand is driven by high</w:t>
      </w:r>
      <w:r w:rsidRPr="004616FD">
        <w:rPr>
          <w:rFonts w:ascii="Cambria Math" w:hAnsi="Cambria Math" w:cs="Cambria Math"/>
          <w:i/>
          <w:iCs/>
        </w:rPr>
        <w:t>‑</w:t>
      </w:r>
      <w:r w:rsidRPr="004616FD">
        <w:rPr>
          <w:i/>
          <w:iCs/>
        </w:rPr>
        <w:t>tech industries. The U.S. Mint</w:t>
      </w:r>
      <w:r w:rsidRPr="004616FD">
        <w:rPr>
          <w:rFonts w:ascii="Aptos" w:hAnsi="Aptos" w:cs="Aptos"/>
          <w:i/>
          <w:iCs/>
        </w:rPr>
        <w:t>’</w:t>
      </w:r>
      <w:r w:rsidRPr="004616FD">
        <w:rPr>
          <w:i/>
          <w:iCs/>
        </w:rPr>
        <w:t>s American Eagle coins remain globally influential, and U.S. ETFs hold some of the world</w:t>
      </w:r>
      <w:r w:rsidRPr="004616FD">
        <w:rPr>
          <w:rFonts w:ascii="Aptos" w:hAnsi="Aptos" w:cs="Aptos"/>
          <w:i/>
          <w:iCs/>
        </w:rPr>
        <w:t>’</w:t>
      </w:r>
      <w:r w:rsidRPr="004616FD">
        <w:rPr>
          <w:i/>
          <w:iCs/>
        </w:rPr>
        <w:t xml:space="preserve">s largest gold and silver inventories.  </w:t>
      </w:r>
    </w:p>
    <w:p w14:paraId="19EEAEEF" w14:textId="77777777" w:rsidR="00DF40CF" w:rsidRPr="004616FD" w:rsidRDefault="00DF40CF" w:rsidP="00874CEE">
      <w:pPr>
        <w:jc w:val="both"/>
        <w:rPr>
          <w:b/>
          <w:bCs/>
          <w:i/>
          <w:iCs/>
        </w:rPr>
      </w:pPr>
      <w:r w:rsidRPr="004616FD">
        <w:rPr>
          <w:b/>
          <w:bCs/>
          <w:i/>
          <w:iCs/>
        </w:rPr>
        <w:t xml:space="preserve">Indian Perspective:  </w:t>
      </w:r>
    </w:p>
    <w:p w14:paraId="075D5B49" w14:textId="5A86C57F" w:rsidR="003208A1" w:rsidRPr="004616FD" w:rsidRDefault="00DF40CF" w:rsidP="00874CEE">
      <w:pPr>
        <w:jc w:val="both"/>
        <w:rPr>
          <w:i/>
          <w:iCs/>
        </w:rPr>
      </w:pPr>
      <w:r w:rsidRPr="004616FD">
        <w:rPr>
          <w:i/>
          <w:iCs/>
        </w:rPr>
        <w:t>India blends cultural, industrial, and investment demand. Gold is integral to weddings, festivals, and savings, while silver demand is rising due to solar</w:t>
      </w:r>
      <w:r w:rsidRPr="004616FD">
        <w:rPr>
          <w:rFonts w:ascii="Cambria Math" w:hAnsi="Cambria Math" w:cs="Cambria Math"/>
          <w:i/>
          <w:iCs/>
        </w:rPr>
        <w:t>‑</w:t>
      </w:r>
      <w:r w:rsidRPr="004616FD">
        <w:rPr>
          <w:i/>
          <w:iCs/>
        </w:rPr>
        <w:t>panel manufacturing and electronics. India</w:t>
      </w:r>
      <w:r w:rsidRPr="004616FD">
        <w:rPr>
          <w:rFonts w:ascii="Aptos" w:hAnsi="Aptos" w:cs="Aptos"/>
          <w:i/>
          <w:iCs/>
        </w:rPr>
        <w:t>’</w:t>
      </w:r>
      <w:r w:rsidRPr="004616FD">
        <w:rPr>
          <w:i/>
          <w:iCs/>
        </w:rPr>
        <w:t>s dual identity</w:t>
      </w:r>
      <w:r w:rsidRPr="004616FD">
        <w:rPr>
          <w:rFonts w:ascii="Aptos" w:hAnsi="Aptos" w:cs="Aptos"/>
          <w:i/>
          <w:iCs/>
        </w:rPr>
        <w:t>—</w:t>
      </w:r>
      <w:r w:rsidRPr="004616FD">
        <w:rPr>
          <w:i/>
          <w:iCs/>
        </w:rPr>
        <w:t>traditional consumer and emerging industrial hub</w:t>
      </w:r>
      <w:r w:rsidRPr="004616FD">
        <w:rPr>
          <w:rFonts w:ascii="Aptos" w:hAnsi="Aptos" w:cs="Aptos"/>
          <w:i/>
          <w:iCs/>
        </w:rPr>
        <w:t>—</w:t>
      </w:r>
      <w:r w:rsidRPr="004616FD">
        <w:rPr>
          <w:i/>
          <w:iCs/>
        </w:rPr>
        <w:t xml:space="preserve">positions it uniquely </w:t>
      </w:r>
      <w:r w:rsidR="003208A1" w:rsidRPr="004616FD">
        <w:rPr>
          <w:i/>
          <w:iCs/>
        </w:rPr>
        <w:t xml:space="preserve">within the global precious </w:t>
      </w:r>
      <w:r w:rsidR="005B30FB" w:rsidRPr="004616FD">
        <w:rPr>
          <w:i/>
          <w:iCs/>
        </w:rPr>
        <w:t>metal’s</w:t>
      </w:r>
      <w:r w:rsidRPr="004616FD">
        <w:rPr>
          <w:i/>
          <w:iCs/>
        </w:rPr>
        <w:t xml:space="preserve"> ecosystem</w:t>
      </w:r>
      <w:r w:rsidR="003208A1" w:rsidRPr="004616FD">
        <w:rPr>
          <w:i/>
          <w:iCs/>
        </w:rPr>
        <w:t>.</w:t>
      </w:r>
    </w:p>
    <w:p w14:paraId="5C2DA840" w14:textId="72AFC16A" w:rsidR="00DF40CF" w:rsidRPr="004616FD" w:rsidRDefault="00DF40CF" w:rsidP="00874CEE">
      <w:pPr>
        <w:jc w:val="both"/>
        <w:rPr>
          <w:b/>
          <w:bCs/>
          <w:i/>
          <w:iCs/>
        </w:rPr>
      </w:pPr>
      <w:r w:rsidRPr="004616FD">
        <w:rPr>
          <w:b/>
          <w:bCs/>
          <w:i/>
          <w:iCs/>
        </w:rPr>
        <w:t xml:space="preserve">13. India’s Perspective: Gold, Silver, and the Future of Monetary Security </w:t>
      </w:r>
    </w:p>
    <w:p w14:paraId="742CF43B" w14:textId="0C29F142" w:rsidR="00CF67A3" w:rsidRPr="004616FD" w:rsidRDefault="00DF40CF" w:rsidP="00874CEE">
      <w:pPr>
        <w:jc w:val="both"/>
        <w:rPr>
          <w:i/>
          <w:iCs/>
        </w:rPr>
      </w:pPr>
      <w:r w:rsidRPr="004616FD">
        <w:rPr>
          <w:i/>
          <w:iCs/>
        </w:rPr>
        <w:t>India’s relationship with gold and silver is both emotional and economic. With over 25,000 tonnes of privately held gold, Indian households possess more gold than the reserves of the U.S., China, and the Eurozone combined. This vast private reserve acts as a parallel store of wealth, protecting families during inflation, currency depreciation, and economic uncertainty.</w:t>
      </w:r>
      <w:r w:rsidR="003208A1" w:rsidRPr="004616FD">
        <w:rPr>
          <w:i/>
          <w:iCs/>
        </w:rPr>
        <w:t xml:space="preserve"> </w:t>
      </w:r>
      <w:r w:rsidRPr="004616FD">
        <w:rPr>
          <w:i/>
          <w:iCs/>
        </w:rPr>
        <w:t>Silver, meanwhile, is becoming India’s industrial backbone. As the country expands its solar</w:t>
      </w:r>
      <w:r w:rsidRPr="004616FD">
        <w:rPr>
          <w:rFonts w:ascii="Cambria Math" w:hAnsi="Cambria Math" w:cs="Cambria Math"/>
          <w:i/>
          <w:iCs/>
        </w:rPr>
        <w:t>‑</w:t>
      </w:r>
      <w:r w:rsidRPr="004616FD">
        <w:rPr>
          <w:i/>
          <w:iCs/>
        </w:rPr>
        <w:t>energy capacity</w:t>
      </w:r>
      <w:r w:rsidRPr="004616FD">
        <w:rPr>
          <w:rFonts w:ascii="Aptos" w:hAnsi="Aptos" w:cs="Aptos"/>
          <w:i/>
          <w:iCs/>
        </w:rPr>
        <w:t>—</w:t>
      </w:r>
      <w:r w:rsidRPr="004616FD">
        <w:rPr>
          <w:i/>
          <w:iCs/>
        </w:rPr>
        <w:t>targeting 500 GW of renewable energy by 2030</w:t>
      </w:r>
      <w:r w:rsidRPr="004616FD">
        <w:rPr>
          <w:rFonts w:ascii="Aptos" w:hAnsi="Aptos" w:cs="Aptos"/>
          <w:i/>
          <w:iCs/>
        </w:rPr>
        <w:t>—</w:t>
      </w:r>
      <w:r w:rsidRPr="004616FD">
        <w:rPr>
          <w:i/>
          <w:iCs/>
        </w:rPr>
        <w:t>silver demand is expected to surge. India is already one of the world</w:t>
      </w:r>
      <w:r w:rsidRPr="004616FD">
        <w:rPr>
          <w:rFonts w:ascii="Aptos" w:hAnsi="Aptos" w:cs="Aptos"/>
          <w:i/>
          <w:iCs/>
        </w:rPr>
        <w:t>’</w:t>
      </w:r>
      <w:r w:rsidRPr="004616FD">
        <w:rPr>
          <w:i/>
          <w:iCs/>
        </w:rPr>
        <w:t xml:space="preserve">s largest importers of silver for electronics, photovoltaics, and </w:t>
      </w:r>
      <w:r w:rsidR="003208A1" w:rsidRPr="004616FD">
        <w:rPr>
          <w:i/>
          <w:iCs/>
        </w:rPr>
        <w:t>jewellery</w:t>
      </w:r>
      <w:r w:rsidRPr="004616FD">
        <w:rPr>
          <w:i/>
          <w:iCs/>
        </w:rPr>
        <w:t xml:space="preserve">.  Gold also plays a strategic role in India’s macroeconomic stability. The Reserve Bank of India has steadily increased its gold reserves to diversify away from the U.S. dollar and strengthen financial resilience.  Culturally, gold remains a symbol of prosperity, security, and intergenerational wealth transfer. Economically, it acts as a hedge against inflation and rupee </w:t>
      </w:r>
      <w:r w:rsidR="003208A1" w:rsidRPr="004616FD">
        <w:rPr>
          <w:i/>
          <w:iCs/>
        </w:rPr>
        <w:t>volatility. India’s</w:t>
      </w:r>
      <w:r w:rsidRPr="004616FD">
        <w:rPr>
          <w:i/>
          <w:iCs/>
        </w:rPr>
        <w:t xml:space="preserve"> future strategy will likely combine traditional gold ownership with industrial silver expansion, positioning the country as both a cultural custodian and a technological leader in the global precious</w:t>
      </w:r>
      <w:r w:rsidRPr="004616FD">
        <w:rPr>
          <w:rFonts w:ascii="Cambria Math" w:hAnsi="Cambria Math" w:cs="Cambria Math"/>
          <w:i/>
          <w:iCs/>
        </w:rPr>
        <w:t>‑</w:t>
      </w:r>
      <w:r w:rsidRPr="004616FD">
        <w:rPr>
          <w:i/>
          <w:iCs/>
        </w:rPr>
        <w:t>metals landscape.</w:t>
      </w:r>
    </w:p>
    <w:p w14:paraId="66A6808C" w14:textId="36D8E6D7" w:rsidR="00CF5538" w:rsidRPr="004616FD" w:rsidRDefault="00CF5538" w:rsidP="00874CEE">
      <w:pPr>
        <w:jc w:val="both"/>
        <w:rPr>
          <w:b/>
          <w:bCs/>
          <w:i/>
          <w:iCs/>
        </w:rPr>
      </w:pPr>
      <w:r w:rsidRPr="004616FD">
        <w:rPr>
          <w:b/>
          <w:bCs/>
          <w:i/>
          <w:iCs/>
        </w:rPr>
        <w:t xml:space="preserve">Conclusion </w:t>
      </w:r>
    </w:p>
    <w:p w14:paraId="126A06C4" w14:textId="1D6FC01F" w:rsidR="00BC3832" w:rsidRPr="004616FD" w:rsidRDefault="00CF5538" w:rsidP="00874CEE">
      <w:pPr>
        <w:jc w:val="both"/>
        <w:rPr>
          <w:i/>
          <w:iCs/>
        </w:rPr>
      </w:pPr>
      <w:r w:rsidRPr="004616FD">
        <w:rPr>
          <w:i/>
          <w:iCs/>
        </w:rPr>
        <w:t>In an era defined by geopolitical uncertainty, technological disruption, and shifting monetary power, the relevance of gold and silver has not diminished—if anything, it has intensified. These metals stand at the intersection of tradition and transformation, offering both historical stability and future</w:t>
      </w:r>
      <w:r w:rsidRPr="004616FD">
        <w:rPr>
          <w:rFonts w:ascii="Cambria Math" w:hAnsi="Cambria Math" w:cs="Cambria Math"/>
          <w:i/>
          <w:iCs/>
        </w:rPr>
        <w:t>‑</w:t>
      </w:r>
      <w:r w:rsidRPr="004616FD">
        <w:rPr>
          <w:i/>
          <w:iCs/>
        </w:rPr>
        <w:t>oriented utility. Gold continues to anchor global confidence as nations reassess reserve strategies and seek protection from currency fragility, inflation, and systemic risk. Silver, propelled by the clean</w:t>
      </w:r>
      <w:r w:rsidRPr="004616FD">
        <w:rPr>
          <w:rFonts w:ascii="Cambria Math" w:hAnsi="Cambria Math" w:cs="Cambria Math"/>
          <w:i/>
          <w:iCs/>
        </w:rPr>
        <w:t>‑</w:t>
      </w:r>
      <w:r w:rsidRPr="004616FD">
        <w:rPr>
          <w:i/>
          <w:iCs/>
        </w:rPr>
        <w:t>energy revolution and rapid industrial innovation, has evolved into a strategic resource essential for sustainable growth. As the world moves toward a more multipolar economic order, precious metals provide a rare combination of resilience, neutrality, and long</w:t>
      </w:r>
      <w:r w:rsidRPr="004616FD">
        <w:rPr>
          <w:rFonts w:ascii="Cambria Math" w:hAnsi="Cambria Math" w:cs="Cambria Math"/>
          <w:i/>
          <w:iCs/>
        </w:rPr>
        <w:t>‑</w:t>
      </w:r>
      <w:r w:rsidRPr="004616FD">
        <w:rPr>
          <w:i/>
          <w:iCs/>
        </w:rPr>
        <w:t>term value. Their roles in national reserves, industrial ecosystems, and household wealth underscore their enduring significance. The need of the hour is clear: policymakers, investors, and emerging economies must recognize precious metals not as relics of the past, but as foundational assets for navigating the complexities of the future. In a changing global economy, gold and silver remain timeless pillars of stability and progress.</w:t>
      </w:r>
    </w:p>
    <w:p w14:paraId="330DCD04" w14:textId="77777777" w:rsidR="00CA0C42" w:rsidRDefault="00CA0C42" w:rsidP="00874CEE">
      <w:pPr>
        <w:jc w:val="both"/>
        <w:rPr>
          <w:i/>
          <w:iCs/>
        </w:rPr>
      </w:pPr>
    </w:p>
    <w:p w14:paraId="27138CBB" w14:textId="77777777" w:rsidR="00CA0C42" w:rsidRDefault="00CA0C42" w:rsidP="00874CEE">
      <w:pPr>
        <w:jc w:val="both"/>
        <w:rPr>
          <w:i/>
          <w:iCs/>
        </w:rPr>
      </w:pPr>
    </w:p>
    <w:p w14:paraId="17E70E3B" w14:textId="77777777" w:rsidR="00CA0C42" w:rsidRDefault="00CA0C42" w:rsidP="00874CEE">
      <w:pPr>
        <w:jc w:val="both"/>
        <w:rPr>
          <w:i/>
          <w:iCs/>
        </w:rPr>
      </w:pPr>
    </w:p>
    <w:p w14:paraId="6FC621BF" w14:textId="77777777" w:rsidR="00CA0C42" w:rsidRDefault="00CA0C42" w:rsidP="00874CEE">
      <w:pPr>
        <w:jc w:val="both"/>
        <w:rPr>
          <w:i/>
          <w:iCs/>
        </w:rPr>
      </w:pPr>
    </w:p>
    <w:p w14:paraId="4BE93FB6" w14:textId="77777777" w:rsidR="00CA0C42" w:rsidRDefault="00CA0C42" w:rsidP="00874CEE">
      <w:pPr>
        <w:jc w:val="both"/>
        <w:rPr>
          <w:i/>
          <w:iCs/>
        </w:rPr>
      </w:pPr>
    </w:p>
    <w:p w14:paraId="4E52A8E3" w14:textId="65171E5B" w:rsidR="00EF4DB3" w:rsidRPr="004616FD" w:rsidRDefault="00CA0C42" w:rsidP="00874CEE">
      <w:pPr>
        <w:jc w:val="both"/>
        <w:rPr>
          <w:b/>
          <w:bCs/>
          <w:i/>
          <w:iCs/>
        </w:rPr>
      </w:pPr>
      <w:r w:rsidRPr="004616FD">
        <w:rPr>
          <w:b/>
          <w:bCs/>
          <w:i/>
          <w:iCs/>
        </w:rPr>
        <w:t>References</w:t>
      </w:r>
    </w:p>
    <w:p w14:paraId="1E9A4E30" w14:textId="77777777" w:rsidR="00A3260C" w:rsidRPr="004616FD" w:rsidRDefault="00A3260C" w:rsidP="00874CEE">
      <w:pPr>
        <w:jc w:val="both"/>
        <w:rPr>
          <w:i/>
          <w:iCs/>
          <w:u w:val="single"/>
        </w:rPr>
      </w:pPr>
      <w:r w:rsidRPr="004616FD">
        <w:rPr>
          <w:i/>
          <w:iCs/>
          <w:u w:val="single"/>
        </w:rPr>
        <w:t>Historical &amp; Monetary Systems</w:t>
      </w:r>
    </w:p>
    <w:p w14:paraId="20B63811" w14:textId="1216DE81" w:rsidR="00A3260C" w:rsidRPr="004616FD" w:rsidRDefault="00A3260C" w:rsidP="00874CEE">
      <w:pPr>
        <w:jc w:val="both"/>
        <w:rPr>
          <w:i/>
          <w:iCs/>
        </w:rPr>
      </w:pPr>
      <w:r w:rsidRPr="004616FD">
        <w:rPr>
          <w:i/>
          <w:iCs/>
        </w:rPr>
        <w:t xml:space="preserve">1. </w:t>
      </w:r>
      <w:r w:rsidR="00CA0C42" w:rsidRPr="004616FD">
        <w:rPr>
          <w:i/>
          <w:iCs/>
        </w:rPr>
        <w:t>Eichen green</w:t>
      </w:r>
      <w:r w:rsidRPr="004616FD">
        <w:rPr>
          <w:i/>
          <w:iCs/>
        </w:rPr>
        <w:t xml:space="preserve">, Barry. Golden Fetters: The Gold Standard and the Great Depression. Oxford University Press, 1992.  </w:t>
      </w:r>
    </w:p>
    <w:p w14:paraId="0991B999" w14:textId="77777777" w:rsidR="00A3260C" w:rsidRPr="004616FD" w:rsidRDefault="00A3260C" w:rsidP="00874CEE">
      <w:pPr>
        <w:jc w:val="both"/>
        <w:rPr>
          <w:i/>
          <w:iCs/>
        </w:rPr>
      </w:pPr>
      <w:r w:rsidRPr="004616FD">
        <w:rPr>
          <w:i/>
          <w:iCs/>
        </w:rPr>
        <w:t xml:space="preserve">2. Bordo, Michael. “The Gold Standard: The Traditional Approach.” NBER Working Paper, 1981.  </w:t>
      </w:r>
    </w:p>
    <w:p w14:paraId="3689D8C2" w14:textId="77777777" w:rsidR="00A3260C" w:rsidRPr="004616FD" w:rsidRDefault="00A3260C" w:rsidP="00874CEE">
      <w:pPr>
        <w:jc w:val="both"/>
        <w:rPr>
          <w:i/>
          <w:iCs/>
        </w:rPr>
      </w:pPr>
      <w:r w:rsidRPr="004616FD">
        <w:rPr>
          <w:i/>
          <w:iCs/>
        </w:rPr>
        <w:t xml:space="preserve">3. Rockoff, Hugh. “The Gold Standard as a ‘Good Housekeeping Seal of Approval.’” Journal of Economic History 39, no. 2 (1984).  </w:t>
      </w:r>
    </w:p>
    <w:p w14:paraId="614D4A77" w14:textId="77777777" w:rsidR="00A3260C" w:rsidRPr="004616FD" w:rsidRDefault="00A3260C" w:rsidP="00874CEE">
      <w:pPr>
        <w:jc w:val="both"/>
        <w:rPr>
          <w:i/>
          <w:iCs/>
        </w:rPr>
      </w:pPr>
      <w:r w:rsidRPr="004616FD">
        <w:rPr>
          <w:i/>
          <w:iCs/>
        </w:rPr>
        <w:t>4. Friedman, Milton, and Anna Schwartz. A Monetary History of the United States. Princeton University Press, 1963.</w:t>
      </w:r>
    </w:p>
    <w:p w14:paraId="2F326932" w14:textId="77777777" w:rsidR="00A3260C" w:rsidRPr="004616FD" w:rsidRDefault="00A3260C" w:rsidP="00874CEE">
      <w:pPr>
        <w:jc w:val="both"/>
        <w:rPr>
          <w:i/>
          <w:iCs/>
          <w:u w:val="single"/>
        </w:rPr>
      </w:pPr>
      <w:r w:rsidRPr="004616FD">
        <w:rPr>
          <w:i/>
          <w:iCs/>
          <w:u w:val="single"/>
        </w:rPr>
        <w:t>Central Banks, Reserves &amp; De</w:t>
      </w:r>
      <w:r w:rsidRPr="004616FD">
        <w:rPr>
          <w:rFonts w:ascii="Cambria Math" w:hAnsi="Cambria Math" w:cs="Cambria Math"/>
          <w:i/>
          <w:iCs/>
          <w:u w:val="single"/>
        </w:rPr>
        <w:t>‑</w:t>
      </w:r>
      <w:r w:rsidRPr="004616FD">
        <w:rPr>
          <w:i/>
          <w:iCs/>
          <w:u w:val="single"/>
        </w:rPr>
        <w:t>Dollarization</w:t>
      </w:r>
    </w:p>
    <w:p w14:paraId="3BFA633A" w14:textId="77777777" w:rsidR="00A3260C" w:rsidRPr="004616FD" w:rsidRDefault="00A3260C" w:rsidP="00874CEE">
      <w:pPr>
        <w:jc w:val="both"/>
        <w:rPr>
          <w:i/>
          <w:iCs/>
        </w:rPr>
      </w:pPr>
      <w:r w:rsidRPr="004616FD">
        <w:rPr>
          <w:i/>
          <w:iCs/>
        </w:rPr>
        <w:t xml:space="preserve">5. World Gold Council. Central Bank Gold Reserves Survey 2024.  </w:t>
      </w:r>
    </w:p>
    <w:p w14:paraId="0FBD8D87" w14:textId="77777777" w:rsidR="00A3260C" w:rsidRPr="004616FD" w:rsidRDefault="00A3260C" w:rsidP="00874CEE">
      <w:pPr>
        <w:jc w:val="both"/>
        <w:rPr>
          <w:i/>
          <w:iCs/>
        </w:rPr>
      </w:pPr>
      <w:r w:rsidRPr="004616FD">
        <w:rPr>
          <w:i/>
          <w:iCs/>
        </w:rPr>
        <w:t xml:space="preserve">6. IMF. Currency Composition of Official Foreign Exchange Reserves (COFER), 2023.  </w:t>
      </w:r>
    </w:p>
    <w:p w14:paraId="75EB2545" w14:textId="77777777" w:rsidR="00A3260C" w:rsidRPr="004616FD" w:rsidRDefault="00A3260C" w:rsidP="00874CEE">
      <w:pPr>
        <w:jc w:val="both"/>
        <w:rPr>
          <w:i/>
          <w:iCs/>
        </w:rPr>
      </w:pPr>
      <w:r w:rsidRPr="004616FD">
        <w:rPr>
          <w:i/>
          <w:iCs/>
        </w:rPr>
        <w:t xml:space="preserve">7. BIS. Annual Economic Report 2024. Bank for International Settlements.  </w:t>
      </w:r>
    </w:p>
    <w:p w14:paraId="5901AEDE" w14:textId="77777777" w:rsidR="00A3260C" w:rsidRPr="004616FD" w:rsidRDefault="00A3260C" w:rsidP="00874CEE">
      <w:pPr>
        <w:jc w:val="both"/>
        <w:rPr>
          <w:i/>
          <w:iCs/>
        </w:rPr>
      </w:pPr>
      <w:r w:rsidRPr="004616FD">
        <w:rPr>
          <w:i/>
          <w:iCs/>
        </w:rPr>
        <w:t xml:space="preserve">8. Prasad, Eswar. The Future of Money: How the Digital Revolution Is Transforming Currencies and Finance. Harvard University Press, 2021.  </w:t>
      </w:r>
    </w:p>
    <w:p w14:paraId="309E5C95" w14:textId="77777777" w:rsidR="00A3260C" w:rsidRPr="004616FD" w:rsidRDefault="00A3260C" w:rsidP="00874CEE">
      <w:pPr>
        <w:jc w:val="both"/>
        <w:rPr>
          <w:i/>
          <w:iCs/>
        </w:rPr>
      </w:pPr>
      <w:r w:rsidRPr="004616FD">
        <w:rPr>
          <w:i/>
          <w:iCs/>
        </w:rPr>
        <w:t>9. Subramanian, Arvind. “The Inevitable Rise of a Multipolar Currency World.” Foreign Affairs, 2022.</w:t>
      </w:r>
    </w:p>
    <w:p w14:paraId="667CD835" w14:textId="54734E49" w:rsidR="00A3260C" w:rsidRPr="004616FD" w:rsidRDefault="00A3260C" w:rsidP="00874CEE">
      <w:pPr>
        <w:jc w:val="both"/>
        <w:rPr>
          <w:i/>
          <w:iCs/>
          <w:u w:val="single"/>
        </w:rPr>
      </w:pPr>
      <w:r w:rsidRPr="004616FD">
        <w:rPr>
          <w:i/>
          <w:iCs/>
          <w:u w:val="single"/>
        </w:rPr>
        <w:t>Inflation, Safe</w:t>
      </w:r>
      <w:r w:rsidRPr="004616FD">
        <w:rPr>
          <w:rFonts w:ascii="Cambria Math" w:hAnsi="Cambria Math" w:cs="Cambria Math"/>
          <w:i/>
          <w:iCs/>
          <w:u w:val="single"/>
        </w:rPr>
        <w:t>‑</w:t>
      </w:r>
      <w:r w:rsidRPr="004616FD">
        <w:rPr>
          <w:i/>
          <w:iCs/>
          <w:u w:val="single"/>
        </w:rPr>
        <w:t xml:space="preserve">Haven </w:t>
      </w:r>
      <w:r w:rsidR="00CA0C42" w:rsidRPr="004616FD">
        <w:rPr>
          <w:i/>
          <w:iCs/>
          <w:u w:val="single"/>
        </w:rPr>
        <w:t>Behaviour</w:t>
      </w:r>
      <w:r w:rsidRPr="004616FD">
        <w:rPr>
          <w:i/>
          <w:iCs/>
          <w:u w:val="single"/>
        </w:rPr>
        <w:t xml:space="preserve"> &amp; Crisis Economics</w:t>
      </w:r>
    </w:p>
    <w:p w14:paraId="5E7F5FF0" w14:textId="77777777" w:rsidR="00A3260C" w:rsidRPr="004616FD" w:rsidRDefault="00A3260C" w:rsidP="00874CEE">
      <w:pPr>
        <w:jc w:val="both"/>
        <w:rPr>
          <w:i/>
          <w:iCs/>
        </w:rPr>
      </w:pPr>
      <w:r w:rsidRPr="004616FD">
        <w:rPr>
          <w:i/>
          <w:iCs/>
        </w:rPr>
        <w:t xml:space="preserve">10. Erb, Claude, and Campbell Harvey. “The Golden Dilemma.” Financial Analysts Journal 69, no. 4 (2013).  </w:t>
      </w:r>
    </w:p>
    <w:p w14:paraId="57906F99" w14:textId="77777777" w:rsidR="00A3260C" w:rsidRPr="004616FD" w:rsidRDefault="00A3260C" w:rsidP="00874CEE">
      <w:pPr>
        <w:jc w:val="both"/>
        <w:rPr>
          <w:i/>
          <w:iCs/>
        </w:rPr>
      </w:pPr>
      <w:r w:rsidRPr="004616FD">
        <w:rPr>
          <w:i/>
          <w:iCs/>
        </w:rPr>
        <w:t xml:space="preserve">11. Baur, Dirk, and Thomas McDermott. “Is Gold a Safe Haven?” Journal of Banking &amp; Finance 34 (2010).  </w:t>
      </w:r>
    </w:p>
    <w:p w14:paraId="5B16329F" w14:textId="77777777" w:rsidR="00A3260C" w:rsidRPr="004616FD" w:rsidRDefault="00A3260C" w:rsidP="00874CEE">
      <w:pPr>
        <w:jc w:val="both"/>
        <w:rPr>
          <w:i/>
          <w:iCs/>
        </w:rPr>
      </w:pPr>
      <w:r w:rsidRPr="004616FD">
        <w:rPr>
          <w:i/>
          <w:iCs/>
        </w:rPr>
        <w:t xml:space="preserve">12. Reinhart, Carmen, and Kenneth Rogoff. This Time Is Different: Eight Centuries of Financial Folly. Princeton University Press, 2009.  </w:t>
      </w:r>
    </w:p>
    <w:p w14:paraId="211CA25B" w14:textId="0CB82941" w:rsidR="00A3260C" w:rsidRPr="004616FD" w:rsidRDefault="00A3260C" w:rsidP="00874CEE">
      <w:pPr>
        <w:jc w:val="both"/>
        <w:rPr>
          <w:i/>
          <w:iCs/>
        </w:rPr>
      </w:pPr>
      <w:r w:rsidRPr="004616FD">
        <w:rPr>
          <w:i/>
          <w:iCs/>
        </w:rPr>
        <w:t>13. Krugman, Paul. “Currency Crises Revisited.” NBER Working Paper, 2019.</w:t>
      </w:r>
    </w:p>
    <w:p w14:paraId="628D5134" w14:textId="77777777" w:rsidR="00A3260C" w:rsidRPr="004616FD" w:rsidRDefault="00A3260C" w:rsidP="00874CEE">
      <w:pPr>
        <w:jc w:val="both"/>
        <w:rPr>
          <w:i/>
          <w:iCs/>
          <w:u w:val="single"/>
        </w:rPr>
      </w:pPr>
      <w:r w:rsidRPr="004616FD">
        <w:rPr>
          <w:i/>
          <w:iCs/>
          <w:u w:val="single"/>
        </w:rPr>
        <w:t>Silver, Industrial Demand &amp; Renewable Energy</w:t>
      </w:r>
    </w:p>
    <w:p w14:paraId="6271110E" w14:textId="77777777" w:rsidR="00A3260C" w:rsidRPr="004616FD" w:rsidRDefault="00A3260C" w:rsidP="00874CEE">
      <w:pPr>
        <w:jc w:val="both"/>
        <w:rPr>
          <w:i/>
          <w:iCs/>
        </w:rPr>
      </w:pPr>
      <w:r w:rsidRPr="004616FD">
        <w:rPr>
          <w:i/>
          <w:iCs/>
        </w:rPr>
        <w:t xml:space="preserve">14. Silver Institute. World Silver Survey 2024.  </w:t>
      </w:r>
    </w:p>
    <w:p w14:paraId="26A825C5" w14:textId="77777777" w:rsidR="00A3260C" w:rsidRPr="004616FD" w:rsidRDefault="00A3260C" w:rsidP="00874CEE">
      <w:pPr>
        <w:jc w:val="both"/>
        <w:rPr>
          <w:i/>
          <w:iCs/>
        </w:rPr>
      </w:pPr>
      <w:r w:rsidRPr="004616FD">
        <w:rPr>
          <w:i/>
          <w:iCs/>
        </w:rPr>
        <w:t xml:space="preserve">15. International Energy Agency. World Energy Outlook 2024.  </w:t>
      </w:r>
    </w:p>
    <w:p w14:paraId="1BBDCEAF" w14:textId="77777777" w:rsidR="00A3260C" w:rsidRPr="004616FD" w:rsidRDefault="00A3260C" w:rsidP="00874CEE">
      <w:pPr>
        <w:jc w:val="both"/>
        <w:rPr>
          <w:i/>
          <w:iCs/>
        </w:rPr>
      </w:pPr>
      <w:r w:rsidRPr="004616FD">
        <w:rPr>
          <w:i/>
          <w:iCs/>
        </w:rPr>
        <w:t xml:space="preserve">16. IRENA. Renewable Power Generation Costs 2024.  </w:t>
      </w:r>
    </w:p>
    <w:p w14:paraId="5BAEDA6D" w14:textId="77777777" w:rsidR="00A3260C" w:rsidRPr="004616FD" w:rsidRDefault="00A3260C" w:rsidP="00874CEE">
      <w:pPr>
        <w:jc w:val="both"/>
        <w:rPr>
          <w:i/>
          <w:iCs/>
        </w:rPr>
      </w:pPr>
      <w:r w:rsidRPr="004616FD">
        <w:rPr>
          <w:i/>
          <w:iCs/>
        </w:rPr>
        <w:t xml:space="preserve">17. Metals Focus. Silver Market Review 2024.  </w:t>
      </w:r>
    </w:p>
    <w:p w14:paraId="5DFE730B" w14:textId="77777777" w:rsidR="00A3260C" w:rsidRPr="004616FD" w:rsidRDefault="00A3260C" w:rsidP="00874CEE">
      <w:pPr>
        <w:jc w:val="both"/>
        <w:rPr>
          <w:i/>
          <w:iCs/>
        </w:rPr>
      </w:pPr>
      <w:r w:rsidRPr="004616FD">
        <w:rPr>
          <w:i/>
          <w:iCs/>
        </w:rPr>
        <w:t xml:space="preserve">18. Wang, Yao. “Solar Energy and Silver Demand.” Energy Economics 92 (2020).  </w:t>
      </w:r>
    </w:p>
    <w:p w14:paraId="059058F9" w14:textId="77777777" w:rsidR="00A3260C" w:rsidRPr="004616FD" w:rsidRDefault="00A3260C" w:rsidP="00874CEE">
      <w:pPr>
        <w:jc w:val="both"/>
        <w:rPr>
          <w:i/>
          <w:iCs/>
        </w:rPr>
      </w:pPr>
      <w:r w:rsidRPr="004616FD">
        <w:rPr>
          <w:i/>
          <w:iCs/>
        </w:rPr>
        <w:t>19. O’Connor, Fergal, and Andrew Worthington. “Silver’s Industrial Demand and Price Volatility.” Resources Policy 45 (2015).</w:t>
      </w:r>
    </w:p>
    <w:p w14:paraId="0DB1F21F" w14:textId="77777777" w:rsidR="00A3260C" w:rsidRPr="004616FD" w:rsidRDefault="00A3260C" w:rsidP="00874CEE">
      <w:pPr>
        <w:jc w:val="both"/>
        <w:rPr>
          <w:i/>
          <w:iCs/>
        </w:rPr>
      </w:pPr>
    </w:p>
    <w:p w14:paraId="7EA2426F" w14:textId="77777777" w:rsidR="00A3260C" w:rsidRPr="004616FD" w:rsidRDefault="00A3260C" w:rsidP="00874CEE">
      <w:pPr>
        <w:jc w:val="both"/>
        <w:rPr>
          <w:i/>
          <w:iCs/>
          <w:u w:val="single"/>
        </w:rPr>
      </w:pPr>
      <w:r w:rsidRPr="004616FD">
        <w:rPr>
          <w:i/>
          <w:iCs/>
          <w:u w:val="single"/>
        </w:rPr>
        <w:t>Bitcoin, Digital Assets &amp; Modern Finance</w:t>
      </w:r>
    </w:p>
    <w:p w14:paraId="31DB9EDA" w14:textId="77777777" w:rsidR="00A3260C" w:rsidRPr="004616FD" w:rsidRDefault="00A3260C" w:rsidP="00874CEE">
      <w:pPr>
        <w:jc w:val="both"/>
        <w:rPr>
          <w:i/>
          <w:iCs/>
        </w:rPr>
      </w:pPr>
      <w:r w:rsidRPr="004616FD">
        <w:rPr>
          <w:i/>
          <w:iCs/>
        </w:rPr>
        <w:t xml:space="preserve">20. Narayanan, Arvind et al. Bitcoin and Cryptocurrency Technologies. Princeton University Press, 2016.  </w:t>
      </w:r>
    </w:p>
    <w:p w14:paraId="5169D4DB" w14:textId="77777777" w:rsidR="00A3260C" w:rsidRPr="004616FD" w:rsidRDefault="00A3260C" w:rsidP="00874CEE">
      <w:pPr>
        <w:jc w:val="both"/>
        <w:rPr>
          <w:i/>
          <w:iCs/>
        </w:rPr>
      </w:pPr>
      <w:r w:rsidRPr="004616FD">
        <w:rPr>
          <w:i/>
          <w:iCs/>
        </w:rPr>
        <w:t xml:space="preserve">21. Baur, Dirk, and Thomas Dimpfl. “Bitcoin’s Role in Portfolio Diversification.” Finance Research Letters 28 (2019).  </w:t>
      </w:r>
    </w:p>
    <w:p w14:paraId="6417B038" w14:textId="77777777" w:rsidR="00A3260C" w:rsidRPr="004616FD" w:rsidRDefault="00A3260C" w:rsidP="00874CEE">
      <w:pPr>
        <w:jc w:val="both"/>
        <w:rPr>
          <w:i/>
          <w:iCs/>
        </w:rPr>
      </w:pPr>
      <w:r w:rsidRPr="004616FD">
        <w:rPr>
          <w:i/>
          <w:iCs/>
        </w:rPr>
        <w:t xml:space="preserve">22. Yermack, David. “Is Bitcoin a Real Currency?” NBER Working Paper, 2013.  </w:t>
      </w:r>
    </w:p>
    <w:p w14:paraId="7BD04C4D" w14:textId="77777777" w:rsidR="00A3260C" w:rsidRPr="004616FD" w:rsidRDefault="00A3260C" w:rsidP="00874CEE">
      <w:pPr>
        <w:jc w:val="both"/>
        <w:rPr>
          <w:i/>
          <w:iCs/>
        </w:rPr>
      </w:pPr>
      <w:r w:rsidRPr="004616FD">
        <w:rPr>
          <w:i/>
          <w:iCs/>
        </w:rPr>
        <w:t>23. Forbes. “Bitcoin vs Gold Debate Intensifies,” 2023.</w:t>
      </w:r>
    </w:p>
    <w:p w14:paraId="4904CAD3" w14:textId="77777777" w:rsidR="00A3260C" w:rsidRPr="004616FD" w:rsidRDefault="00A3260C" w:rsidP="00874CEE">
      <w:pPr>
        <w:jc w:val="both"/>
        <w:rPr>
          <w:i/>
          <w:iCs/>
          <w:u w:val="single"/>
        </w:rPr>
      </w:pPr>
      <w:r w:rsidRPr="004616FD">
        <w:rPr>
          <w:i/>
          <w:iCs/>
          <w:u w:val="single"/>
        </w:rPr>
        <w:t>Portfolio Theory &amp; Investment Strategy</w:t>
      </w:r>
    </w:p>
    <w:p w14:paraId="57E5CC08" w14:textId="77777777" w:rsidR="00A3260C" w:rsidRPr="004616FD" w:rsidRDefault="00A3260C" w:rsidP="00874CEE">
      <w:pPr>
        <w:jc w:val="both"/>
        <w:rPr>
          <w:i/>
          <w:iCs/>
        </w:rPr>
      </w:pPr>
      <w:r w:rsidRPr="004616FD">
        <w:rPr>
          <w:i/>
          <w:iCs/>
        </w:rPr>
        <w:t xml:space="preserve">24. Markowitz, Harry. “Portfolio Selection.” Journal of Finance 7, no. 1 (1952).  </w:t>
      </w:r>
    </w:p>
    <w:p w14:paraId="25D129DF" w14:textId="77777777" w:rsidR="00A3260C" w:rsidRPr="004616FD" w:rsidRDefault="00A3260C" w:rsidP="00874CEE">
      <w:pPr>
        <w:jc w:val="both"/>
        <w:rPr>
          <w:i/>
          <w:iCs/>
        </w:rPr>
      </w:pPr>
      <w:r w:rsidRPr="004616FD">
        <w:rPr>
          <w:i/>
          <w:iCs/>
        </w:rPr>
        <w:t xml:space="preserve">25. Hillier, David et al. “Precious Metals and Portfolio Diversification.” Journal of Banking &amp; Finance 30 (2006).  </w:t>
      </w:r>
    </w:p>
    <w:p w14:paraId="6440171E" w14:textId="77777777" w:rsidR="00A3260C" w:rsidRPr="004616FD" w:rsidRDefault="00A3260C" w:rsidP="00874CEE">
      <w:pPr>
        <w:jc w:val="both"/>
        <w:rPr>
          <w:i/>
          <w:iCs/>
        </w:rPr>
      </w:pPr>
      <w:r w:rsidRPr="004616FD">
        <w:rPr>
          <w:i/>
          <w:iCs/>
        </w:rPr>
        <w:t xml:space="preserve">26. UBS Research. Precious Metals Strategy 2024.  </w:t>
      </w:r>
    </w:p>
    <w:p w14:paraId="09C3C234" w14:textId="77777777" w:rsidR="00A3260C" w:rsidRPr="004616FD" w:rsidRDefault="00A3260C" w:rsidP="00874CEE">
      <w:pPr>
        <w:jc w:val="both"/>
        <w:rPr>
          <w:i/>
          <w:iCs/>
        </w:rPr>
      </w:pPr>
      <w:r w:rsidRPr="004616FD">
        <w:rPr>
          <w:i/>
          <w:iCs/>
        </w:rPr>
        <w:t>27. BlackRock Institute. Global Investment Outlook 2024.</w:t>
      </w:r>
    </w:p>
    <w:p w14:paraId="6A480A2A" w14:textId="77777777" w:rsidR="00A3260C" w:rsidRPr="004616FD" w:rsidRDefault="00A3260C" w:rsidP="00874CEE">
      <w:pPr>
        <w:jc w:val="both"/>
        <w:rPr>
          <w:i/>
          <w:iCs/>
          <w:u w:val="single"/>
        </w:rPr>
      </w:pPr>
      <w:r w:rsidRPr="004616FD">
        <w:rPr>
          <w:i/>
          <w:iCs/>
          <w:u w:val="single"/>
        </w:rPr>
        <w:t>Emerging Markets, Household Wealth &amp; Cultural Economics</w:t>
      </w:r>
    </w:p>
    <w:p w14:paraId="68BADD6C" w14:textId="77777777" w:rsidR="00A3260C" w:rsidRPr="004616FD" w:rsidRDefault="00A3260C" w:rsidP="00874CEE">
      <w:pPr>
        <w:jc w:val="both"/>
        <w:rPr>
          <w:i/>
          <w:iCs/>
        </w:rPr>
      </w:pPr>
      <w:r w:rsidRPr="004616FD">
        <w:rPr>
          <w:i/>
          <w:iCs/>
        </w:rPr>
        <w:t xml:space="preserve">28. Mehta, Suresh. “Gold as Household Wealth in India.” South Asia Economic Journal 15, no. 2 (2014).  </w:t>
      </w:r>
    </w:p>
    <w:p w14:paraId="63CD7537" w14:textId="77777777" w:rsidR="00A3260C" w:rsidRPr="004616FD" w:rsidRDefault="00A3260C" w:rsidP="00874CEE">
      <w:pPr>
        <w:jc w:val="both"/>
        <w:rPr>
          <w:i/>
          <w:iCs/>
        </w:rPr>
      </w:pPr>
      <w:r w:rsidRPr="004616FD">
        <w:rPr>
          <w:i/>
          <w:iCs/>
        </w:rPr>
        <w:t xml:space="preserve">29. Singh, Arvind. “India’s Gold Consumption Patterns.” Economic &amp; Political Weekly 54, no. 22 (2019).  </w:t>
      </w:r>
    </w:p>
    <w:p w14:paraId="5C1697EB" w14:textId="77777777" w:rsidR="00A3260C" w:rsidRPr="004616FD" w:rsidRDefault="00A3260C" w:rsidP="00874CEE">
      <w:pPr>
        <w:jc w:val="both"/>
        <w:rPr>
          <w:i/>
          <w:iCs/>
        </w:rPr>
      </w:pPr>
      <w:r w:rsidRPr="004616FD">
        <w:rPr>
          <w:i/>
          <w:iCs/>
        </w:rPr>
        <w:t xml:space="preserve">30. Reserve Bank of India. Annual Report 2024.  </w:t>
      </w:r>
    </w:p>
    <w:p w14:paraId="69CF0383" w14:textId="77777777" w:rsidR="00A3260C" w:rsidRPr="004616FD" w:rsidRDefault="00A3260C" w:rsidP="00874CEE">
      <w:pPr>
        <w:jc w:val="both"/>
        <w:rPr>
          <w:i/>
          <w:iCs/>
        </w:rPr>
      </w:pPr>
      <w:r w:rsidRPr="004616FD">
        <w:rPr>
          <w:i/>
          <w:iCs/>
        </w:rPr>
        <w:t>31. OECD. Economic Outlook for Emerging Markets 2024.</w:t>
      </w:r>
    </w:p>
    <w:p w14:paraId="6F848544" w14:textId="7559889D" w:rsidR="00A3260C" w:rsidRPr="004616FD" w:rsidRDefault="00A3260C" w:rsidP="00874CEE">
      <w:pPr>
        <w:jc w:val="both"/>
        <w:rPr>
          <w:i/>
          <w:iCs/>
          <w:u w:val="single"/>
        </w:rPr>
      </w:pPr>
      <w:r w:rsidRPr="004616FD">
        <w:rPr>
          <w:i/>
          <w:iCs/>
          <w:u w:val="single"/>
        </w:rPr>
        <w:t xml:space="preserve">Geopolitics, War &amp; Commodity </w:t>
      </w:r>
      <w:r w:rsidR="00CA0C42" w:rsidRPr="004616FD">
        <w:rPr>
          <w:i/>
          <w:iCs/>
          <w:u w:val="single"/>
        </w:rPr>
        <w:t>Behaviour</w:t>
      </w:r>
    </w:p>
    <w:p w14:paraId="49F977B7" w14:textId="77777777" w:rsidR="00A3260C" w:rsidRPr="004616FD" w:rsidRDefault="00A3260C" w:rsidP="00874CEE">
      <w:pPr>
        <w:jc w:val="both"/>
        <w:rPr>
          <w:i/>
          <w:iCs/>
        </w:rPr>
      </w:pPr>
      <w:r w:rsidRPr="004616FD">
        <w:rPr>
          <w:i/>
          <w:iCs/>
        </w:rPr>
        <w:t xml:space="preserve">32. Bernstein, Peter. The Power of Gold. Wiley, 2000.  </w:t>
      </w:r>
    </w:p>
    <w:p w14:paraId="0272849F" w14:textId="77777777" w:rsidR="00A3260C" w:rsidRPr="004616FD" w:rsidRDefault="00A3260C" w:rsidP="00874CEE">
      <w:pPr>
        <w:jc w:val="both"/>
        <w:rPr>
          <w:i/>
          <w:iCs/>
        </w:rPr>
      </w:pPr>
      <w:r w:rsidRPr="004616FD">
        <w:rPr>
          <w:i/>
          <w:iCs/>
        </w:rPr>
        <w:t xml:space="preserve">33. Ahamed, Liaquat. Lords of Finance. Penguin Press, 2009.  </w:t>
      </w:r>
    </w:p>
    <w:p w14:paraId="7E5672C4" w14:textId="77777777" w:rsidR="00A3260C" w:rsidRPr="004616FD" w:rsidRDefault="00A3260C" w:rsidP="00874CEE">
      <w:pPr>
        <w:jc w:val="both"/>
        <w:rPr>
          <w:i/>
          <w:iCs/>
        </w:rPr>
      </w:pPr>
      <w:r w:rsidRPr="004616FD">
        <w:rPr>
          <w:i/>
          <w:iCs/>
        </w:rPr>
        <w:t xml:space="preserve">34. Washington Post. “Gold Surges During Ukraine Conflict,” 2022.  </w:t>
      </w:r>
    </w:p>
    <w:p w14:paraId="557DD372" w14:textId="77777777" w:rsidR="00A3260C" w:rsidRPr="004616FD" w:rsidRDefault="00A3260C" w:rsidP="00874CEE">
      <w:pPr>
        <w:jc w:val="both"/>
        <w:rPr>
          <w:i/>
          <w:iCs/>
        </w:rPr>
      </w:pPr>
      <w:r w:rsidRPr="004616FD">
        <w:rPr>
          <w:i/>
          <w:iCs/>
        </w:rPr>
        <w:t>35. S&amp;P Global. Geopolitical Risk and Commodity Markets 2024.</w:t>
      </w:r>
    </w:p>
    <w:p w14:paraId="3A1E7888" w14:textId="77777777" w:rsidR="00CA0C42" w:rsidRDefault="00CA0C42" w:rsidP="00874CEE">
      <w:pPr>
        <w:jc w:val="both"/>
        <w:rPr>
          <w:i/>
          <w:iCs/>
          <w:u w:val="single"/>
        </w:rPr>
      </w:pPr>
    </w:p>
    <w:p w14:paraId="5C2F5D2D" w14:textId="1563B7A5" w:rsidR="00A3260C" w:rsidRPr="004616FD" w:rsidRDefault="00A3260C" w:rsidP="00874CEE">
      <w:pPr>
        <w:jc w:val="both"/>
        <w:rPr>
          <w:i/>
          <w:iCs/>
          <w:u w:val="single"/>
        </w:rPr>
      </w:pPr>
      <w:r w:rsidRPr="004616FD">
        <w:rPr>
          <w:i/>
          <w:iCs/>
          <w:u w:val="single"/>
        </w:rPr>
        <w:t xml:space="preserve">Global Metals, Supply Chains &amp; </w:t>
      </w:r>
      <w:r w:rsidR="005B30FB" w:rsidRPr="004616FD">
        <w:rPr>
          <w:i/>
          <w:iCs/>
          <w:u w:val="single"/>
        </w:rPr>
        <w:t>Outlook</w:t>
      </w:r>
    </w:p>
    <w:p w14:paraId="2016623D" w14:textId="77777777" w:rsidR="00A3260C" w:rsidRPr="004616FD" w:rsidRDefault="00A3260C" w:rsidP="00874CEE">
      <w:pPr>
        <w:jc w:val="both"/>
        <w:rPr>
          <w:i/>
          <w:iCs/>
        </w:rPr>
      </w:pPr>
      <w:r w:rsidRPr="004616FD">
        <w:rPr>
          <w:i/>
          <w:iCs/>
        </w:rPr>
        <w:t xml:space="preserve">36. McKinsey &amp; Company. Global Metals Outlook 2025.  </w:t>
      </w:r>
    </w:p>
    <w:p w14:paraId="15C37E4D" w14:textId="77777777" w:rsidR="00A3260C" w:rsidRPr="004616FD" w:rsidRDefault="00A3260C" w:rsidP="00874CEE">
      <w:pPr>
        <w:jc w:val="both"/>
        <w:rPr>
          <w:i/>
          <w:iCs/>
        </w:rPr>
      </w:pPr>
      <w:r w:rsidRPr="004616FD">
        <w:rPr>
          <w:i/>
          <w:iCs/>
        </w:rPr>
        <w:t xml:space="preserve">37. World Bank. Commodity Markets Outlook 2024.  </w:t>
      </w:r>
    </w:p>
    <w:p w14:paraId="07D11609" w14:textId="77777777" w:rsidR="00A3260C" w:rsidRPr="004616FD" w:rsidRDefault="00A3260C" w:rsidP="00874CEE">
      <w:pPr>
        <w:jc w:val="both"/>
        <w:rPr>
          <w:i/>
          <w:iCs/>
        </w:rPr>
      </w:pPr>
      <w:r w:rsidRPr="004616FD">
        <w:rPr>
          <w:i/>
          <w:iCs/>
        </w:rPr>
        <w:t xml:space="preserve">38. USGS. Mineral Commodity Summaries: Gold &amp; Silver, 2024.  </w:t>
      </w:r>
    </w:p>
    <w:p w14:paraId="7B470460" w14:textId="77777777" w:rsidR="00A3260C" w:rsidRPr="004616FD" w:rsidRDefault="00A3260C" w:rsidP="00874CEE">
      <w:pPr>
        <w:jc w:val="both"/>
        <w:rPr>
          <w:i/>
          <w:iCs/>
        </w:rPr>
      </w:pPr>
      <w:r w:rsidRPr="004616FD">
        <w:rPr>
          <w:i/>
          <w:iCs/>
        </w:rPr>
        <w:t>39. Bloomberg Intelligence. Precious Metals Long</w:t>
      </w:r>
      <w:r w:rsidRPr="004616FD">
        <w:rPr>
          <w:rFonts w:ascii="Cambria Math" w:hAnsi="Cambria Math" w:cs="Cambria Math"/>
          <w:i/>
          <w:iCs/>
        </w:rPr>
        <w:t>‑</w:t>
      </w:r>
      <w:r w:rsidRPr="004616FD">
        <w:rPr>
          <w:i/>
          <w:iCs/>
        </w:rPr>
        <w:t xml:space="preserve">Term Outlook, 2024.  </w:t>
      </w:r>
    </w:p>
    <w:p w14:paraId="666CA397" w14:textId="6E7FBE0C" w:rsidR="00CF5538" w:rsidRPr="004616FD" w:rsidRDefault="00A3260C" w:rsidP="00874CEE">
      <w:pPr>
        <w:jc w:val="both"/>
        <w:rPr>
          <w:i/>
          <w:iCs/>
        </w:rPr>
      </w:pPr>
      <w:r w:rsidRPr="004616FD">
        <w:rPr>
          <w:i/>
          <w:iCs/>
        </w:rPr>
        <w:t>40. OECD. Critical Minerals for the Energy Transition, 2023</w:t>
      </w:r>
    </w:p>
    <w:p w14:paraId="2050329A" w14:textId="77777777" w:rsidR="002B1DE5" w:rsidRPr="004616FD" w:rsidRDefault="002B1DE5" w:rsidP="00874CEE">
      <w:pPr>
        <w:jc w:val="both"/>
        <w:rPr>
          <w:i/>
          <w:iCs/>
          <w:u w:val="single"/>
        </w:rPr>
      </w:pPr>
      <w:r w:rsidRPr="004616FD">
        <w:rPr>
          <w:i/>
          <w:iCs/>
          <w:u w:val="single"/>
        </w:rPr>
        <w:t>Gold Standard, Monetary History &amp; Bretton Woods</w:t>
      </w:r>
    </w:p>
    <w:p w14:paraId="3FB21337" w14:textId="77777777" w:rsidR="002B1DE5" w:rsidRPr="004616FD" w:rsidRDefault="002B1DE5" w:rsidP="00874CEE">
      <w:pPr>
        <w:jc w:val="both"/>
        <w:rPr>
          <w:i/>
          <w:iCs/>
        </w:rPr>
      </w:pPr>
      <w:r w:rsidRPr="004616FD">
        <w:rPr>
          <w:i/>
          <w:iCs/>
        </w:rPr>
        <w:t xml:space="preserve">41. Triffin, Robert. Gold and the Dollar Crisis. Yale University Press, 1960.  </w:t>
      </w:r>
    </w:p>
    <w:p w14:paraId="2D97FF15" w14:textId="77777777" w:rsidR="002B1DE5" w:rsidRPr="004616FD" w:rsidRDefault="002B1DE5" w:rsidP="00874CEE">
      <w:pPr>
        <w:jc w:val="both"/>
        <w:rPr>
          <w:i/>
          <w:iCs/>
        </w:rPr>
      </w:pPr>
      <w:r w:rsidRPr="004616FD">
        <w:rPr>
          <w:i/>
          <w:iCs/>
        </w:rPr>
        <w:t xml:space="preserve">42. Bordo, Michael, and Finn Kydland. “The Gold Standard as a Rule.” NBER Working Paper, 1995.  </w:t>
      </w:r>
    </w:p>
    <w:p w14:paraId="3B219F8C" w14:textId="1FA30539" w:rsidR="002B1DE5" w:rsidRPr="004616FD" w:rsidRDefault="002B1DE5" w:rsidP="00874CEE">
      <w:pPr>
        <w:jc w:val="both"/>
        <w:rPr>
          <w:i/>
          <w:iCs/>
        </w:rPr>
      </w:pPr>
      <w:r w:rsidRPr="004616FD">
        <w:rPr>
          <w:i/>
          <w:iCs/>
        </w:rPr>
        <w:t xml:space="preserve">43. </w:t>
      </w:r>
      <w:r w:rsidR="00CA0C42" w:rsidRPr="004616FD">
        <w:rPr>
          <w:i/>
          <w:iCs/>
        </w:rPr>
        <w:t>Eichen green</w:t>
      </w:r>
      <w:r w:rsidRPr="004616FD">
        <w:rPr>
          <w:i/>
          <w:iCs/>
        </w:rPr>
        <w:t xml:space="preserve">, Barry, and Marc Flandreau. “The Rise and Fall of the Dollar, or When Did the Dollar Replace Sterling as the Leading Reserve Currency?” European Review of Economic History 13, no. 3 (2009).  </w:t>
      </w:r>
    </w:p>
    <w:p w14:paraId="13F28C50" w14:textId="77777777" w:rsidR="002B1DE5" w:rsidRPr="004616FD" w:rsidRDefault="002B1DE5" w:rsidP="00874CEE">
      <w:pPr>
        <w:jc w:val="both"/>
        <w:rPr>
          <w:i/>
          <w:iCs/>
        </w:rPr>
      </w:pPr>
      <w:r w:rsidRPr="004616FD">
        <w:rPr>
          <w:i/>
          <w:iCs/>
        </w:rPr>
        <w:t>44. Steil, Benn. The Battle of Bretton Woods. Princeton University Press, 2013.</w:t>
      </w:r>
    </w:p>
    <w:p w14:paraId="4D0AF009" w14:textId="66A0D0FF" w:rsidR="002B1DE5" w:rsidRPr="004616FD" w:rsidRDefault="002B1DE5" w:rsidP="00874CEE">
      <w:pPr>
        <w:jc w:val="both"/>
        <w:rPr>
          <w:i/>
          <w:iCs/>
          <w:u w:val="single"/>
        </w:rPr>
      </w:pPr>
      <w:r w:rsidRPr="004616FD">
        <w:rPr>
          <w:i/>
          <w:iCs/>
          <w:u w:val="single"/>
        </w:rPr>
        <w:t xml:space="preserve">Geopolitics, War &amp; Commodity </w:t>
      </w:r>
      <w:r w:rsidR="00CA0C42" w:rsidRPr="004616FD">
        <w:rPr>
          <w:i/>
          <w:iCs/>
          <w:u w:val="single"/>
        </w:rPr>
        <w:t>Behaviour</w:t>
      </w:r>
    </w:p>
    <w:p w14:paraId="37A76B47" w14:textId="77777777" w:rsidR="002B1DE5" w:rsidRPr="004616FD" w:rsidRDefault="002B1DE5" w:rsidP="00874CEE">
      <w:pPr>
        <w:jc w:val="both"/>
        <w:rPr>
          <w:i/>
          <w:iCs/>
        </w:rPr>
      </w:pPr>
      <w:r w:rsidRPr="004616FD">
        <w:rPr>
          <w:i/>
          <w:iCs/>
        </w:rPr>
        <w:t xml:space="preserve">45. Ghosh, Atish, and Mahvash Qureshi. “War and Commodity Markets.” IMF Working Paper, 2022.  </w:t>
      </w:r>
    </w:p>
    <w:p w14:paraId="2CCB4CC0" w14:textId="77777777" w:rsidR="002B1DE5" w:rsidRPr="004616FD" w:rsidRDefault="002B1DE5" w:rsidP="00874CEE">
      <w:pPr>
        <w:jc w:val="both"/>
        <w:rPr>
          <w:i/>
          <w:iCs/>
        </w:rPr>
      </w:pPr>
      <w:r w:rsidRPr="004616FD">
        <w:rPr>
          <w:i/>
          <w:iCs/>
        </w:rPr>
        <w:t xml:space="preserve">46. Jacks, David. “From Boom to Bust: A Typology of Real Commodity Prices in the Long Run.” NBER Working Paper, 2013.  </w:t>
      </w:r>
    </w:p>
    <w:p w14:paraId="0E4C1FF2" w14:textId="77777777" w:rsidR="002B1DE5" w:rsidRPr="004616FD" w:rsidRDefault="002B1DE5" w:rsidP="00874CEE">
      <w:pPr>
        <w:jc w:val="both"/>
        <w:rPr>
          <w:i/>
          <w:iCs/>
        </w:rPr>
      </w:pPr>
      <w:r w:rsidRPr="004616FD">
        <w:rPr>
          <w:i/>
          <w:iCs/>
        </w:rPr>
        <w:t>47. Financial Times. “Gold Hits Record High Amid Geopolitical Tensions,” 2024.</w:t>
      </w:r>
    </w:p>
    <w:p w14:paraId="4CD82FC7" w14:textId="77777777" w:rsidR="002B1DE5" w:rsidRPr="004616FD" w:rsidRDefault="002B1DE5" w:rsidP="00874CEE">
      <w:pPr>
        <w:jc w:val="both"/>
        <w:rPr>
          <w:i/>
          <w:iCs/>
          <w:u w:val="single"/>
        </w:rPr>
      </w:pPr>
      <w:r w:rsidRPr="004616FD">
        <w:rPr>
          <w:i/>
          <w:iCs/>
          <w:u w:val="single"/>
        </w:rPr>
        <w:t>Inflation, Currency Weakness &amp; Macroeconomics</w:t>
      </w:r>
    </w:p>
    <w:p w14:paraId="1CADC2BB" w14:textId="77777777" w:rsidR="002B1DE5" w:rsidRPr="004616FD" w:rsidRDefault="002B1DE5" w:rsidP="00874CEE">
      <w:pPr>
        <w:jc w:val="both"/>
        <w:rPr>
          <w:i/>
          <w:iCs/>
        </w:rPr>
      </w:pPr>
      <w:r w:rsidRPr="004616FD">
        <w:rPr>
          <w:i/>
          <w:iCs/>
        </w:rPr>
        <w:t xml:space="preserve">48. Summers, Lawrence. “Inflation and the Future of Monetary Policy.” Brookings Papers on Economic Activity, 2022.  </w:t>
      </w:r>
    </w:p>
    <w:p w14:paraId="511446D1" w14:textId="77777777" w:rsidR="002B1DE5" w:rsidRPr="004616FD" w:rsidRDefault="002B1DE5" w:rsidP="00874CEE">
      <w:pPr>
        <w:jc w:val="both"/>
        <w:rPr>
          <w:i/>
          <w:iCs/>
        </w:rPr>
      </w:pPr>
      <w:r w:rsidRPr="004616FD">
        <w:rPr>
          <w:i/>
          <w:iCs/>
        </w:rPr>
        <w:t xml:space="preserve">49. Rogoff, Kenneth. The Curse of Cash. Princeton University Press, 2016.  </w:t>
      </w:r>
    </w:p>
    <w:p w14:paraId="11ED9353" w14:textId="77777777" w:rsidR="002B1DE5" w:rsidRPr="004616FD" w:rsidRDefault="002B1DE5" w:rsidP="00874CEE">
      <w:pPr>
        <w:jc w:val="both"/>
        <w:rPr>
          <w:i/>
          <w:iCs/>
        </w:rPr>
      </w:pPr>
      <w:r w:rsidRPr="004616FD">
        <w:rPr>
          <w:i/>
          <w:iCs/>
        </w:rPr>
        <w:t>50. BIS. Inflation Dynamics in a Post</w:t>
      </w:r>
      <w:r w:rsidRPr="004616FD">
        <w:rPr>
          <w:rFonts w:ascii="Cambria Math" w:hAnsi="Cambria Math" w:cs="Cambria Math"/>
          <w:i/>
          <w:iCs/>
        </w:rPr>
        <w:t>‑</w:t>
      </w:r>
      <w:r w:rsidRPr="004616FD">
        <w:rPr>
          <w:i/>
          <w:iCs/>
        </w:rPr>
        <w:t xml:space="preserve">Pandemic World, 2023.  </w:t>
      </w:r>
    </w:p>
    <w:p w14:paraId="623990FF" w14:textId="77777777" w:rsidR="002B1DE5" w:rsidRPr="004616FD" w:rsidRDefault="002B1DE5" w:rsidP="00874CEE">
      <w:pPr>
        <w:jc w:val="both"/>
        <w:rPr>
          <w:i/>
          <w:iCs/>
        </w:rPr>
      </w:pPr>
      <w:r w:rsidRPr="004616FD">
        <w:rPr>
          <w:i/>
          <w:iCs/>
        </w:rPr>
        <w:t>51. OECD. Global Inflation Outlook 2024.</w:t>
      </w:r>
    </w:p>
    <w:p w14:paraId="20DB6AFE" w14:textId="77777777" w:rsidR="002B1DE5" w:rsidRPr="004616FD" w:rsidRDefault="002B1DE5" w:rsidP="00874CEE">
      <w:pPr>
        <w:jc w:val="both"/>
        <w:rPr>
          <w:i/>
          <w:iCs/>
          <w:u w:val="single"/>
        </w:rPr>
      </w:pPr>
      <w:r w:rsidRPr="004616FD">
        <w:rPr>
          <w:i/>
          <w:iCs/>
          <w:u w:val="single"/>
        </w:rPr>
        <w:t>Bitcoin, Digital Assets &amp; Financial Innovation</w:t>
      </w:r>
    </w:p>
    <w:p w14:paraId="1CA459FB" w14:textId="77777777" w:rsidR="002B1DE5" w:rsidRPr="004616FD" w:rsidRDefault="002B1DE5" w:rsidP="00874CEE">
      <w:pPr>
        <w:jc w:val="both"/>
        <w:rPr>
          <w:i/>
          <w:iCs/>
        </w:rPr>
      </w:pPr>
      <w:r w:rsidRPr="004616FD">
        <w:rPr>
          <w:i/>
          <w:iCs/>
        </w:rPr>
        <w:t>52. European Central Bank. Crypto</w:t>
      </w:r>
      <w:r w:rsidRPr="004616FD">
        <w:rPr>
          <w:rFonts w:ascii="Cambria Math" w:hAnsi="Cambria Math" w:cs="Cambria Math"/>
          <w:i/>
          <w:iCs/>
        </w:rPr>
        <w:t>‑</w:t>
      </w:r>
      <w:r w:rsidRPr="004616FD">
        <w:rPr>
          <w:i/>
          <w:iCs/>
        </w:rPr>
        <w:t xml:space="preserve">Assets: Developments and Policy Implications, 2023.  </w:t>
      </w:r>
    </w:p>
    <w:p w14:paraId="681CC580" w14:textId="77777777" w:rsidR="002B1DE5" w:rsidRPr="004616FD" w:rsidRDefault="002B1DE5" w:rsidP="00874CEE">
      <w:pPr>
        <w:jc w:val="both"/>
        <w:rPr>
          <w:i/>
          <w:iCs/>
        </w:rPr>
      </w:pPr>
      <w:r w:rsidRPr="004616FD">
        <w:rPr>
          <w:i/>
          <w:iCs/>
        </w:rPr>
        <w:t>53. Bank of England. “Financial Stability Implications of Crypto</w:t>
      </w:r>
      <w:r w:rsidRPr="004616FD">
        <w:rPr>
          <w:rFonts w:ascii="Cambria Math" w:hAnsi="Cambria Math" w:cs="Cambria Math"/>
          <w:i/>
          <w:iCs/>
        </w:rPr>
        <w:t>‑</w:t>
      </w:r>
      <w:r w:rsidRPr="004616FD">
        <w:rPr>
          <w:i/>
          <w:iCs/>
        </w:rPr>
        <w:t>Assets,</w:t>
      </w:r>
      <w:r w:rsidRPr="004616FD">
        <w:rPr>
          <w:rFonts w:ascii="Aptos" w:hAnsi="Aptos" w:cs="Aptos"/>
          <w:i/>
          <w:iCs/>
        </w:rPr>
        <w:t>”</w:t>
      </w:r>
      <w:r w:rsidRPr="004616FD">
        <w:rPr>
          <w:i/>
          <w:iCs/>
        </w:rPr>
        <w:t xml:space="preserve"> 2022.  </w:t>
      </w:r>
    </w:p>
    <w:p w14:paraId="32D1BF1B" w14:textId="0C59D5A3" w:rsidR="002B1DE5" w:rsidRPr="004616FD" w:rsidRDefault="002B1DE5" w:rsidP="00874CEE">
      <w:pPr>
        <w:jc w:val="both"/>
        <w:rPr>
          <w:i/>
          <w:iCs/>
        </w:rPr>
      </w:pPr>
      <w:r w:rsidRPr="004616FD">
        <w:rPr>
          <w:i/>
          <w:iCs/>
        </w:rPr>
        <w:t xml:space="preserve">54. </w:t>
      </w:r>
      <w:r w:rsidR="005B30FB" w:rsidRPr="004616FD">
        <w:rPr>
          <w:i/>
          <w:iCs/>
        </w:rPr>
        <w:t>Coin Shares</w:t>
      </w:r>
      <w:r w:rsidRPr="004616FD">
        <w:rPr>
          <w:i/>
          <w:iCs/>
        </w:rPr>
        <w:t xml:space="preserve"> Research. Digital Asset Fund Flows Report, 2024.  </w:t>
      </w:r>
    </w:p>
    <w:p w14:paraId="339D2F19" w14:textId="77777777" w:rsidR="002B1DE5" w:rsidRPr="004616FD" w:rsidRDefault="002B1DE5" w:rsidP="00874CEE">
      <w:pPr>
        <w:jc w:val="both"/>
        <w:rPr>
          <w:i/>
          <w:iCs/>
        </w:rPr>
      </w:pPr>
      <w:r w:rsidRPr="004616FD">
        <w:rPr>
          <w:i/>
          <w:iCs/>
        </w:rPr>
        <w:t>55. Catalini, Christian, and Joshua Gans. “Some Simple Economics of the Blockchain.” MIT Sloan Research Paper, 2016.</w:t>
      </w:r>
    </w:p>
    <w:p w14:paraId="0904187F" w14:textId="77777777" w:rsidR="002B1DE5" w:rsidRPr="004616FD" w:rsidRDefault="002B1DE5" w:rsidP="00874CEE">
      <w:pPr>
        <w:jc w:val="both"/>
        <w:rPr>
          <w:i/>
          <w:iCs/>
          <w:u w:val="single"/>
        </w:rPr>
      </w:pPr>
      <w:r w:rsidRPr="004616FD">
        <w:rPr>
          <w:i/>
          <w:iCs/>
          <w:u w:val="single"/>
        </w:rPr>
        <w:t>Silver, Industrial Metals &amp; Technology</w:t>
      </w:r>
    </w:p>
    <w:p w14:paraId="7D2C81B2" w14:textId="77777777" w:rsidR="002B1DE5" w:rsidRPr="004616FD" w:rsidRDefault="002B1DE5" w:rsidP="00874CEE">
      <w:pPr>
        <w:jc w:val="both"/>
        <w:rPr>
          <w:i/>
          <w:iCs/>
        </w:rPr>
      </w:pPr>
      <w:r w:rsidRPr="004616FD">
        <w:rPr>
          <w:i/>
          <w:iCs/>
        </w:rPr>
        <w:t xml:space="preserve">56. US Department of Energy. Critical Materials Assessment 2024.  </w:t>
      </w:r>
    </w:p>
    <w:p w14:paraId="2F788765" w14:textId="77777777" w:rsidR="002B1DE5" w:rsidRPr="004616FD" w:rsidRDefault="002B1DE5" w:rsidP="00874CEE">
      <w:pPr>
        <w:jc w:val="both"/>
        <w:rPr>
          <w:i/>
          <w:iCs/>
        </w:rPr>
      </w:pPr>
      <w:r w:rsidRPr="004616FD">
        <w:rPr>
          <w:i/>
          <w:iCs/>
        </w:rPr>
        <w:t xml:space="preserve">57. Fraunhofer Institute. “Advances in Photovoltaic Efficiency and Silver Use,” 2023.  </w:t>
      </w:r>
    </w:p>
    <w:p w14:paraId="3DEEFFBD" w14:textId="77777777" w:rsidR="002B1DE5" w:rsidRPr="004616FD" w:rsidRDefault="002B1DE5" w:rsidP="00874CEE">
      <w:pPr>
        <w:jc w:val="both"/>
        <w:rPr>
          <w:i/>
          <w:iCs/>
        </w:rPr>
      </w:pPr>
      <w:r w:rsidRPr="004616FD">
        <w:rPr>
          <w:i/>
          <w:iCs/>
        </w:rPr>
        <w:t xml:space="preserve">58. International Renewable Energy Agency. Solar PV Materials Outlook 2030, 2024.  </w:t>
      </w:r>
    </w:p>
    <w:p w14:paraId="68EDDA06" w14:textId="5CE3B534" w:rsidR="002B1DE5" w:rsidRPr="004616FD" w:rsidRDefault="002B1DE5" w:rsidP="00874CEE">
      <w:pPr>
        <w:jc w:val="both"/>
        <w:rPr>
          <w:i/>
          <w:iCs/>
        </w:rPr>
      </w:pPr>
      <w:r w:rsidRPr="004616FD">
        <w:rPr>
          <w:i/>
          <w:iCs/>
        </w:rPr>
        <w:t>59. Deloitte. Global Manufacturing Competitiveness Index 2024.</w:t>
      </w:r>
    </w:p>
    <w:p w14:paraId="07D20C2C" w14:textId="77777777" w:rsidR="002B1DE5" w:rsidRPr="004616FD" w:rsidRDefault="002B1DE5" w:rsidP="00874CEE">
      <w:pPr>
        <w:jc w:val="both"/>
        <w:rPr>
          <w:i/>
          <w:iCs/>
          <w:u w:val="single"/>
        </w:rPr>
      </w:pPr>
      <w:r w:rsidRPr="004616FD">
        <w:rPr>
          <w:i/>
          <w:iCs/>
          <w:u w:val="single"/>
        </w:rPr>
        <w:t>Portfolio Diversification, Risk Management &amp; Asset Allocation</w:t>
      </w:r>
    </w:p>
    <w:p w14:paraId="2029AE5B" w14:textId="77777777" w:rsidR="002B1DE5" w:rsidRPr="004616FD" w:rsidRDefault="002B1DE5" w:rsidP="00874CEE">
      <w:pPr>
        <w:jc w:val="both"/>
        <w:rPr>
          <w:i/>
          <w:iCs/>
        </w:rPr>
      </w:pPr>
      <w:r w:rsidRPr="004616FD">
        <w:rPr>
          <w:i/>
          <w:iCs/>
        </w:rPr>
        <w:t xml:space="preserve">60. CFA Institute. The Role of Commodities in Strategic Asset Allocation, 2023.  </w:t>
      </w:r>
    </w:p>
    <w:p w14:paraId="7A129FA3" w14:textId="77777777" w:rsidR="002B1DE5" w:rsidRPr="004616FD" w:rsidRDefault="002B1DE5" w:rsidP="00874CEE">
      <w:pPr>
        <w:jc w:val="both"/>
        <w:rPr>
          <w:i/>
          <w:iCs/>
        </w:rPr>
      </w:pPr>
      <w:r w:rsidRPr="004616FD">
        <w:rPr>
          <w:i/>
          <w:iCs/>
        </w:rPr>
        <w:t>61. JP Morgan Asset Management. Long</w:t>
      </w:r>
      <w:r w:rsidRPr="004616FD">
        <w:rPr>
          <w:rFonts w:ascii="Cambria Math" w:hAnsi="Cambria Math" w:cs="Cambria Math"/>
          <w:i/>
          <w:iCs/>
        </w:rPr>
        <w:t>‑</w:t>
      </w:r>
      <w:r w:rsidRPr="004616FD">
        <w:rPr>
          <w:i/>
          <w:iCs/>
        </w:rPr>
        <w:t xml:space="preserve">Term Capital Market Assumptions 2024.  </w:t>
      </w:r>
    </w:p>
    <w:p w14:paraId="37833477" w14:textId="77777777" w:rsidR="002B1DE5" w:rsidRPr="004616FD" w:rsidRDefault="002B1DE5" w:rsidP="00874CEE">
      <w:pPr>
        <w:jc w:val="both"/>
        <w:rPr>
          <w:i/>
          <w:iCs/>
        </w:rPr>
      </w:pPr>
      <w:r w:rsidRPr="004616FD">
        <w:rPr>
          <w:i/>
          <w:iCs/>
        </w:rPr>
        <w:t>62. Vanguard Research. “Portfolio Diversification in a Low</w:t>
      </w:r>
      <w:r w:rsidRPr="004616FD">
        <w:rPr>
          <w:rFonts w:ascii="Cambria Math" w:hAnsi="Cambria Math" w:cs="Cambria Math"/>
          <w:i/>
          <w:iCs/>
        </w:rPr>
        <w:t>‑</w:t>
      </w:r>
      <w:r w:rsidRPr="004616FD">
        <w:rPr>
          <w:i/>
          <w:iCs/>
        </w:rPr>
        <w:t>Yield World,</w:t>
      </w:r>
      <w:r w:rsidRPr="004616FD">
        <w:rPr>
          <w:rFonts w:ascii="Aptos" w:hAnsi="Aptos" w:cs="Aptos"/>
          <w:i/>
          <w:iCs/>
        </w:rPr>
        <w:t>”</w:t>
      </w:r>
      <w:r w:rsidRPr="004616FD">
        <w:rPr>
          <w:i/>
          <w:iCs/>
        </w:rPr>
        <w:t xml:space="preserve"> 2023.  </w:t>
      </w:r>
    </w:p>
    <w:p w14:paraId="4046C5DA" w14:textId="4647A638" w:rsidR="002B1DE5" w:rsidRPr="004616FD" w:rsidRDefault="002B1DE5" w:rsidP="00874CEE">
      <w:pPr>
        <w:jc w:val="both"/>
        <w:rPr>
          <w:i/>
          <w:iCs/>
        </w:rPr>
      </w:pPr>
      <w:r w:rsidRPr="004616FD">
        <w:rPr>
          <w:i/>
          <w:iCs/>
        </w:rPr>
        <w:t>63. Bridgewater Associates. Understanding the Long</w:t>
      </w:r>
      <w:r w:rsidRPr="004616FD">
        <w:rPr>
          <w:rFonts w:ascii="Cambria Math" w:hAnsi="Cambria Math" w:cs="Cambria Math"/>
          <w:i/>
          <w:iCs/>
        </w:rPr>
        <w:t>‑</w:t>
      </w:r>
      <w:r w:rsidRPr="004616FD">
        <w:rPr>
          <w:i/>
          <w:iCs/>
        </w:rPr>
        <w:t>Term Debt Cycle, 2020.</w:t>
      </w:r>
    </w:p>
    <w:p w14:paraId="76211A87" w14:textId="77777777" w:rsidR="002B1DE5" w:rsidRPr="004616FD" w:rsidRDefault="002B1DE5" w:rsidP="00874CEE">
      <w:pPr>
        <w:jc w:val="both"/>
        <w:rPr>
          <w:i/>
          <w:iCs/>
          <w:u w:val="single"/>
        </w:rPr>
      </w:pPr>
      <w:r w:rsidRPr="004616FD">
        <w:rPr>
          <w:i/>
          <w:iCs/>
          <w:u w:val="single"/>
        </w:rPr>
        <w:t>Emerging Markets, Household Wealth &amp; Cultural Economics</w:t>
      </w:r>
    </w:p>
    <w:p w14:paraId="6F03A12E" w14:textId="77777777" w:rsidR="002B1DE5" w:rsidRPr="004616FD" w:rsidRDefault="002B1DE5" w:rsidP="00874CEE">
      <w:pPr>
        <w:jc w:val="both"/>
        <w:rPr>
          <w:i/>
          <w:iCs/>
        </w:rPr>
      </w:pPr>
      <w:r w:rsidRPr="004616FD">
        <w:rPr>
          <w:i/>
          <w:iCs/>
        </w:rPr>
        <w:t xml:space="preserve">64. World Bank. Global Economic Prospects 2024.  </w:t>
      </w:r>
    </w:p>
    <w:p w14:paraId="794B5087" w14:textId="77777777" w:rsidR="002B1DE5" w:rsidRPr="004616FD" w:rsidRDefault="002B1DE5" w:rsidP="00874CEE">
      <w:pPr>
        <w:jc w:val="both"/>
        <w:rPr>
          <w:i/>
          <w:iCs/>
        </w:rPr>
      </w:pPr>
      <w:r w:rsidRPr="004616FD">
        <w:rPr>
          <w:i/>
          <w:iCs/>
        </w:rPr>
        <w:t xml:space="preserve">65. Asian Development Bank. Household Wealth and Informal Savings in Asia, 2023.  </w:t>
      </w:r>
    </w:p>
    <w:p w14:paraId="595D3DC2" w14:textId="77777777" w:rsidR="002B1DE5" w:rsidRPr="004616FD" w:rsidRDefault="002B1DE5" w:rsidP="00874CEE">
      <w:pPr>
        <w:jc w:val="both"/>
        <w:rPr>
          <w:i/>
          <w:iCs/>
        </w:rPr>
      </w:pPr>
      <w:r w:rsidRPr="004616FD">
        <w:rPr>
          <w:i/>
          <w:iCs/>
        </w:rPr>
        <w:t xml:space="preserve">66. Reserve Bank of India. Report on Currency and Finance 2024.  </w:t>
      </w:r>
    </w:p>
    <w:p w14:paraId="36238FE4" w14:textId="530930C2" w:rsidR="002B1DE5" w:rsidRPr="004616FD" w:rsidRDefault="002B1DE5" w:rsidP="00874CEE">
      <w:pPr>
        <w:jc w:val="both"/>
        <w:rPr>
          <w:i/>
          <w:iCs/>
        </w:rPr>
      </w:pPr>
      <w:r w:rsidRPr="004616FD">
        <w:rPr>
          <w:i/>
          <w:iCs/>
        </w:rPr>
        <w:t>67. UNDP. Human Development and Financial Inclusion Report, 2023.</w:t>
      </w:r>
    </w:p>
    <w:p w14:paraId="0D53F13A" w14:textId="7B1D81F3" w:rsidR="002B1DE5" w:rsidRPr="004616FD" w:rsidRDefault="002B1DE5" w:rsidP="00874CEE">
      <w:pPr>
        <w:jc w:val="both"/>
        <w:rPr>
          <w:i/>
          <w:iCs/>
          <w:u w:val="single"/>
        </w:rPr>
      </w:pPr>
      <w:r w:rsidRPr="004616FD">
        <w:rPr>
          <w:i/>
          <w:iCs/>
          <w:u w:val="single"/>
        </w:rPr>
        <w:t xml:space="preserve">Global Metals, Supply Chains &amp; </w:t>
      </w:r>
      <w:r w:rsidR="005B30FB" w:rsidRPr="004616FD">
        <w:rPr>
          <w:i/>
          <w:iCs/>
          <w:u w:val="single"/>
        </w:rPr>
        <w:t>Outlook</w:t>
      </w:r>
    </w:p>
    <w:p w14:paraId="6859F7EA" w14:textId="77777777" w:rsidR="002B1DE5" w:rsidRPr="004616FD" w:rsidRDefault="002B1DE5" w:rsidP="00874CEE">
      <w:pPr>
        <w:jc w:val="both"/>
        <w:rPr>
          <w:i/>
          <w:iCs/>
        </w:rPr>
      </w:pPr>
      <w:r w:rsidRPr="004616FD">
        <w:rPr>
          <w:i/>
          <w:iCs/>
        </w:rPr>
        <w:t xml:space="preserve">68. International Monetary Fund. Commodity Market Developments and Forecasts, 2024.  </w:t>
      </w:r>
    </w:p>
    <w:p w14:paraId="5E88AE89" w14:textId="77777777" w:rsidR="002B1DE5" w:rsidRPr="004616FD" w:rsidRDefault="002B1DE5" w:rsidP="00874CEE">
      <w:pPr>
        <w:jc w:val="both"/>
        <w:rPr>
          <w:i/>
          <w:iCs/>
        </w:rPr>
      </w:pPr>
      <w:r w:rsidRPr="004616FD">
        <w:rPr>
          <w:i/>
          <w:iCs/>
        </w:rPr>
        <w:t xml:space="preserve">69. World Economic Forum. Future of Critical Minerals and Metals, 2024.  </w:t>
      </w:r>
    </w:p>
    <w:p w14:paraId="3C9CB881" w14:textId="77777777" w:rsidR="002B1DE5" w:rsidRPr="004616FD" w:rsidRDefault="002B1DE5" w:rsidP="00874CEE">
      <w:pPr>
        <w:jc w:val="both"/>
        <w:rPr>
          <w:i/>
          <w:iCs/>
        </w:rPr>
      </w:pPr>
      <w:r w:rsidRPr="004616FD">
        <w:rPr>
          <w:i/>
          <w:iCs/>
        </w:rPr>
        <w:t xml:space="preserve">70. KPMG. Global Mining Outlook 2024.  </w:t>
      </w:r>
    </w:p>
    <w:p w14:paraId="44E3BC3F" w14:textId="635EF491" w:rsidR="00A3260C" w:rsidRPr="004616FD" w:rsidRDefault="002B1DE5" w:rsidP="00874CEE">
      <w:pPr>
        <w:jc w:val="both"/>
        <w:rPr>
          <w:i/>
          <w:iCs/>
        </w:rPr>
      </w:pPr>
      <w:r w:rsidRPr="004616FD">
        <w:rPr>
          <w:i/>
          <w:iCs/>
        </w:rPr>
        <w:t>71. CRU Group. Precious Metals Long</w:t>
      </w:r>
      <w:r w:rsidRPr="004616FD">
        <w:rPr>
          <w:rFonts w:ascii="Cambria Math" w:hAnsi="Cambria Math" w:cs="Cambria Math"/>
          <w:i/>
          <w:iCs/>
        </w:rPr>
        <w:t>‑</w:t>
      </w:r>
      <w:r w:rsidRPr="004616FD">
        <w:rPr>
          <w:i/>
          <w:iCs/>
        </w:rPr>
        <w:t>Term Market Outlook, 2024.</w:t>
      </w:r>
    </w:p>
    <w:p w14:paraId="74CA4857" w14:textId="77777777" w:rsidR="004616FD" w:rsidRPr="004616FD" w:rsidRDefault="004616FD" w:rsidP="00874CEE">
      <w:pPr>
        <w:jc w:val="both"/>
        <w:rPr>
          <w:i/>
          <w:iCs/>
          <w:u w:val="single"/>
        </w:rPr>
      </w:pPr>
      <w:r w:rsidRPr="004616FD">
        <w:rPr>
          <w:i/>
          <w:iCs/>
          <w:u w:val="single"/>
        </w:rPr>
        <w:t>Monetary Systems, Currency History &amp; Global Finance</w:t>
      </w:r>
    </w:p>
    <w:p w14:paraId="0F46261F" w14:textId="77777777" w:rsidR="004616FD" w:rsidRPr="004616FD" w:rsidRDefault="004616FD" w:rsidP="00874CEE">
      <w:pPr>
        <w:jc w:val="both"/>
        <w:rPr>
          <w:i/>
          <w:iCs/>
        </w:rPr>
      </w:pPr>
      <w:r w:rsidRPr="004616FD">
        <w:rPr>
          <w:i/>
          <w:iCs/>
        </w:rPr>
        <w:t xml:space="preserve">72. Obstfeld, Maurice, and Kenneth Rogoff. Foundations of International Macroeconomics. MIT Press, 1996.  </w:t>
      </w:r>
    </w:p>
    <w:p w14:paraId="11313820" w14:textId="77777777" w:rsidR="004616FD" w:rsidRPr="004616FD" w:rsidRDefault="004616FD" w:rsidP="00874CEE">
      <w:pPr>
        <w:jc w:val="both"/>
        <w:rPr>
          <w:i/>
          <w:iCs/>
        </w:rPr>
      </w:pPr>
      <w:r w:rsidRPr="004616FD">
        <w:rPr>
          <w:i/>
          <w:iCs/>
        </w:rPr>
        <w:t xml:space="preserve">73. Krugman, Paul, Maurice Obstfeld, and Marc Melitz. International Economics: Theory and Policy. Pearson, 2022.  </w:t>
      </w:r>
    </w:p>
    <w:p w14:paraId="2842D455" w14:textId="77777777" w:rsidR="004616FD" w:rsidRPr="004616FD" w:rsidRDefault="004616FD" w:rsidP="00874CEE">
      <w:pPr>
        <w:jc w:val="both"/>
        <w:rPr>
          <w:i/>
          <w:iCs/>
        </w:rPr>
      </w:pPr>
      <w:r w:rsidRPr="004616FD">
        <w:rPr>
          <w:i/>
          <w:iCs/>
        </w:rPr>
        <w:t xml:space="preserve">74. Bordo, Michael, and Harold James. “The Past and Future of Globalization.” NBER Working Paper, 2019.  </w:t>
      </w:r>
    </w:p>
    <w:p w14:paraId="26D876E7" w14:textId="77777777" w:rsidR="004616FD" w:rsidRPr="004616FD" w:rsidRDefault="004616FD" w:rsidP="00874CEE">
      <w:pPr>
        <w:jc w:val="both"/>
        <w:rPr>
          <w:i/>
          <w:iCs/>
        </w:rPr>
      </w:pPr>
      <w:r w:rsidRPr="004616FD">
        <w:rPr>
          <w:i/>
          <w:iCs/>
        </w:rPr>
        <w:t xml:space="preserve">75. Reinhart, Carmen. “The Return of Global Inflation.” Project Syndicate, 2023.  </w:t>
      </w:r>
    </w:p>
    <w:p w14:paraId="59565455" w14:textId="72AC4B89" w:rsidR="004616FD" w:rsidRPr="004616FD" w:rsidRDefault="004616FD" w:rsidP="00874CEE">
      <w:pPr>
        <w:jc w:val="both"/>
        <w:rPr>
          <w:i/>
          <w:iCs/>
        </w:rPr>
      </w:pPr>
      <w:r w:rsidRPr="004616FD">
        <w:rPr>
          <w:i/>
          <w:iCs/>
        </w:rPr>
        <w:t xml:space="preserve">76. </w:t>
      </w:r>
      <w:r w:rsidR="005B30FB" w:rsidRPr="004616FD">
        <w:rPr>
          <w:i/>
          <w:iCs/>
        </w:rPr>
        <w:t>Eichen green</w:t>
      </w:r>
      <w:r w:rsidRPr="004616FD">
        <w:rPr>
          <w:i/>
          <w:iCs/>
        </w:rPr>
        <w:t xml:space="preserve">, Barry. Globalizing Capital: A History of the International Monetary System. Princeton University Press, 2019.  </w:t>
      </w:r>
    </w:p>
    <w:p w14:paraId="4E724045" w14:textId="542C20D6" w:rsidR="004616FD" w:rsidRPr="004616FD" w:rsidRDefault="004616FD" w:rsidP="00874CEE">
      <w:pPr>
        <w:jc w:val="both"/>
        <w:rPr>
          <w:i/>
          <w:iCs/>
        </w:rPr>
      </w:pPr>
      <w:r w:rsidRPr="004616FD">
        <w:rPr>
          <w:i/>
          <w:iCs/>
        </w:rPr>
        <w:t>77. Rogoff, Kenneth. “Costs and Benefits of Phasing Out Paper Currency.” NBER Working Paper, 2014.</w:t>
      </w:r>
    </w:p>
    <w:p w14:paraId="1018848A" w14:textId="498AE3F8" w:rsidR="004616FD" w:rsidRPr="004616FD" w:rsidRDefault="004616FD" w:rsidP="00874CEE">
      <w:pPr>
        <w:jc w:val="both"/>
        <w:rPr>
          <w:i/>
          <w:iCs/>
          <w:u w:val="single"/>
        </w:rPr>
      </w:pPr>
      <w:r w:rsidRPr="004616FD">
        <w:rPr>
          <w:i/>
          <w:iCs/>
          <w:u w:val="single"/>
        </w:rPr>
        <w:t>Gold, Safe</w:t>
      </w:r>
      <w:r w:rsidRPr="004616FD">
        <w:rPr>
          <w:rFonts w:ascii="Cambria Math" w:hAnsi="Cambria Math" w:cs="Cambria Math"/>
          <w:i/>
          <w:iCs/>
          <w:u w:val="single"/>
        </w:rPr>
        <w:t>‑</w:t>
      </w:r>
      <w:r w:rsidRPr="004616FD">
        <w:rPr>
          <w:i/>
          <w:iCs/>
          <w:u w:val="single"/>
        </w:rPr>
        <w:t xml:space="preserve">Haven </w:t>
      </w:r>
      <w:r w:rsidR="005B30FB" w:rsidRPr="004616FD">
        <w:rPr>
          <w:i/>
          <w:iCs/>
          <w:u w:val="single"/>
        </w:rPr>
        <w:t>Behaviour</w:t>
      </w:r>
      <w:r w:rsidRPr="004616FD">
        <w:rPr>
          <w:i/>
          <w:iCs/>
          <w:u w:val="single"/>
        </w:rPr>
        <w:t xml:space="preserve"> &amp; Crisis Economics</w:t>
      </w:r>
    </w:p>
    <w:p w14:paraId="17A16413" w14:textId="77777777" w:rsidR="004616FD" w:rsidRPr="004616FD" w:rsidRDefault="004616FD" w:rsidP="00874CEE">
      <w:pPr>
        <w:jc w:val="both"/>
        <w:rPr>
          <w:i/>
          <w:iCs/>
        </w:rPr>
      </w:pPr>
      <w:r w:rsidRPr="004616FD">
        <w:rPr>
          <w:i/>
          <w:iCs/>
        </w:rPr>
        <w:t xml:space="preserve">78. Batten, Jonathan, et al. “Gold: A Safe Haven or a Hedge?” Finance Research Letters 30 (2019).  </w:t>
      </w:r>
    </w:p>
    <w:p w14:paraId="2588DA63" w14:textId="77777777" w:rsidR="004616FD" w:rsidRPr="004616FD" w:rsidRDefault="004616FD" w:rsidP="00874CEE">
      <w:pPr>
        <w:jc w:val="both"/>
        <w:rPr>
          <w:i/>
          <w:iCs/>
        </w:rPr>
      </w:pPr>
      <w:r w:rsidRPr="004616FD">
        <w:rPr>
          <w:i/>
          <w:iCs/>
        </w:rPr>
        <w:t>79. Ciner, Cetin. “On the Long</w:t>
      </w:r>
      <w:r w:rsidRPr="004616FD">
        <w:rPr>
          <w:rFonts w:ascii="Cambria Math" w:hAnsi="Cambria Math" w:cs="Cambria Math"/>
          <w:i/>
          <w:iCs/>
        </w:rPr>
        <w:t>‑</w:t>
      </w:r>
      <w:r w:rsidRPr="004616FD">
        <w:rPr>
          <w:i/>
          <w:iCs/>
        </w:rPr>
        <w:t>Run Relationship Between Gold and Silver Prices.</w:t>
      </w:r>
      <w:r w:rsidRPr="004616FD">
        <w:rPr>
          <w:rFonts w:ascii="Aptos" w:hAnsi="Aptos" w:cs="Aptos"/>
          <w:i/>
          <w:iCs/>
        </w:rPr>
        <w:t>”</w:t>
      </w:r>
      <w:r w:rsidRPr="004616FD">
        <w:rPr>
          <w:i/>
          <w:iCs/>
        </w:rPr>
        <w:t xml:space="preserve"> Global Finance Journal 12 (2001).  </w:t>
      </w:r>
    </w:p>
    <w:p w14:paraId="0E2EC542" w14:textId="0CC47C42" w:rsidR="004616FD" w:rsidRPr="004616FD" w:rsidRDefault="004616FD" w:rsidP="00874CEE">
      <w:pPr>
        <w:jc w:val="both"/>
        <w:rPr>
          <w:i/>
          <w:iCs/>
        </w:rPr>
      </w:pPr>
      <w:r w:rsidRPr="004616FD">
        <w:rPr>
          <w:i/>
          <w:iCs/>
        </w:rPr>
        <w:t xml:space="preserve">80. </w:t>
      </w:r>
      <w:r w:rsidR="005B30FB" w:rsidRPr="004616FD">
        <w:rPr>
          <w:i/>
          <w:iCs/>
        </w:rPr>
        <w:t>Bambinas</w:t>
      </w:r>
      <w:r w:rsidRPr="004616FD">
        <w:rPr>
          <w:i/>
          <w:iCs/>
        </w:rPr>
        <w:t xml:space="preserve">, Georgios, and Theodore Panagiotidis. “Are Gold and Silver a Hedge Against Inflation?” International Review of Financial Analysis 41 (2015).  </w:t>
      </w:r>
    </w:p>
    <w:p w14:paraId="33523EC8" w14:textId="77777777" w:rsidR="004616FD" w:rsidRPr="004616FD" w:rsidRDefault="004616FD" w:rsidP="00874CEE">
      <w:pPr>
        <w:jc w:val="both"/>
        <w:rPr>
          <w:i/>
          <w:iCs/>
        </w:rPr>
      </w:pPr>
      <w:r w:rsidRPr="004616FD">
        <w:rPr>
          <w:i/>
          <w:iCs/>
        </w:rPr>
        <w:t xml:space="preserve">81. World Bank. Global Economic Prospects: Commodity Markets, 2023.  </w:t>
      </w:r>
    </w:p>
    <w:p w14:paraId="19B7375F" w14:textId="77AC6612" w:rsidR="004616FD" w:rsidRPr="004616FD" w:rsidRDefault="004616FD" w:rsidP="00874CEE">
      <w:pPr>
        <w:jc w:val="both"/>
        <w:rPr>
          <w:i/>
          <w:iCs/>
        </w:rPr>
      </w:pPr>
      <w:r w:rsidRPr="004616FD">
        <w:rPr>
          <w:i/>
          <w:iCs/>
        </w:rPr>
        <w:t>82. Ghosh, Dipak, et al. “Gold as an Inflation Hedge?” Journal of Financial Research 27 (2004).</w:t>
      </w:r>
    </w:p>
    <w:p w14:paraId="24D4025E" w14:textId="77777777" w:rsidR="004616FD" w:rsidRPr="004616FD" w:rsidRDefault="004616FD" w:rsidP="00874CEE">
      <w:pPr>
        <w:jc w:val="both"/>
        <w:rPr>
          <w:i/>
          <w:iCs/>
          <w:u w:val="single"/>
        </w:rPr>
      </w:pPr>
      <w:r w:rsidRPr="004616FD">
        <w:rPr>
          <w:i/>
          <w:iCs/>
          <w:u w:val="single"/>
        </w:rPr>
        <w:t>Silver, Industrial Demand &amp; Technology</w:t>
      </w:r>
    </w:p>
    <w:p w14:paraId="746B953B" w14:textId="77777777" w:rsidR="004616FD" w:rsidRPr="004616FD" w:rsidRDefault="004616FD" w:rsidP="00874CEE">
      <w:pPr>
        <w:jc w:val="both"/>
        <w:rPr>
          <w:i/>
          <w:iCs/>
        </w:rPr>
      </w:pPr>
      <w:r w:rsidRPr="004616FD">
        <w:rPr>
          <w:i/>
          <w:iCs/>
        </w:rPr>
        <w:t xml:space="preserve">83. USGS. Mineral Commodity Summaries: Silver, 2024.  </w:t>
      </w:r>
    </w:p>
    <w:p w14:paraId="5E48E467" w14:textId="77777777" w:rsidR="004616FD" w:rsidRPr="004616FD" w:rsidRDefault="004616FD" w:rsidP="00874CEE">
      <w:pPr>
        <w:jc w:val="both"/>
        <w:rPr>
          <w:i/>
          <w:iCs/>
        </w:rPr>
      </w:pPr>
      <w:r w:rsidRPr="004616FD">
        <w:rPr>
          <w:i/>
          <w:iCs/>
        </w:rPr>
        <w:t xml:space="preserve">84. International Energy Agency. Critical Minerals for Clean Energy, 2023.  </w:t>
      </w:r>
    </w:p>
    <w:p w14:paraId="2D6F39E2" w14:textId="7E412E75" w:rsidR="004616FD" w:rsidRPr="004616FD" w:rsidRDefault="004616FD" w:rsidP="00874CEE">
      <w:pPr>
        <w:jc w:val="both"/>
        <w:rPr>
          <w:i/>
          <w:iCs/>
        </w:rPr>
      </w:pPr>
      <w:r w:rsidRPr="004616FD">
        <w:rPr>
          <w:i/>
          <w:iCs/>
        </w:rPr>
        <w:t xml:space="preserve">85. </w:t>
      </w:r>
      <w:r w:rsidR="005B30FB" w:rsidRPr="004616FD">
        <w:rPr>
          <w:i/>
          <w:iCs/>
        </w:rPr>
        <w:t>Bloomberg NEF</w:t>
      </w:r>
      <w:r w:rsidRPr="004616FD">
        <w:rPr>
          <w:i/>
          <w:iCs/>
        </w:rPr>
        <w:t xml:space="preserve">. Solar PV Market Outlook 2024.  </w:t>
      </w:r>
    </w:p>
    <w:p w14:paraId="1F0C4D40" w14:textId="77777777" w:rsidR="004616FD" w:rsidRPr="004616FD" w:rsidRDefault="004616FD" w:rsidP="00874CEE">
      <w:pPr>
        <w:jc w:val="both"/>
        <w:rPr>
          <w:i/>
          <w:iCs/>
        </w:rPr>
      </w:pPr>
      <w:r w:rsidRPr="004616FD">
        <w:rPr>
          <w:i/>
          <w:iCs/>
        </w:rPr>
        <w:t xml:space="preserve">86. Wood Mackenzie. Global Solar Supply Chain Report, 2024.  </w:t>
      </w:r>
    </w:p>
    <w:p w14:paraId="35FC41EE" w14:textId="77777777" w:rsidR="004616FD" w:rsidRPr="004616FD" w:rsidRDefault="004616FD" w:rsidP="00874CEE">
      <w:pPr>
        <w:jc w:val="both"/>
        <w:rPr>
          <w:i/>
          <w:iCs/>
        </w:rPr>
      </w:pPr>
      <w:r w:rsidRPr="004616FD">
        <w:rPr>
          <w:i/>
          <w:iCs/>
        </w:rPr>
        <w:t xml:space="preserve">87. Deloitte. 2024 Renewable Energy Industry Outlook.  </w:t>
      </w:r>
    </w:p>
    <w:p w14:paraId="4A121E89" w14:textId="3FFFD3D6" w:rsidR="004616FD" w:rsidRPr="004616FD" w:rsidRDefault="004616FD" w:rsidP="00874CEE">
      <w:pPr>
        <w:jc w:val="both"/>
        <w:rPr>
          <w:i/>
          <w:iCs/>
        </w:rPr>
      </w:pPr>
      <w:r w:rsidRPr="004616FD">
        <w:rPr>
          <w:i/>
          <w:iCs/>
        </w:rPr>
        <w:t>88. Fraunhofer Institute. “Silver Use in High</w:t>
      </w:r>
      <w:r w:rsidRPr="004616FD">
        <w:rPr>
          <w:rFonts w:ascii="Cambria Math" w:hAnsi="Cambria Math" w:cs="Cambria Math"/>
          <w:i/>
          <w:iCs/>
        </w:rPr>
        <w:t>‑</w:t>
      </w:r>
      <w:r w:rsidRPr="004616FD">
        <w:rPr>
          <w:i/>
          <w:iCs/>
        </w:rPr>
        <w:t>Efficiency PV Cells,</w:t>
      </w:r>
      <w:r w:rsidRPr="004616FD">
        <w:rPr>
          <w:rFonts w:ascii="Aptos" w:hAnsi="Aptos" w:cs="Aptos"/>
          <w:i/>
          <w:iCs/>
        </w:rPr>
        <w:t>”</w:t>
      </w:r>
      <w:r w:rsidRPr="004616FD">
        <w:rPr>
          <w:i/>
          <w:iCs/>
        </w:rPr>
        <w:t xml:space="preserve"> 2024.</w:t>
      </w:r>
    </w:p>
    <w:p w14:paraId="342A595E" w14:textId="77777777" w:rsidR="004616FD" w:rsidRPr="004616FD" w:rsidRDefault="004616FD" w:rsidP="00874CEE">
      <w:pPr>
        <w:jc w:val="both"/>
        <w:rPr>
          <w:i/>
          <w:iCs/>
          <w:u w:val="single"/>
        </w:rPr>
      </w:pPr>
      <w:r w:rsidRPr="004616FD">
        <w:rPr>
          <w:i/>
          <w:iCs/>
          <w:u w:val="single"/>
        </w:rPr>
        <w:t>Bitcoin, Blockchain &amp; Digital Finance</w:t>
      </w:r>
    </w:p>
    <w:p w14:paraId="57B33EB1" w14:textId="77777777" w:rsidR="004616FD" w:rsidRPr="004616FD" w:rsidRDefault="004616FD" w:rsidP="00874CEE">
      <w:pPr>
        <w:jc w:val="both"/>
        <w:rPr>
          <w:i/>
          <w:iCs/>
        </w:rPr>
      </w:pPr>
      <w:r w:rsidRPr="004616FD">
        <w:rPr>
          <w:i/>
          <w:iCs/>
        </w:rPr>
        <w:t xml:space="preserve">89. Tapscott, Don, and Alex Tapscott. Blockchain Revolution. Penguin, 2016.  </w:t>
      </w:r>
    </w:p>
    <w:p w14:paraId="1278FA73" w14:textId="77777777" w:rsidR="004616FD" w:rsidRPr="004616FD" w:rsidRDefault="004616FD" w:rsidP="00874CEE">
      <w:pPr>
        <w:jc w:val="both"/>
        <w:rPr>
          <w:i/>
          <w:iCs/>
        </w:rPr>
      </w:pPr>
      <w:r w:rsidRPr="004616FD">
        <w:rPr>
          <w:i/>
          <w:iCs/>
        </w:rPr>
        <w:t xml:space="preserve">90. Antonopoulos, Andreas. Mastering Bitcoin. O’Reilly Media, 2017.  </w:t>
      </w:r>
    </w:p>
    <w:p w14:paraId="462CC1B4" w14:textId="77777777" w:rsidR="004616FD" w:rsidRPr="004616FD" w:rsidRDefault="004616FD" w:rsidP="00874CEE">
      <w:pPr>
        <w:jc w:val="both"/>
        <w:rPr>
          <w:i/>
          <w:iCs/>
        </w:rPr>
      </w:pPr>
      <w:r w:rsidRPr="004616FD">
        <w:rPr>
          <w:i/>
          <w:iCs/>
        </w:rPr>
        <w:t xml:space="preserve">91. Hayes, Adam. “Cryptocurrency Value Formation.” Telematics and Informatics 34 (2017).  </w:t>
      </w:r>
    </w:p>
    <w:p w14:paraId="3E0FEB82" w14:textId="16C20271" w:rsidR="004616FD" w:rsidRPr="004616FD" w:rsidRDefault="004616FD" w:rsidP="00874CEE">
      <w:pPr>
        <w:jc w:val="both"/>
        <w:rPr>
          <w:i/>
          <w:iCs/>
        </w:rPr>
      </w:pPr>
      <w:r w:rsidRPr="004616FD">
        <w:rPr>
          <w:i/>
          <w:iCs/>
        </w:rPr>
        <w:t xml:space="preserve">92. BIS. </w:t>
      </w:r>
      <w:r w:rsidR="005B30FB" w:rsidRPr="004616FD">
        <w:rPr>
          <w:i/>
          <w:iCs/>
        </w:rPr>
        <w:t>Crypto assets</w:t>
      </w:r>
      <w:r w:rsidRPr="004616FD">
        <w:rPr>
          <w:i/>
          <w:iCs/>
        </w:rPr>
        <w:t xml:space="preserve">: Implications for Financial Stability, 2023.  </w:t>
      </w:r>
    </w:p>
    <w:p w14:paraId="03CAC142" w14:textId="77777777" w:rsidR="004616FD" w:rsidRPr="004616FD" w:rsidRDefault="004616FD" w:rsidP="00874CEE">
      <w:pPr>
        <w:jc w:val="both"/>
        <w:rPr>
          <w:i/>
          <w:iCs/>
        </w:rPr>
      </w:pPr>
      <w:r w:rsidRPr="004616FD">
        <w:rPr>
          <w:i/>
          <w:iCs/>
        </w:rPr>
        <w:t>93. IMF. Digital Currencies and the Future of Finance, 2024.</w:t>
      </w:r>
    </w:p>
    <w:p w14:paraId="750447FA" w14:textId="77777777" w:rsidR="004616FD" w:rsidRPr="004616FD" w:rsidRDefault="004616FD" w:rsidP="00874CEE">
      <w:pPr>
        <w:jc w:val="both"/>
        <w:rPr>
          <w:i/>
          <w:iCs/>
          <w:u w:val="single"/>
        </w:rPr>
      </w:pPr>
      <w:r w:rsidRPr="004616FD">
        <w:rPr>
          <w:i/>
          <w:iCs/>
          <w:u w:val="single"/>
        </w:rPr>
        <w:t>Portfolio Diversification, Risk &amp; Asset Allocation</w:t>
      </w:r>
    </w:p>
    <w:p w14:paraId="404A2B9F" w14:textId="77777777" w:rsidR="004616FD" w:rsidRPr="004616FD" w:rsidRDefault="004616FD" w:rsidP="00874CEE">
      <w:pPr>
        <w:jc w:val="both"/>
        <w:rPr>
          <w:i/>
          <w:iCs/>
        </w:rPr>
      </w:pPr>
      <w:r w:rsidRPr="004616FD">
        <w:rPr>
          <w:i/>
          <w:iCs/>
        </w:rPr>
        <w:t>94. Bodie, Zvi, Alex Kane, and Alan Marcus. Investments. McGraw</w:t>
      </w:r>
      <w:r w:rsidRPr="004616FD">
        <w:rPr>
          <w:rFonts w:ascii="Cambria Math" w:hAnsi="Cambria Math" w:cs="Cambria Math"/>
          <w:i/>
          <w:iCs/>
        </w:rPr>
        <w:t>‑</w:t>
      </w:r>
      <w:r w:rsidRPr="004616FD">
        <w:rPr>
          <w:i/>
          <w:iCs/>
        </w:rPr>
        <w:t xml:space="preserve">Hill, 2021.  </w:t>
      </w:r>
    </w:p>
    <w:p w14:paraId="78783884" w14:textId="77777777" w:rsidR="004616FD" w:rsidRPr="004616FD" w:rsidRDefault="004616FD" w:rsidP="00874CEE">
      <w:pPr>
        <w:jc w:val="both"/>
        <w:rPr>
          <w:i/>
          <w:iCs/>
        </w:rPr>
      </w:pPr>
      <w:r w:rsidRPr="004616FD">
        <w:rPr>
          <w:i/>
          <w:iCs/>
        </w:rPr>
        <w:t xml:space="preserve">95. CFA Institute. Commodities as an Asset Class, 2022.  </w:t>
      </w:r>
    </w:p>
    <w:p w14:paraId="371D2447" w14:textId="77777777" w:rsidR="004616FD" w:rsidRPr="004616FD" w:rsidRDefault="004616FD" w:rsidP="00874CEE">
      <w:pPr>
        <w:jc w:val="both"/>
        <w:rPr>
          <w:i/>
          <w:iCs/>
        </w:rPr>
      </w:pPr>
      <w:r w:rsidRPr="004616FD">
        <w:rPr>
          <w:i/>
          <w:iCs/>
        </w:rPr>
        <w:t xml:space="preserve">96. JP Morgan. Guide to the Markets, 2024.  </w:t>
      </w:r>
    </w:p>
    <w:p w14:paraId="7405893D" w14:textId="77777777" w:rsidR="004616FD" w:rsidRPr="004616FD" w:rsidRDefault="004616FD" w:rsidP="00874CEE">
      <w:pPr>
        <w:jc w:val="both"/>
        <w:rPr>
          <w:i/>
          <w:iCs/>
        </w:rPr>
      </w:pPr>
      <w:r w:rsidRPr="004616FD">
        <w:rPr>
          <w:i/>
          <w:iCs/>
        </w:rPr>
        <w:t xml:space="preserve">97. BlackRock. Portfolio Construction with Alternatives, 2023.  </w:t>
      </w:r>
    </w:p>
    <w:p w14:paraId="136ED403" w14:textId="77777777" w:rsidR="004616FD" w:rsidRPr="004616FD" w:rsidRDefault="004616FD" w:rsidP="00874CEE">
      <w:pPr>
        <w:jc w:val="both"/>
        <w:rPr>
          <w:i/>
          <w:iCs/>
        </w:rPr>
      </w:pPr>
      <w:r w:rsidRPr="004616FD">
        <w:rPr>
          <w:i/>
          <w:iCs/>
        </w:rPr>
        <w:t>98. Ray Dalio. Principles for Navigating Big Debt Crises. Bridgewater, 2018.</w:t>
      </w:r>
    </w:p>
    <w:p w14:paraId="23384CCC" w14:textId="77777777" w:rsidR="004616FD" w:rsidRPr="004616FD" w:rsidRDefault="004616FD" w:rsidP="00874CEE">
      <w:pPr>
        <w:jc w:val="both"/>
        <w:rPr>
          <w:i/>
          <w:iCs/>
          <w:u w:val="single"/>
        </w:rPr>
      </w:pPr>
      <w:r w:rsidRPr="004616FD">
        <w:rPr>
          <w:i/>
          <w:iCs/>
          <w:u w:val="single"/>
        </w:rPr>
        <w:t>Emerging Markets, Household Wealth &amp; Cultural Economics</w:t>
      </w:r>
    </w:p>
    <w:p w14:paraId="41E6FC69" w14:textId="77777777" w:rsidR="004616FD" w:rsidRPr="004616FD" w:rsidRDefault="004616FD" w:rsidP="00874CEE">
      <w:pPr>
        <w:jc w:val="both"/>
        <w:rPr>
          <w:i/>
          <w:iCs/>
        </w:rPr>
      </w:pPr>
      <w:r w:rsidRPr="004616FD">
        <w:rPr>
          <w:i/>
          <w:iCs/>
        </w:rPr>
        <w:t xml:space="preserve">99. UNCTAD. World Economic Situation and Prospects 2024.  </w:t>
      </w:r>
    </w:p>
    <w:p w14:paraId="7CC04412" w14:textId="556E1ADD" w:rsidR="002B1DE5" w:rsidRPr="004616FD" w:rsidRDefault="004616FD" w:rsidP="00874CEE">
      <w:pPr>
        <w:jc w:val="both"/>
        <w:rPr>
          <w:i/>
          <w:iCs/>
        </w:rPr>
      </w:pPr>
      <w:r w:rsidRPr="004616FD">
        <w:rPr>
          <w:i/>
          <w:iCs/>
        </w:rPr>
        <w:t>100. Asian Development Bank. Key Indicators for Asia and the Pacific 2024.</w:t>
      </w:r>
    </w:p>
    <w:sectPr w:rsidR="002B1DE5" w:rsidRPr="004616FD">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E7EA7" w14:textId="77777777" w:rsidR="0051177A" w:rsidRDefault="0051177A" w:rsidP="00013A0E">
      <w:pPr>
        <w:spacing w:after="0" w:line="240" w:lineRule="auto"/>
      </w:pPr>
      <w:r>
        <w:separator/>
      </w:r>
    </w:p>
  </w:endnote>
  <w:endnote w:type="continuationSeparator" w:id="0">
    <w:p w14:paraId="25BD6920" w14:textId="77777777" w:rsidR="0051177A" w:rsidRDefault="0051177A" w:rsidP="00013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425907"/>
      <w:docPartObj>
        <w:docPartGallery w:val="Page Numbers (Bottom of Page)"/>
        <w:docPartUnique/>
      </w:docPartObj>
    </w:sdtPr>
    <w:sdtEndPr>
      <w:rPr>
        <w:noProof/>
      </w:rPr>
    </w:sdtEndPr>
    <w:sdtContent>
      <w:p w14:paraId="5DF53293" w14:textId="3DC9E6BB" w:rsidR="00013A0E" w:rsidRDefault="00013A0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5F8488" w14:textId="77777777" w:rsidR="00013A0E" w:rsidRDefault="00013A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DD0A2" w14:textId="77777777" w:rsidR="0051177A" w:rsidRDefault="0051177A" w:rsidP="00013A0E">
      <w:pPr>
        <w:spacing w:after="0" w:line="240" w:lineRule="auto"/>
      </w:pPr>
      <w:r>
        <w:separator/>
      </w:r>
    </w:p>
  </w:footnote>
  <w:footnote w:type="continuationSeparator" w:id="0">
    <w:p w14:paraId="0D6C98D8" w14:textId="77777777" w:rsidR="0051177A" w:rsidRDefault="0051177A" w:rsidP="00013A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832"/>
    <w:rsid w:val="00013A0E"/>
    <w:rsid w:val="000637C7"/>
    <w:rsid w:val="00126605"/>
    <w:rsid w:val="00263654"/>
    <w:rsid w:val="002B1DE5"/>
    <w:rsid w:val="003208A1"/>
    <w:rsid w:val="004616FD"/>
    <w:rsid w:val="0047193A"/>
    <w:rsid w:val="0051177A"/>
    <w:rsid w:val="005B30FB"/>
    <w:rsid w:val="00666A0B"/>
    <w:rsid w:val="007D57E4"/>
    <w:rsid w:val="00874CEE"/>
    <w:rsid w:val="00972AA3"/>
    <w:rsid w:val="00980489"/>
    <w:rsid w:val="00A3260C"/>
    <w:rsid w:val="00AC1EB2"/>
    <w:rsid w:val="00BC3832"/>
    <w:rsid w:val="00C23B01"/>
    <w:rsid w:val="00C36903"/>
    <w:rsid w:val="00C52DCD"/>
    <w:rsid w:val="00CA0C42"/>
    <w:rsid w:val="00CC2FE0"/>
    <w:rsid w:val="00CF5538"/>
    <w:rsid w:val="00CF67A3"/>
    <w:rsid w:val="00DC2FFC"/>
    <w:rsid w:val="00DF40CF"/>
    <w:rsid w:val="00EF4DB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F6DF6"/>
  <w15:chartTrackingRefBased/>
  <w15:docId w15:val="{E230E8AA-6AFD-462E-BB57-97FDDB8A9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38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38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38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38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38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38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38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38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38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8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38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38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38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38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38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38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38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3832"/>
    <w:rPr>
      <w:rFonts w:eastAsiaTheme="majorEastAsia" w:cstheme="majorBidi"/>
      <w:color w:val="272727" w:themeColor="text1" w:themeTint="D8"/>
    </w:rPr>
  </w:style>
  <w:style w:type="paragraph" w:styleId="Title">
    <w:name w:val="Title"/>
    <w:basedOn w:val="Normal"/>
    <w:next w:val="Normal"/>
    <w:link w:val="TitleChar"/>
    <w:uiPriority w:val="10"/>
    <w:qFormat/>
    <w:rsid w:val="00BC38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38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38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38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3832"/>
    <w:pPr>
      <w:spacing w:before="160"/>
      <w:jc w:val="center"/>
    </w:pPr>
    <w:rPr>
      <w:i/>
      <w:iCs/>
      <w:color w:val="404040" w:themeColor="text1" w:themeTint="BF"/>
    </w:rPr>
  </w:style>
  <w:style w:type="character" w:customStyle="1" w:styleId="QuoteChar">
    <w:name w:val="Quote Char"/>
    <w:basedOn w:val="DefaultParagraphFont"/>
    <w:link w:val="Quote"/>
    <w:uiPriority w:val="29"/>
    <w:rsid w:val="00BC3832"/>
    <w:rPr>
      <w:i/>
      <w:iCs/>
      <w:color w:val="404040" w:themeColor="text1" w:themeTint="BF"/>
    </w:rPr>
  </w:style>
  <w:style w:type="paragraph" w:styleId="ListParagraph">
    <w:name w:val="List Paragraph"/>
    <w:basedOn w:val="Normal"/>
    <w:uiPriority w:val="34"/>
    <w:qFormat/>
    <w:rsid w:val="00BC3832"/>
    <w:pPr>
      <w:ind w:left="720"/>
      <w:contextualSpacing/>
    </w:pPr>
  </w:style>
  <w:style w:type="character" w:styleId="IntenseEmphasis">
    <w:name w:val="Intense Emphasis"/>
    <w:basedOn w:val="DefaultParagraphFont"/>
    <w:uiPriority w:val="21"/>
    <w:qFormat/>
    <w:rsid w:val="00BC3832"/>
    <w:rPr>
      <w:i/>
      <w:iCs/>
      <w:color w:val="0F4761" w:themeColor="accent1" w:themeShade="BF"/>
    </w:rPr>
  </w:style>
  <w:style w:type="paragraph" w:styleId="IntenseQuote">
    <w:name w:val="Intense Quote"/>
    <w:basedOn w:val="Normal"/>
    <w:next w:val="Normal"/>
    <w:link w:val="IntenseQuoteChar"/>
    <w:uiPriority w:val="30"/>
    <w:qFormat/>
    <w:rsid w:val="00BC38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3832"/>
    <w:rPr>
      <w:i/>
      <w:iCs/>
      <w:color w:val="0F4761" w:themeColor="accent1" w:themeShade="BF"/>
    </w:rPr>
  </w:style>
  <w:style w:type="character" w:styleId="IntenseReference">
    <w:name w:val="Intense Reference"/>
    <w:basedOn w:val="DefaultParagraphFont"/>
    <w:uiPriority w:val="32"/>
    <w:qFormat/>
    <w:rsid w:val="00BC3832"/>
    <w:rPr>
      <w:b/>
      <w:bCs/>
      <w:smallCaps/>
      <w:color w:val="0F4761" w:themeColor="accent1" w:themeShade="BF"/>
      <w:spacing w:val="5"/>
    </w:rPr>
  </w:style>
  <w:style w:type="paragraph" w:styleId="Header">
    <w:name w:val="header"/>
    <w:basedOn w:val="Normal"/>
    <w:link w:val="HeaderChar"/>
    <w:uiPriority w:val="99"/>
    <w:unhideWhenUsed/>
    <w:rsid w:val="00013A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3A0E"/>
  </w:style>
  <w:style w:type="paragraph" w:styleId="Footer">
    <w:name w:val="footer"/>
    <w:basedOn w:val="Normal"/>
    <w:link w:val="FooterChar"/>
    <w:uiPriority w:val="99"/>
    <w:unhideWhenUsed/>
    <w:rsid w:val="00013A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3A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FB94F-7D7A-4B22-A4CD-294165F2F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4080</Words>
  <Characters>24483</Characters>
  <Application>Microsoft Office Word</Application>
  <DocSecurity>0</DocSecurity>
  <Lines>422</Lines>
  <Paragraphs>195</Paragraphs>
  <ScaleCrop>false</ScaleCrop>
  <Company/>
  <LinksUpToDate>false</LinksUpToDate>
  <CharactersWithSpaces>28368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Ummu Aimen</dc:creator>
  <cp:keywords/>
  <dc:description/>
  <cp:lastModifiedBy>Ummu Aimen</cp:lastModifiedBy>
  <cp:revision>2</cp:revision>
  <dcterms:created xsi:type="dcterms:W3CDTF">2026-02-10T17:16:00Z</dcterms:created>
  <dcterms:modified xsi:type="dcterms:W3CDTF">2026-02-10T17:16:00Z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02768a2e-9a1e-474c-92f2-25d23e2c9e26</vt:lpwstr>
  </property>
</Properties>
</file>