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E5BD" w14:textId="72CCAC6E" w:rsidR="00C81A1C" w:rsidRPr="006467E6" w:rsidRDefault="00C81A1C" w:rsidP="00F906E8">
      <w:pPr>
        <w:spacing w:after="0" w:line="240" w:lineRule="auto"/>
        <w:jc w:val="center"/>
        <w:rPr>
          <w:rFonts w:ascii="Times New Roman" w:hAnsi="Times New Roman"/>
          <w:b/>
          <w:bCs/>
          <w:sz w:val="36"/>
          <w:szCs w:val="36"/>
        </w:rPr>
      </w:pPr>
      <w:r w:rsidRPr="006467E6">
        <w:rPr>
          <w:rFonts w:ascii="Times New Roman" w:hAnsi="Times New Roman"/>
          <w:b/>
          <w:bCs/>
          <w:sz w:val="36"/>
          <w:szCs w:val="36"/>
        </w:rPr>
        <w:t>Influence of Teaching Experience on the Utilisation of Digital Devices in Teaching of Agriculture in Public Secondary Schools in Nakuru County, Kenya</w:t>
      </w:r>
    </w:p>
    <w:p w14:paraId="21764903" w14:textId="77777777" w:rsidR="00C81A1C" w:rsidRPr="006467E6" w:rsidRDefault="00C81A1C" w:rsidP="00F906E8">
      <w:pPr>
        <w:spacing w:after="0" w:line="240" w:lineRule="auto"/>
        <w:jc w:val="center"/>
        <w:rPr>
          <w:rFonts w:ascii="Times New Roman" w:hAnsi="Times New Roman"/>
          <w:sz w:val="24"/>
          <w:szCs w:val="24"/>
        </w:rPr>
      </w:pPr>
      <w:r w:rsidRPr="006467E6">
        <w:rPr>
          <w:rFonts w:ascii="Times New Roman" w:hAnsi="Times New Roman"/>
          <w:sz w:val="24"/>
          <w:szCs w:val="24"/>
        </w:rPr>
        <w:t/>
      </w:r>
    </w:p>
    <w:p w14:paraId="51DBBA8D" w14:textId="77777777" w:rsidR="00C81A1C" w:rsidRPr="006467E6" w:rsidRDefault="00C81A1C" w:rsidP="00F906E8">
      <w:pPr>
        <w:spacing w:after="0" w:line="240" w:lineRule="auto"/>
        <w:jc w:val="center"/>
        <w:rPr>
          <w:rFonts w:ascii="Times New Roman" w:hAnsi="Times New Roman"/>
          <w:sz w:val="24"/>
          <w:szCs w:val="24"/>
        </w:rPr>
      </w:pPr>
      <w:r w:rsidRPr="006467E6">
        <w:rPr>
          <w:rFonts w:ascii="Times New Roman" w:hAnsi="Times New Roman"/>
          <w:sz w:val="24"/>
          <w:szCs w:val="24"/>
        </w:rPr>
        <w:t/>
      </w:r>
    </w:p>
    <w:p w14:paraId="7590917B" w14:textId="77777777" w:rsidR="00C81A1C" w:rsidRPr="006467E6" w:rsidRDefault="00C81A1C" w:rsidP="00F906E8">
      <w:pPr>
        <w:spacing w:after="0" w:line="240" w:lineRule="auto"/>
        <w:jc w:val="center"/>
        <w:rPr>
          <w:rFonts w:ascii="Times New Roman" w:hAnsi="Times New Roman"/>
          <w:sz w:val="24"/>
          <w:szCs w:val="24"/>
        </w:rPr>
      </w:pPr>
      <w:r w:rsidRPr="006467E6">
        <w:rPr>
          <w:rFonts w:ascii="Times New Roman" w:hAnsi="Times New Roman"/>
          <w:sz w:val="24"/>
          <w:szCs w:val="24"/>
        </w:rPr>
        <w:t/>
      </w:r>
    </w:p>
    <w:p w14:paraId="462A08DB" w14:textId="77777777" w:rsidR="00C81A1C" w:rsidRPr="006467E6" w:rsidRDefault="00C81A1C" w:rsidP="00F906E8">
      <w:pPr>
        <w:spacing w:after="0" w:line="240" w:lineRule="auto"/>
        <w:jc w:val="center"/>
        <w:rPr>
          <w:rFonts w:ascii="Times New Roman" w:hAnsi="Times New Roman"/>
          <w:sz w:val="24"/>
          <w:szCs w:val="24"/>
        </w:rPr>
      </w:pPr>
      <w:r w:rsidRPr="006467E6">
        <w:rPr>
          <w:rFonts w:ascii="Times New Roman" w:hAnsi="Times New Roman"/>
          <w:sz w:val="24"/>
          <w:szCs w:val="24"/>
          <w:vertAlign w:val="superscript"/>
        </w:rPr>
        <w:t/>
      </w:r>
      <w:r w:rsidRPr="006467E6">
        <w:rPr>
          <w:rFonts w:ascii="Times New Roman" w:hAnsi="Times New Roman"/>
          <w:sz w:val="24"/>
          <w:szCs w:val="24"/>
        </w:rPr>
        <w:t/>
      </w:r>
    </w:p>
    <w:p w14:paraId="55A2860F" w14:textId="77777777" w:rsidR="00C81A1C" w:rsidRPr="006467E6" w:rsidRDefault="00C81A1C" w:rsidP="00F906E8">
      <w:pPr>
        <w:spacing w:after="0" w:line="240" w:lineRule="auto"/>
        <w:jc w:val="center"/>
        <w:rPr>
          <w:rFonts w:ascii="Times New Roman" w:hAnsi="Times New Roman"/>
          <w:sz w:val="24"/>
          <w:szCs w:val="24"/>
        </w:rPr>
      </w:pPr>
      <w:r w:rsidRPr="006467E6">
        <w:rPr>
          <w:rFonts w:ascii="Times New Roman" w:hAnsi="Times New Roman"/>
          <w:sz w:val="24"/>
          <w:szCs w:val="24"/>
        </w:rPr>
        <w:t/>
      </w:r>
    </w:p>
    <w:p w14:paraId="56FDD8BF" w14:textId="77777777" w:rsidR="00C81A1C" w:rsidRPr="006467E6" w:rsidRDefault="00C81A1C" w:rsidP="00F906E8">
      <w:pPr>
        <w:spacing w:after="0" w:line="240" w:lineRule="auto"/>
        <w:jc w:val="center"/>
        <w:rPr>
          <w:rFonts w:ascii="Times New Roman" w:hAnsi="Times New Roman"/>
          <w:sz w:val="24"/>
          <w:szCs w:val="24"/>
        </w:rPr>
      </w:pPr>
      <w:r w:rsidRPr="006467E6">
        <w:rPr>
          <w:rFonts w:ascii="Times New Roman" w:hAnsi="Times New Roman"/>
          <w:sz w:val="24"/>
          <w:szCs w:val="24"/>
        </w:rPr>
        <w:t/>
      </w:r>
    </w:p>
    <w:p w14:paraId="6370F56B" w14:textId="77777777" w:rsidR="00C81A1C" w:rsidRPr="006467E6" w:rsidRDefault="00C81A1C" w:rsidP="00F906E8">
      <w:pPr>
        <w:spacing w:after="0" w:line="240" w:lineRule="auto"/>
        <w:jc w:val="center"/>
        <w:rPr>
          <w:rFonts w:ascii="Times New Roman" w:hAnsi="Times New Roman"/>
          <w:sz w:val="24"/>
          <w:szCs w:val="24"/>
        </w:rPr>
      </w:pPr>
      <w:r w:rsidRPr="006467E6">
        <w:rPr>
          <w:rFonts w:ascii="Times New Roman" w:hAnsi="Times New Roman"/>
          <w:sz w:val="24"/>
          <w:szCs w:val="24"/>
          <w:vertAlign w:val="superscript"/>
        </w:rPr>
        <w:t/>
      </w:r>
      <w:r w:rsidRPr="006467E6">
        <w:rPr>
          <w:rFonts w:ascii="Times New Roman" w:hAnsi="Times New Roman"/>
          <w:sz w:val="24"/>
          <w:szCs w:val="24"/>
        </w:rPr>
        <w:t/>
      </w:r>
    </w:p>
    <w:p w14:paraId="7F84087F" w14:textId="0C375692" w:rsidR="00C81A1C" w:rsidRPr="006467E6" w:rsidRDefault="00C81A1C" w:rsidP="00F906E8">
      <w:pPr>
        <w:spacing w:after="0" w:line="240" w:lineRule="auto"/>
        <w:jc w:val="center"/>
        <w:rPr>
          <w:rFonts w:ascii="Times New Roman" w:hAnsi="Times New Roman"/>
          <w:sz w:val="24"/>
          <w:szCs w:val="24"/>
        </w:rPr>
      </w:pPr>
      <w:r w:rsidRPr="006467E6">
        <w:rPr>
          <w:rFonts w:ascii="Times New Roman" w:hAnsi="Times New Roman"/>
          <w:sz w:val="24"/>
          <w:szCs w:val="24"/>
        </w:rPr>
        <w:t/>
      </w:r>
    </w:p>
    <w:p w14:paraId="3E865770" w14:textId="0746EF4B" w:rsidR="00C81A1C" w:rsidRPr="006467E6" w:rsidRDefault="00C81A1C" w:rsidP="00F906E8">
      <w:pPr>
        <w:spacing w:after="0" w:line="240" w:lineRule="auto"/>
        <w:jc w:val="center"/>
        <w:rPr>
          <w:rFonts w:ascii="Times New Roman" w:hAnsi="Times New Roman"/>
          <w:sz w:val="24"/>
          <w:szCs w:val="24"/>
        </w:rPr>
      </w:pPr>
      <w:r w:rsidRPr="006467E6">
        <w:rPr>
          <w:rFonts w:ascii="Times New Roman" w:hAnsi="Times New Roman"/>
          <w:sz w:val="24"/>
          <w:szCs w:val="24"/>
        </w:rPr>
        <w:t/>
      </w:r>
    </w:p>
    <w:p w14:paraId="5885AFF2" w14:textId="05844637" w:rsidR="00C81A1C" w:rsidRPr="006467E6" w:rsidRDefault="00C81A1C" w:rsidP="00F906E8">
      <w:pPr>
        <w:spacing w:after="0" w:line="240" w:lineRule="auto"/>
        <w:jc w:val="both"/>
        <w:rPr>
          <w:rFonts w:ascii="Times New Roman" w:hAnsi="Times New Roman"/>
          <w:b/>
          <w:bCs/>
          <w:sz w:val="28"/>
          <w:szCs w:val="28"/>
        </w:rPr>
      </w:pPr>
      <w:r w:rsidRPr="006467E6">
        <w:rPr>
          <w:rFonts w:ascii="Times New Roman" w:hAnsi="Times New Roman"/>
          <w:b/>
          <w:bCs/>
          <w:sz w:val="28"/>
          <w:szCs w:val="28"/>
        </w:rPr>
        <w:t>ABSTRACT</w:t>
      </w:r>
    </w:p>
    <w:p w14:paraId="77D8820C" w14:textId="1F854459" w:rsidR="0081630A" w:rsidRPr="006467E6" w:rsidRDefault="0081630A" w:rsidP="00F906E8">
      <w:pPr>
        <w:spacing w:after="0"/>
        <w:jc w:val="both"/>
        <w:rPr>
          <w:rFonts w:ascii="Times New Roman" w:hAnsi="Times New Roman"/>
          <w:sz w:val="24"/>
          <w:szCs w:val="24"/>
        </w:rPr>
      </w:pPr>
      <w:r w:rsidRPr="006467E6">
        <w:rPr>
          <w:rFonts w:ascii="Times New Roman" w:hAnsi="Times New Roman"/>
          <w:sz w:val="24"/>
          <w:szCs w:val="24"/>
        </w:rPr>
        <w:t xml:space="preserve">Integrating Information and Communication Technology (ICT) into agricultural education is essential for improving pedagogical quality and aligning with Kenya's Competency-Based Education </w:t>
      </w:r>
      <w:r w:rsidR="00DE68B5" w:rsidRPr="006467E6">
        <w:rPr>
          <w:rFonts w:ascii="Times New Roman" w:hAnsi="Times New Roman"/>
          <w:sz w:val="24"/>
          <w:szCs w:val="24"/>
        </w:rPr>
        <w:t xml:space="preserve">(CBE) </w:t>
      </w:r>
      <w:r w:rsidRPr="006467E6">
        <w:rPr>
          <w:rFonts w:ascii="Times New Roman" w:hAnsi="Times New Roman"/>
          <w:sz w:val="24"/>
          <w:szCs w:val="24"/>
        </w:rPr>
        <w:t xml:space="preserve">curriculum. This study examined the influence of teaching experience on the utilisation of digital devices among Agriculture teachers in public secondary schools in Nakuru County, Kenya. A cross-sectional survey research design was adopted. The target population comprised 698 Agriculture teachers, from which a sample of 168 was determined using the </w:t>
      </w:r>
      <w:proofErr w:type="spellStart"/>
      <w:r w:rsidRPr="006467E6">
        <w:rPr>
          <w:rFonts w:ascii="Times New Roman" w:hAnsi="Times New Roman"/>
          <w:sz w:val="24"/>
          <w:szCs w:val="24"/>
        </w:rPr>
        <w:t>Nassiuma</w:t>
      </w:r>
      <w:proofErr w:type="spellEnd"/>
      <w:r w:rsidRPr="006467E6">
        <w:rPr>
          <w:rFonts w:ascii="Times New Roman" w:hAnsi="Times New Roman"/>
          <w:sz w:val="24"/>
          <w:szCs w:val="24"/>
        </w:rPr>
        <w:t xml:space="preserve"> (2000) formula. A total of 140 teachers participated, yielding an 83.3% response rate. Multi-stage sampling ensured proportional sub-county representation. Data were collected through structured questionnaires and analysed using Spearman's rank-order correlation via SPSS version 29.0, appropriate given the ordinal nature of the experience variable and the non-parametric distribution of scores. Descriptive analysis revealed a declining trend in digital device utilisation as teaching experience increased</w:t>
      </w:r>
      <w:r w:rsidR="00DE68B5" w:rsidRPr="006467E6">
        <w:rPr>
          <w:rFonts w:ascii="Times New Roman" w:hAnsi="Times New Roman"/>
          <w:sz w:val="24"/>
          <w:szCs w:val="24"/>
        </w:rPr>
        <w:t>.</w:t>
      </w:r>
      <w:r w:rsidRPr="006467E6">
        <w:rPr>
          <w:rFonts w:ascii="Times New Roman" w:hAnsi="Times New Roman"/>
          <w:sz w:val="24"/>
          <w:szCs w:val="24"/>
        </w:rPr>
        <w:t xml:space="preserve"> Spearman's correlation confirmed a statistically significant weak negative relationship between teaching experience and digital device utilisation (r = −0.210, p = 0.013), indicating that as years of service increase, frequency of digital device use slightly declines. The null hypothesis was therefore rejected. These findings challenge the assumption that pedagogical maturity alone drives ICT adoption and highlight the role of recent training, digital exposure, and institutional support. It is recommended that the Ministry of Education and school administrations implement differentiated, career-stage-specific ICT professional development programmes and reverse-mentorship schemes to bridge the digital divide between early-career and veteran Agriculture teachers.</w:t>
      </w:r>
    </w:p>
    <w:p w14:paraId="4801FD7F" w14:textId="77777777" w:rsidR="0081630A" w:rsidRPr="006467E6" w:rsidRDefault="0081630A" w:rsidP="00F906E8">
      <w:pPr>
        <w:spacing w:after="0"/>
        <w:jc w:val="both"/>
        <w:rPr>
          <w:rFonts w:ascii="Times New Roman" w:hAnsi="Times New Roman"/>
          <w:sz w:val="24"/>
          <w:szCs w:val="24"/>
        </w:rPr>
      </w:pPr>
      <w:r w:rsidRPr="006467E6">
        <w:rPr>
          <w:rFonts w:ascii="Times New Roman" w:hAnsi="Times New Roman"/>
          <w:sz w:val="24"/>
          <w:szCs w:val="24"/>
        </w:rPr>
        <w:t>Keywords: Teaching Experience, Digital Devices, Agricultural Education, ICT Integration, Nakuru County, Kenya.</w:t>
      </w:r>
    </w:p>
    <w:p w14:paraId="0F66C3C9"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1. INTRODUCTION</w:t>
      </w:r>
    </w:p>
    <w:p w14:paraId="6D7BE276" w14:textId="5310FD42" w:rsidR="0023189A" w:rsidRPr="006467E6" w:rsidRDefault="0023189A" w:rsidP="00F906E8">
      <w:pPr>
        <w:spacing w:after="0"/>
        <w:ind w:firstLine="720"/>
        <w:jc w:val="both"/>
        <w:rPr>
          <w:rFonts w:ascii="Times New Roman" w:hAnsi="Times New Roman"/>
          <w:sz w:val="24"/>
          <w:szCs w:val="24"/>
        </w:rPr>
      </w:pPr>
      <w:r w:rsidRPr="006467E6">
        <w:rPr>
          <w:rFonts w:ascii="Times New Roman" w:hAnsi="Times New Roman"/>
          <w:sz w:val="24"/>
          <w:szCs w:val="24"/>
        </w:rPr>
        <w:t>There is a critical need to change the paradigm from teacher-</w:t>
      </w:r>
      <w:proofErr w:type="spellStart"/>
      <w:r w:rsidRPr="006467E6">
        <w:rPr>
          <w:rFonts w:ascii="Times New Roman" w:hAnsi="Times New Roman"/>
          <w:sz w:val="24"/>
          <w:szCs w:val="24"/>
        </w:rPr>
        <w:t>centered</w:t>
      </w:r>
      <w:proofErr w:type="spellEnd"/>
      <w:r w:rsidRPr="006467E6">
        <w:rPr>
          <w:rFonts w:ascii="Times New Roman" w:hAnsi="Times New Roman"/>
          <w:sz w:val="24"/>
          <w:szCs w:val="24"/>
        </w:rPr>
        <w:t>, traditional educational approach to a technology-based education approach that is learner-</w:t>
      </w:r>
      <w:proofErr w:type="spellStart"/>
      <w:r w:rsidRPr="006467E6">
        <w:rPr>
          <w:rFonts w:ascii="Times New Roman" w:hAnsi="Times New Roman"/>
          <w:sz w:val="24"/>
          <w:szCs w:val="24"/>
        </w:rPr>
        <w:t>centered</w:t>
      </w:r>
      <w:proofErr w:type="spellEnd"/>
      <w:r w:rsidRPr="006467E6">
        <w:rPr>
          <w:rFonts w:ascii="Times New Roman" w:hAnsi="Times New Roman"/>
          <w:sz w:val="24"/>
          <w:szCs w:val="24"/>
        </w:rPr>
        <w:t xml:space="preserve">. Countries around the world have acknowledged that ICT can advance the quality of teaching and learning, access to learning resources and readiness for a knowledge-based economy (UNESCO 2023; </w:t>
      </w:r>
      <w:r w:rsidRPr="006467E6">
        <w:rPr>
          <w:rFonts w:ascii="Times New Roman" w:hAnsi="Times New Roman"/>
          <w:sz w:val="24"/>
          <w:szCs w:val="24"/>
        </w:rPr>
        <w:lastRenderedPageBreak/>
        <w:t xml:space="preserve">World Bank 2022). Kenya has made huge investment in digital literacy at the national level, </w:t>
      </w:r>
      <w:r w:rsidR="00BE7036">
        <w:rPr>
          <w:rFonts w:ascii="Times New Roman" w:hAnsi="Times New Roman"/>
          <w:sz w:val="24"/>
          <w:szCs w:val="24"/>
        </w:rPr>
        <w:t>with</w:t>
      </w:r>
      <w:r w:rsidRPr="006467E6">
        <w:rPr>
          <w:rFonts w:ascii="Times New Roman" w:hAnsi="Times New Roman"/>
          <w:sz w:val="24"/>
          <w:szCs w:val="24"/>
        </w:rPr>
        <w:t xml:space="preserve"> public secondary schools getting digital devices under Competency Based Education (CBE). However, the use of digital devices in classroom instruction does not appear to be consistent even with these investments in </w:t>
      </w:r>
      <w:r w:rsidR="006467E6" w:rsidRPr="006467E6">
        <w:rPr>
          <w:rFonts w:ascii="Times New Roman" w:hAnsi="Times New Roman"/>
          <w:sz w:val="24"/>
          <w:szCs w:val="24"/>
        </w:rPr>
        <w:t>infrastructure and</w:t>
      </w:r>
      <w:r w:rsidRPr="006467E6">
        <w:rPr>
          <w:rFonts w:ascii="Times New Roman" w:hAnsi="Times New Roman"/>
          <w:sz w:val="24"/>
          <w:szCs w:val="24"/>
        </w:rPr>
        <w:t xml:space="preserve"> is largely dependent on teacher-level attributes (Wanjiku &amp; Njoroge, 2021; Mwangi &amp; Kariuki, 2020; Opiyo &amp; Koech, 2024).</w:t>
      </w:r>
    </w:p>
    <w:p w14:paraId="44ABB8CF" w14:textId="45448BCA" w:rsidR="0023189A" w:rsidRPr="006467E6" w:rsidRDefault="0023189A"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ICTs integration is an immense benefit to the agricultural education. Multimedia simulations, virtual agricultural demonstrations, e-learning platforms and agronomic resources on the internet can bring abstract agricultural concepts to life, make them more contextualised and engaging for secondary school learners (Korir &amp; Sang, 2022; FAO, 2021). </w:t>
      </w:r>
      <w:r w:rsidR="0074695B">
        <w:rPr>
          <w:rFonts w:ascii="Times New Roman" w:hAnsi="Times New Roman"/>
          <w:sz w:val="24"/>
          <w:szCs w:val="24"/>
        </w:rPr>
        <w:t>R</w:t>
      </w:r>
      <w:r w:rsidRPr="006467E6">
        <w:rPr>
          <w:rFonts w:ascii="Times New Roman" w:hAnsi="Times New Roman"/>
          <w:sz w:val="24"/>
          <w:szCs w:val="24"/>
        </w:rPr>
        <w:t>esearch has shown that while technology is available, it does not always lead to its adoption in the classroom, and there is always a mediating role played by the teacher's professional and personal attributes (</w:t>
      </w:r>
      <w:proofErr w:type="spellStart"/>
      <w:r w:rsidRPr="006467E6">
        <w:rPr>
          <w:rFonts w:ascii="Times New Roman" w:hAnsi="Times New Roman"/>
          <w:sz w:val="24"/>
          <w:szCs w:val="24"/>
        </w:rPr>
        <w:t>Tondeur</w:t>
      </w:r>
      <w:proofErr w:type="spellEnd"/>
      <w:r w:rsidRPr="006467E6">
        <w:rPr>
          <w:rFonts w:ascii="Times New Roman" w:hAnsi="Times New Roman"/>
          <w:sz w:val="24"/>
          <w:szCs w:val="24"/>
        </w:rPr>
        <w:t xml:space="preserve"> et al., 2017; Ertmer &amp; Ottenbreit-Leftwich, 2010).</w:t>
      </w:r>
    </w:p>
    <w:p w14:paraId="0ADDC56E" w14:textId="395B70BE" w:rsidR="0023189A" w:rsidRPr="006467E6" w:rsidRDefault="0023189A" w:rsidP="00F906E8">
      <w:pPr>
        <w:spacing w:after="0"/>
        <w:ind w:firstLine="720"/>
        <w:jc w:val="both"/>
        <w:rPr>
          <w:rFonts w:ascii="Times New Roman" w:hAnsi="Times New Roman"/>
          <w:sz w:val="24"/>
          <w:szCs w:val="24"/>
        </w:rPr>
      </w:pPr>
      <w:r w:rsidRPr="006467E6">
        <w:rPr>
          <w:rFonts w:ascii="Times New Roman" w:hAnsi="Times New Roman"/>
          <w:sz w:val="24"/>
          <w:szCs w:val="24"/>
        </w:rPr>
        <w:t>Teaching experience is one of the teacher level attributes that is given a lot of attention in relation to the adoption of ICT. Others argue that high frequency and enthusiasm of ICT use among teachers in early years of teaching is explained by their recent ICT-inclusive pre-service training and their familiarity with digital environments (Mugisha et al., 2023; Sipilä, 2014; Sang et al., 2010). Other</w:t>
      </w:r>
      <w:r w:rsidR="00EC372F">
        <w:rPr>
          <w:rFonts w:ascii="Times New Roman" w:hAnsi="Times New Roman"/>
          <w:sz w:val="24"/>
          <w:szCs w:val="24"/>
        </w:rPr>
        <w:t xml:space="preserve"> studies</w:t>
      </w:r>
      <w:r w:rsidRPr="006467E6">
        <w:rPr>
          <w:rFonts w:ascii="Times New Roman" w:hAnsi="Times New Roman"/>
          <w:sz w:val="24"/>
          <w:szCs w:val="24"/>
        </w:rPr>
        <w:t xml:space="preserve"> suggest that experienced teachers are better equipped with pedagogical content knowledge, confidence in the instruction and awareness of the curriculum, which promote effective and appropriate use of ICT (Gudmundsdottir &amp; Hatlevik, 2022; Day &amp; Gu, 2021). The debate continues in the literature, indicating that more empirical studies are needed in the context of sub-Saharan Africa, where dynamics of ICT use can be significantly different from those in high-income countries (</w:t>
      </w:r>
      <w:proofErr w:type="spellStart"/>
      <w:r w:rsidRPr="006467E6">
        <w:rPr>
          <w:rFonts w:ascii="Times New Roman" w:hAnsi="Times New Roman"/>
          <w:sz w:val="24"/>
          <w:szCs w:val="24"/>
        </w:rPr>
        <w:t>Asabere</w:t>
      </w:r>
      <w:proofErr w:type="spellEnd"/>
      <w:r w:rsidRPr="006467E6">
        <w:rPr>
          <w:rFonts w:ascii="Times New Roman" w:hAnsi="Times New Roman"/>
          <w:sz w:val="24"/>
          <w:szCs w:val="24"/>
        </w:rPr>
        <w:t xml:space="preserve"> et al., 2020; Farrell &amp; Issacs, 2020).</w:t>
      </w:r>
    </w:p>
    <w:p w14:paraId="78EBB379" w14:textId="458BB639" w:rsidR="0023189A" w:rsidRPr="006467E6" w:rsidRDefault="0023189A" w:rsidP="00F906E8">
      <w:pPr>
        <w:spacing w:after="0"/>
        <w:ind w:firstLine="720"/>
        <w:jc w:val="both"/>
        <w:rPr>
          <w:rFonts w:ascii="Times New Roman" w:hAnsi="Times New Roman"/>
          <w:sz w:val="24"/>
          <w:szCs w:val="24"/>
        </w:rPr>
      </w:pPr>
      <w:r w:rsidRPr="006467E6">
        <w:rPr>
          <w:rFonts w:ascii="Times New Roman" w:hAnsi="Times New Roman"/>
          <w:sz w:val="24"/>
          <w:szCs w:val="24"/>
        </w:rPr>
        <w:t>Although ICT has been a broad discussion across the various secondary school subjects in Kenya (Wanjiku &amp; Njoroge, 2021; Njoroge &amp; Mwangi, 2019 and Nganga &amp; Ochieng, 2024), there is a scarcity of empirical studies that relate the categories of teaching experience to the use of digital devices by Agriculture teachers in secondary schools in Kenya. This is very important because Agriculture is one of the priority subjects in the economic development agenda of Kenya</w:t>
      </w:r>
      <w:r w:rsidR="00177366">
        <w:rPr>
          <w:rFonts w:ascii="Times New Roman" w:hAnsi="Times New Roman"/>
          <w:sz w:val="24"/>
          <w:szCs w:val="24"/>
        </w:rPr>
        <w:t>.</w:t>
      </w:r>
      <w:r w:rsidRPr="006467E6">
        <w:rPr>
          <w:rFonts w:ascii="Times New Roman" w:hAnsi="Times New Roman"/>
          <w:sz w:val="24"/>
          <w:szCs w:val="24"/>
        </w:rPr>
        <w:t xml:space="preserve"> Nakuru County, being one of the major agricultural areas is producing a significant number of secondary agriculture learners. This study, therefore, aimed to fill this gap by investigating the effect of teaching experience on digital device use of Agriculture teachers in the county of Nakuru, which would allow it to make contributions to the literature and to evidence-based policy making.</w:t>
      </w:r>
    </w:p>
    <w:p w14:paraId="5A415008" w14:textId="77777777" w:rsidR="0063135E" w:rsidRPr="006467E6" w:rsidRDefault="0063135E" w:rsidP="00F906E8">
      <w:pPr>
        <w:spacing w:after="0"/>
        <w:ind w:firstLine="720"/>
        <w:jc w:val="both"/>
        <w:rPr>
          <w:rFonts w:ascii="Times New Roman" w:hAnsi="Times New Roman"/>
          <w:sz w:val="24"/>
          <w:szCs w:val="24"/>
        </w:rPr>
      </w:pPr>
    </w:p>
    <w:p w14:paraId="546EC952"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2. THEORETICAL AND CONCEPTUAL FRAMEWORK</w:t>
      </w:r>
    </w:p>
    <w:p w14:paraId="392E3C09"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2.1 Systems Theory</w:t>
      </w:r>
    </w:p>
    <w:p w14:paraId="15F15877" w14:textId="77777777" w:rsidR="00F906E8" w:rsidRDefault="0023189A"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This study is based on the Systems Theory, as originally developed by Miller (1973) and modified to education by Chen and Stroup (1993). The </w:t>
      </w:r>
      <w:proofErr w:type="gramStart"/>
      <w:r w:rsidRPr="006467E6">
        <w:rPr>
          <w:rFonts w:ascii="Times New Roman" w:hAnsi="Times New Roman"/>
          <w:sz w:val="24"/>
          <w:szCs w:val="24"/>
        </w:rPr>
        <w:t>School</w:t>
      </w:r>
      <w:proofErr w:type="gramEnd"/>
      <w:r w:rsidRPr="006467E6">
        <w:rPr>
          <w:rFonts w:ascii="Times New Roman" w:hAnsi="Times New Roman"/>
          <w:sz w:val="24"/>
          <w:szCs w:val="24"/>
        </w:rPr>
        <w:t xml:space="preserve"> as an open system </w:t>
      </w:r>
      <w:r w:rsidR="00177366">
        <w:rPr>
          <w:rFonts w:ascii="Times New Roman" w:hAnsi="Times New Roman"/>
          <w:sz w:val="24"/>
          <w:szCs w:val="24"/>
        </w:rPr>
        <w:t>has</w:t>
      </w:r>
      <w:r w:rsidRPr="006467E6">
        <w:rPr>
          <w:rFonts w:ascii="Times New Roman" w:hAnsi="Times New Roman"/>
          <w:sz w:val="24"/>
          <w:szCs w:val="24"/>
        </w:rPr>
        <w:t xml:space="preserve"> interrelated components that influence the quality of the educational outputs of a school, as stated in Systems Theory. These components in the educational context </w:t>
      </w:r>
      <w:r w:rsidR="009A7B42">
        <w:rPr>
          <w:rFonts w:ascii="Times New Roman" w:hAnsi="Times New Roman"/>
          <w:sz w:val="24"/>
          <w:szCs w:val="24"/>
        </w:rPr>
        <w:t>include</w:t>
      </w:r>
      <w:r w:rsidRPr="006467E6">
        <w:rPr>
          <w:rFonts w:ascii="Times New Roman" w:hAnsi="Times New Roman"/>
          <w:sz w:val="24"/>
          <w:szCs w:val="24"/>
        </w:rPr>
        <w:t xml:space="preserve"> Input, Processes, Outputs, and a Feedback Loop. In this study, Inputs are the teacher attributes that come </w:t>
      </w:r>
      <w:proofErr w:type="gramStart"/>
      <w:r w:rsidRPr="006467E6">
        <w:rPr>
          <w:rFonts w:ascii="Times New Roman" w:hAnsi="Times New Roman"/>
          <w:sz w:val="24"/>
          <w:szCs w:val="24"/>
        </w:rPr>
        <w:t>in to</w:t>
      </w:r>
      <w:proofErr w:type="gramEnd"/>
      <w:r w:rsidRPr="006467E6">
        <w:rPr>
          <w:rFonts w:ascii="Times New Roman" w:hAnsi="Times New Roman"/>
          <w:sz w:val="24"/>
          <w:szCs w:val="24"/>
        </w:rPr>
        <w:t xml:space="preserve"> the instructional system. The teaching experience or the number of years a teacher has been in the classroom is the </w:t>
      </w:r>
      <w:r w:rsidRPr="006467E6">
        <w:rPr>
          <w:rFonts w:ascii="Times New Roman" w:hAnsi="Times New Roman"/>
          <w:sz w:val="24"/>
          <w:szCs w:val="24"/>
        </w:rPr>
        <w:lastRenderedPageBreak/>
        <w:t>main input in this study, influencing the pedagogical repertoire, the way teachers work with their students, their confidence, their orientation towards the curriculum, and their familiarity with new technologies. Significantly, not every input is necessarily positive in Systems Theory; for example, longstanding teaching routines can hinder the implementation of new ones (Chen and Stroup, 1993).</w:t>
      </w:r>
    </w:p>
    <w:p w14:paraId="3DCCE31B" w14:textId="7C0CE670" w:rsidR="0023189A" w:rsidRPr="006467E6" w:rsidRDefault="0023189A" w:rsidP="00F906E8">
      <w:pPr>
        <w:spacing w:after="0"/>
        <w:ind w:firstLine="720"/>
        <w:jc w:val="both"/>
        <w:rPr>
          <w:rFonts w:ascii="Times New Roman" w:hAnsi="Times New Roman"/>
          <w:sz w:val="24"/>
          <w:szCs w:val="24"/>
        </w:rPr>
      </w:pPr>
      <w:r w:rsidRPr="006467E6">
        <w:rPr>
          <w:rFonts w:ascii="Times New Roman" w:hAnsi="Times New Roman"/>
          <w:sz w:val="24"/>
          <w:szCs w:val="24"/>
        </w:rPr>
        <w:t>Process denotes how teachers plan, choose, implement, and assess digital devices in agricultural teaching and learning. The nature and frequency of this process is a product of the quality and direction of the inputs. An early career teacher who has focused on ICT in their pre-service training may have inputs that will make higher frequency use of the devices easier, while a more senior teacher might have inputs that focus more on curriculum depth than novelty of technology.</w:t>
      </w:r>
    </w:p>
    <w:p w14:paraId="78314E68" w14:textId="2527555D" w:rsidR="0023189A" w:rsidRPr="006467E6" w:rsidRDefault="0023189A" w:rsidP="00F906E8">
      <w:pPr>
        <w:spacing w:after="0"/>
        <w:ind w:firstLine="720"/>
        <w:jc w:val="both"/>
        <w:rPr>
          <w:rFonts w:ascii="Times New Roman" w:hAnsi="Times New Roman"/>
          <w:sz w:val="24"/>
          <w:szCs w:val="24"/>
        </w:rPr>
      </w:pPr>
      <w:r w:rsidRPr="006467E6">
        <w:rPr>
          <w:rFonts w:ascii="Times New Roman" w:hAnsi="Times New Roman"/>
          <w:sz w:val="24"/>
          <w:szCs w:val="24"/>
        </w:rPr>
        <w:t>Outputs are the learning products resulting from the implementation of the integration, such as students' digital competence, achievement in the studied subject, students' engagement and readiness to practice agriculture in the technology-driven world. Feedback Loop is a continuous evaluative process that informs future processes and inputs. This is a</w:t>
      </w:r>
      <w:r w:rsidR="00F906E8">
        <w:rPr>
          <w:rFonts w:ascii="Times New Roman" w:hAnsi="Times New Roman"/>
          <w:sz w:val="24"/>
          <w:szCs w:val="24"/>
        </w:rPr>
        <w:t xml:space="preserve"> </w:t>
      </w:r>
      <w:r w:rsidR="00F906E8" w:rsidRPr="006467E6">
        <w:rPr>
          <w:rFonts w:ascii="Times New Roman" w:hAnsi="Times New Roman"/>
          <w:sz w:val="24"/>
          <w:szCs w:val="24"/>
        </w:rPr>
        <w:t>consolidation</w:t>
      </w:r>
      <w:r w:rsidRPr="006467E6">
        <w:rPr>
          <w:rFonts w:ascii="Times New Roman" w:hAnsi="Times New Roman"/>
          <w:sz w:val="24"/>
          <w:szCs w:val="24"/>
        </w:rPr>
        <w:t xml:space="preserve"> of </w:t>
      </w:r>
      <w:r w:rsidR="00F906E8" w:rsidRPr="006467E6">
        <w:rPr>
          <w:rFonts w:ascii="Times New Roman" w:hAnsi="Times New Roman"/>
          <w:sz w:val="24"/>
          <w:szCs w:val="24"/>
        </w:rPr>
        <w:t>school-based</w:t>
      </w:r>
      <w:r w:rsidRPr="006467E6">
        <w:rPr>
          <w:rFonts w:ascii="Times New Roman" w:hAnsi="Times New Roman"/>
          <w:sz w:val="24"/>
          <w:szCs w:val="24"/>
        </w:rPr>
        <w:t xml:space="preserve"> ICT monitoring, peer observation, professional development programmes and pupil performance data. A good feedback mechanism should allow the education system to self-correct, such as when ICT usage drops significantly during a particular stage in the career, and interventions are planned for that stage.</w:t>
      </w:r>
    </w:p>
    <w:p w14:paraId="1699F68D" w14:textId="375ED310" w:rsidR="0023189A" w:rsidRPr="006467E6" w:rsidRDefault="0023189A"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Using this framework in an analytical way, teaching is not just a biographical </w:t>
      </w:r>
      <w:r w:rsidR="00B717C3" w:rsidRPr="006467E6">
        <w:rPr>
          <w:rFonts w:ascii="Times New Roman" w:hAnsi="Times New Roman"/>
          <w:sz w:val="24"/>
          <w:szCs w:val="24"/>
        </w:rPr>
        <w:t>description but</w:t>
      </w:r>
      <w:r w:rsidRPr="006467E6">
        <w:rPr>
          <w:rFonts w:ascii="Times New Roman" w:hAnsi="Times New Roman"/>
          <w:sz w:val="24"/>
          <w:szCs w:val="24"/>
        </w:rPr>
        <w:t xml:space="preserve"> is also presented as an input variable in the framework of digital integration, which in turn has a significant impact on student learning outputs. The results of this study suggest that veteran teachers' use of digital devices is declining, and this is a systemic symptom in the feedback loop: The educational system needs to respond with targeted interventions that will address the specific input constrains of the more experienced teacher.</w:t>
      </w:r>
    </w:p>
    <w:p w14:paraId="1B4FA752"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2.2 Conceptual Framework</w:t>
      </w:r>
    </w:p>
    <w:p w14:paraId="0A72DF3E" w14:textId="77777777" w:rsidR="00CC77E3" w:rsidRPr="006467E6" w:rsidRDefault="00CC77E3" w:rsidP="00F906E8">
      <w:pPr>
        <w:spacing w:after="0"/>
        <w:ind w:firstLine="720"/>
        <w:jc w:val="both"/>
        <w:rPr>
          <w:rFonts w:ascii="Times New Roman" w:hAnsi="Times New Roman"/>
          <w:sz w:val="24"/>
          <w:szCs w:val="24"/>
        </w:rPr>
      </w:pPr>
      <w:r w:rsidRPr="006467E6">
        <w:rPr>
          <w:rFonts w:ascii="Times New Roman" w:hAnsi="Times New Roman"/>
          <w:sz w:val="24"/>
          <w:szCs w:val="24"/>
        </w:rPr>
        <w:t>The conceptual framework presents the direction of the relationship between the independent variable (Teaching Experience) which was operationalised in this study as the years of professional service experienced in five career stages and dependent variable (Digital Device Utilisation) which was operationalized by frequency and confidence of using ICT in agricultural instruction. Some factors such as teachers' attitudes towards ICT, availability of digital infrastructure in schools, school administration support and pre-service and in-service training quality in ICT moderate this relationship. The framework informed the instruments, sampling and analysis plan for the study.</w:t>
      </w:r>
    </w:p>
    <w:p w14:paraId="00ADD477"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3. LITERATURE REVIEW</w:t>
      </w:r>
    </w:p>
    <w:p w14:paraId="27BC9ACB"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3.1 ICT Integration in Education: Global Perspectives</w:t>
      </w:r>
    </w:p>
    <w:p w14:paraId="20ACF303" w14:textId="354E0F3C" w:rsidR="00541E5F" w:rsidRPr="006467E6" w:rsidRDefault="00541E5F"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The use of the digital device in education has been widely studied as a pedagogical approach in various contexts around the world. </w:t>
      </w:r>
      <w:proofErr w:type="spellStart"/>
      <w:r w:rsidRPr="006467E6">
        <w:rPr>
          <w:rFonts w:ascii="Times New Roman" w:hAnsi="Times New Roman"/>
          <w:sz w:val="24"/>
          <w:szCs w:val="24"/>
        </w:rPr>
        <w:t>Tondeur</w:t>
      </w:r>
      <w:proofErr w:type="spellEnd"/>
      <w:r w:rsidRPr="006467E6">
        <w:rPr>
          <w:rFonts w:ascii="Times New Roman" w:hAnsi="Times New Roman"/>
          <w:sz w:val="24"/>
          <w:szCs w:val="24"/>
        </w:rPr>
        <w:t xml:space="preserve"> et al. (2017) showed that the use of ICTs increases student attention, facilitates differentiated teaching, and equips students with the skills necessary to respond to the needs of the knowledge economy. Ertmer and Ottenbreit-Leftwich </w:t>
      </w:r>
      <w:r w:rsidRPr="006467E6">
        <w:rPr>
          <w:rFonts w:ascii="Times New Roman" w:hAnsi="Times New Roman"/>
          <w:sz w:val="24"/>
          <w:szCs w:val="24"/>
        </w:rPr>
        <w:lastRenderedPageBreak/>
        <w:t xml:space="preserve">(2010) found that successful use of ICTs goes beyond simply having access to the </w:t>
      </w:r>
      <w:r w:rsidR="00EC4372" w:rsidRPr="006467E6">
        <w:rPr>
          <w:rFonts w:ascii="Times New Roman" w:hAnsi="Times New Roman"/>
          <w:sz w:val="24"/>
          <w:szCs w:val="24"/>
        </w:rPr>
        <w:t>technology and</w:t>
      </w:r>
      <w:r w:rsidRPr="006467E6">
        <w:rPr>
          <w:rFonts w:ascii="Times New Roman" w:hAnsi="Times New Roman"/>
          <w:sz w:val="24"/>
          <w:szCs w:val="24"/>
        </w:rPr>
        <w:t xml:space="preserve"> involves the teacher becoming a Technological Pedagogical Content Knowledge (TPACK) learner and having positive orientations toward technology. Teacher-level factors, such as experience, confidence, attitude and teacher training quality have been found consistently across the world to be more predictive of the use of ICTs than the availability of technology (Voogt et al., 2013; Hew &amp; Brush, 2007).</w:t>
      </w:r>
    </w:p>
    <w:p w14:paraId="3C8176EF"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3.2 ICT Integration in Agricultural Education</w:t>
      </w:r>
    </w:p>
    <w:p w14:paraId="456ED4D0" w14:textId="5482DAE3" w:rsidR="00541E5F" w:rsidRPr="006467E6" w:rsidRDefault="00541E5F" w:rsidP="00F906E8">
      <w:pPr>
        <w:spacing w:after="0"/>
        <w:ind w:firstLine="720"/>
        <w:jc w:val="both"/>
        <w:rPr>
          <w:rFonts w:ascii="Times New Roman" w:hAnsi="Times New Roman"/>
          <w:sz w:val="24"/>
          <w:szCs w:val="24"/>
        </w:rPr>
      </w:pPr>
      <w:r w:rsidRPr="006467E6">
        <w:rPr>
          <w:rFonts w:ascii="Times New Roman" w:hAnsi="Times New Roman"/>
          <w:sz w:val="24"/>
          <w:szCs w:val="24"/>
        </w:rPr>
        <w:t>Digital tools have pedagogical possibilities that are unique in the context of agricultural education. According to FAO (2021), multimedia simulations, e-learning platforms and internet-based agronomic resources have proven to be highly effective in enhancing students' understanding of complicated biological and ecological processes that are hard to represent using conventional teaching methods. For Kenyan secondary school teachers, incorporating digital devices in Agriculture lessons led to more students engaging with the content and better results in practical exams</w:t>
      </w:r>
      <w:r w:rsidR="007A5948">
        <w:rPr>
          <w:rFonts w:ascii="Times New Roman" w:hAnsi="Times New Roman"/>
          <w:sz w:val="24"/>
          <w:szCs w:val="24"/>
        </w:rPr>
        <w:t xml:space="preserve"> (</w:t>
      </w:r>
      <w:r w:rsidRPr="006467E6">
        <w:rPr>
          <w:rFonts w:ascii="Times New Roman" w:hAnsi="Times New Roman"/>
          <w:sz w:val="24"/>
          <w:szCs w:val="24"/>
        </w:rPr>
        <w:t>Korir</w:t>
      </w:r>
      <w:r w:rsidR="007A5948">
        <w:rPr>
          <w:rFonts w:ascii="Times New Roman" w:hAnsi="Times New Roman"/>
          <w:sz w:val="24"/>
          <w:szCs w:val="24"/>
        </w:rPr>
        <w:t xml:space="preserve"> &amp;</w:t>
      </w:r>
      <w:r w:rsidRPr="006467E6">
        <w:rPr>
          <w:rFonts w:ascii="Times New Roman" w:hAnsi="Times New Roman"/>
          <w:sz w:val="24"/>
          <w:szCs w:val="24"/>
        </w:rPr>
        <w:t xml:space="preserve"> Sang</w:t>
      </w:r>
      <w:r w:rsidR="007A5948">
        <w:rPr>
          <w:rFonts w:ascii="Times New Roman" w:hAnsi="Times New Roman"/>
          <w:sz w:val="24"/>
          <w:szCs w:val="24"/>
        </w:rPr>
        <w:t xml:space="preserve">, </w:t>
      </w:r>
      <w:r w:rsidRPr="006467E6">
        <w:rPr>
          <w:rFonts w:ascii="Times New Roman" w:hAnsi="Times New Roman"/>
          <w:sz w:val="24"/>
          <w:szCs w:val="24"/>
        </w:rPr>
        <w:t>2022). Although this potential exists, ICT use in agricultural education is still relatively low, even in the face of several challenges such as the perceived dominance of field-based learning, limited access to agriculture-related digital content and the absence of adequate ICT training specifically for agricultural pedagogy (</w:t>
      </w:r>
      <w:proofErr w:type="spellStart"/>
      <w:r w:rsidRPr="006467E6">
        <w:rPr>
          <w:rFonts w:ascii="Times New Roman" w:hAnsi="Times New Roman"/>
          <w:sz w:val="24"/>
          <w:szCs w:val="24"/>
        </w:rPr>
        <w:t>Asabere</w:t>
      </w:r>
      <w:proofErr w:type="spellEnd"/>
      <w:r w:rsidRPr="006467E6">
        <w:rPr>
          <w:rFonts w:ascii="Times New Roman" w:hAnsi="Times New Roman"/>
          <w:sz w:val="24"/>
          <w:szCs w:val="24"/>
        </w:rPr>
        <w:t xml:space="preserve"> et al., 2020).</w:t>
      </w:r>
    </w:p>
    <w:p w14:paraId="5456A904"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3.3 Teaching Experience and Technology Adoption</w:t>
      </w:r>
    </w:p>
    <w:p w14:paraId="14BA15EC" w14:textId="449C8B7B" w:rsidR="00541E5F" w:rsidRPr="006467E6" w:rsidRDefault="00541E5F"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There is a complex relationship between experience and the adoption of ICTs, </w:t>
      </w:r>
      <w:r w:rsidR="007A5948">
        <w:rPr>
          <w:rFonts w:ascii="Times New Roman" w:hAnsi="Times New Roman"/>
          <w:sz w:val="24"/>
          <w:szCs w:val="24"/>
        </w:rPr>
        <w:t>which</w:t>
      </w:r>
      <w:r w:rsidRPr="006467E6">
        <w:rPr>
          <w:rFonts w:ascii="Times New Roman" w:hAnsi="Times New Roman"/>
          <w:sz w:val="24"/>
          <w:szCs w:val="24"/>
        </w:rPr>
        <w:t xml:space="preserve"> is not consistently bi-directional. There are indications that teachers who started their careers more recently (with more recent pre-service training in explicit ICT), are more frequent and enthusiastic users of digital devices (Mugisha et al., 2023; Sipilä, 2014; Sang et al., 2010). In a similar study, Mwaniki and Makokha (2021) discovered that more recent training was associated with higher rates of teachers' integration of digital tools in their classrooms, and that teachers' digital familiarity was associated with such integration as well. The study by Obonyo et al. (2019) revealed that teachers who had served for over 15 years in Kenya had comparatively low levels of the integration of ICT, this was explained by the teachers' fear of using ICT (technophobia) and the use of familiar teaching methods, as well as their lack of engagement with the latest professional development programmes in ICT.</w:t>
      </w:r>
    </w:p>
    <w:p w14:paraId="41E7BE33" w14:textId="73F0599D" w:rsidR="00541E5F" w:rsidRPr="006467E6" w:rsidRDefault="006F0607" w:rsidP="00F906E8">
      <w:pPr>
        <w:spacing w:after="0"/>
        <w:ind w:firstLine="720"/>
        <w:jc w:val="both"/>
        <w:rPr>
          <w:rFonts w:ascii="Times New Roman" w:hAnsi="Times New Roman"/>
          <w:sz w:val="24"/>
          <w:szCs w:val="24"/>
        </w:rPr>
      </w:pPr>
      <w:r>
        <w:rPr>
          <w:rFonts w:ascii="Times New Roman" w:hAnsi="Times New Roman"/>
          <w:sz w:val="24"/>
          <w:szCs w:val="24"/>
        </w:rPr>
        <w:t>Nevertheless, t</w:t>
      </w:r>
      <w:r w:rsidR="00541E5F" w:rsidRPr="006467E6">
        <w:rPr>
          <w:rFonts w:ascii="Times New Roman" w:hAnsi="Times New Roman"/>
          <w:sz w:val="24"/>
          <w:szCs w:val="24"/>
        </w:rPr>
        <w:t>here are conflicting views</w:t>
      </w:r>
      <w:r w:rsidR="004F40ED">
        <w:rPr>
          <w:rFonts w:ascii="Times New Roman" w:hAnsi="Times New Roman"/>
          <w:sz w:val="24"/>
          <w:szCs w:val="24"/>
        </w:rPr>
        <w:t xml:space="preserve"> regarding the link between experience and use of ICT in instruction</w:t>
      </w:r>
      <w:r w:rsidR="00541E5F" w:rsidRPr="006467E6">
        <w:rPr>
          <w:rFonts w:ascii="Times New Roman" w:hAnsi="Times New Roman"/>
          <w:sz w:val="24"/>
          <w:szCs w:val="24"/>
        </w:rPr>
        <w:t>. Gudmundsdottir and Hatlevik (2022) stated that seasoned teachers engage in more purposeful and curriculum-relevant use of ICT and incorporate this into their curriculum with pedagogical purpose and intent, instead of superficially. Day and Gu (2021) also noted that seasoned teachers' expertise allows them to assess and place digital tools in a wider context of instruction. According to Oluwatosin and Adebayo (2022), teaching experience was not observed to have any significant relationship with the use of ICTs</w:t>
      </w:r>
      <w:r w:rsidR="008A46E7">
        <w:rPr>
          <w:rFonts w:ascii="Times New Roman" w:hAnsi="Times New Roman"/>
          <w:sz w:val="24"/>
          <w:szCs w:val="24"/>
        </w:rPr>
        <w:t>. This highlighted that</w:t>
      </w:r>
      <w:r w:rsidR="00541E5F" w:rsidRPr="006467E6">
        <w:rPr>
          <w:rFonts w:ascii="Times New Roman" w:hAnsi="Times New Roman"/>
          <w:sz w:val="24"/>
          <w:szCs w:val="24"/>
        </w:rPr>
        <w:t>, rather than teaching experience, institutional support and individual motivation play greater roles. Njiru and Wambugu (2023) also noted that some very experienced teachers, especially those in leadership, and with high levels of ICT training are already using digital devices, irrespective of their career stage.</w:t>
      </w:r>
    </w:p>
    <w:p w14:paraId="72787E98" w14:textId="40F00304" w:rsidR="00541E5F" w:rsidRPr="006467E6" w:rsidRDefault="00541E5F" w:rsidP="00F906E8">
      <w:pPr>
        <w:spacing w:after="0"/>
        <w:ind w:firstLine="720"/>
        <w:jc w:val="both"/>
        <w:rPr>
          <w:rFonts w:ascii="Times New Roman" w:hAnsi="Times New Roman"/>
          <w:sz w:val="24"/>
          <w:szCs w:val="24"/>
        </w:rPr>
      </w:pPr>
      <w:r w:rsidRPr="006467E6">
        <w:rPr>
          <w:rFonts w:ascii="Times New Roman" w:hAnsi="Times New Roman"/>
          <w:sz w:val="24"/>
          <w:szCs w:val="24"/>
        </w:rPr>
        <w:lastRenderedPageBreak/>
        <w:t xml:space="preserve">In the East African setting, Wanjiku and Njoroge (2021) reported that </w:t>
      </w:r>
      <w:r w:rsidR="008A46E7" w:rsidRPr="006467E6">
        <w:rPr>
          <w:rFonts w:ascii="Times New Roman" w:hAnsi="Times New Roman"/>
          <w:sz w:val="24"/>
          <w:szCs w:val="24"/>
        </w:rPr>
        <w:t>recently trained</w:t>
      </w:r>
      <w:r w:rsidRPr="006467E6">
        <w:rPr>
          <w:rFonts w:ascii="Times New Roman" w:hAnsi="Times New Roman"/>
          <w:sz w:val="24"/>
          <w:szCs w:val="24"/>
        </w:rPr>
        <w:t xml:space="preserve"> secondary teachers in Kenya exhibited more frequent device use, which was attributed to the greater focus on ICT in the current pre-service programmes. Nganga and Ochieng (2024) and Wanjohi and Muriithi (2024) noted that teaching staff in public schools in Kenya were mostly found in the mid-career, with the highest and lowest end of the career ranges showing the highest and lowest rate of ICT use respectively.</w:t>
      </w:r>
    </w:p>
    <w:p w14:paraId="061E8847"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3.4 Knowledge Gap</w:t>
      </w:r>
    </w:p>
    <w:p w14:paraId="5899AE57" w14:textId="5933A9DC" w:rsidR="00EB44F9" w:rsidRPr="006467E6" w:rsidRDefault="00EB44F9"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Although there is a considerable amount of literature available on the topic of integrating ICTs and teachers' experiences, empirical studies that focus on Agriculture teachers and their experiences at the county level in Kenya have been limited. The current studies conducted in Kenya have focused on the integration of ICTs in general without breaking down the different subjects and without making any systematic connections between the different categories of ICT experiences and digital devices use patterns (Njoroge &amp; Mwangi 2019; Wanjiku &amp; Njoroge 2021). This study fills that </w:t>
      </w:r>
      <w:r w:rsidR="00F73B8B" w:rsidRPr="006467E6">
        <w:rPr>
          <w:rFonts w:ascii="Times New Roman" w:hAnsi="Times New Roman"/>
          <w:sz w:val="24"/>
          <w:szCs w:val="24"/>
        </w:rPr>
        <w:t>gap and</w:t>
      </w:r>
      <w:r w:rsidRPr="006467E6">
        <w:rPr>
          <w:rFonts w:ascii="Times New Roman" w:hAnsi="Times New Roman"/>
          <w:sz w:val="24"/>
          <w:szCs w:val="24"/>
        </w:rPr>
        <w:t xml:space="preserve"> offers subject-specific and context-specific empirical evidence, both in the realm of scholarship and policy.</w:t>
      </w:r>
    </w:p>
    <w:p w14:paraId="38DF971F"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4. METHODOLOGY</w:t>
      </w:r>
    </w:p>
    <w:p w14:paraId="74B544AB"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4.1 Research Design</w:t>
      </w:r>
    </w:p>
    <w:p w14:paraId="724A3D1F" w14:textId="0B942F3D" w:rsidR="00EB44F9" w:rsidRPr="006467E6" w:rsidRDefault="00EB44F9"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This study used a </w:t>
      </w:r>
      <w:r w:rsidR="00F73B8B" w:rsidRPr="006467E6">
        <w:rPr>
          <w:rFonts w:ascii="Times New Roman" w:hAnsi="Times New Roman"/>
          <w:sz w:val="24"/>
          <w:szCs w:val="24"/>
        </w:rPr>
        <w:t>cross-sectional</w:t>
      </w:r>
      <w:r w:rsidRPr="006467E6">
        <w:rPr>
          <w:rFonts w:ascii="Times New Roman" w:hAnsi="Times New Roman"/>
          <w:sz w:val="24"/>
          <w:szCs w:val="24"/>
        </w:rPr>
        <w:t xml:space="preserve"> survey research design (Creswell &amp; Creswell, 2017). Given the need to collect data from a large population at a single time, this design was suitable for examining correlational relationships between variables without the environment being manipulated (Babbie, 2020). Such cross-sectional designs are especially suited to large-scale naturalistic studies of teachers and teacher attributes in education.</w:t>
      </w:r>
    </w:p>
    <w:p w14:paraId="6479308E"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4.2 Population and Sampling</w:t>
      </w:r>
    </w:p>
    <w:p w14:paraId="1848B41F" w14:textId="77777777" w:rsidR="0081630A" w:rsidRPr="006467E6" w:rsidRDefault="0081630A" w:rsidP="00F906E8">
      <w:pPr>
        <w:spacing w:after="0"/>
        <w:jc w:val="both"/>
        <w:rPr>
          <w:rFonts w:ascii="Times New Roman" w:hAnsi="Times New Roman"/>
          <w:sz w:val="24"/>
          <w:szCs w:val="24"/>
        </w:rPr>
      </w:pPr>
      <w:r w:rsidRPr="006467E6">
        <w:rPr>
          <w:rFonts w:ascii="Times New Roman" w:hAnsi="Times New Roman"/>
          <w:sz w:val="24"/>
          <w:szCs w:val="24"/>
        </w:rPr>
        <w:t xml:space="preserve">The target population comprised 698 Agriculture teachers in public secondary schools across Nakuru County. A sample size of 168 was determined using the </w:t>
      </w:r>
      <w:proofErr w:type="spellStart"/>
      <w:r w:rsidRPr="006467E6">
        <w:rPr>
          <w:rFonts w:ascii="Times New Roman" w:hAnsi="Times New Roman"/>
          <w:sz w:val="24"/>
          <w:szCs w:val="24"/>
        </w:rPr>
        <w:t>Nassiuma</w:t>
      </w:r>
      <w:proofErr w:type="spellEnd"/>
      <w:r w:rsidRPr="006467E6">
        <w:rPr>
          <w:rFonts w:ascii="Times New Roman" w:hAnsi="Times New Roman"/>
          <w:sz w:val="24"/>
          <w:szCs w:val="24"/>
        </w:rPr>
        <w:t xml:space="preserve"> (2000) formula:</w:t>
      </w:r>
    </w:p>
    <w:p w14:paraId="4FFDB319" w14:textId="085FE01D" w:rsidR="009C391E" w:rsidRPr="006467E6" w:rsidRDefault="009C391E" w:rsidP="00F906E8">
      <w:pPr>
        <w:spacing w:after="0"/>
        <w:jc w:val="both"/>
        <w:rPr>
          <w:rFonts w:ascii="Times New Roman" w:hAnsi="Times New Roman"/>
          <w:sz w:val="24"/>
          <w:szCs w:val="24"/>
        </w:rPr>
      </w:pPr>
      <w:r w:rsidRPr="006467E6">
        <w:rPr>
          <w:rFonts w:ascii="Times New Roman" w:hAnsi="Times New Roman"/>
          <w:sz w:val="24"/>
          <w:szCs w:val="24"/>
        </w:rPr>
        <w:t xml:space="preserve">    </w:t>
      </w:r>
      <w:r w:rsidRPr="006467E6">
        <w:rPr>
          <w:rFonts w:ascii="Times New Roman" w:eastAsia="Calibri" w:hAnsi="Times New Roman"/>
          <w:i/>
          <w:sz w:val="24"/>
          <w:szCs w:val="24"/>
          <w:lang w:eastAsia="en-US"/>
          <w14:ligatures w14:val="standardContextual"/>
        </w:rPr>
        <w:br/>
      </w:r>
      <m:oMathPara>
        <m:oMath>
          <m:r>
            <w:rPr>
              <w:rFonts w:ascii="Cambria Math" w:hAnsi="Cambria Math"/>
              <w:sz w:val="24"/>
              <w:szCs w:val="24"/>
            </w:rPr>
            <m:t>n=</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N(Cv)</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Cv</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r>
                    <w:rPr>
                      <w:rFonts w:ascii="Cambria Math" w:hAnsi="Cambria Math"/>
                      <w:sz w:val="24"/>
                      <w:szCs w:val="24"/>
                    </w:rPr>
                    <m:t>e</m:t>
                  </m:r>
                </m:e>
                <m:sup>
                  <m:r>
                    <w:rPr>
                      <w:rFonts w:ascii="Cambria Math" w:hAnsi="Cambria Math"/>
                      <w:sz w:val="24"/>
                      <w:szCs w:val="24"/>
                    </w:rPr>
                    <m:t>2</m:t>
                  </m:r>
                </m:sup>
              </m:sSup>
            </m:den>
          </m:f>
        </m:oMath>
      </m:oMathPara>
    </w:p>
    <w:p w14:paraId="0CD8B7D6" w14:textId="77777777" w:rsidR="0081630A" w:rsidRPr="006467E6" w:rsidRDefault="0081630A" w:rsidP="00F906E8">
      <w:pPr>
        <w:spacing w:after="0"/>
        <w:jc w:val="both"/>
        <w:rPr>
          <w:rFonts w:ascii="Times New Roman" w:hAnsi="Times New Roman"/>
          <w:sz w:val="24"/>
          <w:szCs w:val="24"/>
        </w:rPr>
      </w:pPr>
      <w:r w:rsidRPr="006467E6">
        <w:rPr>
          <w:rFonts w:ascii="Times New Roman" w:hAnsi="Times New Roman"/>
          <w:sz w:val="24"/>
          <w:szCs w:val="24"/>
        </w:rPr>
        <w:t xml:space="preserve">Where: n = sample size, N = population (698), </w:t>
      </w:r>
      <w:proofErr w:type="spellStart"/>
      <w:r w:rsidRPr="006467E6">
        <w:rPr>
          <w:rFonts w:ascii="Times New Roman" w:hAnsi="Times New Roman"/>
          <w:sz w:val="24"/>
          <w:szCs w:val="24"/>
        </w:rPr>
        <w:t>Cv</w:t>
      </w:r>
      <w:proofErr w:type="spellEnd"/>
      <w:r w:rsidRPr="006467E6">
        <w:rPr>
          <w:rFonts w:ascii="Times New Roman" w:hAnsi="Times New Roman"/>
          <w:sz w:val="24"/>
          <w:szCs w:val="24"/>
        </w:rPr>
        <w:t xml:space="preserve"> = coefficient of variation (30%), e = standard error (0.02).</w:t>
      </w:r>
    </w:p>
    <w:p w14:paraId="4E452E48" w14:textId="77777777" w:rsidR="00EB44F9" w:rsidRPr="006467E6" w:rsidRDefault="00EB44F9" w:rsidP="00F906E8">
      <w:pPr>
        <w:spacing w:after="0"/>
        <w:ind w:firstLine="720"/>
        <w:jc w:val="both"/>
        <w:rPr>
          <w:rFonts w:ascii="Times New Roman" w:hAnsi="Times New Roman"/>
          <w:sz w:val="24"/>
          <w:szCs w:val="24"/>
        </w:rPr>
      </w:pPr>
      <w:r w:rsidRPr="006467E6">
        <w:rPr>
          <w:rFonts w:ascii="Times New Roman" w:hAnsi="Times New Roman"/>
          <w:sz w:val="24"/>
          <w:szCs w:val="24"/>
        </w:rPr>
        <w:t>The study used a multi-stage sampling technique which involved purposive sampling of the study area of Nakuru County, stratified sampling with proportional representation of sub-counties for sampling and simple random sampling of individual teachers in each sub-county stratum. The returned questionnaires were completed by 140 teachers for 83.3% return. This is higher than the suggested 70% mark for social science survey research (Babbie, 2020).</w:t>
      </w:r>
    </w:p>
    <w:p w14:paraId="3F1B6788"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4.3 Instrumentation</w:t>
      </w:r>
    </w:p>
    <w:p w14:paraId="61CD62E5" w14:textId="77777777" w:rsidR="00705E90" w:rsidRPr="006467E6" w:rsidRDefault="00705E90"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The Agriculture Teacher's Questionnaire (ATQ) was developed by the researchers to collect data. The biographical information collected in Section A was gender, age, level of education, and the number of years in teaching (the independent variable) which was divided into five career stages: 1-5 years, 6-10 years, 11-15 years, 16-20 years, and over 20 years. This </w:t>
      </w:r>
      <w:r w:rsidRPr="006467E6">
        <w:rPr>
          <w:rFonts w:ascii="Times New Roman" w:hAnsi="Times New Roman"/>
          <w:sz w:val="24"/>
          <w:szCs w:val="24"/>
        </w:rPr>
        <w:lastRenderedPageBreak/>
        <w:t>classification aligns with the models adopted in teacher professional development research and corroborated by the studies conducted by Day and Gu (2021) and Muthoni and Obara (2020), Opiyo and Koech (2024) respectively. To assess frequency (1 = Never to 5 = Always) and confidence (1 = Not at all to 5 = Very confident) of digital device use in five categories—lesson planning, content delivery, student assessment, professional communication, and professional development—sections B–F were scored on a five-point Likert scale (1932). There were 42 items included in the digital device usage scale.</w:t>
      </w:r>
    </w:p>
    <w:p w14:paraId="05401326"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4.4 Validity and Reliability</w:t>
      </w:r>
    </w:p>
    <w:p w14:paraId="316824E6" w14:textId="3246542D" w:rsidR="00705E90" w:rsidRPr="006467E6" w:rsidRDefault="00705E90" w:rsidP="005617A0">
      <w:pPr>
        <w:spacing w:after="0"/>
        <w:ind w:firstLine="720"/>
        <w:jc w:val="both"/>
        <w:rPr>
          <w:rFonts w:ascii="Times New Roman" w:hAnsi="Times New Roman"/>
          <w:sz w:val="24"/>
          <w:szCs w:val="24"/>
        </w:rPr>
      </w:pPr>
      <w:r w:rsidRPr="006467E6">
        <w:rPr>
          <w:rFonts w:ascii="Times New Roman" w:hAnsi="Times New Roman"/>
          <w:sz w:val="24"/>
          <w:szCs w:val="24"/>
        </w:rPr>
        <w:t xml:space="preserve">Content validity was achieved by reviewing </w:t>
      </w:r>
      <w:r w:rsidR="005617A0">
        <w:rPr>
          <w:rFonts w:ascii="Times New Roman" w:hAnsi="Times New Roman"/>
          <w:sz w:val="24"/>
          <w:szCs w:val="24"/>
        </w:rPr>
        <w:t>the study</w:t>
      </w:r>
      <w:r w:rsidRPr="006467E6">
        <w:rPr>
          <w:rFonts w:ascii="Times New Roman" w:hAnsi="Times New Roman"/>
          <w:sz w:val="24"/>
          <w:szCs w:val="24"/>
        </w:rPr>
        <w:t xml:space="preserve"> by experts in the form of supervisors who are in the Department of Agricultural education and extension and the </w:t>
      </w:r>
      <w:proofErr w:type="gramStart"/>
      <w:r w:rsidRPr="006467E6">
        <w:rPr>
          <w:rFonts w:ascii="Times New Roman" w:hAnsi="Times New Roman"/>
          <w:sz w:val="24"/>
          <w:szCs w:val="24"/>
        </w:rPr>
        <w:t>Faculty</w:t>
      </w:r>
      <w:proofErr w:type="gramEnd"/>
      <w:r w:rsidRPr="006467E6">
        <w:rPr>
          <w:rFonts w:ascii="Times New Roman" w:hAnsi="Times New Roman"/>
          <w:sz w:val="24"/>
          <w:szCs w:val="24"/>
        </w:rPr>
        <w:t xml:space="preserve"> of education and community studies at Egerton University. A pilot study was done with 35 Agriculture teachers of Nyandarua County which is structurally similar to Nakuru County but not included in the main study to avoid contamination of data. Cronbach's alpha (Cronbach, 1951) was used to test the reliability of the instrument with the result of 0.963. This demonstrates very good internal consistency, but the authors recognise that scores &gt; 0.95 could reflect item redundancy (</w:t>
      </w:r>
      <w:proofErr w:type="spellStart"/>
      <w:r w:rsidRPr="006467E6">
        <w:rPr>
          <w:rFonts w:ascii="Times New Roman" w:hAnsi="Times New Roman"/>
          <w:sz w:val="24"/>
          <w:szCs w:val="24"/>
        </w:rPr>
        <w:t>Streiner</w:t>
      </w:r>
      <w:proofErr w:type="spellEnd"/>
      <w:r w:rsidRPr="006467E6">
        <w:rPr>
          <w:rFonts w:ascii="Times New Roman" w:hAnsi="Times New Roman"/>
          <w:sz w:val="24"/>
          <w:szCs w:val="24"/>
        </w:rPr>
        <w:t>, 2003). All 42 items met the 0.30 retention criterion from item-total correlation analysis, but the instrument development in the future needs to be reduced to increase the parsimony of the instrument without reducing the content validity.</w:t>
      </w:r>
    </w:p>
    <w:p w14:paraId="46E36EC6"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4.5 Ethical Considerations</w:t>
      </w:r>
    </w:p>
    <w:p w14:paraId="1CAAA999" w14:textId="66D4B9EA" w:rsidR="00601C08" w:rsidRPr="006467E6" w:rsidRDefault="001E229D" w:rsidP="00F906E8">
      <w:pPr>
        <w:spacing w:after="0"/>
        <w:ind w:firstLine="720"/>
        <w:jc w:val="both"/>
        <w:rPr>
          <w:rFonts w:ascii="Times New Roman" w:hAnsi="Times New Roman"/>
          <w:sz w:val="24"/>
          <w:szCs w:val="24"/>
        </w:rPr>
      </w:pPr>
      <w:r w:rsidRPr="006467E6">
        <w:rPr>
          <w:rFonts w:ascii="Times New Roman" w:hAnsi="Times New Roman"/>
          <w:sz w:val="24"/>
          <w:szCs w:val="24"/>
        </w:rPr>
        <w:t>Before data collection, scientific and ethical approval was initially obtained from the Egerton University Institutional Scientific and Ethics Review Committee (EUISERC)</w:t>
      </w:r>
      <w:r w:rsidR="00601C08" w:rsidRPr="006467E6">
        <w:rPr>
          <w:rFonts w:ascii="Times New Roman" w:hAnsi="Times New Roman"/>
          <w:sz w:val="24"/>
          <w:szCs w:val="24"/>
        </w:rPr>
        <w:t xml:space="preserve">. The Egerton University Board of Postgraduate Studies was sought and issued an introductory letter upon receipt and approval of the research proposal which had been examined and indicated satisfactorily by Department of Agricultural Education and Extension, and Faculty of Education and Community Studies respectively. This allowed a research permit to be applied for from the National Commission for Science, Technology and Innovation (NACOSTI). After that, the Nakuru County Director, Ministry of Education Office was requested to give an official consent to carry out the study. The researcher then obtained the data through a visit to the schools where the research instruments were given to the </w:t>
      </w:r>
      <w:r w:rsidR="002117A2" w:rsidRPr="006467E6">
        <w:rPr>
          <w:rFonts w:ascii="Times New Roman" w:hAnsi="Times New Roman"/>
          <w:sz w:val="24"/>
          <w:szCs w:val="24"/>
        </w:rPr>
        <w:t>agriculture</w:t>
      </w:r>
      <w:r w:rsidR="00601C08" w:rsidRPr="006467E6">
        <w:rPr>
          <w:rFonts w:ascii="Times New Roman" w:hAnsi="Times New Roman"/>
          <w:sz w:val="24"/>
          <w:szCs w:val="24"/>
        </w:rPr>
        <w:t xml:space="preserve"> teachers. In addition, an observation checklist was used to gather this information as an aid. The whole data collection process lasted two months.</w:t>
      </w:r>
    </w:p>
    <w:p w14:paraId="6ED3E733" w14:textId="5A3914BE"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4.6 Data Analysis</w:t>
      </w:r>
    </w:p>
    <w:p w14:paraId="3B9F6050" w14:textId="22F689FA" w:rsidR="00601C08" w:rsidRPr="006467E6" w:rsidRDefault="00601C08" w:rsidP="00F906E8">
      <w:pPr>
        <w:spacing w:after="0"/>
        <w:jc w:val="both"/>
        <w:rPr>
          <w:rFonts w:ascii="Times New Roman" w:hAnsi="Times New Roman"/>
          <w:sz w:val="24"/>
          <w:szCs w:val="24"/>
        </w:rPr>
      </w:pPr>
      <w:r w:rsidRPr="006467E6">
        <w:rPr>
          <w:rFonts w:ascii="Times New Roman" w:hAnsi="Times New Roman"/>
          <w:sz w:val="24"/>
          <w:szCs w:val="24"/>
        </w:rPr>
        <w:t xml:space="preserve">Data were analysed using SPSS 29.0. Descriptive statistics were used to calculate the mean, SD, SE, and score range for each type of teaching experience </w:t>
      </w:r>
      <w:r w:rsidR="009E1FDE" w:rsidRPr="006467E6">
        <w:rPr>
          <w:rFonts w:ascii="Times New Roman" w:hAnsi="Times New Roman"/>
          <w:sz w:val="24"/>
          <w:szCs w:val="24"/>
        </w:rPr>
        <w:t>to</w:t>
      </w:r>
      <w:r w:rsidRPr="006467E6">
        <w:rPr>
          <w:rFonts w:ascii="Times New Roman" w:hAnsi="Times New Roman"/>
          <w:sz w:val="24"/>
          <w:szCs w:val="24"/>
        </w:rPr>
        <w:t xml:space="preserve"> look for patterns in digital device usage. Spearman's rank-order correlation coefficient (ρ) was used to test the null hypothesis (H₀: There is no statistically significant influence of teaching experience on the use of the digital devices in teaching Agriculture in Nakuru County). Spearman's correlation was chosen over Pearson's r due to the ordinal (categorical) nature of the teaching experience variable, the lack of normality distribution of the composite digital device use scores, and the greater robustness of Spearman's rho in cases where scores are ranked and/or non-parametric data (Field, 2018). The level of significance was taken as α = 0.05.</w:t>
      </w:r>
    </w:p>
    <w:p w14:paraId="4C5CBF30" w14:textId="7F68665E"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lastRenderedPageBreak/>
        <w:t>5. RESULTS</w:t>
      </w:r>
      <w:r w:rsidR="00894523" w:rsidRPr="006467E6">
        <w:rPr>
          <w:rFonts w:ascii="Times New Roman" w:hAnsi="Times New Roman"/>
          <w:b/>
          <w:bCs/>
          <w:sz w:val="24"/>
          <w:szCs w:val="24"/>
        </w:rPr>
        <w:t xml:space="preserve"> AND DISCUSSION</w:t>
      </w:r>
    </w:p>
    <w:p w14:paraId="1D1F65F6"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5.1 Descriptive Statistics of Digital Device Use by Teaching Experience</w:t>
      </w:r>
    </w:p>
    <w:p w14:paraId="5A1A62A2" w14:textId="447266DE" w:rsidR="00894523" w:rsidRPr="006467E6" w:rsidRDefault="0081630A" w:rsidP="00F906E8">
      <w:pPr>
        <w:spacing w:after="0"/>
        <w:ind w:firstLine="720"/>
        <w:jc w:val="both"/>
        <w:rPr>
          <w:rFonts w:ascii="Times New Roman" w:hAnsi="Times New Roman"/>
          <w:sz w:val="24"/>
          <w:szCs w:val="24"/>
        </w:rPr>
      </w:pPr>
      <w:r w:rsidRPr="006467E6">
        <w:rPr>
          <w:rFonts w:ascii="Times New Roman" w:hAnsi="Times New Roman"/>
          <w:sz w:val="24"/>
          <w:szCs w:val="24"/>
        </w:rPr>
        <w:t>Descriptive statistics were computed to examine patterns of digital device utilisation across the five teaching experience categories. The results are presented in Table 1.</w:t>
      </w:r>
    </w:p>
    <w:p w14:paraId="415DA3C2" w14:textId="77777777" w:rsidR="0081630A" w:rsidRPr="006467E6" w:rsidRDefault="0081630A" w:rsidP="00F906E8">
      <w:pPr>
        <w:spacing w:after="0"/>
        <w:jc w:val="both"/>
        <w:rPr>
          <w:rFonts w:ascii="Times New Roman" w:hAnsi="Times New Roman"/>
          <w:sz w:val="24"/>
          <w:szCs w:val="24"/>
        </w:rPr>
      </w:pPr>
      <w:r w:rsidRPr="006467E6">
        <w:rPr>
          <w:rFonts w:ascii="Times New Roman" w:hAnsi="Times New Roman"/>
          <w:b/>
          <w:bCs/>
          <w:sz w:val="24"/>
          <w:szCs w:val="24"/>
        </w:rPr>
        <w:t>Table 1:</w:t>
      </w:r>
      <w:r w:rsidRPr="006467E6">
        <w:rPr>
          <w:rFonts w:ascii="Times New Roman" w:hAnsi="Times New Roman"/>
          <w:sz w:val="24"/>
          <w:szCs w:val="24"/>
        </w:rPr>
        <w:t xml:space="preserve"> Descriptive Statistics of Digital Device Use Scores Across Teaching Experience Categories (N = 140)</w:t>
      </w: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1525"/>
        <w:gridCol w:w="1142"/>
        <w:gridCol w:w="1333"/>
        <w:gridCol w:w="1332"/>
        <w:gridCol w:w="1333"/>
        <w:gridCol w:w="1332"/>
        <w:gridCol w:w="1333"/>
      </w:tblGrid>
      <w:tr w:rsidR="003A7509" w:rsidRPr="006467E6" w14:paraId="79166E53" w14:textId="77777777" w:rsidTr="003D3E64">
        <w:tc>
          <w:tcPr>
            <w:tcW w:w="1525" w:type="dxa"/>
          </w:tcPr>
          <w:p w14:paraId="2B785856"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Teaching Experience</w:t>
            </w:r>
          </w:p>
        </w:tc>
        <w:tc>
          <w:tcPr>
            <w:tcW w:w="1145" w:type="dxa"/>
          </w:tcPr>
          <w:p w14:paraId="42E19982"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N</w:t>
            </w:r>
          </w:p>
        </w:tc>
        <w:tc>
          <w:tcPr>
            <w:tcW w:w="1336" w:type="dxa"/>
          </w:tcPr>
          <w:p w14:paraId="63CAE7E4"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Mean</w:t>
            </w:r>
          </w:p>
        </w:tc>
        <w:tc>
          <w:tcPr>
            <w:tcW w:w="1336" w:type="dxa"/>
          </w:tcPr>
          <w:p w14:paraId="7A2F0398"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S. D</w:t>
            </w:r>
          </w:p>
        </w:tc>
        <w:tc>
          <w:tcPr>
            <w:tcW w:w="1336" w:type="dxa"/>
          </w:tcPr>
          <w:p w14:paraId="78A9E264"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S. E</w:t>
            </w:r>
          </w:p>
        </w:tc>
        <w:tc>
          <w:tcPr>
            <w:tcW w:w="1336" w:type="dxa"/>
          </w:tcPr>
          <w:p w14:paraId="285F000E"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Min</w:t>
            </w:r>
          </w:p>
        </w:tc>
        <w:tc>
          <w:tcPr>
            <w:tcW w:w="1336" w:type="dxa"/>
          </w:tcPr>
          <w:p w14:paraId="5F91D7F3"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Max</w:t>
            </w:r>
          </w:p>
        </w:tc>
      </w:tr>
      <w:tr w:rsidR="003A7509" w:rsidRPr="006467E6" w14:paraId="4491F9AE" w14:textId="77777777" w:rsidTr="003D3E64">
        <w:tc>
          <w:tcPr>
            <w:tcW w:w="1525" w:type="dxa"/>
          </w:tcPr>
          <w:p w14:paraId="6C935951"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1-5 years</w:t>
            </w:r>
          </w:p>
        </w:tc>
        <w:tc>
          <w:tcPr>
            <w:tcW w:w="1145" w:type="dxa"/>
          </w:tcPr>
          <w:p w14:paraId="6BD6594E"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18</w:t>
            </w:r>
          </w:p>
        </w:tc>
        <w:tc>
          <w:tcPr>
            <w:tcW w:w="1336" w:type="dxa"/>
          </w:tcPr>
          <w:p w14:paraId="192D004C"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3.82</w:t>
            </w:r>
          </w:p>
        </w:tc>
        <w:tc>
          <w:tcPr>
            <w:tcW w:w="1336" w:type="dxa"/>
          </w:tcPr>
          <w:p w14:paraId="6E7119EE"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0.21</w:t>
            </w:r>
          </w:p>
        </w:tc>
        <w:tc>
          <w:tcPr>
            <w:tcW w:w="1336" w:type="dxa"/>
          </w:tcPr>
          <w:p w14:paraId="03FCB3C1"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0.05</w:t>
            </w:r>
          </w:p>
        </w:tc>
        <w:tc>
          <w:tcPr>
            <w:tcW w:w="1336" w:type="dxa"/>
          </w:tcPr>
          <w:p w14:paraId="1088A2FF"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3.40</w:t>
            </w:r>
          </w:p>
        </w:tc>
        <w:tc>
          <w:tcPr>
            <w:tcW w:w="1336" w:type="dxa"/>
          </w:tcPr>
          <w:p w14:paraId="64E1C6BC"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4.00</w:t>
            </w:r>
          </w:p>
        </w:tc>
      </w:tr>
      <w:tr w:rsidR="003A7509" w:rsidRPr="006467E6" w14:paraId="5BD84379" w14:textId="77777777" w:rsidTr="003D3E64">
        <w:tc>
          <w:tcPr>
            <w:tcW w:w="1525" w:type="dxa"/>
          </w:tcPr>
          <w:p w14:paraId="2F246AD1"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6-10 years</w:t>
            </w:r>
          </w:p>
        </w:tc>
        <w:tc>
          <w:tcPr>
            <w:tcW w:w="1145" w:type="dxa"/>
          </w:tcPr>
          <w:p w14:paraId="2322AF44"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36</w:t>
            </w:r>
          </w:p>
        </w:tc>
        <w:tc>
          <w:tcPr>
            <w:tcW w:w="1336" w:type="dxa"/>
          </w:tcPr>
          <w:p w14:paraId="04AA874B"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3.75</w:t>
            </w:r>
          </w:p>
        </w:tc>
        <w:tc>
          <w:tcPr>
            <w:tcW w:w="1336" w:type="dxa"/>
          </w:tcPr>
          <w:p w14:paraId="1D14F595"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0.18</w:t>
            </w:r>
          </w:p>
        </w:tc>
        <w:tc>
          <w:tcPr>
            <w:tcW w:w="1336" w:type="dxa"/>
          </w:tcPr>
          <w:p w14:paraId="481E047C"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0.03</w:t>
            </w:r>
          </w:p>
        </w:tc>
        <w:tc>
          <w:tcPr>
            <w:tcW w:w="1336" w:type="dxa"/>
          </w:tcPr>
          <w:p w14:paraId="429EDB18"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3.30</w:t>
            </w:r>
          </w:p>
        </w:tc>
        <w:tc>
          <w:tcPr>
            <w:tcW w:w="1336" w:type="dxa"/>
          </w:tcPr>
          <w:p w14:paraId="6347FD96"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4.00</w:t>
            </w:r>
          </w:p>
        </w:tc>
      </w:tr>
      <w:tr w:rsidR="003A7509" w:rsidRPr="006467E6" w14:paraId="1017AA4E" w14:textId="77777777" w:rsidTr="003D3E64">
        <w:tc>
          <w:tcPr>
            <w:tcW w:w="1525" w:type="dxa"/>
          </w:tcPr>
          <w:p w14:paraId="12A16CF3"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11-15 years</w:t>
            </w:r>
          </w:p>
        </w:tc>
        <w:tc>
          <w:tcPr>
            <w:tcW w:w="1145" w:type="dxa"/>
          </w:tcPr>
          <w:p w14:paraId="55DD60A5"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42</w:t>
            </w:r>
          </w:p>
        </w:tc>
        <w:tc>
          <w:tcPr>
            <w:tcW w:w="1336" w:type="dxa"/>
          </w:tcPr>
          <w:p w14:paraId="28D186E4"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3.68</w:t>
            </w:r>
          </w:p>
        </w:tc>
        <w:tc>
          <w:tcPr>
            <w:tcW w:w="1336" w:type="dxa"/>
          </w:tcPr>
          <w:p w14:paraId="0930905B"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0.24</w:t>
            </w:r>
          </w:p>
        </w:tc>
        <w:tc>
          <w:tcPr>
            <w:tcW w:w="1336" w:type="dxa"/>
          </w:tcPr>
          <w:p w14:paraId="271E9707"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0.04</w:t>
            </w:r>
          </w:p>
        </w:tc>
        <w:tc>
          <w:tcPr>
            <w:tcW w:w="1336" w:type="dxa"/>
          </w:tcPr>
          <w:p w14:paraId="5B94A236"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3.20</w:t>
            </w:r>
          </w:p>
        </w:tc>
        <w:tc>
          <w:tcPr>
            <w:tcW w:w="1336" w:type="dxa"/>
          </w:tcPr>
          <w:p w14:paraId="701FD412"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4.00</w:t>
            </w:r>
          </w:p>
        </w:tc>
      </w:tr>
      <w:tr w:rsidR="003A7509" w:rsidRPr="006467E6" w14:paraId="1E9E4CCF" w14:textId="77777777" w:rsidTr="003D3E64">
        <w:tc>
          <w:tcPr>
            <w:tcW w:w="1525" w:type="dxa"/>
          </w:tcPr>
          <w:p w14:paraId="76ED3E3C"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16-20 years</w:t>
            </w:r>
          </w:p>
        </w:tc>
        <w:tc>
          <w:tcPr>
            <w:tcW w:w="1145" w:type="dxa"/>
          </w:tcPr>
          <w:p w14:paraId="06798414"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29</w:t>
            </w:r>
          </w:p>
        </w:tc>
        <w:tc>
          <w:tcPr>
            <w:tcW w:w="1336" w:type="dxa"/>
          </w:tcPr>
          <w:p w14:paraId="7ECCA58A"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3.61</w:t>
            </w:r>
          </w:p>
        </w:tc>
        <w:tc>
          <w:tcPr>
            <w:tcW w:w="1336" w:type="dxa"/>
          </w:tcPr>
          <w:p w14:paraId="0BF79AC5"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0.30</w:t>
            </w:r>
          </w:p>
        </w:tc>
        <w:tc>
          <w:tcPr>
            <w:tcW w:w="1336" w:type="dxa"/>
          </w:tcPr>
          <w:p w14:paraId="34F91FF4"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0.06</w:t>
            </w:r>
          </w:p>
        </w:tc>
        <w:tc>
          <w:tcPr>
            <w:tcW w:w="1336" w:type="dxa"/>
          </w:tcPr>
          <w:p w14:paraId="544BA9CF"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3.10</w:t>
            </w:r>
          </w:p>
        </w:tc>
        <w:tc>
          <w:tcPr>
            <w:tcW w:w="1336" w:type="dxa"/>
          </w:tcPr>
          <w:p w14:paraId="75BE3FB0"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4.00</w:t>
            </w:r>
          </w:p>
        </w:tc>
      </w:tr>
      <w:tr w:rsidR="003A7509" w:rsidRPr="006467E6" w14:paraId="20D393E1" w14:textId="77777777" w:rsidTr="003D3E64">
        <w:tc>
          <w:tcPr>
            <w:tcW w:w="1525" w:type="dxa"/>
          </w:tcPr>
          <w:p w14:paraId="39F55D11"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Above 20 years</w:t>
            </w:r>
          </w:p>
        </w:tc>
        <w:tc>
          <w:tcPr>
            <w:tcW w:w="1145" w:type="dxa"/>
          </w:tcPr>
          <w:p w14:paraId="1500340A"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15</w:t>
            </w:r>
          </w:p>
        </w:tc>
        <w:tc>
          <w:tcPr>
            <w:tcW w:w="1336" w:type="dxa"/>
          </w:tcPr>
          <w:p w14:paraId="43D91576"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3.42</w:t>
            </w:r>
          </w:p>
        </w:tc>
        <w:tc>
          <w:tcPr>
            <w:tcW w:w="1336" w:type="dxa"/>
          </w:tcPr>
          <w:p w14:paraId="7A1921B0"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0.27</w:t>
            </w:r>
          </w:p>
        </w:tc>
        <w:tc>
          <w:tcPr>
            <w:tcW w:w="1336" w:type="dxa"/>
          </w:tcPr>
          <w:p w14:paraId="312E4444"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0.07</w:t>
            </w:r>
          </w:p>
        </w:tc>
        <w:tc>
          <w:tcPr>
            <w:tcW w:w="1336" w:type="dxa"/>
          </w:tcPr>
          <w:p w14:paraId="56FDAAC3"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3.00</w:t>
            </w:r>
          </w:p>
        </w:tc>
        <w:tc>
          <w:tcPr>
            <w:tcW w:w="1336" w:type="dxa"/>
          </w:tcPr>
          <w:p w14:paraId="5C8CCE4F"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3.90</w:t>
            </w:r>
          </w:p>
        </w:tc>
      </w:tr>
      <w:tr w:rsidR="003A7509" w:rsidRPr="006467E6" w14:paraId="418EDC22" w14:textId="77777777" w:rsidTr="003D3E64">
        <w:tc>
          <w:tcPr>
            <w:tcW w:w="1525" w:type="dxa"/>
          </w:tcPr>
          <w:p w14:paraId="6FDCD6C8"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Total</w:t>
            </w:r>
          </w:p>
        </w:tc>
        <w:tc>
          <w:tcPr>
            <w:tcW w:w="1145" w:type="dxa"/>
          </w:tcPr>
          <w:p w14:paraId="0628B1C4"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140</w:t>
            </w:r>
          </w:p>
        </w:tc>
        <w:tc>
          <w:tcPr>
            <w:tcW w:w="1336" w:type="dxa"/>
          </w:tcPr>
          <w:p w14:paraId="62387076"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3.70</w:t>
            </w:r>
          </w:p>
        </w:tc>
        <w:tc>
          <w:tcPr>
            <w:tcW w:w="1336" w:type="dxa"/>
          </w:tcPr>
          <w:p w14:paraId="2A3F4AEA"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0.91</w:t>
            </w:r>
          </w:p>
        </w:tc>
        <w:tc>
          <w:tcPr>
            <w:tcW w:w="1336" w:type="dxa"/>
          </w:tcPr>
          <w:p w14:paraId="5929CA00"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0.077</w:t>
            </w:r>
          </w:p>
        </w:tc>
        <w:tc>
          <w:tcPr>
            <w:tcW w:w="1336" w:type="dxa"/>
          </w:tcPr>
          <w:p w14:paraId="3337376B"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3.00</w:t>
            </w:r>
          </w:p>
        </w:tc>
        <w:tc>
          <w:tcPr>
            <w:tcW w:w="1336" w:type="dxa"/>
          </w:tcPr>
          <w:p w14:paraId="6855E068"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4.00</w:t>
            </w:r>
          </w:p>
        </w:tc>
      </w:tr>
    </w:tbl>
    <w:p w14:paraId="53EBD095" w14:textId="77777777" w:rsidR="0081630A" w:rsidRPr="006467E6" w:rsidRDefault="0081630A" w:rsidP="00F906E8">
      <w:pPr>
        <w:spacing w:after="0"/>
        <w:jc w:val="both"/>
        <w:rPr>
          <w:rFonts w:ascii="Times New Roman" w:hAnsi="Times New Roman"/>
          <w:sz w:val="24"/>
          <w:szCs w:val="24"/>
        </w:rPr>
      </w:pPr>
      <w:r w:rsidRPr="006467E6">
        <w:rPr>
          <w:rFonts w:ascii="Times New Roman" w:hAnsi="Times New Roman"/>
          <w:sz w:val="24"/>
          <w:szCs w:val="24"/>
        </w:rPr>
        <w:t>Source: Field Data (2026)</w:t>
      </w:r>
    </w:p>
    <w:p w14:paraId="0B8EE911" w14:textId="2F9EE6EF" w:rsidR="00072C06" w:rsidRPr="006467E6" w:rsidRDefault="00072C06"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According to Table 1, there is a steady downward trend in the use of digital devices with experience </w:t>
      </w:r>
      <w:r w:rsidR="00A91A84">
        <w:rPr>
          <w:rFonts w:ascii="Times New Roman" w:hAnsi="Times New Roman"/>
          <w:sz w:val="24"/>
          <w:szCs w:val="24"/>
        </w:rPr>
        <w:t>of</w:t>
      </w:r>
      <w:r w:rsidRPr="006467E6">
        <w:rPr>
          <w:rFonts w:ascii="Times New Roman" w:hAnsi="Times New Roman"/>
          <w:sz w:val="24"/>
          <w:szCs w:val="24"/>
        </w:rPr>
        <w:t xml:space="preserve"> a teacher. Teachers with 1–5 years of experience recorded the highest mean score (M = 3.82, SD = 0.21), followed by those with 6–10 years (M = 3.75, SD = 0.18). Mean scores declined progressively among teachers with 11–15 years (M = 3.68, SD = 0.24) and 16–20 years (M = 3.61, SD = 0.30), with the lowest score observed among teachers with over 20 years of service (M = 3.42, SD = 0.27). Notably, </w:t>
      </w:r>
      <w:proofErr w:type="gramStart"/>
      <w:r w:rsidRPr="006467E6">
        <w:rPr>
          <w:rFonts w:ascii="Times New Roman" w:hAnsi="Times New Roman"/>
          <w:sz w:val="24"/>
          <w:szCs w:val="24"/>
        </w:rPr>
        <w:t>all of</w:t>
      </w:r>
      <w:proofErr w:type="gramEnd"/>
      <w:r w:rsidRPr="006467E6">
        <w:rPr>
          <w:rFonts w:ascii="Times New Roman" w:hAnsi="Times New Roman"/>
          <w:sz w:val="24"/>
          <w:szCs w:val="24"/>
        </w:rPr>
        <w:t xml:space="preserve"> the group means were greater than the midpoint of the Likert scale (3.00), with no group mean being below 3.00, which suggests that the levels of digital device use were generally positive across all career stages. The participants were mostly teachers in the 6-10 years category and 11-15 years category, accounting for most of the sample, which is typical of the Kenyan teaching profession where majority of teachers are in the </w:t>
      </w:r>
      <w:proofErr w:type="spellStart"/>
      <w:r w:rsidRPr="006467E6">
        <w:rPr>
          <w:rFonts w:ascii="Times New Roman" w:hAnsi="Times New Roman"/>
          <w:sz w:val="24"/>
          <w:szCs w:val="24"/>
        </w:rPr>
        <w:t>mid career</w:t>
      </w:r>
      <w:proofErr w:type="spellEnd"/>
      <w:r w:rsidRPr="006467E6">
        <w:rPr>
          <w:rFonts w:ascii="Times New Roman" w:hAnsi="Times New Roman"/>
          <w:sz w:val="24"/>
          <w:szCs w:val="24"/>
        </w:rPr>
        <w:t xml:space="preserve"> stage as observed in recent data (Nganga &amp; Ochieng, 2024; Wanjohi &amp; Muriithi, 2024). The distribution of Agriculture teachers in Nakuru County by the training years they have served at the school is shown in </w:t>
      </w:r>
      <w:r w:rsidR="00A91A84">
        <w:rPr>
          <w:rFonts w:ascii="Times New Roman" w:hAnsi="Times New Roman"/>
          <w:sz w:val="24"/>
          <w:szCs w:val="24"/>
        </w:rPr>
        <w:t>F</w:t>
      </w:r>
      <w:r w:rsidRPr="006467E6">
        <w:rPr>
          <w:rFonts w:ascii="Times New Roman" w:hAnsi="Times New Roman"/>
          <w:sz w:val="24"/>
          <w:szCs w:val="24"/>
        </w:rPr>
        <w:t>igure 1 which shows five career stages.</w:t>
      </w:r>
    </w:p>
    <w:p w14:paraId="7934A62D" w14:textId="57D83CAD" w:rsidR="00DE68B5" w:rsidRPr="006467E6" w:rsidRDefault="00894523" w:rsidP="00F906E8">
      <w:pPr>
        <w:spacing w:after="0"/>
        <w:ind w:firstLine="720"/>
        <w:jc w:val="both"/>
        <w:rPr>
          <w:rFonts w:ascii="Times New Roman" w:hAnsi="Times New Roman"/>
          <w:sz w:val="24"/>
          <w:szCs w:val="24"/>
        </w:rPr>
      </w:pPr>
      <w:r w:rsidRPr="006467E6">
        <w:rPr>
          <w:rFonts w:eastAsia="Aptos"/>
          <w:sz w:val="24"/>
          <w:szCs w:val="24"/>
        </w:rPr>
        <w:object w:dxaOrig="7955" w:dyaOrig="5179" w14:anchorId="6A7F7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5pt;height:258.9pt" o:ole="">
            <v:imagedata r:id="rId4" o:title=""/>
            <o:lock v:ext="edit" aspectratio="f"/>
          </v:shape>
          <o:OLEObject Type="Embed" ProgID="Excel.Sheet.8" ShapeID="_x0000_i1025" DrawAspect="Content" ObjectID="_1840031914" r:id="rId5">
            <o:FieldCodes>\s</o:FieldCodes>
          </o:OLEObject>
        </w:object>
      </w:r>
    </w:p>
    <w:p w14:paraId="0321C572" w14:textId="79CB4A18" w:rsidR="00DE68B5" w:rsidRPr="006467E6" w:rsidRDefault="00072C06" w:rsidP="00F906E8">
      <w:pPr>
        <w:spacing w:after="0"/>
        <w:ind w:firstLine="720"/>
        <w:jc w:val="both"/>
        <w:rPr>
          <w:rFonts w:ascii="Times New Roman" w:hAnsi="Times New Roman"/>
          <w:iCs/>
          <w:sz w:val="24"/>
          <w:szCs w:val="24"/>
        </w:rPr>
      </w:pPr>
      <w:r w:rsidRPr="006467E6">
        <w:rPr>
          <w:rFonts w:ascii="Times New Roman" w:hAnsi="Times New Roman"/>
          <w:iCs/>
          <w:sz w:val="24"/>
          <w:szCs w:val="24"/>
        </w:rPr>
        <w:t xml:space="preserve">As </w:t>
      </w:r>
      <w:r w:rsidR="00035E3F" w:rsidRPr="006467E6">
        <w:rPr>
          <w:rFonts w:ascii="Times New Roman" w:hAnsi="Times New Roman"/>
          <w:iCs/>
          <w:sz w:val="24"/>
          <w:szCs w:val="24"/>
        </w:rPr>
        <w:t>shown in Figure 7</w:t>
      </w:r>
      <w:r w:rsidRPr="006467E6">
        <w:rPr>
          <w:rFonts w:ascii="Times New Roman" w:hAnsi="Times New Roman"/>
          <w:iCs/>
          <w:sz w:val="24"/>
          <w:szCs w:val="24"/>
        </w:rPr>
        <w:t xml:space="preserve">, </w:t>
      </w:r>
      <w:proofErr w:type="gramStart"/>
      <w:r w:rsidRPr="006467E6">
        <w:rPr>
          <w:rFonts w:ascii="Times New Roman" w:hAnsi="Times New Roman"/>
          <w:iCs/>
          <w:sz w:val="24"/>
          <w:szCs w:val="24"/>
        </w:rPr>
        <w:t>the majority of</w:t>
      </w:r>
      <w:proofErr w:type="gramEnd"/>
      <w:r w:rsidRPr="006467E6">
        <w:rPr>
          <w:rFonts w:ascii="Times New Roman" w:hAnsi="Times New Roman"/>
          <w:iCs/>
          <w:sz w:val="24"/>
          <w:szCs w:val="24"/>
        </w:rPr>
        <w:t xml:space="preserve"> Agriculture teachers are in the 6-10 years and 11-15 years range (combined they make up over one half of the sample). The number of teachers in the early-career group (1–5 years) and the veteran group (more than 20 years) were smaller. This is a typical pattern for a middle-aged teaching profession. The findings of the recent studies conducted in Kenya and other countries have also shown similar patterns; most teachers in the middle of their careers are pedagogically stable but at different levels of ICT integration (Nganga &amp; Ochieng, 2024; Wanjohi &amp; Muriithi, 2024). Importantly, research has shown that early-career teachers tend to be more enthusiastic about the use of digital technologies because they have recently received training and exposure in using digital technologies (Mugisha et al., 2023), while late-career teachers might be more resistant or opt for traditional approaches (Njiru &amp; Wambugu, 2023). The distribution thus offers important background to the reasons why the adoption of ICT might be higher for younger groups and more heterogeneous for the mid to late career teachers.</w:t>
      </w:r>
    </w:p>
    <w:p w14:paraId="606E35F3"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5.2 Spearman's Correlation Analysis</w:t>
      </w:r>
    </w:p>
    <w:p w14:paraId="0E9EA77B" w14:textId="0F282276" w:rsidR="005D7C6F" w:rsidRPr="006467E6" w:rsidRDefault="0081630A" w:rsidP="00F906E8">
      <w:pPr>
        <w:spacing w:after="0"/>
        <w:ind w:firstLine="720"/>
        <w:jc w:val="both"/>
        <w:rPr>
          <w:rFonts w:ascii="Times New Roman" w:hAnsi="Times New Roman"/>
          <w:sz w:val="24"/>
          <w:szCs w:val="24"/>
        </w:rPr>
      </w:pPr>
      <w:r w:rsidRPr="006467E6">
        <w:rPr>
          <w:rFonts w:ascii="Times New Roman" w:hAnsi="Times New Roman"/>
          <w:sz w:val="24"/>
          <w:szCs w:val="24"/>
        </w:rPr>
        <w:t>To determine whether the observed trend was statistically significant, Spearman's rank-order correlation was performed between teaching experience and digital device utilisation scores. The results are presented in Table 2.</w:t>
      </w:r>
    </w:p>
    <w:p w14:paraId="49758DA0" w14:textId="77777777" w:rsidR="005D7C6F" w:rsidRPr="006467E6" w:rsidRDefault="005D7C6F" w:rsidP="00F906E8">
      <w:pPr>
        <w:spacing w:after="0"/>
        <w:ind w:firstLine="720"/>
        <w:jc w:val="both"/>
        <w:rPr>
          <w:rFonts w:ascii="Times New Roman" w:hAnsi="Times New Roman"/>
          <w:sz w:val="24"/>
          <w:szCs w:val="24"/>
        </w:rPr>
      </w:pPr>
    </w:p>
    <w:p w14:paraId="6B4D1AD8" w14:textId="77777777" w:rsidR="0081630A" w:rsidRPr="006467E6" w:rsidRDefault="0081630A" w:rsidP="00F906E8">
      <w:pPr>
        <w:spacing w:after="0"/>
        <w:jc w:val="both"/>
        <w:rPr>
          <w:rFonts w:ascii="Times New Roman" w:hAnsi="Times New Roman"/>
          <w:sz w:val="24"/>
          <w:szCs w:val="24"/>
        </w:rPr>
      </w:pPr>
      <w:r w:rsidRPr="006467E6">
        <w:rPr>
          <w:rFonts w:ascii="Times New Roman" w:hAnsi="Times New Roman"/>
          <w:b/>
          <w:bCs/>
          <w:sz w:val="24"/>
          <w:szCs w:val="24"/>
        </w:rPr>
        <w:t>Table 2:</w:t>
      </w:r>
      <w:r w:rsidRPr="006467E6">
        <w:rPr>
          <w:rFonts w:ascii="Times New Roman" w:hAnsi="Times New Roman"/>
          <w:sz w:val="24"/>
          <w:szCs w:val="24"/>
        </w:rPr>
        <w:t xml:space="preserve"> Spearman's Correlation between Teaching Experience and Digital Device Utilisation</w:t>
      </w: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4666"/>
        <w:gridCol w:w="4664"/>
      </w:tblGrid>
      <w:tr w:rsidR="003A7509" w:rsidRPr="006467E6" w14:paraId="71355B4A" w14:textId="77777777" w:rsidTr="003D3E64">
        <w:tc>
          <w:tcPr>
            <w:tcW w:w="4675" w:type="dxa"/>
          </w:tcPr>
          <w:p w14:paraId="1BBFA790"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Correlation Coefficient (</w:t>
            </w:r>
            <w:r w:rsidRPr="006467E6">
              <w:rPr>
                <w:rFonts w:ascii="Times New Roman" w:hAnsi="Times New Roman"/>
                <w:b/>
                <w:bCs/>
                <w:i/>
                <w:iCs/>
                <w:sz w:val="24"/>
                <w:szCs w:val="24"/>
              </w:rPr>
              <w:t>p</w:t>
            </w:r>
            <w:r w:rsidRPr="006467E6">
              <w:rPr>
                <w:rFonts w:ascii="Times New Roman" w:hAnsi="Times New Roman"/>
                <w:b/>
                <w:bCs/>
                <w:sz w:val="24"/>
                <w:szCs w:val="24"/>
              </w:rPr>
              <w:t>)</w:t>
            </w:r>
          </w:p>
        </w:tc>
        <w:tc>
          <w:tcPr>
            <w:tcW w:w="4675" w:type="dxa"/>
          </w:tcPr>
          <w:p w14:paraId="228C08AB" w14:textId="665AF89F"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-0.210</w:t>
            </w:r>
          </w:p>
        </w:tc>
      </w:tr>
      <w:tr w:rsidR="003A7509" w:rsidRPr="006467E6" w14:paraId="60FD533A" w14:textId="77777777" w:rsidTr="003D3E64">
        <w:tc>
          <w:tcPr>
            <w:tcW w:w="4675" w:type="dxa"/>
          </w:tcPr>
          <w:p w14:paraId="26FC178D"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i/>
                <w:iCs/>
                <w:sz w:val="24"/>
                <w:szCs w:val="24"/>
              </w:rPr>
              <w:t>p-</w:t>
            </w:r>
            <w:r w:rsidRPr="006467E6">
              <w:rPr>
                <w:rFonts w:ascii="Times New Roman" w:hAnsi="Times New Roman"/>
                <w:b/>
                <w:bCs/>
                <w:sz w:val="24"/>
                <w:szCs w:val="24"/>
              </w:rPr>
              <w:t>value</w:t>
            </w:r>
          </w:p>
        </w:tc>
        <w:tc>
          <w:tcPr>
            <w:tcW w:w="4675" w:type="dxa"/>
          </w:tcPr>
          <w:p w14:paraId="302044D4"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0.013</w:t>
            </w:r>
          </w:p>
        </w:tc>
      </w:tr>
      <w:tr w:rsidR="003A7509" w:rsidRPr="006467E6" w14:paraId="42D9830B" w14:textId="77777777" w:rsidTr="003D3E64">
        <w:tc>
          <w:tcPr>
            <w:tcW w:w="4675" w:type="dxa"/>
          </w:tcPr>
          <w:p w14:paraId="716ECC95" w14:textId="77777777" w:rsidR="003A7509" w:rsidRPr="006467E6" w:rsidRDefault="003A7509" w:rsidP="00F906E8">
            <w:pPr>
              <w:spacing w:after="0"/>
              <w:jc w:val="both"/>
              <w:rPr>
                <w:rFonts w:ascii="Times New Roman" w:hAnsi="Times New Roman"/>
                <w:b/>
                <w:bCs/>
                <w:sz w:val="24"/>
                <w:szCs w:val="24"/>
              </w:rPr>
            </w:pPr>
            <w:r w:rsidRPr="006467E6">
              <w:rPr>
                <w:rFonts w:ascii="Times New Roman" w:hAnsi="Times New Roman"/>
                <w:b/>
                <w:bCs/>
                <w:sz w:val="24"/>
                <w:szCs w:val="24"/>
              </w:rPr>
              <w:t>N</w:t>
            </w:r>
          </w:p>
        </w:tc>
        <w:tc>
          <w:tcPr>
            <w:tcW w:w="4675" w:type="dxa"/>
          </w:tcPr>
          <w:p w14:paraId="42AB5B47" w14:textId="77777777" w:rsidR="003A7509" w:rsidRPr="006467E6" w:rsidRDefault="003A7509" w:rsidP="00F906E8">
            <w:pPr>
              <w:spacing w:after="0"/>
              <w:jc w:val="both"/>
              <w:rPr>
                <w:rFonts w:ascii="Times New Roman" w:hAnsi="Times New Roman"/>
                <w:sz w:val="24"/>
                <w:szCs w:val="24"/>
              </w:rPr>
            </w:pPr>
            <w:r w:rsidRPr="006467E6">
              <w:rPr>
                <w:rFonts w:ascii="Times New Roman" w:hAnsi="Times New Roman"/>
                <w:sz w:val="24"/>
                <w:szCs w:val="24"/>
              </w:rPr>
              <w:t>140</w:t>
            </w:r>
          </w:p>
        </w:tc>
      </w:tr>
    </w:tbl>
    <w:p w14:paraId="15EAA6E3" w14:textId="780903EF" w:rsidR="0081630A" w:rsidRPr="006467E6" w:rsidRDefault="0081630A" w:rsidP="00F906E8">
      <w:pPr>
        <w:spacing w:after="0"/>
        <w:jc w:val="both"/>
        <w:rPr>
          <w:rFonts w:ascii="Times New Roman" w:hAnsi="Times New Roman"/>
          <w:sz w:val="24"/>
          <w:szCs w:val="24"/>
        </w:rPr>
      </w:pPr>
      <w:r w:rsidRPr="006467E6">
        <w:rPr>
          <w:rFonts w:ascii="Times New Roman" w:hAnsi="Times New Roman"/>
          <w:b/>
          <w:bCs/>
          <w:sz w:val="24"/>
          <w:szCs w:val="24"/>
        </w:rPr>
        <w:t>Source:</w:t>
      </w:r>
      <w:r w:rsidRPr="006467E6">
        <w:rPr>
          <w:rFonts w:ascii="Times New Roman" w:hAnsi="Times New Roman"/>
          <w:sz w:val="24"/>
          <w:szCs w:val="24"/>
        </w:rPr>
        <w:t xml:space="preserve"> Computed by the Researcher from Survey Data Using SPSS (2026)</w:t>
      </w:r>
    </w:p>
    <w:p w14:paraId="23801346" w14:textId="77777777" w:rsidR="00127E3D" w:rsidRPr="006467E6" w:rsidRDefault="00127E3D"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The analysis showed a weak negative correlation between the use of digital devices and the teaching experience (ρ = −0.210, p = 0.013) and this correlation was statistically significant. </w:t>
      </w:r>
      <w:r w:rsidRPr="006467E6">
        <w:rPr>
          <w:rFonts w:ascii="Times New Roman" w:hAnsi="Times New Roman"/>
          <w:sz w:val="24"/>
          <w:szCs w:val="24"/>
        </w:rPr>
        <w:lastRenderedPageBreak/>
        <w:t xml:space="preserve">The results show that as the teaching experience increases, the digital device use also increases. As p is less than α, the null hypothesis, which states that there is no significant influence of teaching experience on digital device use, is rejected. The correlation is negative, which indicates that the more experienced teachers are, the less digital devices are used in agricultural teaching. The effect size is weak (ρ = −0.210), but the statistical significance and directionality with the descriptive means creates a meaningful pattern that should be considered in planning teacher policy and professional development. </w:t>
      </w:r>
    </w:p>
    <w:p w14:paraId="037021CD" w14:textId="2168E153" w:rsidR="00127E3D" w:rsidRPr="006467E6" w:rsidRDefault="00127E3D"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The descriptive means are in the same direction as the inferential correlation, with both indicating that teachers with a shorter teaching experience show higher frequencies of digital device usage than teachers with a longer teaching experience. </w:t>
      </w:r>
      <w:r w:rsidR="00FD1652">
        <w:rPr>
          <w:rFonts w:ascii="Times New Roman" w:hAnsi="Times New Roman"/>
          <w:sz w:val="24"/>
          <w:szCs w:val="24"/>
        </w:rPr>
        <w:t xml:space="preserve">This consistency between descriptive and inferential results dispels the apparent contradiction, as both independently support the conclusion that less experienced teachers demonstrate higher frequencies of digital device use. </w:t>
      </w:r>
    </w:p>
    <w:p w14:paraId="48C8FE2E" w14:textId="77777777" w:rsidR="00127E3D" w:rsidRPr="006467E6" w:rsidRDefault="00127E3D"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This is consistent with the findings of </w:t>
      </w:r>
      <w:proofErr w:type="gramStart"/>
      <w:r w:rsidRPr="006467E6">
        <w:rPr>
          <w:rFonts w:ascii="Times New Roman" w:hAnsi="Times New Roman"/>
          <w:sz w:val="24"/>
          <w:szCs w:val="24"/>
        </w:rPr>
        <w:t>a large number of</w:t>
      </w:r>
      <w:proofErr w:type="gramEnd"/>
      <w:r w:rsidRPr="006467E6">
        <w:rPr>
          <w:rFonts w:ascii="Times New Roman" w:hAnsi="Times New Roman"/>
          <w:sz w:val="24"/>
          <w:szCs w:val="24"/>
        </w:rPr>
        <w:t xml:space="preserve"> empirical research. A similar finding has been recorded by Mugisha et al. (2023) who also noted that novice teachers are more enthusiastic about the integration of ICTs, and this is attributed to recent training pre-service teachers received in which the teaching and learning of ICTs are explicitly embedded. Mwaniki and Makokha (2021) noted that less experienced Kenyan teachers used digital tools more often, citing greater experience of digital practices and less dependence on familiar non-digital practices. Similar findings were observed in Asian educational settings, as younger and newly trained teachers were much more likely to use digital resources in their daily teaching, according to </w:t>
      </w:r>
      <w:proofErr w:type="spellStart"/>
      <w:r w:rsidRPr="006467E6">
        <w:rPr>
          <w:rFonts w:ascii="Times New Roman" w:hAnsi="Times New Roman"/>
          <w:sz w:val="24"/>
          <w:szCs w:val="24"/>
        </w:rPr>
        <w:t>Alazam</w:t>
      </w:r>
      <w:proofErr w:type="spellEnd"/>
      <w:r w:rsidRPr="006467E6">
        <w:rPr>
          <w:rFonts w:ascii="Times New Roman" w:hAnsi="Times New Roman"/>
          <w:sz w:val="24"/>
          <w:szCs w:val="24"/>
        </w:rPr>
        <w:t xml:space="preserve"> et al. (2020). In Kenya, the study by Obonyo et al. (2019) revealed that teachers with more than 15 years of teaching experience had low uptake of ICTs which was due to technophobic attitude and limited interest in the traditional pedagogy.</w:t>
      </w:r>
    </w:p>
    <w:p w14:paraId="1FB2E151" w14:textId="77777777" w:rsidR="00127E3D" w:rsidRPr="006467E6" w:rsidRDefault="00127E3D" w:rsidP="00F906E8">
      <w:pPr>
        <w:spacing w:after="0"/>
        <w:ind w:firstLine="720"/>
        <w:jc w:val="both"/>
        <w:rPr>
          <w:rFonts w:ascii="Times New Roman" w:hAnsi="Times New Roman"/>
          <w:sz w:val="24"/>
          <w:szCs w:val="24"/>
        </w:rPr>
      </w:pPr>
      <w:r w:rsidRPr="006467E6">
        <w:rPr>
          <w:rFonts w:ascii="Times New Roman" w:hAnsi="Times New Roman"/>
          <w:sz w:val="24"/>
          <w:szCs w:val="24"/>
        </w:rPr>
        <w:t>Notably, the effect size is small (ρ = -0.210) and should be interpreted with caution. Even if the relationship is statistically significant, teaching experience accounts for a relatively small amount of variance in digital device use. This implies that other factors such as institutional support, school-level ICT infrastructure, attitudes of the learners towards technology, and quality of in-service professional development of teachers might be co-determinants of the adoption of ICT as argued by Oluwatosin and Adebayo (2022) and Njiru and Wambugu (2023). As reported by Nganga and Ochieng (2024), the difference found was real but not absolute as all the experience groups had a mean score greater than 3.40 indicating that there was no total rejection of digital tools but only a relative decrease in their use.</w:t>
      </w:r>
    </w:p>
    <w:p w14:paraId="0D6D2EE2" w14:textId="77777777" w:rsidR="00127E3D" w:rsidRPr="006467E6" w:rsidRDefault="00127E3D"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In the context of the Systems Theory, when experienced teachers are reducing their use of digital devices, it is a systemic signal that the educational feedback loop is not effectively tackling. Seasoned teachers might not benefit from modern professional learning courses in the field of ICT, which are said to be geared towards early career teachers or focus on general digital competence competencies, instead of more complex and advanced ICT competencies that are specific to a subject area. The educational system needs to continuously strengthen its inputs (ICT competence of teachers in all levels of their careers) for achieving its outputs (achievement of learners and ICT </w:t>
      </w:r>
      <w:r w:rsidRPr="006467E6">
        <w:rPr>
          <w:rFonts w:ascii="Times New Roman" w:hAnsi="Times New Roman"/>
          <w:sz w:val="24"/>
          <w:szCs w:val="24"/>
        </w:rPr>
        <w:lastRenderedPageBreak/>
        <w:t>competence), and this needs to be done using specific feedback mechanisms like career stage specific professional development.</w:t>
      </w:r>
    </w:p>
    <w:p w14:paraId="4869920B" w14:textId="5D0D107C" w:rsidR="00127E3D" w:rsidRPr="006467E6" w:rsidRDefault="00127E3D"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This significant </w:t>
      </w:r>
      <w:r w:rsidR="007D5513" w:rsidRPr="006467E6">
        <w:rPr>
          <w:rFonts w:ascii="Times New Roman" w:hAnsi="Times New Roman"/>
          <w:sz w:val="24"/>
          <w:szCs w:val="24"/>
        </w:rPr>
        <w:t>mid-career</w:t>
      </w:r>
      <w:r w:rsidRPr="006467E6">
        <w:rPr>
          <w:rFonts w:ascii="Times New Roman" w:hAnsi="Times New Roman"/>
          <w:sz w:val="24"/>
          <w:szCs w:val="24"/>
        </w:rPr>
        <w:t xml:space="preserve"> distribution of the sample (6-15 years) is relevant for policy planning in Nakuru County. This group of learners use a medium </w:t>
      </w:r>
      <w:r w:rsidR="00FA63DC" w:rsidRPr="006467E6">
        <w:rPr>
          <w:rFonts w:ascii="Times New Roman" w:hAnsi="Times New Roman"/>
          <w:sz w:val="24"/>
          <w:szCs w:val="24"/>
        </w:rPr>
        <w:t>number</w:t>
      </w:r>
      <w:r w:rsidRPr="006467E6">
        <w:rPr>
          <w:rFonts w:ascii="Times New Roman" w:hAnsi="Times New Roman"/>
          <w:sz w:val="24"/>
          <w:szCs w:val="24"/>
        </w:rPr>
        <w:t xml:space="preserve"> of digital devices but are a critical mass as they could fall into the trodden path of the veteran teacher if they are not intervened upon. Professional development for this group of teachers could therefore have the most long-term systemic impact.</w:t>
      </w:r>
    </w:p>
    <w:p w14:paraId="7C06859A" w14:textId="5C0F0CC4" w:rsidR="00127E3D" w:rsidRPr="006467E6" w:rsidRDefault="00127E3D" w:rsidP="00F906E8">
      <w:pPr>
        <w:spacing w:after="0"/>
        <w:ind w:firstLine="720"/>
        <w:jc w:val="both"/>
        <w:rPr>
          <w:rFonts w:ascii="Times New Roman" w:hAnsi="Times New Roman"/>
          <w:sz w:val="24"/>
          <w:szCs w:val="24"/>
        </w:rPr>
      </w:pPr>
      <w:r w:rsidRPr="006467E6">
        <w:rPr>
          <w:rFonts w:ascii="Times New Roman" w:hAnsi="Times New Roman"/>
          <w:sz w:val="24"/>
          <w:szCs w:val="24"/>
        </w:rPr>
        <w:t>It is important to note that the results are different from those of studies such as Gudmundsdottir and Hatlevik (2022) and Day and Gu (2021) that related experience with more purposeful and high-quality integration of ICT. The gap might reflect situational differences, as in high-income countries, where the in-service training system is well-developed, the teachers with experience can keep up or develop their ICT integration through time. In the Kenyan context, the potential of the learning gained in in-service training has been limited and inconsistent (Mwangi &amp; Kariuki, 2020; Njoroge &amp; Mwangi, 2019); this could be a disadvantage, as some older teachers may not be exposed to the latest tools and training, resulting in the negative relation observed.</w:t>
      </w:r>
    </w:p>
    <w:p w14:paraId="375F344A" w14:textId="3A33520B" w:rsidR="0081630A" w:rsidRPr="006467E6" w:rsidRDefault="00B65C53" w:rsidP="00F906E8">
      <w:pPr>
        <w:spacing w:after="0"/>
        <w:jc w:val="both"/>
        <w:rPr>
          <w:rFonts w:ascii="Times New Roman" w:hAnsi="Times New Roman"/>
          <w:b/>
          <w:bCs/>
          <w:sz w:val="24"/>
          <w:szCs w:val="24"/>
        </w:rPr>
      </w:pPr>
      <w:r w:rsidRPr="006467E6">
        <w:rPr>
          <w:rFonts w:ascii="Times New Roman" w:hAnsi="Times New Roman"/>
          <w:b/>
          <w:bCs/>
          <w:sz w:val="24"/>
          <w:szCs w:val="24"/>
        </w:rPr>
        <w:t>6</w:t>
      </w:r>
      <w:r w:rsidR="0081630A" w:rsidRPr="006467E6">
        <w:rPr>
          <w:rFonts w:ascii="Times New Roman" w:hAnsi="Times New Roman"/>
          <w:b/>
          <w:bCs/>
          <w:sz w:val="24"/>
          <w:szCs w:val="24"/>
        </w:rPr>
        <w:t>. CONCLUSION AND RECOMMENDATIONS</w:t>
      </w:r>
    </w:p>
    <w:p w14:paraId="5A65D52C" w14:textId="5934B304" w:rsidR="0081630A" w:rsidRPr="006467E6" w:rsidRDefault="00B65C53" w:rsidP="00F906E8">
      <w:pPr>
        <w:spacing w:after="0"/>
        <w:jc w:val="both"/>
        <w:rPr>
          <w:rFonts w:ascii="Times New Roman" w:hAnsi="Times New Roman"/>
          <w:sz w:val="24"/>
          <w:szCs w:val="24"/>
        </w:rPr>
      </w:pPr>
      <w:r w:rsidRPr="006467E6">
        <w:rPr>
          <w:rFonts w:ascii="Times New Roman" w:hAnsi="Times New Roman"/>
          <w:b/>
          <w:bCs/>
          <w:sz w:val="24"/>
          <w:szCs w:val="24"/>
        </w:rPr>
        <w:t>6</w:t>
      </w:r>
      <w:r w:rsidR="0081630A" w:rsidRPr="006467E6">
        <w:rPr>
          <w:rFonts w:ascii="Times New Roman" w:hAnsi="Times New Roman"/>
          <w:b/>
          <w:bCs/>
          <w:sz w:val="24"/>
          <w:szCs w:val="24"/>
        </w:rPr>
        <w:t>.1 Conclusion</w:t>
      </w:r>
    </w:p>
    <w:p w14:paraId="0FD8B132" w14:textId="77777777" w:rsidR="00A36581" w:rsidRPr="006467E6" w:rsidRDefault="00A36581" w:rsidP="00F906E8">
      <w:pPr>
        <w:spacing w:after="0"/>
        <w:jc w:val="both"/>
        <w:rPr>
          <w:rFonts w:ascii="Times New Roman" w:hAnsi="Times New Roman"/>
          <w:sz w:val="24"/>
          <w:szCs w:val="24"/>
        </w:rPr>
      </w:pPr>
      <w:r w:rsidRPr="006467E6">
        <w:rPr>
          <w:rFonts w:ascii="Times New Roman" w:hAnsi="Times New Roman"/>
          <w:sz w:val="24"/>
          <w:szCs w:val="24"/>
        </w:rPr>
        <w:t xml:space="preserve">This study found a statistically significant weak negative correlation between Teaching Experience and Digital Device Utilization with Agriculture teachers in Nakuru County, Kenya (p = 0.013, ρ = −0.210). The descriptive and inferential analyses are converging in that all groups showed generally positive levels of ICT adoption, and that the early career teachers were found to be using their digital devices more than their more experienced colleagues. The results of this study indicate that the recent pre-service training and digital experience is important for ICT integration and knowledge of Agriculture teachers, and that there is a need for in-service professional development for mid-career and veteran Agriculture teachers. The findings contradict a simple notion that advanced teachers are more competent ICT integrators and suggest that the best way to support and drive the use of the digital devices in the agriculture teaching profession in Nakuru County is to adopt an approach that is aligned to the stage of one's </w:t>
      </w:r>
      <w:proofErr w:type="spellStart"/>
      <w:r w:rsidRPr="006467E6">
        <w:rPr>
          <w:rFonts w:ascii="Times New Roman" w:hAnsi="Times New Roman"/>
          <w:sz w:val="24"/>
          <w:szCs w:val="24"/>
        </w:rPr>
        <w:t>career.The</w:t>
      </w:r>
      <w:proofErr w:type="spellEnd"/>
      <w:r w:rsidRPr="006467E6">
        <w:rPr>
          <w:rFonts w:ascii="Times New Roman" w:hAnsi="Times New Roman"/>
          <w:sz w:val="24"/>
          <w:szCs w:val="24"/>
        </w:rPr>
        <w:t xml:space="preserve"> findings contradict the simplistic assumption that advanced teachers are better ICT integrators and suggest that there is a need to implement a career stage sensitive model of professional development that will in turn support and drive sustained and high quality digital device utilization in the agriculture teaching profession in Nakuru County.</w:t>
      </w:r>
    </w:p>
    <w:p w14:paraId="6682A278" w14:textId="164FD17C" w:rsidR="0081630A" w:rsidRPr="006467E6" w:rsidRDefault="000613B4" w:rsidP="00F906E8">
      <w:pPr>
        <w:spacing w:after="0"/>
        <w:jc w:val="both"/>
        <w:rPr>
          <w:rFonts w:ascii="Times New Roman" w:hAnsi="Times New Roman"/>
          <w:b/>
          <w:bCs/>
          <w:sz w:val="24"/>
          <w:szCs w:val="24"/>
        </w:rPr>
      </w:pPr>
      <w:r w:rsidRPr="006467E6">
        <w:rPr>
          <w:rFonts w:ascii="Times New Roman" w:hAnsi="Times New Roman"/>
          <w:b/>
          <w:bCs/>
          <w:sz w:val="24"/>
          <w:szCs w:val="24"/>
        </w:rPr>
        <w:t>6</w:t>
      </w:r>
      <w:r w:rsidR="0081630A" w:rsidRPr="006467E6">
        <w:rPr>
          <w:rFonts w:ascii="Times New Roman" w:hAnsi="Times New Roman"/>
          <w:b/>
          <w:bCs/>
          <w:sz w:val="24"/>
          <w:szCs w:val="24"/>
        </w:rPr>
        <w:t>.2 Recommendations</w:t>
      </w:r>
    </w:p>
    <w:p w14:paraId="15E1068B" w14:textId="77777777" w:rsidR="00A36581" w:rsidRPr="006467E6" w:rsidRDefault="00A36581"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Differentiated Career-Stage ICT Training: Ministry of Education should create and implement differentiated career-stage ICT professional development programmes for differentiated needs of different career-stages. Early career teachers should be guided towards curriculum aligned, purposeful integration; mid-career teachers should be supported with subject-specific digital </w:t>
      </w:r>
      <w:proofErr w:type="gramStart"/>
      <w:r w:rsidRPr="006467E6">
        <w:rPr>
          <w:rFonts w:ascii="Times New Roman" w:hAnsi="Times New Roman"/>
          <w:sz w:val="24"/>
          <w:szCs w:val="24"/>
        </w:rPr>
        <w:t>resources;</w:t>
      </w:r>
      <w:proofErr w:type="gramEnd"/>
      <w:r w:rsidRPr="006467E6">
        <w:rPr>
          <w:rFonts w:ascii="Times New Roman" w:hAnsi="Times New Roman"/>
          <w:sz w:val="24"/>
          <w:szCs w:val="24"/>
        </w:rPr>
        <w:t xml:space="preserve"> while veteran teachers should consider access to contemporary agricultural digital technologies in a practical and non-threatening manner through hands-on workshops.</w:t>
      </w:r>
    </w:p>
    <w:p w14:paraId="74C4B60B" w14:textId="77777777" w:rsidR="00A36581" w:rsidRPr="006467E6" w:rsidRDefault="00A36581" w:rsidP="00F906E8">
      <w:pPr>
        <w:spacing w:after="0"/>
        <w:ind w:firstLine="720"/>
        <w:jc w:val="both"/>
        <w:rPr>
          <w:rFonts w:ascii="Times New Roman" w:hAnsi="Times New Roman"/>
          <w:sz w:val="24"/>
          <w:szCs w:val="24"/>
        </w:rPr>
      </w:pPr>
      <w:r w:rsidRPr="006467E6">
        <w:rPr>
          <w:rFonts w:ascii="Times New Roman" w:hAnsi="Times New Roman"/>
          <w:sz w:val="24"/>
          <w:szCs w:val="24"/>
        </w:rPr>
        <w:lastRenderedPageBreak/>
        <w:t>Early career teachers and more experienced teachers should be paired in structured reverse-mentorship programmes. Early career teachers bring digital literacy and knowledge of new technologies and tools; veteran teachers bring pedagogical knowledge, curriculum alignment, and assessment expertise. These programs establish learning communities that are mutually beneficial and across the career spectrum.</w:t>
      </w:r>
    </w:p>
    <w:p w14:paraId="3988C300" w14:textId="77777777" w:rsidR="00A36581" w:rsidRPr="006467E6" w:rsidRDefault="00A36581" w:rsidP="00F906E8">
      <w:pPr>
        <w:spacing w:after="0"/>
        <w:ind w:firstLine="720"/>
        <w:jc w:val="both"/>
        <w:rPr>
          <w:rFonts w:ascii="Times New Roman" w:hAnsi="Times New Roman"/>
          <w:sz w:val="24"/>
          <w:szCs w:val="24"/>
        </w:rPr>
      </w:pPr>
      <w:r w:rsidRPr="006467E6">
        <w:rPr>
          <w:rFonts w:ascii="Times New Roman" w:hAnsi="Times New Roman"/>
          <w:sz w:val="24"/>
          <w:szCs w:val="24"/>
        </w:rPr>
        <w:t>Shared Digital Resource Repositories, Peer Observation Protocols, and Collaborative Digital Lesson Planning: The County Education Office in Nakuru should create a dedicated ICT coordination unit for Agriculture teachers where they can share digital resources, have a peer observation protocol and plan their digital lessons collaboratively. It is especially important in this county, which has an agricultural focus, and needs locally relevant digital content.</w:t>
      </w:r>
    </w:p>
    <w:p w14:paraId="797AAEAB" w14:textId="4EADAC58" w:rsidR="00592AFA" w:rsidRPr="006467E6" w:rsidRDefault="00A36581" w:rsidP="00F906E8">
      <w:pPr>
        <w:spacing w:after="0"/>
        <w:ind w:firstLine="720"/>
        <w:jc w:val="both"/>
        <w:rPr>
          <w:rFonts w:ascii="Times New Roman" w:hAnsi="Times New Roman"/>
          <w:sz w:val="24"/>
          <w:szCs w:val="24"/>
        </w:rPr>
      </w:pPr>
      <w:r w:rsidRPr="006467E6">
        <w:rPr>
          <w:rFonts w:ascii="Times New Roman" w:hAnsi="Times New Roman"/>
          <w:sz w:val="24"/>
          <w:szCs w:val="24"/>
        </w:rPr>
        <w:t>Future Research: This study needs to be extended to understand the qualitative aspects of ICT practices at work in relation to the different career stages, in terms of quality, intent and context. Other counties in Kenya could be sampled for increased generalisability, while longitudinal studies would increase the causal evidence for the links between teaching experience and ICT adoption</w:t>
      </w:r>
    </w:p>
    <w:p w14:paraId="70CDC51E" w14:textId="77777777" w:rsidR="0081630A" w:rsidRPr="006467E6" w:rsidRDefault="0081630A" w:rsidP="00F906E8">
      <w:pPr>
        <w:spacing w:after="0"/>
        <w:jc w:val="both"/>
        <w:rPr>
          <w:rFonts w:ascii="Times New Roman" w:hAnsi="Times New Roman"/>
          <w:b/>
          <w:bCs/>
          <w:sz w:val="24"/>
          <w:szCs w:val="24"/>
        </w:rPr>
      </w:pPr>
      <w:r w:rsidRPr="006467E6">
        <w:rPr>
          <w:rFonts w:ascii="Times New Roman" w:hAnsi="Times New Roman"/>
          <w:b/>
          <w:bCs/>
          <w:sz w:val="24"/>
          <w:szCs w:val="24"/>
        </w:rPr>
        <w:t>ACKNOWLEDGEMENTS</w:t>
      </w:r>
    </w:p>
    <w:p w14:paraId="21100790" w14:textId="3DE927E9" w:rsidR="0081630A" w:rsidRPr="006467E6" w:rsidRDefault="0081630A" w:rsidP="00F906E8">
      <w:pPr>
        <w:spacing w:after="0"/>
        <w:ind w:firstLine="720"/>
        <w:jc w:val="both"/>
        <w:rPr>
          <w:rFonts w:ascii="Times New Roman" w:hAnsi="Times New Roman"/>
          <w:sz w:val="24"/>
          <w:szCs w:val="24"/>
        </w:rPr>
      </w:pPr>
      <w:r w:rsidRPr="006467E6">
        <w:rPr>
          <w:rFonts w:ascii="Times New Roman" w:hAnsi="Times New Roman"/>
          <w:sz w:val="24"/>
          <w:szCs w:val="24"/>
        </w:rPr>
        <w:t xml:space="preserve">The authors wish to acknowledge the Department of Agricultural Education and Extension at Egerton University for the institutional support provided during this study. Sincere gratitude is extended to NACOSTI for granting the research permit. The authors also sincerely thank the </w:t>
      </w:r>
      <w:r w:rsidR="0085771F" w:rsidRPr="006467E6">
        <w:rPr>
          <w:rFonts w:ascii="Times New Roman" w:hAnsi="Times New Roman"/>
          <w:sz w:val="24"/>
          <w:szCs w:val="24"/>
        </w:rPr>
        <w:t>agriculture</w:t>
      </w:r>
      <w:r w:rsidRPr="006467E6">
        <w:rPr>
          <w:rFonts w:ascii="Times New Roman" w:hAnsi="Times New Roman"/>
          <w:sz w:val="24"/>
          <w:szCs w:val="24"/>
        </w:rPr>
        <w:t xml:space="preserve"> teachers of Nakuru County for their time and willing participation in data collection.</w:t>
      </w:r>
    </w:p>
    <w:p w14:paraId="7EFED5EF" w14:textId="77777777" w:rsidR="0081630A" w:rsidRPr="006467E6" w:rsidRDefault="0081630A" w:rsidP="00F906E8">
      <w:pPr>
        <w:spacing w:after="0"/>
        <w:rPr>
          <w:rFonts w:ascii="Times New Roman" w:hAnsi="Times New Roman"/>
          <w:b/>
          <w:bCs/>
          <w:sz w:val="24"/>
          <w:szCs w:val="24"/>
        </w:rPr>
      </w:pPr>
      <w:r w:rsidRPr="006467E6">
        <w:rPr>
          <w:rFonts w:ascii="Times New Roman" w:hAnsi="Times New Roman"/>
          <w:b/>
          <w:bCs/>
          <w:sz w:val="24"/>
          <w:szCs w:val="24"/>
        </w:rPr>
        <w:t>REFERENCES</w:t>
      </w:r>
    </w:p>
    <w:p w14:paraId="11621BA0" w14:textId="77777777" w:rsidR="0081630A" w:rsidRPr="006467E6" w:rsidRDefault="0081630A" w:rsidP="00F906E8">
      <w:pPr>
        <w:spacing w:after="0"/>
        <w:ind w:left="720" w:hanging="720"/>
        <w:rPr>
          <w:rFonts w:ascii="Times New Roman" w:hAnsi="Times New Roman"/>
          <w:sz w:val="24"/>
          <w:szCs w:val="24"/>
        </w:rPr>
      </w:pPr>
      <w:proofErr w:type="spellStart"/>
      <w:r w:rsidRPr="006467E6">
        <w:rPr>
          <w:rFonts w:ascii="Times New Roman" w:hAnsi="Times New Roman"/>
          <w:sz w:val="24"/>
          <w:szCs w:val="24"/>
        </w:rPr>
        <w:t>Alazam</w:t>
      </w:r>
      <w:proofErr w:type="spellEnd"/>
      <w:r w:rsidRPr="006467E6">
        <w:rPr>
          <w:rFonts w:ascii="Times New Roman" w:hAnsi="Times New Roman"/>
          <w:sz w:val="24"/>
          <w:szCs w:val="24"/>
        </w:rPr>
        <w:t xml:space="preserve">, A. O., Bakar, A. R., Hamzah, R., &amp; </w:t>
      </w:r>
      <w:proofErr w:type="spellStart"/>
      <w:r w:rsidRPr="006467E6">
        <w:rPr>
          <w:rFonts w:ascii="Times New Roman" w:hAnsi="Times New Roman"/>
          <w:sz w:val="24"/>
          <w:szCs w:val="24"/>
        </w:rPr>
        <w:t>Asmiran</w:t>
      </w:r>
      <w:proofErr w:type="spellEnd"/>
      <w:r w:rsidRPr="006467E6">
        <w:rPr>
          <w:rFonts w:ascii="Times New Roman" w:hAnsi="Times New Roman"/>
          <w:sz w:val="24"/>
          <w:szCs w:val="24"/>
        </w:rPr>
        <w:t>, S. (2020). Teachers' ICT skills and ICT integration in the classroom: The case of vocational and technical teachers in Malaysia. Creative Education, 3(8), 70–76.</w:t>
      </w:r>
    </w:p>
    <w:p w14:paraId="7BCA8EE1" w14:textId="77777777" w:rsidR="0081630A" w:rsidRPr="006467E6" w:rsidRDefault="0081630A" w:rsidP="00F906E8">
      <w:pPr>
        <w:spacing w:after="0"/>
        <w:ind w:left="720" w:hanging="720"/>
        <w:rPr>
          <w:rFonts w:ascii="Times New Roman" w:hAnsi="Times New Roman"/>
          <w:sz w:val="24"/>
          <w:szCs w:val="24"/>
        </w:rPr>
      </w:pPr>
      <w:proofErr w:type="spellStart"/>
      <w:r w:rsidRPr="006467E6">
        <w:rPr>
          <w:rFonts w:ascii="Times New Roman" w:hAnsi="Times New Roman"/>
          <w:sz w:val="24"/>
          <w:szCs w:val="24"/>
        </w:rPr>
        <w:t>Asabere</w:t>
      </w:r>
      <w:proofErr w:type="spellEnd"/>
      <w:r w:rsidRPr="006467E6">
        <w:rPr>
          <w:rFonts w:ascii="Times New Roman" w:hAnsi="Times New Roman"/>
          <w:sz w:val="24"/>
          <w:szCs w:val="24"/>
        </w:rPr>
        <w:t xml:space="preserve">, N. Y., Togo, G. A., </w:t>
      </w:r>
      <w:proofErr w:type="spellStart"/>
      <w:r w:rsidRPr="006467E6">
        <w:rPr>
          <w:rFonts w:ascii="Times New Roman" w:hAnsi="Times New Roman"/>
          <w:sz w:val="24"/>
          <w:szCs w:val="24"/>
        </w:rPr>
        <w:t>Acakpovi</w:t>
      </w:r>
      <w:proofErr w:type="spellEnd"/>
      <w:r w:rsidRPr="006467E6">
        <w:rPr>
          <w:rFonts w:ascii="Times New Roman" w:hAnsi="Times New Roman"/>
          <w:sz w:val="24"/>
          <w:szCs w:val="24"/>
        </w:rPr>
        <w:t xml:space="preserve">, A., Ampong, G. O. A., Quansah, F., &amp; </w:t>
      </w:r>
      <w:proofErr w:type="spellStart"/>
      <w:r w:rsidRPr="006467E6">
        <w:rPr>
          <w:rFonts w:ascii="Times New Roman" w:hAnsi="Times New Roman"/>
          <w:sz w:val="24"/>
          <w:szCs w:val="24"/>
        </w:rPr>
        <w:t>Insaidoo</w:t>
      </w:r>
      <w:proofErr w:type="spellEnd"/>
      <w:r w:rsidRPr="006467E6">
        <w:rPr>
          <w:rFonts w:ascii="Times New Roman" w:hAnsi="Times New Roman"/>
          <w:sz w:val="24"/>
          <w:szCs w:val="24"/>
        </w:rPr>
        <w:t>, M. (2020). Towards smart and technology-oriented education in Africa: A systematic literature review. Education and Information Technologies, 25(6), 5257–5282.</w:t>
      </w:r>
    </w:p>
    <w:p w14:paraId="24D85210"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Babbie, E. R. (2020). The practice of social research (15th ed.). Cengage Learning.</w:t>
      </w:r>
    </w:p>
    <w:p w14:paraId="19D10143"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Chen, D., &amp; Stroup, W. (1993). General systems theory: Toward a conceptual framework for science and technology education. Journal of Science Education and Technology, 2(3), 447–459.</w:t>
      </w:r>
    </w:p>
    <w:p w14:paraId="022A2BD4"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 xml:space="preserve">Creswell, J. W., &amp; Creswell, J. D. (2017). Research design: Qualitative, quantitative, and mixed methods </w:t>
      </w:r>
      <w:proofErr w:type="gramStart"/>
      <w:r w:rsidRPr="006467E6">
        <w:rPr>
          <w:rFonts w:ascii="Times New Roman" w:hAnsi="Times New Roman"/>
          <w:sz w:val="24"/>
          <w:szCs w:val="24"/>
        </w:rPr>
        <w:t>approaches</w:t>
      </w:r>
      <w:proofErr w:type="gramEnd"/>
      <w:r w:rsidRPr="006467E6">
        <w:rPr>
          <w:rFonts w:ascii="Times New Roman" w:hAnsi="Times New Roman"/>
          <w:sz w:val="24"/>
          <w:szCs w:val="24"/>
        </w:rPr>
        <w:t xml:space="preserve"> (5th ed.). SAGE Publications.</w:t>
      </w:r>
    </w:p>
    <w:p w14:paraId="26E0183E"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Cronbach, L. J. (1951). Coefficient alpha and the internal structure of tests. Psychometrika, 16(3), 297–334.</w:t>
      </w:r>
    </w:p>
    <w:p w14:paraId="7E0ECD27"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Day, C., &amp; Gu, Q. (2021). Resilient teachers, resilient schools: Building and sustaining quality in testing times. Routledge.</w:t>
      </w:r>
    </w:p>
    <w:p w14:paraId="18E13EB7"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Ertmer, P. A., &amp; Ottenbreit-Leftwich, A. T. (2010). Teacher technology change: How knowledge, confidence, beliefs, and culture intersect. Journal of Research on Technology in Education, 42(3), 255–284.</w:t>
      </w:r>
    </w:p>
    <w:p w14:paraId="142FBB8A"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lastRenderedPageBreak/>
        <w:t>FAO. (2021). E-agriculture in action: Digital tools for agricultural extension. Food and Agriculture Organization of the United Nations.</w:t>
      </w:r>
    </w:p>
    <w:p w14:paraId="063A546F"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Farrell, G., &amp; Issacs, S. (2020). Survey of ICT and education in Africa: A summary report. World Bank/</w:t>
      </w:r>
      <w:proofErr w:type="spellStart"/>
      <w:r w:rsidRPr="006467E6">
        <w:rPr>
          <w:rFonts w:ascii="Times New Roman" w:hAnsi="Times New Roman"/>
          <w:sz w:val="24"/>
          <w:szCs w:val="24"/>
        </w:rPr>
        <w:t>infoDev</w:t>
      </w:r>
      <w:proofErr w:type="spellEnd"/>
      <w:r w:rsidRPr="006467E6">
        <w:rPr>
          <w:rFonts w:ascii="Times New Roman" w:hAnsi="Times New Roman"/>
          <w:sz w:val="24"/>
          <w:szCs w:val="24"/>
        </w:rPr>
        <w:t>.</w:t>
      </w:r>
    </w:p>
    <w:p w14:paraId="06C5DBC0"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Field, A. (2018). Discovering statistics using IBM SPSS statistics (5th ed.). SAGE Publications.</w:t>
      </w:r>
    </w:p>
    <w:p w14:paraId="6F8C1BC8"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Gudmundsdottir, G. B., &amp; Hatlevik, O. E. (2022). Newly qualified teachers' professional digital competence: Implications for teacher education. European Journal of Teacher Education, 41(2), 214–231.</w:t>
      </w:r>
    </w:p>
    <w:p w14:paraId="6D12A8FC"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Hew, K. F., &amp; Brush, T. (2007). Integrating technology into K-12 teaching and learning: Current knowledge gaps and recommendations for future research. Educational Technology Research and Development, 55(3), 223–252.</w:t>
      </w:r>
    </w:p>
    <w:p w14:paraId="7FE9C9F3"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Korir, J., &amp; Sang, A. (2022). Digital technology integration in agricultural education in Kenyan secondary schools. African Journal of Education and Practice, 8(1), 44–59.</w:t>
      </w:r>
    </w:p>
    <w:p w14:paraId="46F5599A"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Likert, R. (1932). A technique for the measurement of attitudes. Archives of Psychology, 140, 1–55.</w:t>
      </w:r>
    </w:p>
    <w:p w14:paraId="4D7B3931"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Miller, J. G. (1973). Living systems. McGraw-Hill.</w:t>
      </w:r>
    </w:p>
    <w:p w14:paraId="0B4DFB40"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 xml:space="preserve">Mugisha, S., </w:t>
      </w:r>
      <w:proofErr w:type="spellStart"/>
      <w:r w:rsidRPr="006467E6">
        <w:rPr>
          <w:rFonts w:ascii="Times New Roman" w:hAnsi="Times New Roman"/>
          <w:sz w:val="24"/>
          <w:szCs w:val="24"/>
        </w:rPr>
        <w:t>Kareyo</w:t>
      </w:r>
      <w:proofErr w:type="spellEnd"/>
      <w:r w:rsidRPr="006467E6">
        <w:rPr>
          <w:rFonts w:ascii="Times New Roman" w:hAnsi="Times New Roman"/>
          <w:sz w:val="24"/>
          <w:szCs w:val="24"/>
        </w:rPr>
        <w:t>, M., &amp; Namubiru, P. (2023). Teaching experience and ICT integration in East African secondary schools. Journal of Educational Technology in Developing Countries, 5(1), 22–35.</w:t>
      </w:r>
    </w:p>
    <w:p w14:paraId="49AC6FAF"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Muthoni, W., &amp; Obara, J. (2020). Career stages and professional development of secondary school teachers in Kenya. Kenya Journal of Educational Planning, Economics and Management, 12(1), 45–58.</w:t>
      </w:r>
    </w:p>
    <w:p w14:paraId="77457792"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Mwaniki, P., &amp; Makokha, G. (2021). Teacher characteristics and ICT adoption in Kenyan secondary schools: A regression analysis. Journal of Education and Practice, 12(3), 88–99.</w:t>
      </w:r>
    </w:p>
    <w:p w14:paraId="3F090490"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Mwangi, T., &amp; Kariuki, P. (2020). Teacher preparedness for ICT integration in Kenyan secondary schools. Journal of Education and Practice, 11(5), 72–80.</w:t>
      </w:r>
    </w:p>
    <w:p w14:paraId="5800F123" w14:textId="77777777" w:rsidR="0081630A" w:rsidRPr="006467E6" w:rsidRDefault="0081630A" w:rsidP="00F906E8">
      <w:pPr>
        <w:spacing w:after="0"/>
        <w:ind w:left="720" w:hanging="720"/>
        <w:rPr>
          <w:rFonts w:ascii="Times New Roman" w:hAnsi="Times New Roman"/>
          <w:sz w:val="24"/>
          <w:szCs w:val="24"/>
        </w:rPr>
      </w:pPr>
      <w:proofErr w:type="spellStart"/>
      <w:r w:rsidRPr="006467E6">
        <w:rPr>
          <w:rFonts w:ascii="Times New Roman" w:hAnsi="Times New Roman"/>
          <w:sz w:val="24"/>
          <w:szCs w:val="24"/>
        </w:rPr>
        <w:t>Nassiuma</w:t>
      </w:r>
      <w:proofErr w:type="spellEnd"/>
      <w:r w:rsidRPr="006467E6">
        <w:rPr>
          <w:rFonts w:ascii="Times New Roman" w:hAnsi="Times New Roman"/>
          <w:sz w:val="24"/>
          <w:szCs w:val="24"/>
        </w:rPr>
        <w:t>, D. K. (2000). Survey sampling: Theory and methods. Nairobi University Press.</w:t>
      </w:r>
    </w:p>
    <w:p w14:paraId="372FA9FA"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Nganga, C., &amp; Ochieng, D. (2024). ICT adoption patterns across teacher career stages in Kenyan public schools. East African Journal of Education and Social Sciences, 5(2), 78–91.</w:t>
      </w:r>
    </w:p>
    <w:p w14:paraId="3A98A2A1"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Njiru, K., &amp; Wambugu, A. (2023). Experienced teachers and digital technology: Barriers and enablers in Kenyan secondary schools. International Journal of Educational Development in Africa, 8(1), 14–28.</w:t>
      </w:r>
    </w:p>
    <w:p w14:paraId="0CA3C6EB"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Njoroge, P., &amp; Mwangi, C. (2019). Challenges of ICT integration in Kenyan secondary schools. International Journal of Education and Research, 7(4), 55–68.</w:t>
      </w:r>
    </w:p>
    <w:p w14:paraId="0212E357"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 xml:space="preserve">Obonyo, M., Agak, J., &amp; </w:t>
      </w:r>
      <w:proofErr w:type="spellStart"/>
      <w:r w:rsidRPr="006467E6">
        <w:rPr>
          <w:rFonts w:ascii="Times New Roman" w:hAnsi="Times New Roman"/>
          <w:sz w:val="24"/>
          <w:szCs w:val="24"/>
        </w:rPr>
        <w:t>Ayere</w:t>
      </w:r>
      <w:proofErr w:type="spellEnd"/>
      <w:r w:rsidRPr="006467E6">
        <w:rPr>
          <w:rFonts w:ascii="Times New Roman" w:hAnsi="Times New Roman"/>
          <w:sz w:val="24"/>
          <w:szCs w:val="24"/>
        </w:rPr>
        <w:t>, M. (2019). Teacher experience and ICT integration in public secondary schools in Kisumu County, Kenya. African Journal of Education, Science and Technology, 5(2), 123–131.</w:t>
      </w:r>
    </w:p>
    <w:p w14:paraId="29A83C66"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lastRenderedPageBreak/>
        <w:t>Oluwatosin, S. A., &amp; Adebayo, F. (2022). Rethinking ICT integration: Beyond experience and access in Nigerian secondary schools. Journal of Educational Technology Research, 9(1), 55–70.</w:t>
      </w:r>
    </w:p>
    <w:p w14:paraId="3621ECF3"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Opiyo, R., &amp; Koech, P. (2024). Teaching experience and pedagogical innovation in Kenyan agricultural education. Journal of Agricultural Education in Africa, 3(1), 10–24.</w:t>
      </w:r>
    </w:p>
    <w:p w14:paraId="4E8BF33A"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Prestridge, S. (2017). Conceptualising self-generating online teacher professional development. Technology, Pedagogy and Education, 26(1), 85–104.</w:t>
      </w:r>
    </w:p>
    <w:p w14:paraId="69FEE6D0"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 xml:space="preserve">Sang, G., Valcke, M., van Braak, J., &amp; </w:t>
      </w:r>
      <w:proofErr w:type="spellStart"/>
      <w:r w:rsidRPr="006467E6">
        <w:rPr>
          <w:rFonts w:ascii="Times New Roman" w:hAnsi="Times New Roman"/>
          <w:sz w:val="24"/>
          <w:szCs w:val="24"/>
        </w:rPr>
        <w:t>Tondeur</w:t>
      </w:r>
      <w:proofErr w:type="spellEnd"/>
      <w:r w:rsidRPr="006467E6">
        <w:rPr>
          <w:rFonts w:ascii="Times New Roman" w:hAnsi="Times New Roman"/>
          <w:sz w:val="24"/>
          <w:szCs w:val="24"/>
        </w:rPr>
        <w:t xml:space="preserve">, J. (2010). Student teachers' thinking processes and ICT integration: Predictors of prospective teaching </w:t>
      </w:r>
      <w:proofErr w:type="spellStart"/>
      <w:r w:rsidRPr="006467E6">
        <w:rPr>
          <w:rFonts w:ascii="Times New Roman" w:hAnsi="Times New Roman"/>
          <w:sz w:val="24"/>
          <w:szCs w:val="24"/>
        </w:rPr>
        <w:t>behaviors</w:t>
      </w:r>
      <w:proofErr w:type="spellEnd"/>
      <w:r w:rsidRPr="006467E6">
        <w:rPr>
          <w:rFonts w:ascii="Times New Roman" w:hAnsi="Times New Roman"/>
          <w:sz w:val="24"/>
          <w:szCs w:val="24"/>
        </w:rPr>
        <w:t xml:space="preserve"> with educational technology. Computers &amp; Education, 54(1), 103–112.</w:t>
      </w:r>
    </w:p>
    <w:p w14:paraId="72E9A53B"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Sipilä, K. (2014). Educational use of information and communications technology: Teachers' perspective. Technology, Pedagogy and Education, 23(2), 225–241.</w:t>
      </w:r>
    </w:p>
    <w:p w14:paraId="0874C950" w14:textId="77777777" w:rsidR="0081630A" w:rsidRPr="006467E6" w:rsidRDefault="0081630A" w:rsidP="00F906E8">
      <w:pPr>
        <w:spacing w:after="0"/>
        <w:ind w:left="720" w:hanging="720"/>
        <w:rPr>
          <w:rFonts w:ascii="Times New Roman" w:hAnsi="Times New Roman"/>
          <w:sz w:val="24"/>
          <w:szCs w:val="24"/>
        </w:rPr>
      </w:pPr>
      <w:proofErr w:type="spellStart"/>
      <w:r w:rsidRPr="006467E6">
        <w:rPr>
          <w:rFonts w:ascii="Times New Roman" w:hAnsi="Times New Roman"/>
          <w:sz w:val="24"/>
          <w:szCs w:val="24"/>
        </w:rPr>
        <w:t>Streiner</w:t>
      </w:r>
      <w:proofErr w:type="spellEnd"/>
      <w:r w:rsidRPr="006467E6">
        <w:rPr>
          <w:rFonts w:ascii="Times New Roman" w:hAnsi="Times New Roman"/>
          <w:sz w:val="24"/>
          <w:szCs w:val="24"/>
        </w:rPr>
        <w:t>, D. L. (2003). Starting at the beginning: An introduction to coefficient alpha and internal consistency. Journal of Personality Assessment, 80(1), 99–103.</w:t>
      </w:r>
    </w:p>
    <w:p w14:paraId="035BC5BA" w14:textId="77777777" w:rsidR="0081630A" w:rsidRPr="006467E6" w:rsidRDefault="0081630A" w:rsidP="00F906E8">
      <w:pPr>
        <w:spacing w:after="0"/>
        <w:ind w:left="720" w:hanging="720"/>
        <w:rPr>
          <w:rFonts w:ascii="Times New Roman" w:hAnsi="Times New Roman"/>
          <w:sz w:val="24"/>
          <w:szCs w:val="24"/>
        </w:rPr>
      </w:pPr>
      <w:proofErr w:type="spellStart"/>
      <w:r w:rsidRPr="006467E6">
        <w:rPr>
          <w:rFonts w:ascii="Times New Roman" w:hAnsi="Times New Roman"/>
          <w:sz w:val="24"/>
          <w:szCs w:val="24"/>
        </w:rPr>
        <w:t>Tondeur</w:t>
      </w:r>
      <w:proofErr w:type="spellEnd"/>
      <w:r w:rsidRPr="006467E6">
        <w:rPr>
          <w:rFonts w:ascii="Times New Roman" w:hAnsi="Times New Roman"/>
          <w:sz w:val="24"/>
          <w:szCs w:val="24"/>
        </w:rPr>
        <w:t>, J., van Braak, J., Sang, G., Voogt, J., Fisser, P., &amp; Ottenbreit-Leftwich, A. (2017). Preparing pre-service teachers to integrate technology in education: A synthesis of qualitative evidence. Computers &amp; Education, 59(1), 134–144.</w:t>
      </w:r>
    </w:p>
    <w:p w14:paraId="72BD24DE"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UNESCO. (2023). Global education monitoring report 2023: Technology in education – a tool on whose terms? UNESCO.</w:t>
      </w:r>
    </w:p>
    <w:p w14:paraId="5D3C509B"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 xml:space="preserve">Voogt, J., Fisser, P., Pareja Roblin, N., </w:t>
      </w:r>
      <w:proofErr w:type="spellStart"/>
      <w:r w:rsidRPr="006467E6">
        <w:rPr>
          <w:rFonts w:ascii="Times New Roman" w:hAnsi="Times New Roman"/>
          <w:sz w:val="24"/>
          <w:szCs w:val="24"/>
        </w:rPr>
        <w:t>Tondeur</w:t>
      </w:r>
      <w:proofErr w:type="spellEnd"/>
      <w:r w:rsidRPr="006467E6">
        <w:rPr>
          <w:rFonts w:ascii="Times New Roman" w:hAnsi="Times New Roman"/>
          <w:sz w:val="24"/>
          <w:szCs w:val="24"/>
        </w:rPr>
        <w:t>, J., &amp; van Braak, J. (2013). Technological pedagogical content knowledge: A review of the literature. Journal of Computer Assisted Learning, 29(2), 109–121.</w:t>
      </w:r>
    </w:p>
    <w:p w14:paraId="6DED432A"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Wanjiku, A., &amp; Njoroge, S. (2021). Teacher attributes and ICT integration in Kenyan secondary schools. East African Journal of Education Studies, 4(2), 112–125.</w:t>
      </w:r>
    </w:p>
    <w:p w14:paraId="4236A1F0"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Wanjohi, A., &amp; Muriithi, P. (2024). Workforce composition and ICT adoption in Kenyan secondary schools. African Education Review, 21(1), 33–48.</w:t>
      </w:r>
    </w:p>
    <w:p w14:paraId="44EF3B72" w14:textId="77777777" w:rsidR="0081630A" w:rsidRPr="006467E6" w:rsidRDefault="0081630A" w:rsidP="00F906E8">
      <w:pPr>
        <w:spacing w:after="0"/>
        <w:ind w:left="720" w:hanging="720"/>
        <w:rPr>
          <w:rFonts w:ascii="Times New Roman" w:hAnsi="Times New Roman"/>
          <w:sz w:val="24"/>
          <w:szCs w:val="24"/>
        </w:rPr>
      </w:pPr>
      <w:r w:rsidRPr="006467E6">
        <w:rPr>
          <w:rFonts w:ascii="Times New Roman" w:hAnsi="Times New Roman"/>
          <w:sz w:val="24"/>
          <w:szCs w:val="24"/>
        </w:rPr>
        <w:t>World Bank. (2022). World development report 2022: Digital technology for development. World Bank.</w:t>
      </w:r>
    </w:p>
    <w:p w14:paraId="30FCE830" w14:textId="77777777" w:rsidR="00C91271" w:rsidRPr="001E229D" w:rsidRDefault="00C91271" w:rsidP="00F906E8">
      <w:pPr>
        <w:spacing w:after="0"/>
        <w:rPr>
          <w:rFonts w:ascii="Times New Roman" w:hAnsi="Times New Roman"/>
          <w:sz w:val="24"/>
          <w:szCs w:val="24"/>
        </w:rPr>
      </w:pPr>
    </w:p>
    <w:sectPr w:rsidR="00C91271" w:rsidRPr="001E229D" w:rsidSect="00816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48"/>
    <w:rsid w:val="00035E3F"/>
    <w:rsid w:val="000613B4"/>
    <w:rsid w:val="00072C06"/>
    <w:rsid w:val="000902FF"/>
    <w:rsid w:val="00127E3D"/>
    <w:rsid w:val="00177366"/>
    <w:rsid w:val="001E229D"/>
    <w:rsid w:val="00203B13"/>
    <w:rsid w:val="002117A2"/>
    <w:rsid w:val="0023189A"/>
    <w:rsid w:val="00281C80"/>
    <w:rsid w:val="002919CB"/>
    <w:rsid w:val="003A7509"/>
    <w:rsid w:val="00471684"/>
    <w:rsid w:val="004F40ED"/>
    <w:rsid w:val="00510586"/>
    <w:rsid w:val="00541E5F"/>
    <w:rsid w:val="005617A0"/>
    <w:rsid w:val="00592AFA"/>
    <w:rsid w:val="005D7C6F"/>
    <w:rsid w:val="00601C08"/>
    <w:rsid w:val="00606450"/>
    <w:rsid w:val="006262D4"/>
    <w:rsid w:val="0063135E"/>
    <w:rsid w:val="00633148"/>
    <w:rsid w:val="006467E6"/>
    <w:rsid w:val="006C67BD"/>
    <w:rsid w:val="006E2194"/>
    <w:rsid w:val="006F0607"/>
    <w:rsid w:val="00705E90"/>
    <w:rsid w:val="00740E94"/>
    <w:rsid w:val="0074695B"/>
    <w:rsid w:val="007A5948"/>
    <w:rsid w:val="007D5513"/>
    <w:rsid w:val="00812877"/>
    <w:rsid w:val="0081630A"/>
    <w:rsid w:val="00852F3B"/>
    <w:rsid w:val="0085771F"/>
    <w:rsid w:val="00894523"/>
    <w:rsid w:val="008A46E7"/>
    <w:rsid w:val="008D2E90"/>
    <w:rsid w:val="009A7B42"/>
    <w:rsid w:val="009C391E"/>
    <w:rsid w:val="009E1AB3"/>
    <w:rsid w:val="009E1FDE"/>
    <w:rsid w:val="00A36581"/>
    <w:rsid w:val="00A91A84"/>
    <w:rsid w:val="00AD52A1"/>
    <w:rsid w:val="00B20BD3"/>
    <w:rsid w:val="00B65C53"/>
    <w:rsid w:val="00B717C3"/>
    <w:rsid w:val="00BE7036"/>
    <w:rsid w:val="00C20B9C"/>
    <w:rsid w:val="00C65619"/>
    <w:rsid w:val="00C80C98"/>
    <w:rsid w:val="00C81A1C"/>
    <w:rsid w:val="00C91271"/>
    <w:rsid w:val="00CA2758"/>
    <w:rsid w:val="00CC77E3"/>
    <w:rsid w:val="00D270B4"/>
    <w:rsid w:val="00D776C4"/>
    <w:rsid w:val="00D844A4"/>
    <w:rsid w:val="00DE68B5"/>
    <w:rsid w:val="00EB44F9"/>
    <w:rsid w:val="00EC372F"/>
    <w:rsid w:val="00EC4372"/>
    <w:rsid w:val="00ED32B5"/>
    <w:rsid w:val="00EE10F1"/>
    <w:rsid w:val="00F73B8B"/>
    <w:rsid w:val="00F906E8"/>
    <w:rsid w:val="00FA63DC"/>
    <w:rsid w:val="00FB6D02"/>
    <w:rsid w:val="00FD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8031"/>
  <w15:chartTrackingRefBased/>
  <w15:docId w15:val="{65A2D450-9695-4E8F-B9A2-A762F23A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30A"/>
    <w:pPr>
      <w:spacing w:after="200" w:line="276" w:lineRule="auto"/>
    </w:pPr>
    <w:rPr>
      <w:rFonts w:ascii="Calibri" w:eastAsia="SimSun" w:hAnsi="Calibri"/>
      <w:kern w:val="0"/>
      <w:sz w:val="22"/>
      <w:szCs w:val="22"/>
      <w:lang w:val="en-GB" w:eastAsia="zh-CN"/>
      <w14:ligatures w14:val="none"/>
    </w:rPr>
  </w:style>
  <w:style w:type="paragraph" w:styleId="Heading1">
    <w:name w:val="heading 1"/>
    <w:basedOn w:val="Normal"/>
    <w:next w:val="Normal"/>
    <w:link w:val="Heading1Char"/>
    <w:uiPriority w:val="9"/>
    <w:qFormat/>
    <w:rsid w:val="0063314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314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3148"/>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3148"/>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0"/>
      <w:szCs w:val="20"/>
      <w:lang w:eastAsia="en-US"/>
      <w14:ligatures w14:val="standardContextual"/>
    </w:rPr>
  </w:style>
  <w:style w:type="paragraph" w:styleId="Heading5">
    <w:name w:val="heading 5"/>
    <w:basedOn w:val="Normal"/>
    <w:next w:val="Normal"/>
    <w:link w:val="Heading5Char"/>
    <w:uiPriority w:val="9"/>
    <w:semiHidden/>
    <w:unhideWhenUsed/>
    <w:qFormat/>
    <w:rsid w:val="00633148"/>
    <w:pPr>
      <w:keepNext/>
      <w:keepLines/>
      <w:spacing w:before="80" w:after="40" w:line="240" w:lineRule="auto"/>
      <w:outlineLvl w:val="4"/>
    </w:pPr>
    <w:rPr>
      <w:rFonts w:asciiTheme="minorHAnsi" w:eastAsiaTheme="majorEastAsia" w:hAnsiTheme="minorHAnsi" w:cstheme="majorBidi"/>
      <w:color w:val="0F4761" w:themeColor="accent1" w:themeShade="BF"/>
      <w:kern w:val="2"/>
      <w:sz w:val="20"/>
      <w:szCs w:val="20"/>
      <w:lang w:eastAsia="en-US"/>
      <w14:ligatures w14:val="standardContextual"/>
    </w:rPr>
  </w:style>
  <w:style w:type="paragraph" w:styleId="Heading6">
    <w:name w:val="heading 6"/>
    <w:basedOn w:val="Normal"/>
    <w:next w:val="Normal"/>
    <w:link w:val="Heading6Char"/>
    <w:uiPriority w:val="9"/>
    <w:semiHidden/>
    <w:unhideWhenUsed/>
    <w:qFormat/>
    <w:rsid w:val="00633148"/>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0"/>
      <w:szCs w:val="20"/>
      <w:lang w:eastAsia="en-US"/>
      <w14:ligatures w14:val="standardContextual"/>
    </w:rPr>
  </w:style>
  <w:style w:type="paragraph" w:styleId="Heading7">
    <w:name w:val="heading 7"/>
    <w:basedOn w:val="Normal"/>
    <w:next w:val="Normal"/>
    <w:link w:val="Heading7Char"/>
    <w:uiPriority w:val="9"/>
    <w:semiHidden/>
    <w:unhideWhenUsed/>
    <w:qFormat/>
    <w:rsid w:val="00633148"/>
    <w:pPr>
      <w:keepNext/>
      <w:keepLines/>
      <w:spacing w:before="40" w:after="0" w:line="240" w:lineRule="auto"/>
      <w:outlineLvl w:val="6"/>
    </w:pPr>
    <w:rPr>
      <w:rFonts w:asciiTheme="minorHAnsi" w:eastAsiaTheme="majorEastAsia" w:hAnsiTheme="minorHAnsi" w:cstheme="majorBidi"/>
      <w:color w:val="595959" w:themeColor="text1" w:themeTint="A6"/>
      <w:kern w:val="2"/>
      <w:sz w:val="20"/>
      <w:szCs w:val="20"/>
      <w:lang w:eastAsia="en-US"/>
      <w14:ligatures w14:val="standardContextual"/>
    </w:rPr>
  </w:style>
  <w:style w:type="paragraph" w:styleId="Heading8">
    <w:name w:val="heading 8"/>
    <w:basedOn w:val="Normal"/>
    <w:next w:val="Normal"/>
    <w:link w:val="Heading8Char"/>
    <w:uiPriority w:val="9"/>
    <w:semiHidden/>
    <w:unhideWhenUsed/>
    <w:qFormat/>
    <w:rsid w:val="00633148"/>
    <w:pPr>
      <w:keepNext/>
      <w:keepLines/>
      <w:spacing w:after="0" w:line="240" w:lineRule="auto"/>
      <w:outlineLvl w:val="7"/>
    </w:pPr>
    <w:rPr>
      <w:rFonts w:asciiTheme="minorHAnsi" w:eastAsiaTheme="majorEastAsia" w:hAnsiTheme="minorHAnsi" w:cstheme="majorBidi"/>
      <w:i/>
      <w:iCs/>
      <w:color w:val="272727" w:themeColor="text1" w:themeTint="D8"/>
      <w:kern w:val="2"/>
      <w:sz w:val="20"/>
      <w:szCs w:val="20"/>
      <w:lang w:eastAsia="en-US"/>
      <w14:ligatures w14:val="standardContextual"/>
    </w:rPr>
  </w:style>
  <w:style w:type="paragraph" w:styleId="Heading9">
    <w:name w:val="heading 9"/>
    <w:basedOn w:val="Normal"/>
    <w:next w:val="Normal"/>
    <w:link w:val="Heading9Char"/>
    <w:uiPriority w:val="9"/>
    <w:semiHidden/>
    <w:unhideWhenUsed/>
    <w:qFormat/>
    <w:rsid w:val="00633148"/>
    <w:pPr>
      <w:keepNext/>
      <w:keepLines/>
      <w:spacing w:after="0" w:line="240" w:lineRule="auto"/>
      <w:outlineLvl w:val="8"/>
    </w:pPr>
    <w:rPr>
      <w:rFonts w:asciiTheme="minorHAnsi" w:eastAsiaTheme="majorEastAsia" w:hAnsiTheme="minorHAnsi" w:cstheme="majorBidi"/>
      <w:color w:val="272727" w:themeColor="text1" w:themeTint="D8"/>
      <w:kern w:val="2"/>
      <w:sz w:val="20"/>
      <w:szCs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1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1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31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31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31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31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31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314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3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148"/>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31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3148"/>
    <w:pPr>
      <w:spacing w:before="160" w:after="160" w:line="240" w:lineRule="auto"/>
      <w:jc w:val="center"/>
    </w:pPr>
    <w:rPr>
      <w:rFonts w:ascii="Aptos" w:eastAsiaTheme="minorHAnsi" w:hAnsi="Aptos"/>
      <w:i/>
      <w:iCs/>
      <w:color w:val="404040" w:themeColor="text1" w:themeTint="BF"/>
      <w:kern w:val="2"/>
      <w:sz w:val="20"/>
      <w:szCs w:val="20"/>
      <w:lang w:eastAsia="en-US"/>
      <w14:ligatures w14:val="standardContextual"/>
    </w:rPr>
  </w:style>
  <w:style w:type="character" w:customStyle="1" w:styleId="QuoteChar">
    <w:name w:val="Quote Char"/>
    <w:basedOn w:val="DefaultParagraphFont"/>
    <w:link w:val="Quote"/>
    <w:uiPriority w:val="29"/>
    <w:rsid w:val="00633148"/>
    <w:rPr>
      <w:i/>
      <w:iCs/>
      <w:color w:val="404040" w:themeColor="text1" w:themeTint="BF"/>
    </w:rPr>
  </w:style>
  <w:style w:type="paragraph" w:styleId="ListParagraph">
    <w:name w:val="List Paragraph"/>
    <w:basedOn w:val="Normal"/>
    <w:uiPriority w:val="34"/>
    <w:qFormat/>
    <w:rsid w:val="00633148"/>
    <w:pPr>
      <w:spacing w:after="0" w:line="240" w:lineRule="auto"/>
      <w:ind w:left="720"/>
      <w:contextualSpacing/>
    </w:pPr>
    <w:rPr>
      <w:rFonts w:ascii="Aptos" w:eastAsiaTheme="minorHAnsi" w:hAnsi="Aptos"/>
      <w:kern w:val="2"/>
      <w:sz w:val="20"/>
      <w:szCs w:val="20"/>
      <w:lang w:eastAsia="en-US"/>
      <w14:ligatures w14:val="standardContextual"/>
    </w:rPr>
  </w:style>
  <w:style w:type="character" w:styleId="IntenseEmphasis">
    <w:name w:val="Intense Emphasis"/>
    <w:basedOn w:val="DefaultParagraphFont"/>
    <w:uiPriority w:val="21"/>
    <w:qFormat/>
    <w:rsid w:val="00633148"/>
    <w:rPr>
      <w:i/>
      <w:iCs/>
      <w:color w:val="0F4761" w:themeColor="accent1" w:themeShade="BF"/>
    </w:rPr>
  </w:style>
  <w:style w:type="paragraph" w:styleId="IntenseQuote">
    <w:name w:val="Intense Quote"/>
    <w:basedOn w:val="Normal"/>
    <w:next w:val="Normal"/>
    <w:link w:val="IntenseQuoteChar"/>
    <w:uiPriority w:val="30"/>
    <w:qFormat/>
    <w:rsid w:val="0063314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Aptos" w:eastAsiaTheme="minorHAnsi" w:hAnsi="Aptos"/>
      <w:i/>
      <w:iCs/>
      <w:color w:val="0F4761" w:themeColor="accent1" w:themeShade="BF"/>
      <w:kern w:val="2"/>
      <w:sz w:val="20"/>
      <w:szCs w:val="20"/>
      <w:lang w:eastAsia="en-US"/>
      <w14:ligatures w14:val="standardContextual"/>
    </w:rPr>
  </w:style>
  <w:style w:type="character" w:customStyle="1" w:styleId="IntenseQuoteChar">
    <w:name w:val="Intense Quote Char"/>
    <w:basedOn w:val="DefaultParagraphFont"/>
    <w:link w:val="IntenseQuote"/>
    <w:uiPriority w:val="30"/>
    <w:rsid w:val="00633148"/>
    <w:rPr>
      <w:i/>
      <w:iCs/>
      <w:color w:val="0F4761" w:themeColor="accent1" w:themeShade="BF"/>
    </w:rPr>
  </w:style>
  <w:style w:type="character" w:styleId="IntenseReference">
    <w:name w:val="Intense Reference"/>
    <w:basedOn w:val="DefaultParagraphFont"/>
    <w:uiPriority w:val="32"/>
    <w:qFormat/>
    <w:rsid w:val="00633148"/>
    <w:rPr>
      <w:b/>
      <w:bCs/>
      <w:smallCaps/>
      <w:color w:val="0F4761" w:themeColor="accent1" w:themeShade="BF"/>
      <w:spacing w:val="5"/>
    </w:rPr>
  </w:style>
  <w:style w:type="table" w:styleId="TableGrid">
    <w:name w:val="Table Grid"/>
    <w:basedOn w:val="TableNormal"/>
    <w:uiPriority w:val="39"/>
    <w:rsid w:val="003A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Excel_97-2003_Worksheet.xls"/><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13</Pages>
  <Words>5636</Words>
  <Characters>32127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MWANGI</dc:creator>
  <cp:keywords/>
  <dc:description/>
  <cp:lastModifiedBy>MOSES MWANGI</cp:lastModifiedBy>
  <cp:revision>25</cp:revision>
  <dcterms:created xsi:type="dcterms:W3CDTF">2026-05-08T15:46:00Z</dcterms:created>
  <dcterms:modified xsi:type="dcterms:W3CDTF">2026-05-11T16:12:00Z</dcterms:modified>
</cp:coreProperties>
</file>