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center"/>
      </w:pPr>
      <w:r>
        <w:rPr>
          <w:rFonts w:ascii="Times New Roman" w:cs="Times New Roman" w:eastAsia="Times New Roman" w:hAnsi="Times New Roman"/>
          <w:b/>
          <w:bCs/>
          <w:sz w:val="28"/>
          <w:szCs w:val="28"/>
        </w:rPr>
        <w:t xml:space="preserve">ReferEase: An AI-Driven Referral Management Web Platform for Enhancing Professional Connectivity and Career Development</w:t>
      </w:r>
    </w:p>
    <w:p>
      <w:pPr>
        <w:spacing w:after="0" w:before="0" w:line="240"/>
      </w:pPr>
      <w:r>
        <w:rPr>
          <w:rFonts w:ascii="Times New Roman" w:cs="Times New Roman" w:eastAsia="Times New Roman" w:hAnsi="Times New Roman"/>
          <w:sz w:val="16"/>
          <w:szCs w:val="16"/>
        </w:rP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4945"/>
        <w:gridCol w:w="4945"/>
      </w:tblGrid>
      <w:tr>
        <w:tc>
          <w:tcPr>
            <w:tcW w:type="dxa" w:w="4945"/>
            <w:tcBorders>
              <w:top w:val="none" w:color="FFFFFF" w:sz="0"/>
              <w:left w:val="none" w:color="FFFFFF" w:sz="0"/>
              <w:bottom w:val="none" w:color="FFFFFF" w:sz="0"/>
              <w:right w:val="none" w:color="FFFFFF" w:sz="0"/>
            </w:tcBorders>
            <w:tcMar>
              <w:top w:type="dxa" w:w="40"/>
              <w:left w:type="dxa" w:w="80"/>
              <w:bottom w:type="dxa" w:w="40"/>
              <w:right w:type="dxa" w:w="80"/>
            </w:tcMar>
          </w:tcPr>
          <w:p>
            <w:pPr>
              <w:spacing w:after="40" w:before="0"/>
              <w:jc w:val="center"/>
            </w:pPr>
            <w:r>
              <w:rPr>
                <w:rFonts w:ascii="Times New Roman" w:cs="Times New Roman" w:eastAsia="Times New Roman" w:hAnsi="Times New Roman"/>
                <w:b w:val="false"/>
                <w:bCs w:val="false"/>
                <w:i w:val="false"/>
                <w:iCs w:val="false"/>
                <w:sz w:val="18"/>
                <w:szCs w:val="18"/>
              </w:rPr>
              <w:t xml:space="preserve">Raghav Siddharth</w:t>
            </w:r>
          </w:p>
          <w:p>
            <w:pPr>
              <w:spacing w:after="40" w:before="0"/>
              <w:jc w:val="center"/>
            </w:pPr>
            <w:r>
              <w:rPr>
                <w:rFonts w:ascii="Times New Roman" w:cs="Times New Roman" w:eastAsia="Times New Roman" w:hAnsi="Times New Roman"/>
                <w:b w:val="false"/>
                <w:bCs w:val="false"/>
                <w:i/>
                <w:iCs/>
                <w:sz w:val="18"/>
                <w:szCs w:val="18"/>
              </w:rPr>
              <w:t xml:space="preserve">Dept. of Information Technology</w:t>
            </w:r>
          </w:p>
          <w:p>
            <w:pPr>
              <w:spacing w:after="40" w:before="0"/>
              <w:jc w:val="center"/>
            </w:pPr>
            <w:r>
              <w:rPr>
                <w:rFonts w:ascii="Times New Roman" w:cs="Times New Roman" w:eastAsia="Times New Roman" w:hAnsi="Times New Roman"/>
                <w:b w:val="false"/>
                <w:bCs w:val="false"/>
                <w:i/>
                <w:iCs/>
                <w:sz w:val="18"/>
                <w:szCs w:val="18"/>
              </w:rPr>
              <w:t xml:space="preserve">Bansal Institute of Engineering &amp; Technology</w:t>
            </w:r>
          </w:p>
          <w:p>
            <w:pPr>
              <w:spacing w:after="40" w:before="0"/>
              <w:jc w:val="center"/>
            </w:pPr>
            <w:r>
              <w:rPr>
                <w:rFonts w:ascii="Times New Roman" w:cs="Times New Roman" w:eastAsia="Times New Roman" w:hAnsi="Times New Roman"/>
                <w:b w:val="false"/>
                <w:bCs w:val="false"/>
                <w:i w:val="false"/>
                <w:iCs w:val="false"/>
                <w:sz w:val="18"/>
                <w:szCs w:val="18"/>
              </w:rPr>
              <w:t xml:space="preserve">Lucknow, India</w:t>
            </w:r>
          </w:p>
          <w:p>
            <w:pPr>
              <w:spacing w:after="100" w:before="0"/>
              <w:jc w:val="center"/>
            </w:pPr>
            <w:r>
              <w:rPr>
                <w:rFonts w:ascii="Times New Roman" w:cs="Times New Roman" w:eastAsia="Times New Roman" w:hAnsi="Times New Roman"/>
                <w:b w:val="false"/>
                <w:bCs w:val="false"/>
                <w:i w:val="false"/>
                <w:iCs w:val="false"/>
                <w:sz w:val="18"/>
                <w:szCs w:val="18"/>
              </w:rPr>
              <w:t xml:space="preserve">raghavsid2005@gmail.com</w:t>
            </w:r>
          </w:p>
        </w:tc>
        <w:tc>
          <w:tcPr>
            <w:tcW w:type="dxa" w:w="4945"/>
            <w:tcBorders>
              <w:top w:val="none" w:color="FFFFFF" w:sz="0"/>
              <w:left w:val="none" w:color="FFFFFF" w:sz="0"/>
              <w:bottom w:val="none" w:color="FFFFFF" w:sz="0"/>
              <w:right w:val="none" w:color="FFFFFF" w:sz="0"/>
            </w:tcBorders>
            <w:tcMar>
              <w:top w:type="dxa" w:w="40"/>
              <w:left w:type="dxa" w:w="80"/>
              <w:bottom w:type="dxa" w:w="40"/>
              <w:right w:type="dxa" w:w="80"/>
            </w:tcMar>
          </w:tcPr>
          <w:p>
            <w:pPr>
              <w:spacing w:after="40" w:before="0"/>
              <w:jc w:val="center"/>
            </w:pPr>
            <w:r>
              <w:rPr>
                <w:rFonts w:ascii="Times New Roman" w:cs="Times New Roman" w:eastAsia="Times New Roman" w:hAnsi="Times New Roman"/>
                <w:b w:val="false"/>
                <w:bCs w:val="false"/>
                <w:i w:val="false"/>
                <w:iCs w:val="false"/>
                <w:sz w:val="18"/>
                <w:szCs w:val="18"/>
              </w:rPr>
              <w:t xml:space="preserve">Roshani Yadav</w:t>
            </w:r>
          </w:p>
          <w:p>
            <w:pPr>
              <w:spacing w:after="40" w:before="0"/>
              <w:jc w:val="center"/>
            </w:pPr>
            <w:r>
              <w:rPr>
                <w:rFonts w:ascii="Times New Roman" w:cs="Times New Roman" w:eastAsia="Times New Roman" w:hAnsi="Times New Roman"/>
                <w:b w:val="false"/>
                <w:bCs w:val="false"/>
                <w:i/>
                <w:iCs/>
                <w:sz w:val="18"/>
                <w:szCs w:val="18"/>
              </w:rPr>
              <w:t xml:space="preserve">Dept. of Information Technology</w:t>
            </w:r>
          </w:p>
          <w:p>
            <w:pPr>
              <w:spacing w:after="40" w:before="0"/>
              <w:jc w:val="center"/>
            </w:pPr>
            <w:r>
              <w:rPr>
                <w:rFonts w:ascii="Times New Roman" w:cs="Times New Roman" w:eastAsia="Times New Roman" w:hAnsi="Times New Roman"/>
                <w:b w:val="false"/>
                <w:bCs w:val="false"/>
                <w:i/>
                <w:iCs/>
                <w:sz w:val="18"/>
                <w:szCs w:val="18"/>
              </w:rPr>
              <w:t xml:space="preserve">Bansal Institute of Engineering &amp; Technology</w:t>
            </w:r>
          </w:p>
          <w:p>
            <w:pPr>
              <w:spacing w:after="40" w:before="0"/>
              <w:jc w:val="center"/>
            </w:pPr>
            <w:r>
              <w:rPr>
                <w:rFonts w:ascii="Times New Roman" w:cs="Times New Roman" w:eastAsia="Times New Roman" w:hAnsi="Times New Roman"/>
                <w:b w:val="false"/>
                <w:bCs w:val="false"/>
                <w:i w:val="false"/>
                <w:iCs w:val="false"/>
                <w:sz w:val="18"/>
                <w:szCs w:val="18"/>
              </w:rPr>
              <w:t xml:space="preserve">Lucknow, India</w:t>
            </w:r>
          </w:p>
          <w:p>
            <w:pPr>
              <w:spacing w:after="100" w:before="0"/>
              <w:jc w:val="center"/>
            </w:pPr>
            <w:r>
              <w:rPr>
                <w:rFonts w:ascii="Times New Roman" w:cs="Times New Roman" w:eastAsia="Times New Roman" w:hAnsi="Times New Roman"/>
                <w:b w:val="false"/>
                <w:bCs w:val="false"/>
                <w:i w:val="false"/>
                <w:iCs w:val="false"/>
                <w:sz w:val="18"/>
                <w:szCs w:val="18"/>
              </w:rPr>
              <w:t xml:space="preserve">roshaniyadav@gmail.com</w:t>
            </w:r>
          </w:p>
        </w:tc>
      </w:tr>
      <w:tr>
        <w:tc>
          <w:tcPr>
            <w:tcW w:type="dxa" w:w="4945"/>
            <w:tcBorders>
              <w:top w:val="none" w:color="FFFFFF" w:sz="0"/>
              <w:left w:val="none" w:color="FFFFFF" w:sz="0"/>
              <w:bottom w:val="none" w:color="FFFFFF" w:sz="0"/>
              <w:right w:val="none" w:color="FFFFFF" w:sz="0"/>
            </w:tcBorders>
            <w:tcMar>
              <w:top w:type="dxa" w:w="40"/>
              <w:left w:type="dxa" w:w="80"/>
              <w:bottom w:type="dxa" w:w="40"/>
              <w:right w:type="dxa" w:w="80"/>
            </w:tcMar>
          </w:tcPr>
          <w:p>
            <w:pPr>
              <w:spacing w:after="40" w:before="0"/>
              <w:jc w:val="center"/>
            </w:pPr>
            <w:r>
              <w:rPr>
                <w:rFonts w:ascii="Times New Roman" w:cs="Times New Roman" w:eastAsia="Times New Roman" w:hAnsi="Times New Roman"/>
                <w:b w:val="false"/>
                <w:bCs w:val="false"/>
                <w:i w:val="false"/>
                <w:iCs w:val="false"/>
                <w:sz w:val="18"/>
                <w:szCs w:val="18"/>
              </w:rPr>
              <w:t xml:space="preserve">Rounak Mishra</w:t>
            </w:r>
          </w:p>
          <w:p>
            <w:pPr>
              <w:spacing w:after="40" w:before="0"/>
              <w:jc w:val="center"/>
            </w:pPr>
            <w:r>
              <w:rPr>
                <w:rFonts w:ascii="Times New Roman" w:cs="Times New Roman" w:eastAsia="Times New Roman" w:hAnsi="Times New Roman"/>
                <w:b w:val="false"/>
                <w:bCs w:val="false"/>
                <w:i/>
                <w:iCs/>
                <w:sz w:val="18"/>
                <w:szCs w:val="18"/>
              </w:rPr>
              <w:t xml:space="preserve">Dept. of Information Technology</w:t>
            </w:r>
          </w:p>
          <w:p>
            <w:pPr>
              <w:spacing w:after="40" w:before="0"/>
              <w:jc w:val="center"/>
            </w:pPr>
            <w:r>
              <w:rPr>
                <w:rFonts w:ascii="Times New Roman" w:cs="Times New Roman" w:eastAsia="Times New Roman" w:hAnsi="Times New Roman"/>
                <w:b w:val="false"/>
                <w:bCs w:val="false"/>
                <w:i/>
                <w:iCs/>
                <w:sz w:val="18"/>
                <w:szCs w:val="18"/>
              </w:rPr>
              <w:t xml:space="preserve">Bansal Institute of Engineering &amp; Technology</w:t>
            </w:r>
          </w:p>
          <w:p>
            <w:pPr>
              <w:spacing w:after="40" w:before="0"/>
              <w:jc w:val="center"/>
            </w:pPr>
            <w:r>
              <w:rPr>
                <w:rFonts w:ascii="Times New Roman" w:cs="Times New Roman" w:eastAsia="Times New Roman" w:hAnsi="Times New Roman"/>
                <w:b w:val="false"/>
                <w:bCs w:val="false"/>
                <w:i w:val="false"/>
                <w:iCs w:val="false"/>
                <w:sz w:val="18"/>
                <w:szCs w:val="18"/>
              </w:rPr>
              <w:t xml:space="preserve">Lucknow, India</w:t>
            </w:r>
          </w:p>
          <w:p>
            <w:pPr>
              <w:spacing w:after="100" w:before="0"/>
              <w:jc w:val="center"/>
            </w:pPr>
            <w:r>
              <w:rPr>
                <w:rFonts w:ascii="Times New Roman" w:cs="Times New Roman" w:eastAsia="Times New Roman" w:hAnsi="Times New Roman"/>
                <w:b w:val="false"/>
                <w:bCs w:val="false"/>
                <w:i w:val="false"/>
                <w:iCs w:val="false"/>
                <w:sz w:val="18"/>
                <w:szCs w:val="18"/>
              </w:rPr>
              <w:t xml:space="preserve">rounakmishra111@gmail.com</w:t>
            </w:r>
          </w:p>
        </w:tc>
        <w:tc>
          <w:tcPr>
            <w:tcW w:type="dxa" w:w="4945"/>
            <w:tcBorders>
              <w:top w:val="none" w:color="FFFFFF" w:sz="0"/>
              <w:left w:val="none" w:color="FFFFFF" w:sz="0"/>
              <w:bottom w:val="none" w:color="FFFFFF" w:sz="0"/>
              <w:right w:val="none" w:color="FFFFFF" w:sz="0"/>
            </w:tcBorders>
            <w:tcMar>
              <w:top w:type="dxa" w:w="40"/>
              <w:left w:type="dxa" w:w="80"/>
              <w:bottom w:type="dxa" w:w="40"/>
              <w:right w:type="dxa" w:w="80"/>
            </w:tcMar>
          </w:tcPr>
          <w:p>
            <w:pPr>
              <w:spacing w:after="40" w:before="0"/>
              <w:jc w:val="center"/>
            </w:pPr>
            <w:r>
              <w:rPr>
                <w:rFonts w:ascii="Times New Roman" w:cs="Times New Roman" w:eastAsia="Times New Roman" w:hAnsi="Times New Roman"/>
                <w:b w:val="false"/>
                <w:bCs w:val="false"/>
                <w:i w:val="false"/>
                <w:iCs w:val="false"/>
                <w:sz w:val="18"/>
                <w:szCs w:val="18"/>
              </w:rPr>
              <w:t xml:space="preserve">Vivek Singh</w:t>
            </w:r>
          </w:p>
          <w:p>
            <w:pPr>
              <w:spacing w:after="40" w:before="0"/>
              <w:jc w:val="center"/>
            </w:pPr>
            <w:r>
              <w:rPr>
                <w:rFonts w:ascii="Times New Roman" w:cs="Times New Roman" w:eastAsia="Times New Roman" w:hAnsi="Times New Roman"/>
                <w:b w:val="false"/>
                <w:bCs w:val="false"/>
                <w:i/>
                <w:iCs/>
                <w:sz w:val="18"/>
                <w:szCs w:val="18"/>
              </w:rPr>
              <w:t xml:space="preserve">Dept. of Information Technology</w:t>
            </w:r>
          </w:p>
          <w:p>
            <w:pPr>
              <w:spacing w:after="40" w:before="0"/>
              <w:jc w:val="center"/>
            </w:pPr>
            <w:r>
              <w:rPr>
                <w:rFonts w:ascii="Times New Roman" w:cs="Times New Roman" w:eastAsia="Times New Roman" w:hAnsi="Times New Roman"/>
                <w:b w:val="false"/>
                <w:bCs w:val="false"/>
                <w:i/>
                <w:iCs/>
                <w:sz w:val="18"/>
                <w:szCs w:val="18"/>
              </w:rPr>
              <w:t xml:space="preserve">Bansal Institute of Engineering &amp; Technology</w:t>
            </w:r>
          </w:p>
          <w:p>
            <w:pPr>
              <w:spacing w:after="40" w:before="0"/>
              <w:jc w:val="center"/>
            </w:pPr>
            <w:r>
              <w:rPr>
                <w:rFonts w:ascii="Times New Roman" w:cs="Times New Roman" w:eastAsia="Times New Roman" w:hAnsi="Times New Roman"/>
                <w:b w:val="false"/>
                <w:bCs w:val="false"/>
                <w:i w:val="false"/>
                <w:iCs w:val="false"/>
                <w:sz w:val="18"/>
                <w:szCs w:val="18"/>
              </w:rPr>
              <w:t xml:space="preserve">Lucknow, India</w:t>
            </w:r>
          </w:p>
          <w:p>
            <w:pPr>
              <w:spacing w:after="100" w:before="0"/>
              <w:jc w:val="center"/>
            </w:pPr>
            <w:r>
              <w:rPr>
                <w:rFonts w:ascii="Times New Roman" w:cs="Times New Roman" w:eastAsia="Times New Roman" w:hAnsi="Times New Roman"/>
                <w:b w:val="false"/>
                <w:bCs w:val="false"/>
                <w:i w:val="false"/>
                <w:iCs w:val="false"/>
                <w:sz w:val="18"/>
                <w:szCs w:val="18"/>
              </w:rPr>
              <w:t xml:space="preserve">viveksingh@gmail.com</w:t>
            </w:r>
          </w:p>
        </w:tc>
      </w:tr>
    </w:tbl>
    <w:p>
      <w:pPr>
        <w:spacing w:after="0" w:before="0" w:line="240"/>
      </w:pPr>
      <w:r>
        <w:rPr>
          <w:rFonts w:ascii="Times New Roman" w:cs="Times New Roman" w:eastAsia="Times New Roman" w:hAnsi="Times New Roman"/>
          <w:sz w:val="12"/>
          <w:szCs w:val="12"/>
        </w:rPr>
        <w:t xml:space="preserve"/>
      </w:r>
    </w:p>
    <w:p>
      <w:pPr>
        <w:sectPr>
          <w:type w:val="continuous"/>
          <w:pgSz w:w="11906" w:h="16838" w:orient="portrait"/>
          <w:pgMar w:top="1208" w:right="1008" w:bottom="1008" w:left="1008" w:header="708" w:footer="708" w:gutter="0"/>
          <w:pgNumType/>
          <w:docGrid w:linePitch="360"/>
        </w:sectPr>
      </w:pPr>
    </w:p>
    <w:p>
      <w:pPr>
        <w:spacing w:after="60" w:before="0" w:line="240"/>
        <w:ind/>
        <w:jc w:val="both"/>
      </w:pPr>
      <w:r>
        <w:rPr>
          <w:rFonts w:ascii="Times New Roman" w:cs="Times New Roman" w:eastAsia="Times New Roman" w:hAnsi="Times New Roman"/>
          <w:b/>
          <w:bCs/>
          <w:i/>
          <w:iCs/>
          <w:sz w:val="18"/>
          <w:szCs w:val="18"/>
        </w:rPr>
        <w:t xml:space="preserve">Abstract</w:t>
      </w:r>
      <w:r>
        <w:rPr>
          <w:rFonts w:ascii="Times New Roman" w:cs="Times New Roman" w:eastAsia="Times New Roman" w:hAnsi="Times New Roman"/>
          <w:i/>
          <w:iCs/>
          <w:sz w:val="18"/>
          <w:szCs w:val="18"/>
        </w:rPr>
        <w:t xml:space="preserve">—The contemporary employment landscape has witnessed a paradigm shift toward referral-based recruitment methodologies, driven by their demonstrated efficacy in candidate quality assessment, organizational cultural alignment, temporal efficiency in hiring pipelines, and enhanced long-term employee retention metrics. Despite these substantial advantages, equitable access to professional referral networks remains disproportionately constrained, particularly affecting nascent professionals, graduates from non-elite academic institutions, and individuals lacking established industry connections.</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This research introduces ReferEase, a comprehensive artificial intelligence-driven referral management web platform engineered to democratize referral accessibility through systematic workflow automation, intelligent professional matching, and structured communication frameworks. The proposed system integrates a novel multi-parameter compatibility scoring algorithm evaluating twelve distinct professional dimensions, an AI-powered resume assessment engine analyzing five critical quality parameters with iterative feedback mechanisms, and a context-aware Natural Language Processing (NLP) module for professional communication generation.</w:t>
      </w:r>
    </w:p>
    <w:p>
      <w:pPr>
        <w:spacing w:after="0" w:before="0" w:line="240"/>
      </w:pPr>
      <w:r>
        <w:rPr>
          <w:rFonts w:ascii="Times New Roman" w:cs="Times New Roman" w:eastAsia="Times New Roman" w:hAnsi="Times New Roman"/>
          <w:sz w:val="8"/>
          <w:szCs w:val="8"/>
        </w:rPr>
        <w:t xml:space="preserve"/>
      </w:r>
    </w:p>
    <w:p>
      <w:pPr>
        <w:spacing w:after="120" w:before="0" w:line="240"/>
        <w:ind/>
        <w:jc w:val="both"/>
      </w:pPr>
      <w:r>
        <w:rPr>
          <w:rFonts w:ascii="Times New Roman" w:cs="Times New Roman" w:eastAsia="Times New Roman" w:hAnsi="Times New Roman"/>
          <w:b/>
          <w:bCs/>
          <w:sz w:val="18"/>
          <w:szCs w:val="18"/>
        </w:rPr>
        <w:t xml:space="preserve">Keywords—</w:t>
      </w:r>
      <w:r>
        <w:rPr>
          <w:rFonts w:ascii="Times New Roman" w:cs="Times New Roman" w:eastAsia="Times New Roman" w:hAnsi="Times New Roman"/>
          <w:b w:val="false"/>
          <w:bCs w:val="false"/>
          <w:i w:val="false"/>
          <w:iCs w:val="false"/>
          <w:sz w:val="18"/>
          <w:szCs w:val="18"/>
        </w:rPr>
        <w:t xml:space="preserve">Professional Networking, Job Referrals, Resume Analysis, Intelligent Matching, Web Application, Natural Language Processing, Human–Computer Interaction, Career Development, Recruitment Technology, Artificial Intelligence, Machine Learning, Workflow Automation.</w:t>
      </w:r>
    </w:p>
    <w:p>
      <w:pPr>
        <w:spacing w:after="60" w:before="120"/>
        <w:jc w:val="center"/>
      </w:pPr>
      <w:r>
        <w:rPr>
          <w:rFonts w:ascii="Times New Roman" w:cs="Times New Roman" w:eastAsia="Times New Roman" w:hAnsi="Times New Roman"/>
          <w:b/>
          <w:bCs/>
          <w:smallCaps w:val="false"/>
          <w:sz w:val="18"/>
          <w:szCs w:val="18"/>
        </w:rPr>
        <w:t xml:space="preserve">I. INTRODUCTION</w:t>
      </w:r>
    </w:p>
    <w:p>
      <w:pPr>
        <w:spacing w:after="40" w:before="100"/>
        <w:jc w:val="left"/>
      </w:pPr>
      <w:r>
        <w:rPr>
          <w:rFonts w:ascii="Times New Roman" w:cs="Times New Roman" w:eastAsia="Times New Roman" w:hAnsi="Times New Roman"/>
          <w:b/>
          <w:bCs/>
          <w:i/>
          <w:iCs/>
          <w:sz w:val="18"/>
          <w:szCs w:val="18"/>
        </w:rPr>
        <w:t xml:space="preserve">A. The Rise of Referral-Based Hiring in Modern Recruitment</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The global employment ecosystem has experienced a fundamental transformation throughout the past decade, with leading organizations increasingly institutionalizing referral-based recruitment as a primary strategic hiring modality. Comprehensive longitudinal studies spanning diverse industry verticals indicate that candidates recruited through verified employee referrals progress approximately 27.3% more rapidly through interview pipelines while demonstrating up to 58.6% higher retention rates following 24 months of continuous employment. These operational advantages generate substantial organizational value through a significant reduction in expenditures associated with protracted hiring cycles, comprehensive onboarding procedures, and premature employee attrition.</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The fundamental efficacy of referral-based hiring mechanisms originates from intrinsic trust validation frameworks. Professional referrers function as informal but credible validators, recommending candidates whose technical competencies, professional work ethic, and organizational cultural alignment they can authentically endorse. This pre-screening effect substantially mitigates recruiter uncertainty while elevating aggregate hiring quality metrics.</w:t>
      </w:r>
    </w:p>
    <w:p>
      <w:pPr>
        <w:spacing w:after="40" w:before="100"/>
        <w:jc w:val="left"/>
      </w:pPr>
      <w:r>
        <w:rPr>
          <w:rFonts w:ascii="Times New Roman" w:cs="Times New Roman" w:eastAsia="Times New Roman" w:hAnsi="Times New Roman"/>
          <w:b/>
          <w:bCs/>
          <w:i/>
          <w:iCs/>
          <w:sz w:val="18"/>
          <w:szCs w:val="18"/>
        </w:rPr>
        <w:t xml:space="preserve">B. Systemic Inequities in Referral Accessibility</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Despite these demonstrable advantages, referral-based hiring inadvertently exacerbates structural inequalities within contemporary employment markets. Access to high-quality professional referrals predominantly depends upon pre-existing social capital accumulation, alumni network affiliations, familial corporate connections, or institutional prestige advantages. Consequently, meritorious candidates graduating from tier-2 and tier-3 academic institutions, first-generation professionals, international students, and career transition individuals confront disproportionate systemic barriers in accessing these opportunity channels, irrespective of their demonstrable technical proficiencies or professional potential. This accessibility gap perpetuates socioeconomic stratification while constraining organizational diversity initiatives and talent pool expansion efforts.</w:t>
      </w:r>
    </w:p>
    <w:p>
      <w:pPr>
        <w:spacing w:after="40" w:before="100"/>
        <w:jc w:val="left"/>
      </w:pPr>
      <w:r>
        <w:rPr>
          <w:rFonts w:ascii="Times New Roman" w:cs="Times New Roman" w:eastAsia="Times New Roman" w:hAnsi="Times New Roman"/>
          <w:b/>
          <w:bCs/>
          <w:i/>
          <w:iCs/>
          <w:sz w:val="18"/>
          <w:szCs w:val="18"/>
        </w:rPr>
        <w:t xml:space="preserve">C. Limitations of Current Professional Networking Platforms</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Modern professional networking infrastructures, including LinkedIn, institutional alumni portals, and specialized industry forums, provide essential connectivity frameworks for profile visibility maintenance and professional relationship cultivation. However, these platforms remain fundamentally general-purpose in architecture, lacking specialized computational support for structured referral acquisition workflows. Users must manually execute exhaustive searches for potential referrers, evaluate professional relevance based on limited observable signals, and initiate communication sequences without systematic guidance or performance optimization. This procedural inefficiency generates substantial cognitive load, particularly for early-career professionals unfamiliar with industry-specific communication protocols and referral etiquette norms.</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A predominant limitation manifests in the absence of intelligent referrer discovery mechanisms. Existing recommendation systems prioritize network proximity metrics or simplistic keyword overlap computations rather than implementing holistic professional compatibility assessments incorporating multidimensional attribute analysis. Furthermore, contemporary platforms provide no integrated computational tools for evaluating resume preparedness within referral request contexts, leaving candidates uncertain regarding whether their application materials satisfy industry-specific expectations or Applicant Tracking System (ATS) compatibility requirements.</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Communication support represents another critical functional deficiency, resulting in high anxiety during message composition and often leading to delayed or avoided outreach. Users also lack visibility into the referral request progression, hindering effective management and strategy refinement.</w:t>
      </w:r>
    </w:p>
    <w:p>
      <w:pPr>
        <w:spacing w:after="40" w:before="100"/>
        <w:jc w:val="left"/>
      </w:pPr>
      <w:r>
        <w:rPr>
          <w:rFonts w:ascii="Times New Roman" w:cs="Times New Roman" w:eastAsia="Times New Roman" w:hAnsi="Times New Roman"/>
          <w:b/>
          <w:bCs/>
          <w:i/>
          <w:iCs/>
          <w:sz w:val="18"/>
          <w:szCs w:val="18"/>
        </w:rPr>
        <w:t xml:space="preserve">D. Research Contributions and Innovation</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The principal research contributions of this investigation encompass multiple dimensions of technical innovation and practical implementation:</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A novel multi-parameter professional compatibility scoring algorithm evaluating twelve distinct dimensions, including skill alignment, domain expertise, experience level, cultural fit, geographical preferences, communication style, and career trajectory.</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An advanced AI-driven resume evaluation engine that scores candidates on five critical quality parameters: ATS compatibility, keyword density, structural coherence, achievement quantification, and professional tone, with continuous improvement feedback.</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A context-aware NLP-based communication generation system using fine-tuned transformer architectures to substantially reduce outreach anxiety and increase response probability.</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An innovative dual-interface workflow architecture providing distinct yet complementary interaction paradigms tailored specifically for job seekers and industry professionals.</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A comprehensive referral lifecycle management framework encompassing discovery phase optimization, candidate evaluation protocols, communication sequence automation, real-time progress tracking, and predictive insights generation.</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Empirical validation through systematic user studies demonstrating significant improvements across match accuracy, user satisfaction metrics, resume quality enhancement, and communication efficiency gains.</w:t>
      </w:r>
    </w:p>
    <w:p>
      <w:pPr>
        <w:spacing w:after="40" w:before="100"/>
        <w:jc w:val="left"/>
      </w:pPr>
      <w:r>
        <w:rPr>
          <w:rFonts w:ascii="Times New Roman" w:cs="Times New Roman" w:eastAsia="Times New Roman" w:hAnsi="Times New Roman"/>
          <w:b/>
          <w:bCs/>
          <w:i/>
          <w:iCs/>
          <w:sz w:val="18"/>
          <w:szCs w:val="18"/>
        </w:rPr>
        <w:t xml:space="preserve">E. Project Genesis and Developmental Trajectory</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ReferEase originated from systematically observed placement challenges during the 2024-25 academic cycle at the Bansal Institute of Engineering and Technology. Structured semi-structured interviews conducted with 45 final-year computer science students consistently revealed difficulties related to professional referral discovery, message composition anxiety, resume quality uncertainty, and referral outcome tracking. These empirical insights directly informed system requirement specifications and development, which followed an iterative agile methodology with continuous user feedback incorporation across a nine-month intensive implementation period.</w:t>
      </w:r>
    </w:p>
    <w:p>
      <w:pPr>
        <w:spacing w:after="60" w:before="120"/>
        <w:jc w:val="center"/>
      </w:pPr>
      <w:r>
        <w:rPr>
          <w:rFonts w:ascii="Times New Roman" w:cs="Times New Roman" w:eastAsia="Times New Roman" w:hAnsi="Times New Roman"/>
          <w:b/>
          <w:bCs/>
          <w:smallCaps w:val="false"/>
          <w:sz w:val="18"/>
          <w:szCs w:val="18"/>
        </w:rPr>
        <w:t xml:space="preserve">II. LITERATURE REVIEW</w:t>
      </w:r>
    </w:p>
    <w:p>
      <w:pPr>
        <w:spacing w:after="40" w:before="100"/>
        <w:jc w:val="left"/>
      </w:pPr>
      <w:r>
        <w:rPr>
          <w:rFonts w:ascii="Times New Roman" w:cs="Times New Roman" w:eastAsia="Times New Roman" w:hAnsi="Times New Roman"/>
          <w:b/>
          <w:bCs/>
          <w:i/>
          <w:iCs/>
          <w:sz w:val="18"/>
          <w:szCs w:val="18"/>
        </w:rPr>
        <w:t xml:space="preserve">A. Evolution of Professional Networking Platforms</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Professional networking platforms have fundamentally transformed interpersonal career relationship maintenance methodologies. While LinkedIn is established as the dominant platform, empirical studies suggest it primarily facilitates weak-tie maintenance rather than structured referral acquisition workflows. Its recommendation algorithms prioritize network proximity over comprehensive professional compatibility assessments. Alumni platforms suffer from limited scale and technological integration for systematic referral management. Scholarly investigations have critically examined social capital accumulation disparities, demonstrating that users from elite institutions experience 3.7x higher connection acceptance rates, underscoring the necessity for objective, algorithmic systems like ReferEase to mitigate these existing structural inequities.</w:t>
      </w:r>
    </w:p>
    <w:p>
      <w:pPr>
        <w:spacing w:after="40" w:before="100"/>
        <w:jc w:val="left"/>
      </w:pPr>
      <w:r>
        <w:rPr>
          <w:rFonts w:ascii="Times New Roman" w:cs="Times New Roman" w:eastAsia="Times New Roman" w:hAnsi="Times New Roman"/>
          <w:b/>
          <w:bCs/>
          <w:i/>
          <w:iCs/>
          <w:sz w:val="18"/>
          <w:szCs w:val="18"/>
        </w:rPr>
        <w:t xml:space="preserve">B. Artificial Intelligence Applications in Recruitment Ecosystems</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The integration of AI within recruitment has progressed from rule-based resume parsing toward advanced deep learning architectures for candidate-job matching. Modern approaches leverage transformer-based models (e.g., BERT, RoBERTa) for semantic understanding of qualifications. However, most AI applications (e.g., HireVue, Eightfold.ai) are predominantly recruiter-centric, prioritizing organizational efficiency and cost reduction rather than candidate empowerment or equity enhancement. The research gap in candidate-centric AI tools for proactive career advancement represents a significant opportunity directly addressed by the ReferEase platform.</w:t>
      </w:r>
    </w:p>
    <w:p>
      <w:pPr>
        <w:spacing w:after="40" w:before="100"/>
        <w:jc w:val="left"/>
      </w:pPr>
      <w:r>
        <w:rPr>
          <w:rFonts w:ascii="Times New Roman" w:cs="Times New Roman" w:eastAsia="Times New Roman" w:hAnsi="Times New Roman"/>
          <w:b/>
          <w:bCs/>
          <w:i/>
          <w:iCs/>
          <w:sz w:val="18"/>
          <w:szCs w:val="18"/>
        </w:rPr>
        <w:t xml:space="preserve">C. Resume Analysis and Optimization Methodologies</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Automated resume analysis has evolved from simple template validation to sophisticated, multidimensional quality assessment. Contemporary systems vary: grammar checkers lack professional context; ATS compatibility checkers offer limited constructive suggestions; and professional writing services are costly and unscalable. The ReferEase engine overcomes these limitations by utilizing a hybrid architecture combining rule-based formatting validation, machine learning-based content assessment, and transformer-based semantic evaluation, providing comprehensive, actionable feedback via accessible web deployment.</w:t>
      </w:r>
    </w:p>
    <w:p>
      <w:pPr>
        <w:spacing w:after="40" w:before="100"/>
        <w:jc w:val="left"/>
      </w:pPr>
      <w:r>
        <w:rPr>
          <w:rFonts w:ascii="Times New Roman" w:cs="Times New Roman" w:eastAsia="Times New Roman" w:hAnsi="Times New Roman"/>
          <w:b/>
          <w:bCs/>
          <w:i/>
          <w:iCs/>
          <w:sz w:val="18"/>
          <w:szCs w:val="18"/>
        </w:rPr>
        <w:t xml:space="preserve">D. Natural Language Generation for Professional Communication</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Recent advances in Large Language Models (LLMs) like the GPT architecture enable sophisticated text generation. However, direct application to professional referral communication faces challenges related to tone calibration, industry terminology accuracy, and cultural appropriateness. ReferEase implements a hybrid NLP system incorporating template safety mechanisms, context-aware retrieval components, and fine-tuned transformer modules specifically optimized for referral request communications across technology industry verticals, ensuring an optimal balance between personalization and professionalism.</w:t>
      </w:r>
    </w:p>
    <w:p>
      <w:pPr>
        <w:spacing w:after="40" w:before="100"/>
        <w:jc w:val="left"/>
      </w:pPr>
      <w:r>
        <w:rPr>
          <w:rFonts w:ascii="Times New Roman" w:cs="Times New Roman" w:eastAsia="Times New Roman" w:hAnsi="Times New Roman"/>
          <w:b/>
          <w:bCs/>
          <w:i/>
          <w:iCs/>
          <w:sz w:val="18"/>
          <w:szCs w:val="18"/>
        </w:rPr>
        <w:t xml:space="preserve">E. Human–Computer Interaction Principles for Career Development Tools</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UX design research for career applications emphasizes progressive disclosure, reduction of decision anxiety through structured guidance, algorithmic transparency, and empowerment through actionable feedback. ReferEase incorporates these insights by providing communication scaffolds, normalizing outreach efforts through anonymized success statistics, pre-vetted message templates, and progressive achievement tracking, thereby reducing psychological barriers like impostor syndrome and fear of rejection.</w:t>
      </w:r>
    </w:p>
    <w:p>
      <w:pPr>
        <w:spacing w:after="40" w:before="100"/>
        <w:jc w:val="left"/>
      </w:pPr>
      <w:r>
        <w:rPr>
          <w:rFonts w:ascii="Times New Roman" w:cs="Times New Roman" w:eastAsia="Times New Roman" w:hAnsi="Times New Roman"/>
          <w:b/>
          <w:bCs/>
          <w:i/>
          <w:iCs/>
          <w:sz w:val="18"/>
          <w:szCs w:val="18"/>
        </w:rPr>
        <w:t xml:space="preserve">F. Research Gap Identification and ReferEase Positioning</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The reviewed literature reveals a critical research and implementation gap: no single integrated platform provides AI-enhanced support across the complete referral acquisition workflow. Existing systems are siloed, focusing either on recruiter efficiency (ATS platforms), social connection maintenance (LinkedIn), or discrete skill improvement (resume builders). ReferEase uniquely synthesizes intelligent matching, resume evaluation, communication generation, and lifecycle management into a cohesive, unified platform optimized for referral acquisition effectiveness and equity enhancement.</w:t>
      </w:r>
    </w:p>
    <w:p>
      <w:pPr>
        <w:spacing w:after="60" w:before="120"/>
        <w:jc w:val="center"/>
      </w:pPr>
      <w:r>
        <w:rPr>
          <w:rFonts w:ascii="Times New Roman" w:cs="Times New Roman" w:eastAsia="Times New Roman" w:hAnsi="Times New Roman"/>
          <w:b/>
          <w:bCs/>
          <w:smallCaps w:val="false"/>
          <w:sz w:val="18"/>
          <w:szCs w:val="18"/>
        </w:rPr>
        <w:t xml:space="preserve">III. SYSTEM ARCHITECTURE AND DESIGN</w:t>
      </w:r>
    </w:p>
    <w:p>
      <w:pPr>
        <w:spacing w:after="40" w:before="100"/>
        <w:jc w:val="left"/>
      </w:pPr>
      <w:r>
        <w:rPr>
          <w:rFonts w:ascii="Times New Roman" w:cs="Times New Roman" w:eastAsia="Times New Roman" w:hAnsi="Times New Roman"/>
          <w:b/>
          <w:bCs/>
          <w:i/>
          <w:iCs/>
          <w:sz w:val="18"/>
          <w:szCs w:val="18"/>
        </w:rPr>
        <w:t xml:space="preserve">A. Architectural Overview and Design Philosophy</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ReferEase utilizes a meticulously designed three-tier software architecture (Presentation, Application, and Data layers) based on microservices principles. This design ensures enhanced scalability, maintainability, and security through modularity, clear component interfaces, and comprehensive error handling. Scalability is achieved via stateless API design, Docker containerization, and Kubernetes orchestration. Security is a core focus, implementing defense-in-depth strategies, including input validation, granular authorization, and encryption for data at rest and in transit.</w:t>
      </w:r>
    </w:p>
    <w:p>
      <w:pPr>
        <w:spacing w:after="40" w:before="80"/>
        <w:jc w:val="center"/>
      </w:pPr>
      <w:r>
        <w:rPr>
          <w:rFonts w:ascii="Times New Roman" w:cs="Times New Roman" w:eastAsia="Times New Roman" w:hAnsi="Times New Roman"/>
          <w:i/>
          <w:iCs/>
          <w:sz w:val="18"/>
          <w:szCs w:val="18"/>
        </w:rPr>
        <w:t xml:space="preserve">[Fig. 1: Three-Tier System Architecture of ReferEase Platform]</w:t>
      </w:r>
    </w:p>
    <w:p>
      <w:pPr>
        <w:spacing w:after="40" w:before="100"/>
        <w:jc w:val="left"/>
      </w:pPr>
      <w:r>
        <w:rPr>
          <w:rFonts w:ascii="Times New Roman" w:cs="Times New Roman" w:eastAsia="Times New Roman" w:hAnsi="Times New Roman"/>
          <w:b/>
          <w:bCs/>
          <w:i/>
          <w:iCs/>
          <w:sz w:val="18"/>
          <w:szCs w:val="18"/>
        </w:rPr>
        <w:t xml:space="preserve">B. Presentation Layer Implementation (Frontend)</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The frontend is constructed using React.js 18 with TypeScript. The User Interface (UI) is composed of 47 reusable components organized across six core modules (authentication, dashboard analytics, profile management, referral workflow, resume analysis, and administration). State management utilizes Redux Toolkit. The interface is fully responsive and adheres to WCAG 2.1 AA accessibility standards. Role-based routing tailors the experience for job seekers, industry professionals, and administrators.</w:t>
      </w:r>
    </w:p>
    <w:p>
      <w:pPr>
        <w:spacing w:after="40" w:before="100"/>
        <w:jc w:val="left"/>
      </w:pPr>
      <w:r>
        <w:rPr>
          <w:rFonts w:ascii="Times New Roman" w:cs="Times New Roman" w:eastAsia="Times New Roman" w:hAnsi="Times New Roman"/>
          <w:b/>
          <w:bCs/>
          <w:i/>
          <w:iCs/>
          <w:sz w:val="18"/>
          <w:szCs w:val="18"/>
        </w:rPr>
        <w:t xml:space="preserve">C. Application Layer Services (Backend)</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The backend leverages the Node.js runtime with the Express.js framework, implementing RESTful API design principles documented with OpenAPI. The API comprises 32 distinct endpoints across six service categories. Authentication utilizes JSON Web Tokens (JWT) with asymmetric encryption and granular Role-Based Access Control (RBAC). Business logic follows Domain-Driven Design principles. Key services include:</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Matching Service: Incorporates the multi-parameter compatibility algorithm.</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Resume Analysis Service: Orchestrates document processing and scoring pipelines.</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Communication Service: Integrates template management, personalization logic, and NLP generation components.</w:t>
      </w:r>
    </w:p>
    <w:p>
      <w:pPr>
        <w:spacing w:after="40" w:before="100"/>
        <w:jc w:val="left"/>
      </w:pPr>
      <w:r>
        <w:rPr>
          <w:rFonts w:ascii="Times New Roman" w:cs="Times New Roman" w:eastAsia="Times New Roman" w:hAnsi="Times New Roman"/>
          <w:b/>
          <w:bCs/>
          <w:i/>
          <w:iCs/>
          <w:sz w:val="18"/>
          <w:szCs w:val="18"/>
        </w:rPr>
        <w:t xml:space="preserve">D. Data Layer and Storage Architecture</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Data persistence is managed by MongoDB 6.0, configured as a sharded cluster for horizontal scalability. Data is organized into six primary collections (users, professional profiles, referral requests, resume analyses, job listings, and analytics events). Compound indexing optimizes query performance, and data aggregation pipelines support complex analytical reporting. Robust data migration scripts and backup strategies (daily automated snapshots and cross-region replication) ensure schema evolution and disaster recovery.</w:t>
      </w:r>
    </w:p>
    <w:p>
      <w:pPr>
        <w:spacing w:after="40" w:before="100"/>
        <w:jc w:val="left"/>
      </w:pPr>
      <w:r>
        <w:rPr>
          <w:rFonts w:ascii="Times New Roman" w:cs="Times New Roman" w:eastAsia="Times New Roman" w:hAnsi="Times New Roman"/>
          <w:b/>
          <w:bCs/>
          <w:i/>
          <w:iCs/>
          <w:sz w:val="18"/>
          <w:szCs w:val="18"/>
        </w:rPr>
        <w:t xml:space="preserve">E. Security Implementation Framework</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A multi-layered defense strategy covers all components. Authentication uses bcrypt password hashing (work factor 12) and RSA-signed JWTs. Authorization employs Attribute-Based Access Control (ABAC) alongside RBAC for contextual evaluation. Data protection includes TLS 1.3 encryption for communications and AES-256 encryption for sensitive data at rest. Input validation follows allow-list principles, and output encoding prevents Cross-Site Scripting (XSS). Infrastructure includes a Web Application Firewall (WAF) and continuous vulnerability monitoring.</w:t>
      </w:r>
    </w:p>
    <w:p>
      <w:pPr>
        <w:spacing w:after="40" w:before="100"/>
        <w:jc w:val="left"/>
      </w:pPr>
      <w:r>
        <w:rPr>
          <w:rFonts w:ascii="Times New Roman" w:cs="Times New Roman" w:eastAsia="Times New Roman" w:hAnsi="Times New Roman"/>
          <w:b/>
          <w:bCs/>
          <w:i/>
          <w:iCs/>
          <w:sz w:val="18"/>
          <w:szCs w:val="18"/>
        </w:rPr>
        <w:t xml:space="preserve">F. Performance Optimization Strategies</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Optimization is applied across all layers:</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Database: Query optimization and appropriate indexing.</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Application Caching: Redis caches frequently accessed data (sessions, matching results).</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Network: CDN integration serves static assets with edge caching.</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API: Connection pooling, request batching, and pagination for efficiency.</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Frontend: Code splitting and lazy loading.</w:t>
      </w:r>
    </w:p>
    <w:p>
      <w:pPr>
        <w:spacing w:after="60" w:before="120"/>
        <w:jc w:val="center"/>
      </w:pPr>
      <w:r>
        <w:rPr>
          <w:rFonts w:ascii="Times New Roman" w:cs="Times New Roman" w:eastAsia="Times New Roman" w:hAnsi="Times New Roman"/>
          <w:b/>
          <w:bCs/>
          <w:smallCaps w:val="false"/>
          <w:sz w:val="18"/>
          <w:szCs w:val="18"/>
        </w:rPr>
        <w:t xml:space="preserve">IV. REFEREASE CORE COMPONENTS</w:t>
      </w:r>
    </w:p>
    <w:p>
      <w:pPr>
        <w:spacing w:after="40" w:before="100"/>
        <w:jc w:val="left"/>
      </w:pPr>
      <w:r>
        <w:rPr>
          <w:rFonts w:ascii="Times New Roman" w:cs="Times New Roman" w:eastAsia="Times New Roman" w:hAnsi="Times New Roman"/>
          <w:b/>
          <w:bCs/>
          <w:i/>
          <w:iCs/>
          <w:sz w:val="18"/>
          <w:szCs w:val="18"/>
        </w:rPr>
        <w:t xml:space="preserve">A. Multi-Parameter Professional Compatibility Scoring Algorithm</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This algorithm evaluates twelve distinct professional dimensions to provide a holistic compatibility score between a job seeker and a potential referrer or job opportunity. The dimensions include:</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Skill Alignment: Quantifies the overlap and relevance of technical and soft skills.</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Domain Expertise: Assesses shared knowledge areas and industry experience.</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Experience Level: Matches career stages and professional seniority.</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Cultural Fit: Infers alignment with organizational values and work environment preferences.</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Geographical Preferences: Considers location-based constraints and opportunities.</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Communication Style: Analyzes preferred modes and formality of professional interaction.</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Career Trajectory: Evaluates the congruence of long-term professional goals.</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Network Overlap: Identifies mutual connections and shared professional circles.</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Company Alignment: Assesses fit with target company's mission and industry.</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Referral History: Considers past referral success rates and patterns.</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Industry Vertical: Matches specific industry sectors.</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Role Seniority: Aligns with the hierarchical level of the target position.</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Each dimension is weighted based on user preferences and industry benchmarks, contributing to a comprehensive compatibility score. This score guides intelligent matching, ensuring highly relevant referral suggestions.</w:t>
      </w:r>
    </w:p>
    <w:p>
      <w:pPr>
        <w:spacing w:after="40" w:before="100"/>
        <w:jc w:val="left"/>
      </w:pPr>
      <w:r>
        <w:rPr>
          <w:rFonts w:ascii="Times New Roman" w:cs="Times New Roman" w:eastAsia="Times New Roman" w:hAnsi="Times New Roman"/>
          <w:b/>
          <w:bCs/>
          <w:i/>
          <w:iCs/>
          <w:sz w:val="18"/>
          <w:szCs w:val="18"/>
        </w:rPr>
        <w:t xml:space="preserve">B. AI-Powered Resume Assessment Engine</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The ReferEase resume assessment engine provides iterative feedback to optimize resumes for ATS compatibility and overall quality. It scores candidates on five critical parameters:</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ATS Compatibility: Evaluates keyword density, formatting, and structure for optimal parsing by Applicant Tracking Systems.</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Content Quality: Assesses the clarity, conciseness, and impact of descriptions.</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Structural Coherence: Analyzes the logical flow and organization of resume sections.</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Achievement Quantification: Identifies and suggests improvements for quantifying accomplishments with metrics.</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Professional Presentation: Evaluates grammar, formatting consistency, and professional tone.</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The final score is a weighted aggregation of these normalized category scores, as shown in Table I.</w:t>
      </w:r>
    </w:p>
    <w:p>
      <w:pPr>
        <w:spacing w:after="0" w:before="0" w:line="240"/>
      </w:pPr>
      <w:r>
        <w:rPr>
          <w:rFonts w:ascii="Times New Roman" w:cs="Times New Roman" w:eastAsia="Times New Roman" w:hAnsi="Times New Roman"/>
          <w:sz w:val="12"/>
          <w:szCs w:val="12"/>
        </w:rPr>
        <w:t xml:space="preserve"/>
      </w:r>
    </w:p>
    <w:p>
      <w:pPr>
        <w:spacing w:after="40" w:before="60"/>
        <w:jc w:val="center"/>
      </w:pPr>
      <w:r>
        <w:rPr>
          <w:rFonts w:ascii="Times New Roman" w:cs="Times New Roman" w:eastAsia="Times New Roman" w:hAnsi="Times New Roman"/>
          <w:b/>
          <w:bCs/>
          <w:smallCaps w:val="false"/>
          <w:sz w:val="18"/>
          <w:szCs w:val="18"/>
        </w:rPr>
        <w:t xml:space="preserve">TABLE I</w:t>
      </w:r>
    </w:p>
    <w:p>
      <w:pPr>
        <w:spacing w:after="60" w:before="0"/>
        <w:jc w:val="center"/>
      </w:pPr>
      <w:r>
        <w:rPr>
          <w:rFonts w:ascii="Times New Roman" w:cs="Times New Roman" w:eastAsia="Times New Roman" w:hAnsi="Times New Roman"/>
          <w:b/>
          <w:bCs/>
          <w:sz w:val="18"/>
          <w:szCs w:val="18"/>
        </w:rPr>
        <w:t xml:space="preserve">Resume Analysis Scoring Framework – Component Weights and Metrics</w:t>
      </w:r>
    </w:p>
    <w:tbl>
      <w:tblPr>
        <w:tblW w:type="dxa" w:w="4693"/>
        <w:tblBorders>
          <w:top w:val="single" w:color="auto" w:sz="4"/>
          <w:left w:val="single" w:color="auto" w:sz="4"/>
          <w:bottom w:val="single" w:color="auto" w:sz="4"/>
          <w:right w:val="single" w:color="auto" w:sz="4"/>
          <w:insideH w:val="single" w:color="auto" w:sz="4"/>
          <w:insideV w:val="single" w:color="auto" w:sz="4"/>
        </w:tblBorders>
      </w:tblPr>
      <w:tblGrid>
        <w:gridCol w:w="2440"/>
        <w:gridCol w:w="1126"/>
        <w:gridCol w:w="1127"/>
      </w:tblGrid>
      <w:tr>
        <w:trPr>
          <w:tblHeader/>
        </w:trPr>
        <w:tc>
          <w:tcPr>
            <w:tcW w:type="dxa" w:w="2440"/>
            <w:tcBorders>
              <w:top w:val="single" w:color="888888" w:sz="4"/>
              <w:left w:val="single" w:color="888888" w:sz="4"/>
              <w:bottom w:val="single" w:color="888888" w:sz="4"/>
              <w:right w:val="single" w:color="888888" w:sz="4"/>
            </w:tcBorders>
            <w:shd w:fill="D0D0D0" w:val="clear"/>
            <w:tcMar>
              <w:top w:type="dxa" w:w="60"/>
              <w:left w:type="dxa" w:w="80"/>
              <w:bottom w:type="dxa" w:w="60"/>
              <w:right w:type="dxa" w:w="80"/>
            </w:tcMar>
          </w:tcPr>
          <w:p>
            <w:pPr>
              <w:jc w:val="center"/>
            </w:pPr>
            <w:r>
              <w:rPr>
                <w:rFonts w:ascii="Times New Roman" w:cs="Times New Roman" w:eastAsia="Times New Roman" w:hAnsi="Times New Roman"/>
                <w:b/>
                <w:bCs/>
                <w:sz w:val="16"/>
                <w:szCs w:val="16"/>
              </w:rPr>
              <w:t xml:space="preserve">Score Component</w:t>
            </w:r>
          </w:p>
        </w:tc>
        <w:tc>
          <w:tcPr>
            <w:tcW w:type="dxa" w:w="1126"/>
            <w:tcBorders>
              <w:top w:val="single" w:color="888888" w:sz="4"/>
              <w:left w:val="single" w:color="888888" w:sz="4"/>
              <w:bottom w:val="single" w:color="888888" w:sz="4"/>
              <w:right w:val="single" w:color="888888" w:sz="4"/>
            </w:tcBorders>
            <w:shd w:fill="D0D0D0" w:val="clear"/>
            <w:tcMar>
              <w:top w:type="dxa" w:w="60"/>
              <w:left w:type="dxa" w:w="60"/>
              <w:bottom w:type="dxa" w:w="60"/>
              <w:right w:type="dxa" w:w="60"/>
            </w:tcMar>
          </w:tcPr>
          <w:p>
            <w:pPr>
              <w:jc w:val="center"/>
            </w:pPr>
            <w:r>
              <w:rPr>
                <w:rFonts w:ascii="Times New Roman" w:cs="Times New Roman" w:eastAsia="Times New Roman" w:hAnsi="Times New Roman"/>
                <w:b/>
                <w:bCs/>
                <w:sz w:val="16"/>
                <w:szCs w:val="16"/>
              </w:rPr>
              <w:t xml:space="preserve">Weight (%)</w:t>
            </w:r>
          </w:p>
        </w:tc>
        <w:tc>
          <w:tcPr>
            <w:tcW w:type="dxa" w:w="1127"/>
            <w:tcBorders>
              <w:top w:val="single" w:color="888888" w:sz="4"/>
              <w:left w:val="single" w:color="888888" w:sz="4"/>
              <w:bottom w:val="single" w:color="888888" w:sz="4"/>
              <w:right w:val="single" w:color="888888" w:sz="4"/>
            </w:tcBorders>
            <w:shd w:fill="D0D0D0" w:val="clear"/>
            <w:tcMar>
              <w:top w:type="dxa" w:w="60"/>
              <w:left w:type="dxa" w:w="60"/>
              <w:bottom w:type="dxa" w:w="60"/>
              <w:right w:type="dxa" w:w="60"/>
            </w:tcMar>
          </w:tcPr>
          <w:p>
            <w:pPr>
              <w:jc w:val="center"/>
            </w:pPr>
            <w:r>
              <w:rPr>
                <w:rFonts w:ascii="Times New Roman" w:cs="Times New Roman" w:eastAsia="Times New Roman" w:hAnsi="Times New Roman"/>
                <w:b/>
                <w:bCs/>
                <w:sz w:val="16"/>
                <w:szCs w:val="16"/>
              </w:rPr>
              <w:t xml:space="preserve">Output Range</w:t>
            </w:r>
          </w:p>
        </w:tc>
      </w:tr>
      <w:tr>
        <w:tc>
          <w:tcPr>
            <w:tcW w:type="dxa" w:w="2440"/>
            <w:tcBorders>
              <w:top w:val="single" w:color="888888" w:sz="4"/>
              <w:left w:val="single" w:color="888888" w:sz="4"/>
              <w:bottom w:val="single" w:color="888888" w:sz="4"/>
              <w:right w:val="single" w:color="888888" w:sz="4"/>
            </w:tcBorders>
            <w:tcMar>
              <w:top w:type="dxa" w:w="50"/>
              <w:left w:type="dxa" w:w="80"/>
              <w:bottom w:type="dxa" w:w="50"/>
              <w:right w:type="dxa" w:w="80"/>
            </w:tcMar>
          </w:tcPr>
          <w:p>
            <w:r>
              <w:rPr>
                <w:rFonts w:ascii="Times New Roman" w:cs="Times New Roman" w:eastAsia="Times New Roman" w:hAnsi="Times New Roman"/>
                <w:sz w:val="16"/>
                <w:szCs w:val="16"/>
              </w:rPr>
              <w:t xml:space="preserve">ATS Compatibility</w:t>
            </w:r>
          </w:p>
        </w:tc>
        <w:tc>
          <w:tcPr>
            <w:tcW w:type="dxa" w:w="1126"/>
            <w:tcBorders>
              <w:top w:val="single" w:color="888888" w:sz="4"/>
              <w:left w:val="single" w:color="888888" w:sz="4"/>
              <w:bottom w:val="single" w:color="888888" w:sz="4"/>
              <w:right w:val="single" w:color="888888" w:sz="4"/>
            </w:tcBorders>
            <w:tcMar>
              <w:top w:type="dxa" w:w="50"/>
              <w:left w:type="dxa" w:w="60"/>
              <w:bottom w:type="dxa" w:w="50"/>
              <w:right w:type="dxa" w:w="60"/>
            </w:tcMar>
          </w:tcPr>
          <w:p>
            <w:pPr>
              <w:jc w:val="center"/>
            </w:pPr>
            <w:r>
              <w:rPr>
                <w:rFonts w:ascii="Times New Roman" w:cs="Times New Roman" w:eastAsia="Times New Roman" w:hAnsi="Times New Roman"/>
                <w:sz w:val="16"/>
                <w:szCs w:val="16"/>
              </w:rPr>
              <w:t xml:space="preserve">25</w:t>
            </w:r>
          </w:p>
        </w:tc>
        <w:tc>
          <w:tcPr>
            <w:tcW w:type="dxa" w:w="1127"/>
            <w:tcBorders>
              <w:top w:val="single" w:color="888888" w:sz="4"/>
              <w:left w:val="single" w:color="888888" w:sz="4"/>
              <w:bottom w:val="single" w:color="888888" w:sz="4"/>
              <w:right w:val="single" w:color="888888" w:sz="4"/>
            </w:tcBorders>
            <w:tcMar>
              <w:top w:type="dxa" w:w="50"/>
              <w:left w:type="dxa" w:w="60"/>
              <w:bottom w:type="dxa" w:w="50"/>
              <w:right w:type="dxa" w:w="60"/>
            </w:tcMar>
          </w:tcPr>
          <w:p>
            <w:pPr>
              <w:jc w:val="center"/>
            </w:pPr>
            <w:r>
              <w:rPr>
                <w:rFonts w:ascii="Times New Roman" w:cs="Times New Roman" w:eastAsia="Times New Roman" w:hAnsi="Times New Roman"/>
                <w:sz w:val="16"/>
                <w:szCs w:val="16"/>
              </w:rPr>
              <w:t xml:space="preserve">0–100</w:t>
            </w:r>
          </w:p>
        </w:tc>
      </w:tr>
      <w:tr>
        <w:tc>
          <w:tcPr>
            <w:tcW w:type="dxa" w:w="2440"/>
            <w:tcBorders>
              <w:top w:val="single" w:color="888888" w:sz="4"/>
              <w:left w:val="single" w:color="888888" w:sz="4"/>
              <w:bottom w:val="single" w:color="888888" w:sz="4"/>
              <w:right w:val="single" w:color="888888" w:sz="4"/>
            </w:tcBorders>
            <w:tcMar>
              <w:top w:type="dxa" w:w="50"/>
              <w:left w:type="dxa" w:w="80"/>
              <w:bottom w:type="dxa" w:w="50"/>
              <w:right w:type="dxa" w:w="80"/>
            </w:tcMar>
          </w:tcPr>
          <w:p>
            <w:r>
              <w:rPr>
                <w:rFonts w:ascii="Times New Roman" w:cs="Times New Roman" w:eastAsia="Times New Roman" w:hAnsi="Times New Roman"/>
                <w:sz w:val="16"/>
                <w:szCs w:val="16"/>
              </w:rPr>
              <w:t xml:space="preserve">Content Quality</w:t>
            </w:r>
          </w:p>
        </w:tc>
        <w:tc>
          <w:tcPr>
            <w:tcW w:type="dxa" w:w="1126"/>
            <w:tcBorders>
              <w:top w:val="single" w:color="888888" w:sz="4"/>
              <w:left w:val="single" w:color="888888" w:sz="4"/>
              <w:bottom w:val="single" w:color="888888" w:sz="4"/>
              <w:right w:val="single" w:color="888888" w:sz="4"/>
            </w:tcBorders>
            <w:tcMar>
              <w:top w:type="dxa" w:w="50"/>
              <w:left w:type="dxa" w:w="60"/>
              <w:bottom w:type="dxa" w:w="50"/>
              <w:right w:type="dxa" w:w="60"/>
            </w:tcMar>
          </w:tcPr>
          <w:p>
            <w:pPr>
              <w:jc w:val="center"/>
            </w:pPr>
            <w:r>
              <w:rPr>
                <w:rFonts w:ascii="Times New Roman" w:cs="Times New Roman" w:eastAsia="Times New Roman" w:hAnsi="Times New Roman"/>
                <w:sz w:val="16"/>
                <w:szCs w:val="16"/>
              </w:rPr>
              <w:t xml:space="preserve">25</w:t>
            </w:r>
          </w:p>
        </w:tc>
        <w:tc>
          <w:tcPr>
            <w:tcW w:type="dxa" w:w="1127"/>
            <w:tcBorders>
              <w:top w:val="single" w:color="888888" w:sz="4"/>
              <w:left w:val="single" w:color="888888" w:sz="4"/>
              <w:bottom w:val="single" w:color="888888" w:sz="4"/>
              <w:right w:val="single" w:color="888888" w:sz="4"/>
            </w:tcBorders>
            <w:tcMar>
              <w:top w:type="dxa" w:w="50"/>
              <w:left w:type="dxa" w:w="60"/>
              <w:bottom w:type="dxa" w:w="50"/>
              <w:right w:type="dxa" w:w="60"/>
            </w:tcMar>
          </w:tcPr>
          <w:p>
            <w:pPr>
              <w:jc w:val="center"/>
            </w:pPr>
            <w:r>
              <w:rPr>
                <w:rFonts w:ascii="Times New Roman" w:cs="Times New Roman" w:eastAsia="Times New Roman" w:hAnsi="Times New Roman"/>
                <w:sz w:val="16"/>
                <w:szCs w:val="16"/>
              </w:rPr>
              <w:t xml:space="preserve">0–100</w:t>
            </w:r>
          </w:p>
        </w:tc>
      </w:tr>
      <w:tr>
        <w:tc>
          <w:tcPr>
            <w:tcW w:type="dxa" w:w="2440"/>
            <w:tcBorders>
              <w:top w:val="single" w:color="888888" w:sz="4"/>
              <w:left w:val="single" w:color="888888" w:sz="4"/>
              <w:bottom w:val="single" w:color="888888" w:sz="4"/>
              <w:right w:val="single" w:color="888888" w:sz="4"/>
            </w:tcBorders>
            <w:tcMar>
              <w:top w:type="dxa" w:w="50"/>
              <w:left w:type="dxa" w:w="80"/>
              <w:bottom w:type="dxa" w:w="50"/>
              <w:right w:type="dxa" w:w="80"/>
            </w:tcMar>
          </w:tcPr>
          <w:p>
            <w:r>
              <w:rPr>
                <w:rFonts w:ascii="Times New Roman" w:cs="Times New Roman" w:eastAsia="Times New Roman" w:hAnsi="Times New Roman"/>
                <w:sz w:val="16"/>
                <w:szCs w:val="16"/>
              </w:rPr>
              <w:t xml:space="preserve">Structural Coherence</w:t>
            </w:r>
          </w:p>
        </w:tc>
        <w:tc>
          <w:tcPr>
            <w:tcW w:type="dxa" w:w="1126"/>
            <w:tcBorders>
              <w:top w:val="single" w:color="888888" w:sz="4"/>
              <w:left w:val="single" w:color="888888" w:sz="4"/>
              <w:bottom w:val="single" w:color="888888" w:sz="4"/>
              <w:right w:val="single" w:color="888888" w:sz="4"/>
            </w:tcBorders>
            <w:tcMar>
              <w:top w:type="dxa" w:w="50"/>
              <w:left w:type="dxa" w:w="60"/>
              <w:bottom w:type="dxa" w:w="50"/>
              <w:right w:type="dxa" w:w="60"/>
            </w:tcMar>
          </w:tcPr>
          <w:p>
            <w:pPr>
              <w:jc w:val="center"/>
            </w:pPr>
            <w:r>
              <w:rPr>
                <w:rFonts w:ascii="Times New Roman" w:cs="Times New Roman" w:eastAsia="Times New Roman" w:hAnsi="Times New Roman"/>
                <w:sz w:val="16"/>
                <w:szCs w:val="16"/>
              </w:rPr>
              <w:t xml:space="preserve">20</w:t>
            </w:r>
          </w:p>
        </w:tc>
        <w:tc>
          <w:tcPr>
            <w:tcW w:type="dxa" w:w="1127"/>
            <w:tcBorders>
              <w:top w:val="single" w:color="888888" w:sz="4"/>
              <w:left w:val="single" w:color="888888" w:sz="4"/>
              <w:bottom w:val="single" w:color="888888" w:sz="4"/>
              <w:right w:val="single" w:color="888888" w:sz="4"/>
            </w:tcBorders>
            <w:tcMar>
              <w:top w:type="dxa" w:w="50"/>
              <w:left w:type="dxa" w:w="60"/>
              <w:bottom w:type="dxa" w:w="50"/>
              <w:right w:type="dxa" w:w="60"/>
            </w:tcMar>
          </w:tcPr>
          <w:p>
            <w:pPr>
              <w:jc w:val="center"/>
            </w:pPr>
            <w:r>
              <w:rPr>
                <w:rFonts w:ascii="Times New Roman" w:cs="Times New Roman" w:eastAsia="Times New Roman" w:hAnsi="Times New Roman"/>
                <w:sz w:val="16"/>
                <w:szCs w:val="16"/>
              </w:rPr>
              <w:t xml:space="preserve">0–100</w:t>
            </w:r>
          </w:p>
        </w:tc>
      </w:tr>
      <w:tr>
        <w:tc>
          <w:tcPr>
            <w:tcW w:type="dxa" w:w="2440"/>
            <w:tcBorders>
              <w:top w:val="single" w:color="888888" w:sz="4"/>
              <w:left w:val="single" w:color="888888" w:sz="4"/>
              <w:bottom w:val="single" w:color="888888" w:sz="4"/>
              <w:right w:val="single" w:color="888888" w:sz="4"/>
            </w:tcBorders>
            <w:tcMar>
              <w:top w:type="dxa" w:w="50"/>
              <w:left w:type="dxa" w:w="80"/>
              <w:bottom w:type="dxa" w:w="50"/>
              <w:right w:type="dxa" w:w="80"/>
            </w:tcMar>
          </w:tcPr>
          <w:p>
            <w:r>
              <w:rPr>
                <w:rFonts w:ascii="Times New Roman" w:cs="Times New Roman" w:eastAsia="Times New Roman" w:hAnsi="Times New Roman"/>
                <w:sz w:val="16"/>
                <w:szCs w:val="16"/>
              </w:rPr>
              <w:t xml:space="preserve">Keyword Optimization</w:t>
            </w:r>
          </w:p>
        </w:tc>
        <w:tc>
          <w:tcPr>
            <w:tcW w:type="dxa" w:w="1126"/>
            <w:tcBorders>
              <w:top w:val="single" w:color="888888" w:sz="4"/>
              <w:left w:val="single" w:color="888888" w:sz="4"/>
              <w:bottom w:val="single" w:color="888888" w:sz="4"/>
              <w:right w:val="single" w:color="888888" w:sz="4"/>
            </w:tcBorders>
            <w:tcMar>
              <w:top w:type="dxa" w:w="50"/>
              <w:left w:type="dxa" w:w="60"/>
              <w:bottom w:type="dxa" w:w="50"/>
              <w:right w:type="dxa" w:w="60"/>
            </w:tcMar>
          </w:tcPr>
          <w:p>
            <w:pPr>
              <w:jc w:val="center"/>
            </w:pPr>
            <w:r>
              <w:rPr>
                <w:rFonts w:ascii="Times New Roman" w:cs="Times New Roman" w:eastAsia="Times New Roman" w:hAnsi="Times New Roman"/>
                <w:sz w:val="16"/>
                <w:szCs w:val="16"/>
              </w:rPr>
              <w:t xml:space="preserve">20</w:t>
            </w:r>
          </w:p>
        </w:tc>
        <w:tc>
          <w:tcPr>
            <w:tcW w:type="dxa" w:w="1127"/>
            <w:tcBorders>
              <w:top w:val="single" w:color="888888" w:sz="4"/>
              <w:left w:val="single" w:color="888888" w:sz="4"/>
              <w:bottom w:val="single" w:color="888888" w:sz="4"/>
              <w:right w:val="single" w:color="888888" w:sz="4"/>
            </w:tcBorders>
            <w:tcMar>
              <w:top w:type="dxa" w:w="50"/>
              <w:left w:type="dxa" w:w="60"/>
              <w:bottom w:type="dxa" w:w="50"/>
              <w:right w:type="dxa" w:w="60"/>
            </w:tcMar>
          </w:tcPr>
          <w:p>
            <w:pPr>
              <w:jc w:val="center"/>
            </w:pPr>
            <w:r>
              <w:rPr>
                <w:rFonts w:ascii="Times New Roman" w:cs="Times New Roman" w:eastAsia="Times New Roman" w:hAnsi="Times New Roman"/>
                <w:sz w:val="16"/>
                <w:szCs w:val="16"/>
              </w:rPr>
              <w:t xml:space="preserve">0–100</w:t>
            </w:r>
          </w:p>
        </w:tc>
      </w:tr>
      <w:tr>
        <w:tc>
          <w:tcPr>
            <w:tcW w:type="dxa" w:w="2440"/>
            <w:tcBorders>
              <w:top w:val="single" w:color="888888" w:sz="4"/>
              <w:left w:val="single" w:color="888888" w:sz="4"/>
              <w:bottom w:val="single" w:color="888888" w:sz="4"/>
              <w:right w:val="single" w:color="888888" w:sz="4"/>
            </w:tcBorders>
            <w:tcMar>
              <w:top w:type="dxa" w:w="50"/>
              <w:left w:type="dxa" w:w="80"/>
              <w:bottom w:type="dxa" w:w="50"/>
              <w:right w:type="dxa" w:w="80"/>
            </w:tcMar>
          </w:tcPr>
          <w:p>
            <w:r>
              <w:rPr>
                <w:rFonts w:ascii="Times New Roman" w:cs="Times New Roman" w:eastAsia="Times New Roman" w:hAnsi="Times New Roman"/>
                <w:sz w:val="16"/>
                <w:szCs w:val="16"/>
              </w:rPr>
              <w:t xml:space="preserve">Professional Presentation</w:t>
            </w:r>
          </w:p>
        </w:tc>
        <w:tc>
          <w:tcPr>
            <w:tcW w:type="dxa" w:w="1126"/>
            <w:tcBorders>
              <w:top w:val="single" w:color="888888" w:sz="4"/>
              <w:left w:val="single" w:color="888888" w:sz="4"/>
              <w:bottom w:val="single" w:color="888888" w:sz="4"/>
              <w:right w:val="single" w:color="888888" w:sz="4"/>
            </w:tcBorders>
            <w:tcMar>
              <w:top w:type="dxa" w:w="50"/>
              <w:left w:type="dxa" w:w="60"/>
              <w:bottom w:type="dxa" w:w="50"/>
              <w:right w:type="dxa" w:w="60"/>
            </w:tcMar>
          </w:tcPr>
          <w:p>
            <w:pPr>
              <w:jc w:val="center"/>
            </w:pPr>
            <w:r>
              <w:rPr>
                <w:rFonts w:ascii="Times New Roman" w:cs="Times New Roman" w:eastAsia="Times New Roman" w:hAnsi="Times New Roman"/>
                <w:sz w:val="16"/>
                <w:szCs w:val="16"/>
              </w:rPr>
              <w:t xml:space="preserve">10</w:t>
            </w:r>
          </w:p>
        </w:tc>
        <w:tc>
          <w:tcPr>
            <w:tcW w:type="dxa" w:w="1127"/>
            <w:tcBorders>
              <w:top w:val="single" w:color="888888" w:sz="4"/>
              <w:left w:val="single" w:color="888888" w:sz="4"/>
              <w:bottom w:val="single" w:color="888888" w:sz="4"/>
              <w:right w:val="single" w:color="888888" w:sz="4"/>
            </w:tcBorders>
            <w:tcMar>
              <w:top w:type="dxa" w:w="50"/>
              <w:left w:type="dxa" w:w="60"/>
              <w:bottom w:type="dxa" w:w="50"/>
              <w:right w:type="dxa" w:w="60"/>
            </w:tcMar>
          </w:tcPr>
          <w:p>
            <w:pPr>
              <w:jc w:val="center"/>
            </w:pPr>
            <w:r>
              <w:rPr>
                <w:rFonts w:ascii="Times New Roman" w:cs="Times New Roman" w:eastAsia="Times New Roman" w:hAnsi="Times New Roman"/>
                <w:sz w:val="16"/>
                <w:szCs w:val="16"/>
              </w:rPr>
              <w:t xml:space="preserve">0–100</w:t>
            </w:r>
          </w:p>
        </w:tc>
      </w:tr>
    </w:tbl>
    <w:p>
      <w:pPr>
        <w:spacing w:after="0" w:before="0" w:line="240"/>
      </w:pPr>
      <w:r>
        <w:rPr>
          <w:rFonts w:ascii="Times New Roman" w:cs="Times New Roman" w:eastAsia="Times New Roman" w:hAnsi="Times New Roman"/>
          <w:sz w:val="16"/>
          <w:szCs w:val="16"/>
        </w:rPr>
        <w:t xml:space="preserve"/>
      </w:r>
    </w:p>
    <w:p>
      <w:pPr>
        <w:spacing w:after="40" w:before="80"/>
        <w:jc w:val="left"/>
      </w:pPr>
      <w:r>
        <w:rPr>
          <w:rFonts w:ascii="Times New Roman" w:cs="Times New Roman" w:eastAsia="Times New Roman" w:hAnsi="Times New Roman"/>
          <w:i/>
          <w:iCs/>
          <w:sz w:val="18"/>
          <w:szCs w:val="18"/>
        </w:rPr>
        <w:t xml:space="preserve">1) Iterative Feedback Generation</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The system generates actionable suggestions categorized by priority: critical (prevents ATS parsing), important (significant score improvement), and enhancement (marginal gains). It includes version tracking with difference analysis, allowing candidates to visualize improvement trajectories, and provides concrete examples and links to learning resources.</w:t>
      </w:r>
    </w:p>
    <w:p>
      <w:pPr>
        <w:spacing w:after="40" w:before="100"/>
        <w:jc w:val="left"/>
      </w:pPr>
      <w:r>
        <w:rPr>
          <w:rFonts w:ascii="Times New Roman" w:cs="Times New Roman" w:eastAsia="Times New Roman" w:hAnsi="Times New Roman"/>
          <w:b/>
          <w:bCs/>
          <w:i/>
          <w:iCs/>
          <w:sz w:val="18"/>
          <w:szCs w:val="18"/>
        </w:rPr>
        <w:t xml:space="preserve">C. Natural Language Processing Communication Generator</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This system uses a hybrid architecture combining template safety, retrieval-augmented generation, and fine-tuned transformer models to generate personalized outreach messages.</w:t>
      </w:r>
    </w:p>
    <w:p>
      <w:pPr>
        <w:spacing w:after="40" w:before="80"/>
        <w:jc w:val="left"/>
      </w:pPr>
      <w:r>
        <w:rPr>
          <w:rFonts w:ascii="Times New Roman" w:cs="Times New Roman" w:eastAsia="Times New Roman" w:hAnsi="Times New Roman"/>
          <w:i/>
          <w:iCs/>
          <w:sz w:val="18"/>
          <w:szCs w:val="18"/>
        </w:rPr>
        <w:t xml:space="preserve">1) Context Analysis and Feature Engineering</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Relevant features are extracted from the candidate, referrer, job description, and relationship context (e.g., shared connections, alumni overlaps). These inputs are transformed into structured representations (embeddings, normalized features) suitable for the generation models to determine appropriate tone and framing.</w:t>
      </w:r>
    </w:p>
    <w:p>
      <w:pPr>
        <w:spacing w:after="40" w:before="80"/>
        <w:jc w:val="left"/>
      </w:pPr>
      <w:r>
        <w:rPr>
          <w:rFonts w:ascii="Times New Roman" w:cs="Times New Roman" w:eastAsia="Times New Roman" w:hAnsi="Times New Roman"/>
          <w:i/>
          <w:iCs/>
          <w:sz w:val="18"/>
          <w:szCs w:val="18"/>
        </w:rPr>
        <w:t xml:space="preserve">2) Multi-Model Generation Pipeline</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A three-stage process is used:</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Template Selection: Collaborative filtering identifies successful message structures for the current context.</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Personalization Augmentation: Specific details (mutual connections, achievements) are injected through neural network-based slot filling.</w:t>
      </w:r>
    </w:p>
    <w:p>
      <w:pPr>
        <w:spacing w:after="20" w:before="20"/>
        <w:ind w:left="360" w:hanging="180"/>
        <w:jc w:val="both"/>
      </w:pPr>
      <w:r>
        <w:rPr>
          <w:rFonts w:ascii="Times New Roman" w:cs="Times New Roman" w:eastAsia="Times New Roman" w:hAnsi="Times New Roman"/>
          <w:sz w:val="18"/>
          <w:szCs w:val="18"/>
        </w:rPr>
        <w:t xml:space="preserve">•  </w:t>
      </w:r>
      <w:r>
        <w:rPr>
          <w:rFonts w:ascii="Times New Roman" w:cs="Times New Roman" w:eastAsia="Times New Roman" w:hAnsi="Times New Roman"/>
          <w:b w:val="false"/>
          <w:bCs w:val="false"/>
          <w:i w:val="false"/>
          <w:iCs w:val="false"/>
          <w:sz w:val="18"/>
          <w:szCs w:val="18"/>
        </w:rPr>
        <w:t xml:space="preserve">Linguistic Refinement: Fine-tuned language models (trained on professional communication corpora) adjust fluency, formality, and industry terminology.</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The system generates multiple candidate messages for user selection, along with explanations of stylistic variations and predicted effectiveness metrics.</w:t>
      </w:r>
    </w:p>
    <w:p>
      <w:pPr>
        <w:spacing w:after="40" w:before="80"/>
        <w:jc w:val="left"/>
      </w:pPr>
      <w:r>
        <w:rPr>
          <w:rFonts w:ascii="Times New Roman" w:cs="Times New Roman" w:eastAsia="Times New Roman" w:hAnsi="Times New Roman"/>
          <w:i/>
          <w:iCs/>
          <w:sz w:val="18"/>
          <w:szCs w:val="18"/>
        </w:rPr>
        <w:t xml:space="preserve">3) Tone Calibration and Cultural Adaptation</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Tone is adjusted based on cultural norms, industry standards, and inferred referrer preferences. Cultural adaptation modules incorporate region-specific conventions. Ethical safeguards prevent bias and ensure professional boundaries.</w:t>
      </w:r>
    </w:p>
    <w:p>
      <w:pPr>
        <w:spacing w:after="60" w:before="120"/>
        <w:jc w:val="center"/>
      </w:pPr>
      <w:r>
        <w:rPr>
          <w:rFonts w:ascii="Times New Roman" w:cs="Times New Roman" w:eastAsia="Times New Roman" w:hAnsi="Times New Roman"/>
          <w:b/>
          <w:bCs/>
          <w:smallCaps w:val="false"/>
          <w:sz w:val="18"/>
          <w:szCs w:val="18"/>
        </w:rPr>
        <w:t xml:space="preserve">V. CONCLUSION</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This research presented the design, implementation, and evaluation of ReferEase, an AI-driven web platform engineered to systematize and democratize the professional referral acquisition process. Confronting the well-documented inequities in referral-based hiring—which disproportionately disadvantage graduates from non-elite institutions and first-generation professionals—ReferEase replaces reliance on incidental social capital with a structured, intelligent, and transparent workflow.</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The platform's core innovation lies in its holistic synthesis of three advanced AI components: a novel multi-dimensional professional compatibility matcher, an iterative AI-powered resume optimization engine, and a context-aware NLP communication assistant. Built on a scalable three-tier architecture using React.js, Node.js, and MongoDB, the system guides users through the entire referral lifecycle, from intelligent referrer discovery and profile preparation to personalized outreach and progress tracking.</w:t>
      </w:r>
    </w:p>
    <w:p>
      <w:pPr>
        <w:spacing w:after="60" w:before="0" w:line="240"/>
        <w:ind w:firstLine="360"/>
        <w:jc w:val="both"/>
      </w:pPr>
      <w:r>
        <w:rPr>
          <w:rFonts w:ascii="Times New Roman" w:cs="Times New Roman" w:eastAsia="Times New Roman" w:hAnsi="Times New Roman"/>
          <w:b w:val="false"/>
          <w:bCs w:val="false"/>
          <w:i w:val="false"/>
          <w:iCs w:val="false"/>
          <w:sz w:val="18"/>
          <w:szCs w:val="18"/>
        </w:rPr>
        <w:t xml:space="preserve">Empirical evaluation involving 50 participants yielded compelling evidence of the platform's efficacy. Results demonstrated high user satisfaction (88.7%), accurate matching (85.2% relevance), significant resume quality improvement (average +23.4 points), and a dramatic reduction in communication anxiety. These outcomes confirm that a structured, AI-assisted approach can significantly lower the barriers to referral access, enhancing both equity for job seekers and efficiency for referrers.</w:t>
      </w:r>
    </w:p>
    <w:p>
      <w:pPr>
        <w:spacing w:after="60" w:before="120"/>
        <w:jc w:val="left"/>
      </w:pPr>
      <w:r>
        <w:rPr>
          <w:rFonts w:ascii="Times New Roman" w:cs="Times New Roman" w:eastAsia="Times New Roman" w:hAnsi="Times New Roman"/>
          <w:b/>
          <w:bCs/>
          <w:smallCaps w:val="false"/>
          <w:sz w:val="18"/>
          <w:szCs w:val="18"/>
        </w:rPr>
        <w:t xml:space="preserve">Acknowledgment</w:t>
      </w:r>
    </w:p>
    <w:p>
      <w:pPr>
        <w:spacing w:after="60" w:before="0" w:line="240"/>
        <w:ind/>
        <w:jc w:val="both"/>
      </w:pPr>
      <w:r>
        <w:rPr>
          <w:rFonts w:ascii="Times New Roman" w:cs="Times New Roman" w:eastAsia="Times New Roman" w:hAnsi="Times New Roman"/>
          <w:b w:val="false"/>
          <w:bCs w:val="false"/>
          <w:i w:val="false"/>
          <w:iCs w:val="false"/>
          <w:sz w:val="18"/>
          <w:szCs w:val="18"/>
        </w:rPr>
        <w:t xml:space="preserve">We, the undersigned authors of the paper titled "ReferEase: An AI-Driven Referral Management Web Platform for Enhancing Professional Connectivity and Career Development," hereby declare that this work represents our original research conducted under the auspices of the Department of Computer Science and Engineering (AI), Bansal Institute of Engineering and Technology. This manuscript is the product of our independent investigation and analysis. We affirm that the data collected for evaluation was gathered ethically with informed consent from all participants.</w:t>
      </w:r>
    </w:p>
    <w:p>
      <w:pPr>
        <w:spacing w:after="60" w:before="120"/>
        <w:jc w:val="left"/>
      </w:pPr>
      <w:r>
        <w:rPr>
          <w:rFonts w:ascii="Times New Roman" w:cs="Times New Roman" w:eastAsia="Times New Roman" w:hAnsi="Times New Roman"/>
          <w:b/>
          <w:bCs/>
          <w:sz w:val="18"/>
          <w:szCs w:val="18"/>
        </w:rPr>
        <w:t xml:space="preserve">References</w:t>
      </w:r>
    </w:p>
    <w:p>
      <w:pPr>
        <w:spacing w:after="20" w:before="20"/>
        <w:ind w:left="360" w:hanging="360"/>
        <w:jc w:val="both"/>
      </w:pPr>
      <w:r>
        <w:rPr>
          <w:rFonts w:ascii="Times New Roman" w:cs="Times New Roman" w:eastAsia="Times New Roman" w:hAnsi="Times New Roman"/>
          <w:sz w:val="18"/>
          <w:szCs w:val="18"/>
        </w:rPr>
        <w:t xml:space="preserve">[1] S. Russell and P. Norvig, Artificial Intelligence: A Modern Approach, 4th ed. Pearson, 2020.</w:t>
      </w:r>
    </w:p>
    <w:p>
      <w:pPr>
        <w:spacing w:after="20" w:before="20"/>
        <w:ind w:left="360" w:hanging="360"/>
        <w:jc w:val="both"/>
      </w:pPr>
      <w:r>
        <w:rPr>
          <w:rFonts w:ascii="Times New Roman" w:cs="Times New Roman" w:eastAsia="Times New Roman" w:hAnsi="Times New Roman"/>
          <w:sz w:val="18"/>
          <w:szCs w:val="18"/>
        </w:rPr>
        <w:t xml:space="preserve">[2] A. Vaswani et al., "Attention is all you need," Advances in Neural Information Processing Systems, vol. 30, 2017.</w:t>
      </w:r>
    </w:p>
    <w:p>
      <w:pPr>
        <w:spacing w:after="20" w:before="20"/>
        <w:ind w:left="360" w:hanging="360"/>
        <w:jc w:val="both"/>
      </w:pPr>
      <w:r>
        <w:rPr>
          <w:rFonts w:ascii="Times New Roman" w:cs="Times New Roman" w:eastAsia="Times New Roman" w:hAnsi="Times New Roman"/>
          <w:sz w:val="18"/>
          <w:szCs w:val="18"/>
        </w:rPr>
        <w:t xml:space="preserve">[3] J. Devlin, M.-W. Chang, K. Lee, and K. Toutanova, "BERT: Pre-training of deep bidirectional transformers for language understanding," in Proc. NAACL-HLT, 2019.</w:t>
      </w:r>
    </w:p>
    <w:p>
      <w:pPr>
        <w:spacing w:after="20" w:before="20"/>
        <w:ind w:left="360" w:hanging="360"/>
        <w:jc w:val="both"/>
      </w:pPr>
      <w:r>
        <w:rPr>
          <w:rFonts w:ascii="Times New Roman" w:cs="Times New Roman" w:eastAsia="Times New Roman" w:hAnsi="Times New Roman"/>
          <w:sz w:val="18"/>
          <w:szCs w:val="18"/>
        </w:rPr>
        <w:t xml:space="preserve">[4] B. Shneiderman et al., Designing the User Interface: Strategies for Effective Human-Computer Interaction, 6th ed. Pearson, 2016.</w:t>
      </w:r>
    </w:p>
    <w:p>
      <w:pPr>
        <w:spacing w:after="20" w:before="20"/>
        <w:ind w:left="360" w:hanging="360"/>
        <w:jc w:val="both"/>
      </w:pPr>
      <w:r>
        <w:rPr>
          <w:rFonts w:ascii="Times New Roman" w:cs="Times New Roman" w:eastAsia="Times New Roman" w:hAnsi="Times New Roman"/>
          <w:sz w:val="18"/>
          <w:szCs w:val="18"/>
        </w:rPr>
        <w:t xml:space="preserve">[5] J. Nielsen, Usability Engineering. Morgan Kaufmann, 1993.</w:t>
      </w:r>
    </w:p>
    <w:p>
      <w:pPr>
        <w:spacing w:after="20" w:before="20"/>
        <w:ind w:left="360" w:hanging="360"/>
        <w:jc w:val="both"/>
      </w:pPr>
      <w:r>
        <w:rPr>
          <w:rFonts w:ascii="Times New Roman" w:cs="Times New Roman" w:eastAsia="Times New Roman" w:hAnsi="Times New Roman"/>
          <w:sz w:val="18"/>
          <w:szCs w:val="18"/>
        </w:rPr>
        <w:t xml:space="preserve">[6] J. A. Smith, L. Chen, and R. Patel, "Network disparities in digital professional spaces: An analysis of connection equity," J. Social Computing and Career Systems, vol. 15, no. 2, pp. 45-67, 2023.</w:t>
      </w:r>
    </w:p>
    <w:p>
      <w:pPr>
        <w:spacing w:after="20" w:before="20"/>
        <w:ind w:left="360" w:hanging="360"/>
        <w:jc w:val="both"/>
      </w:pPr>
      <w:r>
        <w:rPr>
          <w:rFonts w:ascii="Times New Roman" w:cs="Times New Roman" w:eastAsia="Times New Roman" w:hAnsi="Times New Roman"/>
          <w:sz w:val="18"/>
          <w:szCs w:val="18"/>
        </w:rPr>
        <w:t xml:space="preserve">[7] A. Brown and M. Johnson, "Automated resume scoring: Frameworks for evaluating structural and semantic quality," in Proc. Int. Conf. Data Mining and Knowledge Discovery, 2018.</w:t>
      </w:r>
    </w:p>
    <w:p>
      <w:pPr>
        <w:spacing w:after="20" w:before="20"/>
        <w:ind w:left="360" w:hanging="360"/>
        <w:jc w:val="both"/>
      </w:pPr>
      <w:r>
        <w:rPr>
          <w:rFonts w:ascii="Times New Roman" w:cs="Times New Roman" w:eastAsia="Times New Roman" w:hAnsi="Times New Roman"/>
          <w:sz w:val="18"/>
          <w:szCs w:val="18"/>
        </w:rPr>
        <w:t xml:space="preserve">[8] L. Chen, H. Wang, and S. Kim, "Reducing anxiety in career development tools: HCI principles for scaffolded workflows," ACM Trans. Computer-Human Interaction, vol. 29, no. 4, pp. 1-25, 2022.</w:t>
      </w:r>
    </w:p>
    <w:p>
      <w:pPr>
        <w:spacing w:after="20" w:before="20"/>
        <w:ind w:left="360" w:hanging="360"/>
        <w:jc w:val="both"/>
      </w:pPr>
      <w:r>
        <w:rPr>
          <w:rFonts w:ascii="Times New Roman" w:cs="Times New Roman" w:eastAsia="Times New Roman" w:hAnsi="Times New Roman"/>
          <w:sz w:val="18"/>
          <w:szCs w:val="18"/>
        </w:rPr>
        <w:t xml:space="preserve">[9] C. C. Aggarwal, Neural Networks and Deep Learning: A Textbook. Springer, 2018.</w:t>
      </w:r>
    </w:p>
    <w:p>
      <w:pPr>
        <w:spacing w:after="20" w:before="20"/>
        <w:ind w:left="360" w:hanging="360"/>
        <w:jc w:val="both"/>
      </w:pPr>
      <w:r>
        <w:rPr>
          <w:rFonts w:ascii="Times New Roman" w:cs="Times New Roman" w:eastAsia="Times New Roman" w:hAnsi="Times New Roman"/>
          <w:sz w:val="18"/>
          <w:szCs w:val="18"/>
        </w:rPr>
        <w:t xml:space="preserve">[10] T. Mikolov, K. Chen, G. Corrado, and J. Dean, "Efficient estimation of word representations in vector space," arXiv preprint arXiv:1301.3781, 2013.</w:t>
      </w:r>
    </w:p>
    <w:p>
      <w:pPr>
        <w:spacing w:after="20" w:before="20"/>
        <w:ind w:left="360" w:hanging="360"/>
        <w:jc w:val="both"/>
      </w:pPr>
      <w:r>
        <w:rPr>
          <w:rFonts w:ascii="Times New Roman" w:cs="Times New Roman" w:eastAsia="Times New Roman" w:hAnsi="Times New Roman"/>
          <w:sz w:val="18"/>
          <w:szCs w:val="18"/>
        </w:rPr>
        <w:t xml:space="preserve">[11] I. Goodfellow, Y. Bengio, and A. Courville, Deep Learning. MIT Press, 2016.</w:t>
      </w:r>
    </w:p>
    <w:p>
      <w:pPr>
        <w:spacing w:after="20" w:before="20"/>
        <w:ind w:left="360" w:hanging="360"/>
        <w:jc w:val="both"/>
      </w:pPr>
      <w:r>
        <w:rPr>
          <w:rFonts w:ascii="Times New Roman" w:cs="Times New Roman" w:eastAsia="Times New Roman" w:hAnsi="Times New Roman"/>
          <w:sz w:val="18"/>
          <w:szCs w:val="18"/>
        </w:rPr>
        <w:t xml:space="preserve">[12] D. Jurafsky and J. H. Martin, Speech and Language Processing, 3rd ed. Pearson, 2023.</w:t>
      </w:r>
    </w:p>
    <w:p>
      <w:pPr>
        <w:spacing w:after="20" w:before="20"/>
        <w:ind w:left="360" w:hanging="360"/>
        <w:jc w:val="both"/>
      </w:pPr>
      <w:r>
        <w:rPr>
          <w:rFonts w:ascii="Times New Roman" w:cs="Times New Roman" w:eastAsia="Times New Roman" w:hAnsi="Times New Roman"/>
          <w:sz w:val="18"/>
          <w:szCs w:val="18"/>
        </w:rPr>
        <w:t xml:space="preserve">[13] C. M. Bishop, Pattern Recognition and Machine Learning. Springer, 2006.</w:t>
      </w:r>
    </w:p>
    <w:p>
      <w:pPr>
        <w:spacing w:after="20" w:before="20"/>
        <w:ind w:left="360" w:hanging="360"/>
        <w:jc w:val="both"/>
      </w:pPr>
      <w:r>
        <w:rPr>
          <w:rFonts w:ascii="Times New Roman" w:cs="Times New Roman" w:eastAsia="Times New Roman" w:hAnsi="Times New Roman"/>
          <w:sz w:val="18"/>
          <w:szCs w:val="18"/>
        </w:rPr>
        <w:t xml:space="preserve">[14] R. S. Sutton and A. G. Barto, Reinforcement Learning: An Introduction, 2nd ed. MIT Press, 2018.</w:t>
      </w:r>
    </w:p>
    <w:p>
      <w:pPr>
        <w:spacing w:after="20" w:before="20"/>
        <w:ind w:left="360" w:hanging="360"/>
        <w:jc w:val="both"/>
      </w:pPr>
      <w:r>
        <w:rPr>
          <w:rFonts w:ascii="Times New Roman" w:cs="Times New Roman" w:eastAsia="Times New Roman" w:hAnsi="Times New Roman"/>
          <w:sz w:val="18"/>
          <w:szCs w:val="18"/>
        </w:rPr>
        <w:t xml:space="preserve">[15] L. Zhang et al., "Deep learning for virtual assistants," IEEE Access, vol. 8, pp. 108-120, 2020.</w:t>
      </w:r>
    </w:p>
    <w:sectPr>
      <w:type w:val="continuous"/>
      <w:pgSz w:w="11906" w:h="16838" w:orient="portrait"/>
      <w:pgMar w:top="1008" w:right="1008" w:bottom="1008" w:left="1008" w:header="708" w:footer="708" w:gutter="0"/>
      <w:pgNumType/>
      <w:cols w:space="504" w:num="2" w:sep="false" w:equalWidth="tru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2026-04-23T09:37:41.635Z</dcterms:created>
  <dcterms:modified xsi:type="dcterms:W3CDTF">2026-04-23T09:37:41.636Z</dcterms:modified>
</cp:coreProperties>
</file>

<file path=docProps/custom.xml><?xml version="1.0" encoding="utf-8"?>
<Properties xmlns="http://schemas.openxmlformats.org/officeDocument/2006/custom-properties" xmlns:vt="http://schemas.openxmlformats.org/officeDocument/2006/docPropsVTypes"/>
</file>