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The Paradox </w:t>
      </w:r>
      <w:r>
        <w:rPr>
          <w:rFonts w:ascii="Times New Roman" w:cs="Times New Roman" w:hAnsi="Times New Roman"/>
          <w:sz w:val="24"/>
          <w:szCs w:val="24"/>
        </w:rPr>
        <w:t>o</w:t>
      </w:r>
      <w:r>
        <w:rPr>
          <w:rFonts w:ascii="Times New Roman" w:cs="Times New Roman" w:hAnsi="Times New Roman"/>
          <w:sz w:val="24"/>
          <w:szCs w:val="24"/>
        </w:rPr>
        <w:t xml:space="preserve">f </w:t>
      </w:r>
      <w:r>
        <w:rPr>
          <w:rFonts w:ascii="Times New Roman" w:cs="Times New Roman" w:hAnsi="Times New Roman"/>
          <w:sz w:val="24"/>
          <w:szCs w:val="24"/>
        </w:rPr>
        <w:t>Nigerianisation</w:t>
      </w:r>
      <w:r>
        <w:rPr>
          <w:rFonts w:ascii="Times New Roman" w:cs="Times New Roman" w:hAnsi="Times New Roman"/>
          <w:sz w:val="24"/>
          <w:szCs w:val="24"/>
        </w:rPr>
        <w:t xml:space="preserve">: Indigenous Ownership, </w:t>
      </w:r>
      <w:r>
        <w:rPr>
          <w:rFonts w:ascii="Times New Roman" w:cs="Times New Roman" w:hAnsi="Times New Roman"/>
          <w:sz w:val="24"/>
          <w:szCs w:val="24"/>
        </w:rPr>
        <w:t>Labour</w:t>
      </w:r>
      <w:r>
        <w:rPr>
          <w:rFonts w:ascii="Times New Roman" w:cs="Times New Roman" w:hAnsi="Times New Roman"/>
          <w:sz w:val="24"/>
          <w:szCs w:val="24"/>
        </w:rPr>
        <w:t xml:space="preserve"> Casualization, </w:t>
      </w:r>
      <w:r>
        <w:rPr>
          <w:rFonts w:ascii="Times New Roman" w:cs="Times New Roman" w:hAnsi="Times New Roman"/>
          <w:sz w:val="24"/>
          <w:szCs w:val="24"/>
        </w:rPr>
        <w:t>a</w:t>
      </w:r>
      <w:r>
        <w:rPr>
          <w:rFonts w:ascii="Times New Roman" w:cs="Times New Roman" w:hAnsi="Times New Roman"/>
          <w:sz w:val="24"/>
          <w:szCs w:val="24"/>
        </w:rPr>
        <w:t xml:space="preserve">nd </w:t>
      </w:r>
      <w:r>
        <w:rPr>
          <w:rFonts w:ascii="Times New Roman" w:cs="Times New Roman" w:hAnsi="Times New Roman"/>
          <w:sz w:val="24"/>
          <w:szCs w:val="24"/>
        </w:rPr>
        <w:t>t</w:t>
      </w:r>
      <w:r>
        <w:rPr>
          <w:rFonts w:ascii="Times New Roman" w:cs="Times New Roman" w:hAnsi="Times New Roman"/>
          <w:sz w:val="24"/>
          <w:szCs w:val="24"/>
        </w:rPr>
        <w:t xml:space="preserve">he Erosion </w:t>
      </w:r>
      <w:r>
        <w:rPr>
          <w:rFonts w:ascii="Times New Roman" w:cs="Times New Roman" w:hAnsi="Times New Roman"/>
          <w:sz w:val="24"/>
          <w:szCs w:val="24"/>
        </w:rPr>
        <w:t>o</w:t>
      </w:r>
      <w:r>
        <w:rPr>
          <w:rFonts w:ascii="Times New Roman" w:cs="Times New Roman" w:hAnsi="Times New Roman"/>
          <w:sz w:val="24"/>
          <w:szCs w:val="24"/>
        </w:rPr>
        <w:t xml:space="preserve">f Decent Work </w:t>
      </w:r>
      <w:r>
        <w:rPr>
          <w:rFonts w:ascii="Times New Roman" w:cs="Times New Roman" w:hAnsi="Times New Roman"/>
          <w:sz w:val="24"/>
          <w:szCs w:val="24"/>
        </w:rPr>
        <w:t>i</w:t>
      </w:r>
      <w:r>
        <w:rPr>
          <w:rFonts w:ascii="Times New Roman" w:cs="Times New Roman" w:hAnsi="Times New Roman"/>
          <w:sz w:val="24"/>
          <w:szCs w:val="24"/>
        </w:rPr>
        <w:t xml:space="preserve">n Nigeria’s Oil </w:t>
      </w:r>
      <w:r>
        <w:rPr>
          <w:rFonts w:ascii="Times New Roman" w:cs="Times New Roman" w:hAnsi="Times New Roman"/>
          <w:sz w:val="24"/>
          <w:szCs w:val="24"/>
        </w:rPr>
        <w:t>a</w:t>
      </w:r>
      <w:r>
        <w:rPr>
          <w:rFonts w:ascii="Times New Roman" w:cs="Times New Roman" w:hAnsi="Times New Roman"/>
          <w:sz w:val="24"/>
          <w:szCs w:val="24"/>
        </w:rPr>
        <w:t>nd Private Sectors</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lang w:val="en-US"/>
        </w:rPr>
        <w:t xml:space="preserve">By </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lang w:val="en-US"/>
        </w:rPr>
        <w:t>Dr. Zuobomudor Edwin Agbana</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lang w:val="en-US"/>
        </w:rPr>
        <w:t>Institute of Entrepreneurship and Vocational Training, Elebele - Bayelsa State</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lang w:val="en-US"/>
        </w:rPr>
        <w:t>07034117581 / edwinagbana@gmail.com</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lang w:val="en-US"/>
        </w:rPr>
        <w:t>Dr. Lubo Ebisnde</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lang w:val="en-US"/>
        </w:rPr>
        <w:t>University of Africa, Toru-Orua</w:t>
      </w:r>
    </w:p>
    <w:p>
      <w:pPr>
        <w:pStyle w:val="style0"/>
        <w:jc w:val="center"/>
        <w:rPr>
          <w:rFonts w:ascii="Times New Roman" w:cs="Times New Roman" w:hAnsi="Times New Roman"/>
          <w:sz w:val="24"/>
          <w:szCs w:val="24"/>
        </w:rPr>
      </w:pPr>
      <w:r>
        <w:rPr>
          <w:rFonts w:ascii="Times New Roman" w:cs="Times New Roman" w:hAnsi="Times New Roman"/>
          <w:sz w:val="24"/>
          <w:szCs w:val="24"/>
          <w:lang w:val="en-US"/>
        </w:rPr>
        <w:t>08068357759 / ebisforreal@yahoo.com</w:t>
      </w:r>
    </w:p>
    <w:p>
      <w:pPr>
        <w:pStyle w:val="style0"/>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Abstract</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This study examines the paradox of </w:t>
      </w:r>
      <w:r>
        <w:rPr>
          <w:rFonts w:ascii="Times New Roman" w:cs="Times New Roman" w:hAnsi="Times New Roman"/>
          <w:sz w:val="24"/>
          <w:szCs w:val="24"/>
        </w:rPr>
        <w:t>Nigerianisation</w:t>
      </w:r>
      <w:r>
        <w:rPr>
          <w:rFonts w:ascii="Times New Roman" w:cs="Times New Roman" w:hAnsi="Times New Roman"/>
          <w:sz w:val="24"/>
          <w:szCs w:val="24"/>
        </w:rPr>
        <w:t xml:space="preserve"> in Nigeria’s oil and private sectors, where indigenous ownership and local content policies were expected to strengthen national capacity, improve worker welfare, and align employment conditions with international best practice. Drawing on the ILO decent work framework and a mixed-methods design, the study compares wages, welfare packages, and employment security across Nigerian-owned oil firms, IOC/IOC-linked service companies, and Nigerian-owned private enterprises, supported by interviews with workers, HR managers, and union officials. The Findings indicate a marked erosion of welfare provisions, especially medical insurance, pensions, and workers allowances, alongside wage suppression, graduate devaluation, and widespread </w:t>
      </w:r>
      <w:r>
        <w:rPr>
          <w:rFonts w:ascii="Times New Roman" w:cs="Times New Roman" w:hAnsi="Times New Roman"/>
          <w:sz w:val="24"/>
          <w:szCs w:val="24"/>
        </w:rPr>
        <w:t>casualization</w:t>
      </w:r>
      <w:r>
        <w:rPr>
          <w:rFonts w:ascii="Times New Roman" w:cs="Times New Roman" w:hAnsi="Times New Roman"/>
          <w:sz w:val="24"/>
          <w:szCs w:val="24"/>
        </w:rPr>
        <w:t xml:space="preserve"> through short-term and outsourced contracts. The study further highlights a widening gap between executive wealth accumulation and workforce vulnerability, deepening class fragmentation and weakening social cohesion. In many cases, employment in high-revenue sectors functions as underemployment: workers remain in precarious jobs due to unemployment pressures rather than decent work incentives. The study concludes that </w:t>
      </w:r>
      <w:r>
        <w:rPr>
          <w:rFonts w:ascii="Times New Roman" w:cs="Times New Roman" w:hAnsi="Times New Roman"/>
          <w:sz w:val="24"/>
          <w:szCs w:val="24"/>
        </w:rPr>
        <w:t>Nigerianisation</w:t>
      </w:r>
      <w:r>
        <w:rPr>
          <w:rFonts w:ascii="Times New Roman" w:cs="Times New Roman" w:hAnsi="Times New Roman"/>
          <w:sz w:val="24"/>
          <w:szCs w:val="24"/>
        </w:rPr>
        <w:t xml:space="preserve"> has often produced ownership transfer without </w:t>
      </w:r>
      <w:r>
        <w:rPr>
          <w:rFonts w:ascii="Times New Roman" w:cs="Times New Roman" w:hAnsi="Times New Roman"/>
          <w:sz w:val="24"/>
          <w:szCs w:val="24"/>
        </w:rPr>
        <w:t>labour</w:t>
      </w:r>
      <w:r>
        <w:rPr>
          <w:rFonts w:ascii="Times New Roman" w:cs="Times New Roman" w:hAnsi="Times New Roman"/>
          <w:sz w:val="24"/>
          <w:szCs w:val="24"/>
        </w:rPr>
        <w:t xml:space="preserve"> responsibility. It recommends redefining </w:t>
      </w:r>
      <w:r>
        <w:rPr>
          <w:rFonts w:ascii="Times New Roman" w:cs="Times New Roman" w:hAnsi="Times New Roman"/>
          <w:sz w:val="24"/>
          <w:szCs w:val="24"/>
        </w:rPr>
        <w:t>Nigerianisation</w:t>
      </w:r>
      <w:r>
        <w:rPr>
          <w:rFonts w:ascii="Times New Roman" w:cs="Times New Roman" w:hAnsi="Times New Roman"/>
          <w:sz w:val="24"/>
          <w:szCs w:val="24"/>
        </w:rPr>
        <w:t xml:space="preserve"> metrics to include enforceable welfare standards, stronger </w:t>
      </w:r>
      <w:r>
        <w:rPr>
          <w:rFonts w:ascii="Times New Roman" w:cs="Times New Roman" w:hAnsi="Times New Roman"/>
          <w:sz w:val="24"/>
          <w:szCs w:val="24"/>
        </w:rPr>
        <w:t>labour</w:t>
      </w:r>
      <w:r>
        <w:rPr>
          <w:rFonts w:ascii="Times New Roman" w:cs="Times New Roman" w:hAnsi="Times New Roman"/>
          <w:sz w:val="24"/>
          <w:szCs w:val="24"/>
        </w:rPr>
        <w:t xml:space="preserve"> regulation, and incentive structures tied to decent work compliance, to restore dignity, productivity, and inclusive development.</w:t>
      </w:r>
    </w:p>
    <w:p>
      <w:pPr>
        <w:pStyle w:val="style0"/>
        <w:spacing w:lineRule="auto" w:line="276"/>
        <w:jc w:val="both"/>
        <w:rPr>
          <w:rFonts w:ascii="Times New Roman" w:cs="Times New Roman" w:hAnsi="Times New Roman"/>
          <w:i/>
          <w:iCs/>
          <w:sz w:val="24"/>
          <w:szCs w:val="24"/>
        </w:rPr>
      </w:pPr>
    </w:p>
    <w:p>
      <w:pPr>
        <w:pStyle w:val="style0"/>
        <w:spacing w:lineRule="auto" w:line="276"/>
        <w:jc w:val="both"/>
        <w:rPr>
          <w:i/>
          <w:iCs/>
        </w:rPr>
      </w:pPr>
      <w:r>
        <w:rPr>
          <w:rFonts w:ascii="Times New Roman" w:cs="Times New Roman" w:hAnsi="Times New Roman"/>
          <w:i/>
          <w:iCs/>
          <w:sz w:val="24"/>
          <w:szCs w:val="24"/>
        </w:rPr>
        <w:t xml:space="preserve">Keywords: </w:t>
      </w:r>
      <w:r>
        <w:rPr>
          <w:rFonts w:ascii="Times New Roman" w:cs="Times New Roman" w:eastAsia="SimSun" w:hAnsi="Times New Roman"/>
          <w:i/>
          <w:iCs/>
          <w:sz w:val="24"/>
          <w:szCs w:val="24"/>
        </w:rPr>
        <w:t>Nigerianisation</w:t>
      </w:r>
      <w:r>
        <w:rPr>
          <w:rFonts w:ascii="Times New Roman" w:cs="Times New Roman" w:eastAsia="SimSun" w:hAnsi="Times New Roman"/>
          <w:i/>
          <w:iCs/>
          <w:sz w:val="24"/>
          <w:szCs w:val="24"/>
        </w:rPr>
        <w:t xml:space="preserve">; Local Content; </w:t>
      </w:r>
      <w:r>
        <w:rPr>
          <w:rFonts w:ascii="Times New Roman" w:cs="Times New Roman" w:eastAsia="SimSun" w:hAnsi="Times New Roman"/>
          <w:i/>
          <w:iCs/>
          <w:sz w:val="24"/>
          <w:szCs w:val="24"/>
        </w:rPr>
        <w:t>Labour</w:t>
      </w:r>
      <w:r>
        <w:rPr>
          <w:rFonts w:ascii="Times New Roman" w:cs="Times New Roman" w:eastAsia="SimSun" w:hAnsi="Times New Roman"/>
          <w:i/>
          <w:iCs/>
          <w:sz w:val="24"/>
          <w:szCs w:val="24"/>
        </w:rPr>
        <w:t xml:space="preserve"> </w:t>
      </w:r>
      <w:r>
        <w:rPr>
          <w:rFonts w:ascii="Times New Roman" w:cs="Times New Roman" w:eastAsia="SimSun" w:hAnsi="Times New Roman"/>
          <w:i/>
          <w:iCs/>
          <w:sz w:val="24"/>
          <w:szCs w:val="24"/>
        </w:rPr>
        <w:t>Casualisation</w:t>
      </w:r>
      <w:r>
        <w:rPr>
          <w:rFonts w:ascii="Times New Roman" w:cs="Times New Roman" w:eastAsia="SimSun" w:hAnsi="Times New Roman"/>
          <w:i/>
          <w:iCs/>
          <w:sz w:val="24"/>
          <w:szCs w:val="24"/>
        </w:rPr>
        <w:t>; Decent Work; Underemployment</w:t>
      </w:r>
    </w:p>
    <w:p>
      <w:pPr>
        <w:pStyle w:val="style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1.0 </w:t>
      </w:r>
      <w:r>
        <w:rPr>
          <w:rFonts w:ascii="Times New Roman" w:cs="Times New Roman" w:hAnsi="Times New Roman"/>
          <w:b/>
          <w:bCs/>
          <w:sz w:val="24"/>
          <w:szCs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1.1 </w:t>
      </w:r>
      <w:r>
        <w:rPr>
          <w:rFonts w:ascii="Times New Roman" w:cs="Times New Roman" w:hAnsi="Times New Roman"/>
          <w:b/>
          <w:bCs/>
          <w:sz w:val="24"/>
          <w:szCs w:val="24"/>
        </w:rPr>
        <w:t>Background to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Nigerianisation</w:t>
      </w:r>
      <w:r>
        <w:rPr>
          <w:rFonts w:ascii="Times New Roman" w:cs="Times New Roman" w:hAnsi="Times New Roman"/>
          <w:sz w:val="24"/>
          <w:szCs w:val="24"/>
        </w:rPr>
        <w:t xml:space="preserve"> of the oil and private sectors was conceived as a bold corrective policy intended to reverse decades of foreign domination, expand national ownership, deepen skills transfer, and improve the welfare and dignity of Nigerian workers. Rooted in post-independence economic nationalism and later reinforced through Local Content frameworks, </w:t>
      </w:r>
      <w:r>
        <w:rPr>
          <w:rFonts w:ascii="Times New Roman" w:cs="Times New Roman" w:hAnsi="Times New Roman"/>
          <w:sz w:val="24"/>
          <w:szCs w:val="24"/>
        </w:rPr>
        <w:t>Nigerianisation</w:t>
      </w:r>
      <w:r>
        <w:rPr>
          <w:rFonts w:ascii="Times New Roman" w:cs="Times New Roman" w:hAnsi="Times New Roman"/>
          <w:sz w:val="24"/>
          <w:szCs w:val="24"/>
        </w:rPr>
        <w:t xml:space="preserve"> was expected to translate indigenous participation into inclusive growth, improved </w:t>
      </w:r>
      <w:r>
        <w:rPr>
          <w:rFonts w:ascii="Times New Roman" w:cs="Times New Roman" w:hAnsi="Times New Roman"/>
          <w:sz w:val="24"/>
          <w:szCs w:val="24"/>
        </w:rPr>
        <w:t>labour</w:t>
      </w:r>
      <w:r>
        <w:rPr>
          <w:rFonts w:ascii="Times New Roman" w:cs="Times New Roman" w:hAnsi="Times New Roman"/>
          <w:sz w:val="24"/>
          <w:szCs w:val="24"/>
        </w:rPr>
        <w:t xml:space="preserve"> conditions, and economic sovereignty (Ake, 1981; </w:t>
      </w:r>
      <w:r>
        <w:rPr>
          <w:rFonts w:ascii="Times New Roman" w:cs="Times New Roman" w:hAnsi="Times New Roman"/>
          <w:sz w:val="24"/>
          <w:szCs w:val="24"/>
        </w:rPr>
        <w:t>Olukoshi</w:t>
      </w:r>
      <w:r>
        <w:rPr>
          <w:rFonts w:ascii="Times New Roman" w:cs="Times New Roman" w:hAnsi="Times New Roman"/>
          <w:sz w:val="24"/>
          <w:szCs w:val="24"/>
        </w:rPr>
        <w:t xml:space="preserve">, 2015). In theory, the transfer of ownership from expatriate firms to Nigerian hands would align corporate practices more closely with national development priorities and international </w:t>
      </w:r>
      <w:r>
        <w:rPr>
          <w:rFonts w:ascii="Times New Roman" w:cs="Times New Roman" w:hAnsi="Times New Roman"/>
          <w:sz w:val="24"/>
          <w:szCs w:val="24"/>
        </w:rPr>
        <w:t>labour</w:t>
      </w:r>
      <w:r>
        <w:rPr>
          <w:rFonts w:ascii="Times New Roman" w:cs="Times New Roman" w:hAnsi="Times New Roman"/>
          <w:sz w:val="24"/>
          <w:szCs w:val="24"/>
        </w:rPr>
        <w:t xml:space="preserve"> standards. Historically, International Oil Companies (IOCs) operating in Nigeria maintained relatively structured employment systems. </w:t>
      </w:r>
      <w:r>
        <w:rPr>
          <w:rFonts w:ascii="Times New Roman" w:cs="Times New Roman" w:hAnsi="Times New Roman"/>
          <w:sz w:val="24"/>
          <w:szCs w:val="24"/>
        </w:rPr>
        <w:t xml:space="preserve">While these firms were not without flaws, their </w:t>
      </w:r>
      <w:r>
        <w:rPr>
          <w:rFonts w:ascii="Times New Roman" w:cs="Times New Roman" w:hAnsi="Times New Roman"/>
          <w:sz w:val="24"/>
          <w:szCs w:val="24"/>
        </w:rPr>
        <w:t>labour</w:t>
      </w:r>
      <w:r>
        <w:rPr>
          <w:rFonts w:ascii="Times New Roman" w:cs="Times New Roman" w:hAnsi="Times New Roman"/>
          <w:sz w:val="24"/>
          <w:szCs w:val="24"/>
        </w:rPr>
        <w:t xml:space="preserve"> regimes typically included clearly defined salary scales, comprehensive medical insurance, pension schemes, offshore and housing allowances, and predictable career progression pathways. These arrangements were largely shaped by global corporate governance norms, home-country regulations, and pressure from international </w:t>
      </w:r>
      <w:r>
        <w:rPr>
          <w:rFonts w:ascii="Times New Roman" w:cs="Times New Roman" w:hAnsi="Times New Roman"/>
          <w:sz w:val="24"/>
          <w:szCs w:val="24"/>
        </w:rPr>
        <w:t>labour</w:t>
      </w:r>
      <w:r>
        <w:rPr>
          <w:rFonts w:ascii="Times New Roman" w:cs="Times New Roman" w:hAnsi="Times New Roman"/>
          <w:sz w:val="24"/>
          <w:szCs w:val="24"/>
        </w:rPr>
        <w:t xml:space="preserve"> standards, particularly those promoted by the International </w:t>
      </w:r>
      <w:r>
        <w:rPr>
          <w:rFonts w:ascii="Times New Roman" w:cs="Times New Roman" w:hAnsi="Times New Roman"/>
          <w:sz w:val="24"/>
          <w:szCs w:val="24"/>
        </w:rPr>
        <w:t>Labour</w:t>
      </w:r>
      <w:r>
        <w:rPr>
          <w:rFonts w:ascii="Times New Roman" w:cs="Times New Roman" w:hAnsi="Times New Roman"/>
          <w:sz w:val="24"/>
          <w:szCs w:val="24"/>
        </w:rPr>
        <w:t xml:space="preserve"> Organization (ILO) (ILO, 1999; Watts, 2008). For many Nigerian professionals, employment within IOC environments represented not merely a job but a pathway to stability, dignity, and long-term socioeconomic mobility. The gradual shift from expatriate-dominated ownership to Nigerian-owned firms, accelerated by the Nigerian Oil and Gas Industry Content Development Act of 2010 that marked a decisive turning point in Nigeria oil industry. Indigenous firms increasingly took over assets, contracts, and service provision across the oil value chain and the wider private sector. This transition was widely celebrated as a triumph of national capacity and economic self-determination. However, beneath the rhetoric of empowerment, troubling </w:t>
      </w:r>
      <w:r>
        <w:rPr>
          <w:rFonts w:ascii="Times New Roman" w:cs="Times New Roman" w:hAnsi="Times New Roman"/>
          <w:sz w:val="24"/>
          <w:szCs w:val="24"/>
        </w:rPr>
        <w:t>labour</w:t>
      </w:r>
      <w:r>
        <w:rPr>
          <w:rFonts w:ascii="Times New Roman" w:cs="Times New Roman" w:hAnsi="Times New Roman"/>
          <w:sz w:val="24"/>
          <w:szCs w:val="24"/>
        </w:rPr>
        <w:t xml:space="preserve"> realities began to emerge. Instead of an expansion of welfare and dignity at work, many Nigerian-owned enterprises adopted employment practices </w:t>
      </w:r>
      <w:r>
        <w:rPr>
          <w:rFonts w:ascii="Times New Roman" w:cs="Times New Roman" w:hAnsi="Times New Roman"/>
          <w:sz w:val="24"/>
          <w:szCs w:val="24"/>
        </w:rPr>
        <w:t>characterized</w:t>
      </w:r>
      <w:r>
        <w:rPr>
          <w:rFonts w:ascii="Times New Roman" w:cs="Times New Roman" w:hAnsi="Times New Roman"/>
          <w:sz w:val="24"/>
          <w:szCs w:val="24"/>
        </w:rPr>
        <w:t xml:space="preserve"> by cost </w:t>
      </w:r>
      <w:r>
        <w:rPr>
          <w:rFonts w:ascii="Times New Roman" w:cs="Times New Roman" w:hAnsi="Times New Roman"/>
          <w:sz w:val="24"/>
          <w:szCs w:val="24"/>
        </w:rPr>
        <w:t>minimization</w:t>
      </w:r>
      <w:r>
        <w:rPr>
          <w:rFonts w:ascii="Times New Roman" w:cs="Times New Roman" w:hAnsi="Times New Roman"/>
          <w:sz w:val="24"/>
          <w:szCs w:val="24"/>
        </w:rPr>
        <w:t xml:space="preserve">, </w:t>
      </w:r>
      <w:r>
        <w:rPr>
          <w:rFonts w:ascii="Times New Roman" w:cs="Times New Roman" w:hAnsi="Times New Roman"/>
          <w:sz w:val="24"/>
          <w:szCs w:val="24"/>
        </w:rPr>
        <w:t>labour</w:t>
      </w:r>
      <w:r>
        <w:rPr>
          <w:rFonts w:ascii="Times New Roman" w:cs="Times New Roman" w:hAnsi="Times New Roman"/>
          <w:sz w:val="24"/>
          <w:szCs w:val="24"/>
        </w:rPr>
        <w:t xml:space="preserve"> </w:t>
      </w:r>
      <w:r>
        <w:rPr>
          <w:rFonts w:ascii="Times New Roman" w:cs="Times New Roman" w:hAnsi="Times New Roman"/>
          <w:sz w:val="24"/>
          <w:szCs w:val="24"/>
        </w:rPr>
        <w:t>casualization</w:t>
      </w:r>
      <w:r>
        <w:rPr>
          <w:rFonts w:ascii="Times New Roman" w:cs="Times New Roman" w:hAnsi="Times New Roman"/>
          <w:sz w:val="24"/>
          <w:szCs w:val="24"/>
        </w:rPr>
        <w:t>, and welfare retrenchment (Standing, 2011; World Bank, 2022).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Today, concerns over declining wages, reduced allowances, absence of medical insurance, and insecure contracts dominate conversations among workers in Nigeria’s oil and private sectors. These developments have coincided with an era of unprecedented wealth accumulation among a small class of indigenous business owners and corporate executives, many of whom live lifestyles that starkly contrast with the precarious conditions of their employees. This widening gap has not only economic implications but also profound social and moral consequences, contributing to class fragmentation, resentment, and declining trust in economic reforms (Piketty, 2014; Oxfam, 2023).</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1.2 Statement of the Problem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central problem addressed in this study is the growing contradiction between the</w:t>
      </w:r>
      <w:r>
        <w:rPr>
          <w:rFonts w:ascii="Times New Roman" w:cs="Times New Roman" w:hAnsi="Times New Roman"/>
          <w:sz w:val="24"/>
          <w:szCs w:val="24"/>
        </w:rPr>
        <w:t xml:space="preserve"> intentions of the </w:t>
      </w:r>
      <w:r>
        <w:rPr>
          <w:rFonts w:ascii="Times New Roman" w:cs="Times New Roman" w:hAnsi="Times New Roman"/>
          <w:sz w:val="24"/>
          <w:szCs w:val="24"/>
        </w:rPr>
        <w:t>Nigerianisation</w:t>
      </w:r>
      <w:r>
        <w:rPr>
          <w:rFonts w:ascii="Times New Roman" w:cs="Times New Roman" w:hAnsi="Times New Roman"/>
          <w:sz w:val="24"/>
          <w:szCs w:val="24"/>
        </w:rPr>
        <w:t xml:space="preserve"> and its actual </w:t>
      </w:r>
      <w:r>
        <w:rPr>
          <w:rFonts w:ascii="Times New Roman" w:cs="Times New Roman" w:hAnsi="Times New Roman"/>
          <w:sz w:val="24"/>
          <w:szCs w:val="24"/>
        </w:rPr>
        <w:t>labour</w:t>
      </w:r>
      <w:r>
        <w:rPr>
          <w:rFonts w:ascii="Times New Roman" w:cs="Times New Roman" w:hAnsi="Times New Roman"/>
          <w:sz w:val="24"/>
          <w:szCs w:val="24"/>
        </w:rPr>
        <w:t xml:space="preserve"> outcomes.</w:t>
      </w:r>
      <w:r>
        <w:rPr>
          <w:rFonts w:ascii="Times New Roman" w:cs="Times New Roman" w:hAnsi="Times New Roman"/>
          <w:sz w:val="24"/>
          <w:szCs w:val="24"/>
        </w:rPr>
        <w:t xml:space="preserve"> </w:t>
      </w:r>
      <w:r>
        <w:rPr>
          <w:rFonts w:ascii="Times New Roman" w:cs="Times New Roman" w:hAnsi="Times New Roman"/>
          <w:sz w:val="24"/>
          <w:szCs w:val="24"/>
        </w:rPr>
        <w:t>Nigerianiation</w:t>
      </w:r>
      <w:r>
        <w:rPr>
          <w:rFonts w:ascii="Times New Roman" w:cs="Times New Roman" w:hAnsi="Times New Roman"/>
          <w:sz w:val="24"/>
          <w:szCs w:val="24"/>
        </w:rPr>
        <w:t xml:space="preserve"> was designed to improve employment quality, enhance worker welfare, and ensure that Nigerians benefited meaningfully from national resources. Yet, empirical observations suggest that indigenous ownership has often coincided with declining </w:t>
      </w:r>
      <w:r>
        <w:rPr>
          <w:rFonts w:ascii="Times New Roman" w:cs="Times New Roman" w:hAnsi="Times New Roman"/>
          <w:sz w:val="24"/>
          <w:szCs w:val="24"/>
        </w:rPr>
        <w:t>labour</w:t>
      </w:r>
      <w:r>
        <w:rPr>
          <w:rFonts w:ascii="Times New Roman" w:cs="Times New Roman" w:hAnsi="Times New Roman"/>
          <w:sz w:val="24"/>
          <w:szCs w:val="24"/>
        </w:rPr>
        <w:t xml:space="preserve"> standards rather than improvement. Workers increasingly face short-term contracts, stagnant or </w:t>
      </w:r>
      <w:r>
        <w:rPr>
          <w:rFonts w:ascii="Times New Roman" w:cs="Times New Roman" w:hAnsi="Times New Roman"/>
          <w:sz w:val="24"/>
          <w:szCs w:val="24"/>
        </w:rPr>
        <w:t>suppressed wages, reduced allowances, and the complete absence of social protection mechanisms such as health insurance and pensions. This situation is particularly paradoxical in the oil sector, which remains Nigeria’s most lucrative industry. Despite the enormous revenues generated, many workers in Nigerian-owned oil and service firms earn wages that are lower than those of their counterparts in the public sector and far below international benchmarks. Graduate professionals, once attracted to the oil industry as a symbol of excellence and reward for skill, now experience what can best be described as</w:t>
      </w:r>
      <w:r>
        <w:rPr>
          <w:rFonts w:ascii="Times New Roman" w:cs="Times New Roman" w:hAnsi="Times New Roman"/>
          <w:sz w:val="24"/>
          <w:szCs w:val="24"/>
        </w:rPr>
        <w:t xml:space="preserve"> employment without dignity,</w:t>
      </w:r>
      <w:r>
        <w:rPr>
          <w:rFonts w:ascii="Times New Roman" w:cs="Times New Roman" w:hAnsi="Times New Roman"/>
          <w:sz w:val="24"/>
          <w:szCs w:val="24"/>
        </w:rPr>
        <w:t xml:space="preserve"> a condition where having a job does not guarantee economic security, wellbeing, or social mobility (ILO, 2021; NBS, 2023). The persistence of these conditions is further reinforced by Nigeria’s high unemployment rate. In an economy where job scarcity is widespread, workers often accept degrading employment arrangements out of necessity rather than choice. This reality blurs the distinction between employment and q</w:t>
      </w:r>
      <w:r>
        <w:rPr>
          <w:rFonts w:ascii="Times New Roman" w:cs="Times New Roman" w:hAnsi="Times New Roman"/>
          <w:sz w:val="24"/>
          <w:szCs w:val="24"/>
          <w:lang w:val="en-US"/>
        </w:rPr>
        <w:t>a</w:t>
      </w:r>
      <w:r>
        <w:rPr>
          <w:rFonts w:ascii="Times New Roman" w:cs="Times New Roman" w:hAnsi="Times New Roman"/>
          <w:sz w:val="24"/>
          <w:szCs w:val="24"/>
        </w:rPr>
        <w:t xml:space="preserve">, transforming oil and private sector jobs into survival mechanisms rather than engines of development (AfDB, 2021). Consequently, </w:t>
      </w:r>
      <w:r>
        <w:rPr>
          <w:rFonts w:ascii="Times New Roman" w:cs="Times New Roman" w:hAnsi="Times New Roman"/>
          <w:sz w:val="24"/>
          <w:szCs w:val="24"/>
        </w:rPr>
        <w:t>Nigerianisation</w:t>
      </w:r>
      <w:r>
        <w:rPr>
          <w:rFonts w:ascii="Times New Roman" w:cs="Times New Roman" w:hAnsi="Times New Roman"/>
          <w:sz w:val="24"/>
          <w:szCs w:val="24"/>
        </w:rPr>
        <w:t xml:space="preserve"> risks becoming a vehicle for elite enrichment rather than a platform for shared prosperity.</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1.4 Objectives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main objective of this study is to critically examine the </w:t>
      </w:r>
      <w:r>
        <w:rPr>
          <w:rFonts w:ascii="Times New Roman" w:cs="Times New Roman" w:hAnsi="Times New Roman"/>
          <w:sz w:val="24"/>
          <w:szCs w:val="24"/>
        </w:rPr>
        <w:t>labour</w:t>
      </w:r>
      <w:r>
        <w:rPr>
          <w:rFonts w:ascii="Times New Roman" w:cs="Times New Roman" w:hAnsi="Times New Roman"/>
          <w:sz w:val="24"/>
          <w:szCs w:val="24"/>
        </w:rPr>
        <w:t xml:space="preserve"> implications of </w:t>
      </w:r>
      <w:r>
        <w:rPr>
          <w:rFonts w:ascii="Times New Roman" w:cs="Times New Roman" w:hAnsi="Times New Roman"/>
          <w:sz w:val="24"/>
          <w:szCs w:val="24"/>
        </w:rPr>
        <w:t>Nigerianisation</w:t>
      </w:r>
      <w:r>
        <w:rPr>
          <w:rFonts w:ascii="Times New Roman" w:cs="Times New Roman" w:hAnsi="Times New Roman"/>
          <w:sz w:val="24"/>
          <w:szCs w:val="24"/>
        </w:rPr>
        <w:t xml:space="preserve"> in Nigeria’s oil and private sectors. Specifically, the study seeks to:</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Assess changes in wages, welfare provisions, and job security following the transition to Nigerian ownership.</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Analyse</w:t>
      </w:r>
      <w:r>
        <w:rPr>
          <w:rFonts w:ascii="Times New Roman" w:cs="Times New Roman" w:hAnsi="Times New Roman"/>
          <w:sz w:val="24"/>
          <w:szCs w:val="24"/>
        </w:rPr>
        <w:t xml:space="preserve"> the structural and institutional factors driving </w:t>
      </w:r>
      <w:r>
        <w:rPr>
          <w:rFonts w:ascii="Times New Roman" w:cs="Times New Roman" w:hAnsi="Times New Roman"/>
          <w:sz w:val="24"/>
          <w:szCs w:val="24"/>
        </w:rPr>
        <w:t>labour</w:t>
      </w:r>
      <w:r>
        <w:rPr>
          <w:rFonts w:ascii="Times New Roman" w:cs="Times New Roman" w:hAnsi="Times New Roman"/>
          <w:sz w:val="24"/>
          <w:szCs w:val="24"/>
        </w:rPr>
        <w:t xml:space="preserve"> </w:t>
      </w:r>
      <w:r>
        <w:rPr>
          <w:rFonts w:ascii="Times New Roman" w:cs="Times New Roman" w:hAnsi="Times New Roman"/>
          <w:sz w:val="24"/>
          <w:szCs w:val="24"/>
        </w:rPr>
        <w:t>casualization</w:t>
      </w:r>
      <w:r>
        <w:rPr>
          <w:rFonts w:ascii="Times New Roman" w:cs="Times New Roman" w:hAnsi="Times New Roman"/>
          <w:sz w:val="24"/>
          <w:szCs w:val="24"/>
        </w:rPr>
        <w:t xml:space="preserve"> and underemployment.</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Examine the relationship between indigenous ownership, executive wealth concentration, and worker deprivation.</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Evaluate the implications of these trends for national development, productivity, and social cohesion.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2.0 Literature Review</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This section reviews the conceptual and theoretical foundations necessary to </w:t>
      </w:r>
      <w:r>
        <w:rPr>
          <w:rFonts w:ascii="Times New Roman" w:cs="Times New Roman" w:hAnsi="Times New Roman"/>
          <w:sz w:val="24"/>
          <w:szCs w:val="24"/>
          <w:lang w:eastAsia="en-GB"/>
        </w:rPr>
        <w:t>analyse</w:t>
      </w:r>
      <w:r>
        <w:rPr>
          <w:rFonts w:ascii="Times New Roman" w:cs="Times New Roman" w:hAnsi="Times New Roman"/>
          <w:sz w:val="24"/>
          <w:szCs w:val="24"/>
          <w:lang w:eastAsia="en-GB"/>
        </w:rPr>
        <w:t xml:space="preserve"> the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consequences of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in Nigeria’s oil and private sectors. Rather than treating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as a purely ownership-driven reform, the review </w:t>
      </w:r>
      <w:r>
        <w:rPr>
          <w:rFonts w:ascii="Times New Roman" w:cs="Times New Roman" w:hAnsi="Times New Roman"/>
          <w:sz w:val="24"/>
          <w:szCs w:val="24"/>
          <w:lang w:eastAsia="en-GB"/>
        </w:rPr>
        <w:t xml:space="preserve">interrogates its implications for employment quality,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security, and welfare outcomes. The discussion </w:t>
      </w:r>
      <w:r>
        <w:rPr>
          <w:rFonts w:ascii="Times New Roman" w:cs="Times New Roman" w:hAnsi="Times New Roman"/>
          <w:sz w:val="24"/>
          <w:szCs w:val="24"/>
          <w:lang w:eastAsia="en-GB"/>
        </w:rPr>
        <w:t>synthesises</w:t>
      </w:r>
      <w:r>
        <w:rPr>
          <w:rFonts w:ascii="Times New Roman" w:cs="Times New Roman" w:hAnsi="Times New Roman"/>
          <w:sz w:val="24"/>
          <w:szCs w:val="24"/>
          <w:lang w:eastAsia="en-GB"/>
        </w:rPr>
        <w:t xml:space="preserve"> key concepts</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local content, decent work, and underemployment</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 xml:space="preserve">and situates them within broader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and political economy debates.</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2.1 Conceptual Foundations</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 xml:space="preserve">2.1.1 </w:t>
      </w:r>
      <w:r>
        <w:rPr>
          <w:rFonts w:ascii="Times New Roman" w:cs="Times New Roman" w:hAnsi="Times New Roman"/>
          <w:b/>
          <w:bCs/>
          <w:sz w:val="24"/>
          <w:szCs w:val="24"/>
          <w:lang w:eastAsia="en-GB"/>
        </w:rPr>
        <w:t>Nigerianisation</w:t>
      </w:r>
      <w:r>
        <w:rPr>
          <w:rFonts w:ascii="Times New Roman" w:cs="Times New Roman" w:hAnsi="Times New Roman"/>
          <w:b/>
          <w:bCs/>
          <w:sz w:val="24"/>
          <w:szCs w:val="24"/>
          <w:lang w:eastAsia="en-GB"/>
        </w:rPr>
        <w:t xml:space="preserve"> and Local Content</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refers to state-driven policies aimed at expanding Nigerian ownership, managerial control, and participation in sectors historically dominated by foreign capital. Rooted in post-independence economic nationalism, the policy sought to correct colonial structural imbalances and promote domestic capacity development (Ake, 1981). In the oil sector, early participation frameworks of the 1970s gradually evolved into more </w:t>
      </w:r>
      <w:r>
        <w:rPr>
          <w:rFonts w:ascii="Times New Roman" w:cs="Times New Roman" w:hAnsi="Times New Roman"/>
          <w:sz w:val="24"/>
          <w:szCs w:val="24"/>
          <w:lang w:eastAsia="en-GB"/>
        </w:rPr>
        <w:t>institutionalised</w:t>
      </w:r>
      <w:r>
        <w:rPr>
          <w:rFonts w:ascii="Times New Roman" w:cs="Times New Roman" w:hAnsi="Times New Roman"/>
          <w:sz w:val="24"/>
          <w:szCs w:val="24"/>
          <w:lang w:eastAsia="en-GB"/>
        </w:rPr>
        <w:t xml:space="preserve"> local content regimes, culminating in the Nigerian Oil and Gas Industry Content Development Act (2010).</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Although often used interchangeably,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indigenisation</w:t>
      </w:r>
      <w:r>
        <w:rPr>
          <w:rFonts w:ascii="Times New Roman" w:cs="Times New Roman" w:hAnsi="Times New Roman"/>
          <w:sz w:val="24"/>
          <w:szCs w:val="24"/>
          <w:lang w:eastAsia="en-GB"/>
        </w:rPr>
        <w:t xml:space="preserve">, and local content are analytically distinct. </w:t>
      </w:r>
      <w:r>
        <w:rPr>
          <w:rFonts w:ascii="Times New Roman" w:cs="Times New Roman" w:hAnsi="Times New Roman"/>
          <w:sz w:val="24"/>
          <w:szCs w:val="24"/>
          <w:lang w:eastAsia="en-GB"/>
        </w:rPr>
        <w:t>Indigenisation</w:t>
      </w:r>
      <w:r>
        <w:rPr>
          <w:rFonts w:ascii="Times New Roman" w:cs="Times New Roman" w:hAnsi="Times New Roman"/>
          <w:sz w:val="24"/>
          <w:szCs w:val="24"/>
          <w:lang w:eastAsia="en-GB"/>
        </w:rPr>
        <w:t xml:space="preserve"> policies primarily </w:t>
      </w:r>
      <w:r>
        <w:rPr>
          <w:rFonts w:ascii="Times New Roman" w:cs="Times New Roman" w:hAnsi="Times New Roman"/>
          <w:sz w:val="24"/>
          <w:szCs w:val="24"/>
          <w:lang w:eastAsia="en-GB"/>
        </w:rPr>
        <w:t>emphasised</w:t>
      </w:r>
      <w:r>
        <w:rPr>
          <w:rFonts w:ascii="Times New Roman" w:cs="Times New Roman" w:hAnsi="Times New Roman"/>
          <w:sz w:val="24"/>
          <w:szCs w:val="24"/>
          <w:lang w:eastAsia="en-GB"/>
        </w:rPr>
        <w:t xml:space="preserve"> equity transfer from foreign to Nigerian ownership.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extended beyond ownership to include managerial and employment control. Local content frameworks focus more specifically on domestic value creation across supply chains. In practice, Nigeria’s oil sector reforms combine elements of all three approaches.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However, comparative evidence from other resource-rich states suggests that ownership reform alone does not guarantee improved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conditions. For example, local content regimes in countries such as Norway and Brazil embedded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standards, skills transfer obligations, and institutional oversight into their petroleum frameworks. In contrast, Nigeria’s implementation has largely measured success through contract awards and ownership percentages, with limited enforceable benchmarks tied to worker welfare. This imbalance creates the conditions for a paradox: indigenous ownership without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transformation.</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Thus,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must be assessed not merely by participation metrics but by its distributive and welfare outcomes.</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 xml:space="preserve">2.1.2 Intended </w:t>
      </w:r>
      <w:r>
        <w:rPr>
          <w:rFonts w:ascii="Times New Roman" w:cs="Times New Roman" w:hAnsi="Times New Roman"/>
          <w:b/>
          <w:bCs/>
          <w:sz w:val="24"/>
          <w:szCs w:val="24"/>
          <w:lang w:eastAsia="en-GB"/>
        </w:rPr>
        <w:t>Labour</w:t>
      </w:r>
      <w:r>
        <w:rPr>
          <w:rFonts w:ascii="Times New Roman" w:cs="Times New Roman" w:hAnsi="Times New Roman"/>
          <w:b/>
          <w:bCs/>
          <w:sz w:val="24"/>
          <w:szCs w:val="24"/>
          <w:lang w:eastAsia="en-GB"/>
        </w:rPr>
        <w:t xml:space="preserve"> Outcomes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At its normative core,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promised three </w:t>
      </w:r>
      <w:r>
        <w:rPr>
          <w:rFonts w:ascii="Times New Roman" w:cs="Times New Roman" w:hAnsi="Times New Roman"/>
          <w:sz w:val="24"/>
          <w:szCs w:val="24"/>
          <w:lang w:eastAsia="en-GB"/>
        </w:rPr>
        <w:t>labour-centred</w:t>
      </w:r>
      <w:r>
        <w:rPr>
          <w:rFonts w:ascii="Times New Roman" w:cs="Times New Roman" w:hAnsi="Times New Roman"/>
          <w:sz w:val="24"/>
          <w:szCs w:val="24"/>
          <w:lang w:eastAsia="en-GB"/>
        </w:rPr>
        <w:t xml:space="preserve"> outcomes:</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First, improved welfare through better wages, pensions, health insurance, and employment security.</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 xml:space="preserve">Second, structured skills transfer enabling Nigerians to occupy higher-value </w:t>
      </w:r>
      <w:r>
        <w:rPr>
          <w:rFonts w:ascii="Times New Roman" w:cs="Times New Roman" w:hAnsi="Times New Roman"/>
          <w:sz w:val="24"/>
          <w:szCs w:val="24"/>
          <w:lang w:eastAsia="en-GB"/>
        </w:rPr>
        <w:t>technical and managerial roles.</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Third</w:t>
      </w:r>
      <w:r>
        <w:rPr>
          <w:rFonts w:ascii="Times New Roman" w:cs="Times New Roman" w:hAnsi="Times New Roman"/>
          <w:sz w:val="24"/>
          <w:szCs w:val="24"/>
          <w:lang w:eastAsia="en-GB"/>
        </w:rPr>
        <w:t>ly</w:t>
      </w:r>
      <w:r>
        <w:rPr>
          <w:rFonts w:ascii="Times New Roman" w:cs="Times New Roman" w:hAnsi="Times New Roman"/>
          <w:sz w:val="24"/>
          <w:szCs w:val="24"/>
          <w:lang w:eastAsia="en-GB"/>
        </w:rPr>
        <w:t>, inclusive development, ensuring that resource extraction translated into broad-based improvements in living standards.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These expectations align closely with the decent work framework advanced by the International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Organization (ILO, 1999). Yet, the absence of enforceable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benchmarks within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policy architecture has weakened its transformative potential. Without regulatory compulsion, firms may </w:t>
      </w:r>
      <w:r>
        <w:rPr>
          <w:rFonts w:ascii="Times New Roman" w:cs="Times New Roman" w:hAnsi="Times New Roman"/>
          <w:sz w:val="24"/>
          <w:szCs w:val="24"/>
          <w:lang w:eastAsia="en-GB"/>
        </w:rPr>
        <w:t>prioritise</w:t>
      </w:r>
      <w:r>
        <w:rPr>
          <w:rFonts w:ascii="Times New Roman" w:cs="Times New Roman" w:hAnsi="Times New Roman"/>
          <w:sz w:val="24"/>
          <w:szCs w:val="24"/>
          <w:lang w:eastAsia="en-GB"/>
        </w:rPr>
        <w:t xml:space="preserve"> cost </w:t>
      </w:r>
      <w:r>
        <w:rPr>
          <w:rFonts w:ascii="Times New Roman" w:cs="Times New Roman" w:hAnsi="Times New Roman"/>
          <w:sz w:val="24"/>
          <w:szCs w:val="24"/>
          <w:lang w:eastAsia="en-GB"/>
        </w:rPr>
        <w:t>minimisation</w:t>
      </w:r>
      <w:r>
        <w:rPr>
          <w:rFonts w:ascii="Times New Roman" w:cs="Times New Roman" w:hAnsi="Times New Roman"/>
          <w:sz w:val="24"/>
          <w:szCs w:val="24"/>
          <w:lang w:eastAsia="en-GB"/>
        </w:rPr>
        <w:t xml:space="preserve"> over welfare provision, especially in high-unemployment environments where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bargaining power is structurally weak.</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2.1.3 Decent Work and Underemployment</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The concept of decent work reframes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evaluation from mere job quantity to employment quality. It encompasses fair income, job security, social protection, safe working conditions, career progression, and freedom of association (ILO, 1999). Decent work is therefore multidimensional and human-</w:t>
      </w:r>
      <w:r>
        <w:rPr>
          <w:rFonts w:ascii="Times New Roman" w:cs="Times New Roman" w:hAnsi="Times New Roman"/>
          <w:sz w:val="24"/>
          <w:szCs w:val="24"/>
          <w:lang w:eastAsia="en-GB"/>
        </w:rPr>
        <w:t>centred</w:t>
      </w:r>
      <w:r>
        <w:rPr>
          <w:rFonts w:ascii="Times New Roman" w:cs="Times New Roman" w:hAnsi="Times New Roman"/>
          <w:sz w:val="24"/>
          <w:szCs w:val="24"/>
          <w:lang w:eastAsia="en-GB"/>
        </w:rPr>
        <w:t>.</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In Nigeria’s oil and private sectors, several of these dimensions remain fragile. The erosion of pensions, medical insurance, and long-term employment contracts signals a shift toward precarious work arrangements. Even in capital-intensive industries with significant revenue flows, welfare protections are often limited or unevenly distributed.</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Underemployment further deepens this paradox. Contemporary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scholarship </w:t>
      </w:r>
      <w:r>
        <w:rPr>
          <w:rFonts w:ascii="Times New Roman" w:cs="Times New Roman" w:hAnsi="Times New Roman"/>
          <w:sz w:val="24"/>
          <w:szCs w:val="24"/>
          <w:lang w:eastAsia="en-GB"/>
        </w:rPr>
        <w:t>conceptualises</w:t>
      </w:r>
      <w:r>
        <w:rPr>
          <w:rFonts w:ascii="Times New Roman" w:cs="Times New Roman" w:hAnsi="Times New Roman"/>
          <w:sz w:val="24"/>
          <w:szCs w:val="24"/>
          <w:lang w:eastAsia="en-GB"/>
        </w:rPr>
        <w:t xml:space="preserve"> underemployment not only as insufficient working hours but also as inadequate wages, insecurity, and blocked mobility (Standing, 2011; </w:t>
      </w:r>
      <w:r>
        <w:rPr>
          <w:rFonts w:ascii="Times New Roman" w:cs="Times New Roman" w:hAnsi="Times New Roman"/>
          <w:sz w:val="24"/>
          <w:szCs w:val="24"/>
          <w:lang w:eastAsia="en-GB"/>
        </w:rPr>
        <w:t>Kalleberg</w:t>
      </w:r>
      <w:r>
        <w:rPr>
          <w:rFonts w:ascii="Times New Roman" w:cs="Times New Roman" w:hAnsi="Times New Roman"/>
          <w:sz w:val="24"/>
          <w:szCs w:val="24"/>
          <w:lang w:eastAsia="en-GB"/>
        </w:rPr>
        <w:t>, 2011). From this broader perspective, formal employment in Nigeria’s oil sector does not necessarily equate to economic security. Workers may remain economically vulnerable despite being formally employed.</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By linking decent work deficits to structural underemployment, the literature challenges dominant narratives that portray oil sector employment as uniformly high quality. Instead, it suggests a segmented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structure </w:t>
      </w:r>
      <w:r>
        <w:rPr>
          <w:rFonts w:ascii="Times New Roman" w:cs="Times New Roman" w:hAnsi="Times New Roman"/>
          <w:sz w:val="24"/>
          <w:szCs w:val="24"/>
          <w:lang w:eastAsia="en-GB"/>
        </w:rPr>
        <w:t>where</w:t>
      </w:r>
      <w:r>
        <w:rPr>
          <w:rFonts w:ascii="Times New Roman" w:cs="Times New Roman" w:hAnsi="Times New Roman"/>
          <w:sz w:val="24"/>
          <w:szCs w:val="24"/>
          <w:lang w:eastAsia="en-GB"/>
        </w:rPr>
        <w:t xml:space="preserve"> employment status masks deeper insecurity.</w:t>
      </w:r>
    </w:p>
    <w:p>
      <w:pPr>
        <w:pStyle w:val="style0"/>
        <w:spacing w:lineRule="auto" w:line="360"/>
        <w:jc w:val="both"/>
        <w:rPr>
          <w:rFonts w:ascii="Times New Roman" w:cs="Times New Roman" w:hAnsi="Times New Roman"/>
          <w:sz w:val="24"/>
          <w:szCs w:val="24"/>
          <w:lang w:eastAsia="en-GB"/>
        </w:rPr>
      </w:pP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2.1.4 Application to Nigeria’s Oil and Private Sectors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Applying these frameworks reveals a structural contradiction.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has expanded indigenous participation and employment opportunities, yet qualitative aspects of work—security, benefits, progression—have not improved proportionately.</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This divergence has broader socio-economic implications. Where workers observe elite wealth accumulation alongside declining welfare protections, perceptions of </w:t>
      </w:r>
      <w:r>
        <w:rPr>
          <w:rFonts w:ascii="Times New Roman" w:cs="Times New Roman" w:hAnsi="Times New Roman"/>
          <w:sz w:val="24"/>
          <w:szCs w:val="24"/>
          <w:lang w:eastAsia="en-GB"/>
        </w:rPr>
        <w:t>distributive injustice intensify. Such dynamics weaken institutional trust and may undermine the legitimacy of reform policies framed as national empowerment.</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Understanding this paradox requires moving beyond descriptive policy analysis toward structural explanation, which the theoretical framework below provides.</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2.2 Theoretical Framework</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To explain why indigenous ownership has not automatically produced decent work outcomes, this study integrates three complementary theoretical perspectives: Political Economy Theory, Post-Colonial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Theory, and Dual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Market Theory. Together, they illuminate how ownership structures interact with power asymmetries and regulatory environments.</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2.2.1 Political Economy Perspective</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Political economy analysis </w:t>
      </w:r>
      <w:r>
        <w:rPr>
          <w:rFonts w:ascii="Times New Roman" w:cs="Times New Roman" w:hAnsi="Times New Roman"/>
          <w:sz w:val="24"/>
          <w:szCs w:val="24"/>
          <w:lang w:eastAsia="en-GB"/>
        </w:rPr>
        <w:t>emphasises</w:t>
      </w:r>
      <w:r>
        <w:rPr>
          <w:rFonts w:ascii="Times New Roman" w:cs="Times New Roman" w:hAnsi="Times New Roman"/>
          <w:sz w:val="24"/>
          <w:szCs w:val="24"/>
          <w:lang w:eastAsia="en-GB"/>
        </w:rPr>
        <w:t xml:space="preserve"> how economic outcomes reflect power distributions between capital,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and the state (Harvey, 2005). Ownership transfer does not inherently alter accumulation logics. Where regulatory enforcement is weak and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bargaining power constrained, capital</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 xml:space="preserve">whether foreign or domestic—may pursue profit </w:t>
      </w:r>
      <w:r>
        <w:rPr>
          <w:rFonts w:ascii="Times New Roman" w:cs="Times New Roman" w:hAnsi="Times New Roman"/>
          <w:sz w:val="24"/>
          <w:szCs w:val="24"/>
          <w:lang w:eastAsia="en-GB"/>
        </w:rPr>
        <w:t>maximisation</w:t>
      </w:r>
      <w:r>
        <w:rPr>
          <w:rFonts w:ascii="Times New Roman" w:cs="Times New Roman" w:hAnsi="Times New Roman"/>
          <w:sz w:val="24"/>
          <w:szCs w:val="24"/>
          <w:lang w:eastAsia="en-GB"/>
        </w:rPr>
        <w:t xml:space="preserve"> through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cost suppression.</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Within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indigenous elites often operate within the same global market pressures and domestic institutional constraints as foreign firms. In the absence of strong enforcement of welfare standards,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protections become negotiable rather than guaranteed. Thus, the policy’s redistributive promise may be diluted by structural power imbalances.</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 xml:space="preserve">2.2.2 Post-Colonial </w:t>
      </w:r>
      <w:r>
        <w:rPr>
          <w:rFonts w:ascii="Times New Roman" w:cs="Times New Roman" w:hAnsi="Times New Roman"/>
          <w:b/>
          <w:bCs/>
          <w:sz w:val="24"/>
          <w:szCs w:val="24"/>
          <w:lang w:eastAsia="en-GB"/>
        </w:rPr>
        <w:t>Labour</w:t>
      </w:r>
      <w:r>
        <w:rPr>
          <w:rFonts w:ascii="Times New Roman" w:cs="Times New Roman" w:hAnsi="Times New Roman"/>
          <w:b/>
          <w:bCs/>
          <w:sz w:val="24"/>
          <w:szCs w:val="24"/>
          <w:lang w:eastAsia="en-GB"/>
        </w:rPr>
        <w:t xml:space="preserve"> Perspective</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Post-colonial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theory highlights how formal independence does not automatically dismantle colonial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hierarchies (Fanon, 1963; Ake, 1981). Indigenous elites may inherit and reproduce exploitative structures under national symbolism.</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In Nigeria,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symbolises</w:t>
      </w:r>
      <w:r>
        <w:rPr>
          <w:rFonts w:ascii="Times New Roman" w:cs="Times New Roman" w:hAnsi="Times New Roman"/>
          <w:sz w:val="24"/>
          <w:szCs w:val="24"/>
          <w:lang w:eastAsia="en-GB"/>
        </w:rPr>
        <w:t xml:space="preserve"> sovereignty and economic self-determination. However, when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relations remain hierarchical and extractive, the reform risks becoming symbolic rather than transformative. This dynamic can be understood as internal reproduction of domination, where exploitation persists under domestic rather than foreign control.</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 xml:space="preserve">2.2.3 Dual </w:t>
      </w:r>
      <w:r>
        <w:rPr>
          <w:rFonts w:ascii="Times New Roman" w:cs="Times New Roman" w:hAnsi="Times New Roman"/>
          <w:b/>
          <w:bCs/>
          <w:sz w:val="24"/>
          <w:szCs w:val="24"/>
          <w:lang w:eastAsia="en-GB"/>
        </w:rPr>
        <w:t>Labour</w:t>
      </w:r>
      <w:r>
        <w:rPr>
          <w:rFonts w:ascii="Times New Roman" w:cs="Times New Roman" w:hAnsi="Times New Roman"/>
          <w:b/>
          <w:bCs/>
          <w:sz w:val="24"/>
          <w:szCs w:val="24"/>
          <w:lang w:eastAsia="en-GB"/>
        </w:rPr>
        <w:t xml:space="preserve"> Market Perspective</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Dual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Market Theory (Doeringer &amp; </w:t>
      </w:r>
      <w:r>
        <w:rPr>
          <w:rFonts w:ascii="Times New Roman" w:cs="Times New Roman" w:hAnsi="Times New Roman"/>
          <w:sz w:val="24"/>
          <w:szCs w:val="24"/>
          <w:lang w:eastAsia="en-GB"/>
        </w:rPr>
        <w:t>Piore</w:t>
      </w:r>
      <w:r>
        <w:rPr>
          <w:rFonts w:ascii="Times New Roman" w:cs="Times New Roman" w:hAnsi="Times New Roman"/>
          <w:sz w:val="24"/>
          <w:szCs w:val="24"/>
          <w:lang w:eastAsia="en-GB"/>
        </w:rPr>
        <w:t>, 1971) distinguishes between primary (secure, well-compensated) and secondary (precarious, low-protection) employment segments.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Evidence from Nigerian-owned oil and private firms suggests that many workers remain in secondary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positions </w:t>
      </w:r>
      <w:r>
        <w:rPr>
          <w:rFonts w:ascii="Times New Roman" w:cs="Times New Roman" w:hAnsi="Times New Roman"/>
          <w:sz w:val="24"/>
          <w:szCs w:val="24"/>
          <w:lang w:eastAsia="en-GB"/>
        </w:rPr>
        <w:t>characterised</w:t>
      </w:r>
      <w:r>
        <w:rPr>
          <w:rFonts w:ascii="Times New Roman" w:cs="Times New Roman" w:hAnsi="Times New Roman"/>
          <w:sz w:val="24"/>
          <w:szCs w:val="24"/>
          <w:lang w:eastAsia="en-GB"/>
        </w:rPr>
        <w:t xml:space="preserve"> by contract work, outsourcing, limited benefits, and restricted mobility. Meanwhile, managerial elites occupy protected primary positions.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This segmentation explains how high-revenue sectors can coexist with widespread worker insecurity.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may have expanded ownership participation without restructuring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segmentation patterns.</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2.3 Comparative and Policy Implications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A comparative lens strengthens the analysis. Resource-rich countries that successfully linked local participation to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upgrading—such as Norway—embedded enforceable training quotas, collective bargaining protections, and measurable welfare standards within petroleum governance frameworks.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Nigeria’s regime, by contrast, </w:t>
      </w:r>
      <w:r>
        <w:rPr>
          <w:rFonts w:ascii="Times New Roman" w:cs="Times New Roman" w:hAnsi="Times New Roman"/>
          <w:sz w:val="24"/>
          <w:szCs w:val="24"/>
          <w:lang w:eastAsia="en-GB"/>
        </w:rPr>
        <w:t>emphasises</w:t>
      </w:r>
      <w:r>
        <w:rPr>
          <w:rFonts w:ascii="Times New Roman" w:cs="Times New Roman" w:hAnsi="Times New Roman"/>
          <w:sz w:val="24"/>
          <w:szCs w:val="24"/>
          <w:lang w:eastAsia="en-GB"/>
        </w:rPr>
        <w:t xml:space="preserve"> participation metrics over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quality benchmarks. The absence of clear compliance indicators—such as mandatory pension coverage rates, health insurance thresholds, minimum contract duration standards, or training progression ratios—limits accountability.</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For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to align with decent work principles, policy architecture must incorporate measurable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benchmarks, including:</w:t>
      </w:r>
      <w:r>
        <w:rPr>
          <w:rFonts w:ascii="Times New Roman" w:cs="Times New Roman" w:hAnsi="Times New Roman"/>
          <w:sz w:val="24"/>
          <w:szCs w:val="24"/>
          <w:lang w:eastAsia="en-GB"/>
        </w:rPr>
        <w:t xml:space="preserve"> m</w:t>
      </w:r>
      <w:r>
        <w:rPr>
          <w:rFonts w:ascii="Times New Roman" w:cs="Times New Roman" w:hAnsi="Times New Roman"/>
          <w:sz w:val="24"/>
          <w:szCs w:val="24"/>
          <w:lang w:eastAsia="en-GB"/>
        </w:rPr>
        <w:t>inimum welfare standards tied to industry revenue levels</w:t>
      </w:r>
      <w:r>
        <w:rPr>
          <w:rFonts w:ascii="Times New Roman" w:cs="Times New Roman" w:hAnsi="Times New Roman"/>
          <w:sz w:val="24"/>
          <w:szCs w:val="24"/>
          <w:lang w:eastAsia="en-GB"/>
        </w:rPr>
        <w:t>, e</w:t>
      </w:r>
      <w:r>
        <w:rPr>
          <w:rFonts w:ascii="Times New Roman" w:cs="Times New Roman" w:hAnsi="Times New Roman"/>
          <w:sz w:val="24"/>
          <w:szCs w:val="24"/>
          <w:lang w:eastAsia="en-GB"/>
        </w:rPr>
        <w:t>nforceable pension and health insurance coverage ratios</w:t>
      </w:r>
      <w:r>
        <w:rPr>
          <w:rFonts w:ascii="Times New Roman" w:cs="Times New Roman" w:hAnsi="Times New Roman"/>
          <w:sz w:val="24"/>
          <w:szCs w:val="24"/>
          <w:lang w:eastAsia="en-GB"/>
        </w:rPr>
        <w:t>, t</w:t>
      </w:r>
      <w:r>
        <w:rPr>
          <w:rFonts w:ascii="Times New Roman" w:cs="Times New Roman" w:hAnsi="Times New Roman"/>
          <w:sz w:val="24"/>
          <w:szCs w:val="24"/>
          <w:lang w:eastAsia="en-GB"/>
        </w:rPr>
        <w:t>ransparent reporting on contract versus permanent employment shares</w:t>
      </w:r>
      <w:r>
        <w:rPr>
          <w:rFonts w:ascii="Times New Roman" w:cs="Times New Roman" w:hAnsi="Times New Roman"/>
          <w:sz w:val="24"/>
          <w:szCs w:val="24"/>
          <w:lang w:eastAsia="en-GB"/>
        </w:rPr>
        <w:t>, s</w:t>
      </w:r>
      <w:r>
        <w:rPr>
          <w:rFonts w:ascii="Times New Roman" w:cs="Times New Roman" w:hAnsi="Times New Roman"/>
          <w:sz w:val="24"/>
          <w:szCs w:val="24"/>
          <w:lang w:eastAsia="en-GB"/>
        </w:rPr>
        <w:t>kills progression targets for Nigerian technical staff</w:t>
      </w:r>
      <w:r>
        <w:rPr>
          <w:rFonts w:ascii="Times New Roman" w:cs="Times New Roman" w:hAnsi="Times New Roman"/>
          <w:sz w:val="24"/>
          <w:szCs w:val="24"/>
          <w:lang w:eastAsia="en-GB"/>
        </w:rPr>
        <w:t xml:space="preserve"> and i</w:t>
      </w:r>
      <w:r>
        <w:rPr>
          <w:rFonts w:ascii="Times New Roman" w:cs="Times New Roman" w:hAnsi="Times New Roman"/>
          <w:sz w:val="24"/>
          <w:szCs w:val="24"/>
          <w:lang w:eastAsia="en-GB"/>
        </w:rPr>
        <w:t xml:space="preserve">ndependent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compliance audits</w:t>
      </w:r>
      <w:r>
        <w:rPr>
          <w:rFonts w:ascii="Times New Roman" w:cs="Times New Roman" w:hAnsi="Times New Roman"/>
          <w:sz w:val="24"/>
          <w:szCs w:val="24"/>
          <w:lang w:eastAsia="en-GB"/>
        </w:rPr>
        <w:t>. E</w:t>
      </w:r>
      <w:r>
        <w:rPr>
          <w:rFonts w:ascii="Times New Roman" w:cs="Times New Roman" w:hAnsi="Times New Roman"/>
          <w:sz w:val="24"/>
          <w:szCs w:val="24"/>
          <w:lang w:eastAsia="en-GB"/>
        </w:rPr>
        <w:t xml:space="preserve">mbedding such indicators would </w:t>
      </w:r>
      <w:r>
        <w:rPr>
          <w:rFonts w:ascii="Times New Roman" w:cs="Times New Roman" w:hAnsi="Times New Roman"/>
          <w:sz w:val="24"/>
          <w:szCs w:val="24"/>
          <w:lang w:eastAsia="en-GB"/>
        </w:rPr>
        <w:t>operationalise</w:t>
      </w:r>
      <w:r>
        <w:rPr>
          <w:rFonts w:ascii="Times New Roman" w:cs="Times New Roman" w:hAnsi="Times New Roman"/>
          <w:sz w:val="24"/>
          <w:szCs w:val="24"/>
          <w:lang w:eastAsia="en-GB"/>
        </w:rPr>
        <w:t xml:space="preserve"> decent work within local content frameworks and reduce the gap between policy symbolism and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realities.</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2.4 Synthesis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The literature reveals that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cannot be evaluated solely through ownership statistics or participation rates. When </w:t>
      </w:r>
      <w:r>
        <w:rPr>
          <w:rFonts w:ascii="Times New Roman" w:cs="Times New Roman" w:hAnsi="Times New Roman"/>
          <w:sz w:val="24"/>
          <w:szCs w:val="24"/>
          <w:lang w:eastAsia="en-GB"/>
        </w:rPr>
        <w:t>analysed</w:t>
      </w:r>
      <w:r>
        <w:rPr>
          <w:rFonts w:ascii="Times New Roman" w:cs="Times New Roman" w:hAnsi="Times New Roman"/>
          <w:sz w:val="24"/>
          <w:szCs w:val="24"/>
          <w:lang w:eastAsia="en-GB"/>
        </w:rPr>
        <w:t xml:space="preserve"> through decent work and underemployment frameworks, supported by political economy, post-colonial, and dual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market theories, the policy’s paradox becomes clear: indigenous ownership has expanded without commensurate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upgrading.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eastAsia="en-GB"/>
        </w:rPr>
        <w:t xml:space="preserve">This synthesis positions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not simply as a flawed reform but as a policy operating within structural constraints that </w:t>
      </w:r>
      <w:r>
        <w:rPr>
          <w:rFonts w:ascii="Times New Roman" w:cs="Times New Roman" w:hAnsi="Times New Roman"/>
          <w:sz w:val="24"/>
          <w:szCs w:val="24"/>
          <w:lang w:eastAsia="en-GB"/>
        </w:rPr>
        <w:t>prioritise</w:t>
      </w:r>
      <w:r>
        <w:rPr>
          <w:rFonts w:ascii="Times New Roman" w:cs="Times New Roman" w:hAnsi="Times New Roman"/>
          <w:sz w:val="24"/>
          <w:szCs w:val="24"/>
          <w:lang w:eastAsia="en-GB"/>
        </w:rPr>
        <w:t xml:space="preserve"> elite accumulation over worker welfare. The empirical analysis in subsequent chapters builds on this integrated framework to examine how these structural dynamics shape lived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experiences in Nigeria’s oil and private sectors.</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3.0 Methodology</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This study adopts a mixed-methods research design integrating quantitative and qualitative approaches to examine the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consequences of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in Nigeria’s oil and private sectors. The design is explanatory and comparative, enabling systematic evaluation of wage structures, welfare provisions, and employment conditions across firm categories, while also capturing workers’ lived experiences. This approach is particularly suited to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research in extractive economies, where numerical indicators alone cannot adequately reflect insecurity, dignity, and power asymmetries (Creswell &amp; Plano Clark, 2018).</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3.1 Research Design and Scope</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The quantitative component compares wages, allowances, pension coverage, medical insurance access, and contract structures across three firm categories:</w:t>
      </w:r>
    </w:p>
    <w:p>
      <w:pPr>
        <w:pStyle w:val="style179"/>
        <w:numPr>
          <w:ilvl w:val="0"/>
          <w:numId w:val="2"/>
        </w:numPr>
        <w:spacing w:after="160"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Nigerian-owned oil and gas firms</w:t>
      </w:r>
    </w:p>
    <w:p>
      <w:pPr>
        <w:pStyle w:val="style179"/>
        <w:numPr>
          <w:ilvl w:val="0"/>
          <w:numId w:val="2"/>
        </w:numPr>
        <w:spacing w:after="160"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IOC-linked service companies</w:t>
      </w:r>
    </w:p>
    <w:p>
      <w:pPr>
        <w:pStyle w:val="style179"/>
        <w:numPr>
          <w:ilvl w:val="0"/>
          <w:numId w:val="2"/>
        </w:numPr>
        <w:spacing w:after="160"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Nigerian-owned private sector firms outside oil</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The qualitative component explores perceptions of employment security, welfare erosion, career progression, and coping strategies within these firms. The study focuses on key oil-producing and commercial hubs in Nigeria, including:</w:t>
      </w:r>
    </w:p>
    <w:p>
      <w:pPr>
        <w:pStyle w:val="style179"/>
        <w:numPr>
          <w:ilvl w:val="0"/>
          <w:numId w:val="3"/>
        </w:numPr>
        <w:spacing w:after="160"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Port Harcourt</w:t>
      </w:r>
    </w:p>
    <w:p>
      <w:pPr>
        <w:pStyle w:val="style179"/>
        <w:numPr>
          <w:ilvl w:val="0"/>
          <w:numId w:val="3"/>
        </w:numPr>
        <w:spacing w:after="160"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Lagos</w:t>
      </w:r>
    </w:p>
    <w:p>
      <w:pPr>
        <w:pStyle w:val="style179"/>
        <w:numPr>
          <w:ilvl w:val="0"/>
          <w:numId w:val="3"/>
        </w:numPr>
        <w:spacing w:after="160"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Warri</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These locations were selected due to their concentration of oil operations, service firms, and private sector activities.</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3.2 Population and Sample Distribution</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Purposive sampling was employed to select firms and respondents with direct relevance to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and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practices. Selection criteria included ownership structure, workforce size, and operational relevance within the oil and private sectors.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A total of 60 semi-structured interviews were conducted across sectors. The distribution is presented below for transparency:</w:t>
      </w:r>
    </w:p>
    <w:tbl>
      <w:tblPr>
        <w:tblStyle w:val="style154"/>
        <w:tblW w:w="0" w:type="auto"/>
        <w:tblLook w:val="04A0" w:firstRow="1" w:lastRow="0" w:firstColumn="1" w:lastColumn="0" w:noHBand="0" w:noVBand="1"/>
      </w:tblPr>
      <w:tblGrid>
        <w:gridCol w:w="2976"/>
        <w:gridCol w:w="1134"/>
        <w:gridCol w:w="1504"/>
        <w:gridCol w:w="1680"/>
        <w:gridCol w:w="1015"/>
      </w:tblGrid>
      <w:tr>
        <w:trPr/>
        <w:tc>
          <w:tcPr>
            <w:tcW w:w="3397"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Sector Category</w:t>
            </w:r>
          </w:p>
        </w:tc>
        <w:tc>
          <w:tcPr>
            <w:tcW w:w="1134"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Workers</w:t>
            </w:r>
          </w:p>
        </w:tc>
        <w:tc>
          <w:tcPr>
            <w:tcW w:w="1560"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HR Managers</w:t>
            </w:r>
          </w:p>
        </w:tc>
        <w:tc>
          <w:tcPr>
            <w:tcW w:w="1842"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Union Officials</w:t>
            </w:r>
          </w:p>
        </w:tc>
        <w:tc>
          <w:tcPr>
            <w:tcW w:w="1083"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Total</w:t>
            </w:r>
          </w:p>
        </w:tc>
      </w:tr>
      <w:tr>
        <w:tblPrEx/>
        <w:trPr/>
        <w:tc>
          <w:tcPr>
            <w:tcW w:w="3397" w:type="dxa"/>
            <w:tcBorders/>
            <w:hideMark/>
          </w:tcPr>
          <w:p>
            <w:pPr>
              <w:pStyle w:val="style157"/>
              <w:jc w:val="both"/>
              <w:rPr>
                <w:rFonts w:ascii="Times New Roman" w:cs="Times New Roman" w:hAnsi="Times New Roman"/>
                <w:sz w:val="24"/>
                <w:szCs w:val="24"/>
                <w:lang w:eastAsia="en-GB"/>
              </w:rPr>
            </w:pPr>
            <w:r>
              <w:rPr>
                <w:rFonts w:ascii="Times New Roman" w:cs="Times New Roman" w:hAnsi="Times New Roman"/>
                <w:sz w:val="24"/>
                <w:szCs w:val="24"/>
                <w:lang w:eastAsia="en-GB"/>
              </w:rPr>
              <w:t>Nigerian-owned oil firms</w:t>
            </w:r>
          </w:p>
        </w:tc>
        <w:tc>
          <w:tcPr>
            <w:tcW w:w="1134"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18</w:t>
            </w:r>
          </w:p>
        </w:tc>
        <w:tc>
          <w:tcPr>
            <w:tcW w:w="1560"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4</w:t>
            </w:r>
          </w:p>
        </w:tc>
        <w:tc>
          <w:tcPr>
            <w:tcW w:w="1842"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3</w:t>
            </w:r>
          </w:p>
        </w:tc>
        <w:tc>
          <w:tcPr>
            <w:tcW w:w="1083"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25</w:t>
            </w:r>
          </w:p>
        </w:tc>
      </w:tr>
      <w:tr>
        <w:tblPrEx/>
        <w:trPr/>
        <w:tc>
          <w:tcPr>
            <w:tcW w:w="3397" w:type="dxa"/>
            <w:tcBorders/>
            <w:hideMark/>
          </w:tcPr>
          <w:p>
            <w:pPr>
              <w:pStyle w:val="style157"/>
              <w:jc w:val="both"/>
              <w:rPr>
                <w:rFonts w:ascii="Times New Roman" w:cs="Times New Roman" w:hAnsi="Times New Roman"/>
                <w:sz w:val="24"/>
                <w:szCs w:val="24"/>
                <w:lang w:eastAsia="en-GB"/>
              </w:rPr>
            </w:pPr>
            <w:r>
              <w:rPr>
                <w:rFonts w:ascii="Times New Roman" w:cs="Times New Roman" w:hAnsi="Times New Roman"/>
                <w:sz w:val="24"/>
                <w:szCs w:val="24"/>
                <w:lang w:eastAsia="en-GB"/>
              </w:rPr>
              <w:t>IOC-linked service companies</w:t>
            </w:r>
          </w:p>
        </w:tc>
        <w:tc>
          <w:tcPr>
            <w:tcW w:w="1134"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10</w:t>
            </w:r>
          </w:p>
        </w:tc>
        <w:tc>
          <w:tcPr>
            <w:tcW w:w="1560"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3</w:t>
            </w:r>
          </w:p>
        </w:tc>
        <w:tc>
          <w:tcPr>
            <w:tcW w:w="1842"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2</w:t>
            </w:r>
          </w:p>
        </w:tc>
        <w:tc>
          <w:tcPr>
            <w:tcW w:w="1083"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15</w:t>
            </w:r>
          </w:p>
        </w:tc>
      </w:tr>
      <w:tr>
        <w:tblPrEx/>
        <w:trPr/>
        <w:tc>
          <w:tcPr>
            <w:tcW w:w="3397" w:type="dxa"/>
            <w:tcBorders/>
            <w:hideMark/>
          </w:tcPr>
          <w:p>
            <w:pPr>
              <w:pStyle w:val="style157"/>
              <w:jc w:val="both"/>
              <w:rPr>
                <w:rFonts w:ascii="Times New Roman" w:cs="Times New Roman" w:hAnsi="Times New Roman"/>
                <w:sz w:val="24"/>
                <w:szCs w:val="24"/>
                <w:lang w:eastAsia="en-GB"/>
              </w:rPr>
            </w:pPr>
            <w:r>
              <w:rPr>
                <w:rFonts w:ascii="Times New Roman" w:cs="Times New Roman" w:hAnsi="Times New Roman"/>
                <w:sz w:val="24"/>
                <w:szCs w:val="24"/>
                <w:lang w:eastAsia="en-GB"/>
              </w:rPr>
              <w:t>Nigerian-owned private firms</w:t>
            </w:r>
          </w:p>
        </w:tc>
        <w:tc>
          <w:tcPr>
            <w:tcW w:w="1134"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14</w:t>
            </w:r>
          </w:p>
        </w:tc>
        <w:tc>
          <w:tcPr>
            <w:tcW w:w="1560"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4</w:t>
            </w:r>
          </w:p>
        </w:tc>
        <w:tc>
          <w:tcPr>
            <w:tcW w:w="1842"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2</w:t>
            </w:r>
          </w:p>
        </w:tc>
        <w:tc>
          <w:tcPr>
            <w:tcW w:w="1083"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20</w:t>
            </w:r>
          </w:p>
        </w:tc>
      </w:tr>
      <w:tr>
        <w:tblPrEx/>
        <w:trPr/>
        <w:tc>
          <w:tcPr>
            <w:tcW w:w="3397" w:type="dxa"/>
            <w:tcBorders/>
            <w:hideMark/>
          </w:tcPr>
          <w:p>
            <w:pPr>
              <w:pStyle w:val="style157"/>
              <w:jc w:val="both"/>
              <w:rPr>
                <w:rFonts w:ascii="Times New Roman" w:cs="Times New Roman" w:hAnsi="Times New Roman"/>
                <w:sz w:val="24"/>
                <w:szCs w:val="24"/>
                <w:lang w:eastAsia="en-GB"/>
              </w:rPr>
            </w:pPr>
            <w:r>
              <w:rPr>
                <w:rFonts w:ascii="Times New Roman" w:cs="Times New Roman" w:hAnsi="Times New Roman"/>
                <w:sz w:val="24"/>
                <w:szCs w:val="24"/>
                <w:lang w:eastAsia="en-GB"/>
              </w:rPr>
              <w:t>Total</w:t>
            </w:r>
          </w:p>
        </w:tc>
        <w:tc>
          <w:tcPr>
            <w:tcW w:w="1134"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42</w:t>
            </w:r>
          </w:p>
        </w:tc>
        <w:tc>
          <w:tcPr>
            <w:tcW w:w="1560"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11</w:t>
            </w:r>
          </w:p>
        </w:tc>
        <w:tc>
          <w:tcPr>
            <w:tcW w:w="1842"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7</w:t>
            </w:r>
          </w:p>
        </w:tc>
        <w:tc>
          <w:tcPr>
            <w:tcW w:w="1083" w:type="dxa"/>
            <w:tcBorders/>
            <w:hideMark/>
          </w:tcPr>
          <w:p>
            <w:pPr>
              <w:pStyle w:val="style157"/>
              <w:jc w:val="center"/>
              <w:rPr>
                <w:rFonts w:ascii="Times New Roman" w:cs="Times New Roman" w:hAnsi="Times New Roman"/>
                <w:sz w:val="24"/>
                <w:szCs w:val="24"/>
                <w:lang w:eastAsia="en-GB"/>
              </w:rPr>
            </w:pPr>
            <w:r>
              <w:rPr>
                <w:rFonts w:ascii="Times New Roman" w:cs="Times New Roman" w:hAnsi="Times New Roman"/>
                <w:sz w:val="24"/>
                <w:szCs w:val="24"/>
                <w:lang w:eastAsia="en-GB"/>
              </w:rPr>
              <w:t>60</w:t>
            </w:r>
          </w:p>
        </w:tc>
      </w:tr>
    </w:tbl>
    <w:p>
      <w:pPr>
        <w:pStyle w:val="style0"/>
        <w:spacing w:lineRule="auto" w:line="360"/>
        <w:jc w:val="both"/>
        <w:rPr>
          <w:rFonts w:ascii="Times New Roman" w:cs="Times New Roman" w:hAnsi="Times New Roman"/>
          <w:sz w:val="24"/>
          <w:szCs w:val="24"/>
          <w:lang w:eastAsia="en-GB"/>
        </w:rPr>
      </w:pP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Geographically, interviews were distributed as follows:</w:t>
      </w:r>
    </w:p>
    <w:p>
      <w:pPr>
        <w:pStyle w:val="style179"/>
        <w:numPr>
          <w:ilvl w:val="0"/>
          <w:numId w:val="4"/>
        </w:numPr>
        <w:spacing w:after="160"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Port Harcourt – 25 respondents</w:t>
      </w:r>
    </w:p>
    <w:p>
      <w:pPr>
        <w:pStyle w:val="style179"/>
        <w:numPr>
          <w:ilvl w:val="0"/>
          <w:numId w:val="4"/>
        </w:numPr>
        <w:spacing w:after="160"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Lagos – 20 respondents</w:t>
      </w:r>
    </w:p>
    <w:p>
      <w:pPr>
        <w:pStyle w:val="style179"/>
        <w:numPr>
          <w:ilvl w:val="0"/>
          <w:numId w:val="4"/>
        </w:numPr>
        <w:spacing w:after="160"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Warri – 15 respondents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This distribution reflects sectoral concentration patterns and enhances representativeness across Nigeria’s core oil and commercial zones.</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3.3 Data Sources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To ensure triangulation and analytical robustness, data were drawn from multiple sources:</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 xml:space="preserve">Primary </w:t>
      </w:r>
      <w:r>
        <w:rPr>
          <w:rFonts w:ascii="Times New Roman" w:cs="Times New Roman" w:hAnsi="Times New Roman"/>
          <w:sz w:val="24"/>
          <w:szCs w:val="24"/>
          <w:lang w:eastAsia="en-GB"/>
        </w:rPr>
        <w:t>d</w:t>
      </w:r>
      <w:r>
        <w:rPr>
          <w:rFonts w:ascii="Times New Roman" w:cs="Times New Roman" w:hAnsi="Times New Roman"/>
          <w:sz w:val="24"/>
          <w:szCs w:val="24"/>
          <w:lang w:eastAsia="en-GB"/>
        </w:rPr>
        <w:t>ata</w:t>
      </w:r>
      <w:r>
        <w:rPr>
          <w:rFonts w:ascii="Times New Roman" w:cs="Times New Roman" w:hAnsi="Times New Roman"/>
          <w:sz w:val="24"/>
          <w:szCs w:val="24"/>
          <w:lang w:eastAsia="en-GB"/>
        </w:rPr>
        <w:t xml:space="preserve"> includes: </w:t>
      </w:r>
      <w:r>
        <w:rPr>
          <w:rFonts w:ascii="Times New Roman" w:cs="Times New Roman" w:hAnsi="Times New Roman"/>
          <w:sz w:val="24"/>
          <w:szCs w:val="24"/>
          <w:lang w:eastAsia="en-GB"/>
        </w:rPr>
        <w:t xml:space="preserve">Semi-structured interviews with workers, HR managers, and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union representatives</w:t>
      </w:r>
      <w:r>
        <w:rPr>
          <w:rFonts w:ascii="Times New Roman" w:cs="Times New Roman" w:hAnsi="Times New Roman"/>
          <w:sz w:val="24"/>
          <w:szCs w:val="24"/>
          <w:lang w:eastAsia="en-GB"/>
        </w:rPr>
        <w:t xml:space="preserve"> and </w:t>
      </w:r>
      <w:r>
        <w:rPr>
          <w:rFonts w:ascii="Times New Roman" w:cs="Times New Roman" w:hAnsi="Times New Roman"/>
          <w:sz w:val="24"/>
          <w:szCs w:val="24"/>
          <w:lang w:eastAsia="en-GB"/>
        </w:rPr>
        <w:t>Observational insights from firm-level employment practices</w:t>
      </w:r>
      <w:r>
        <w:rPr>
          <w:rFonts w:ascii="Times New Roman" w:cs="Times New Roman" w:hAnsi="Times New Roman"/>
          <w:sz w:val="24"/>
          <w:szCs w:val="24"/>
          <w:lang w:eastAsia="en-GB"/>
        </w:rPr>
        <w:t>. While s</w:t>
      </w:r>
      <w:r>
        <w:rPr>
          <w:rFonts w:ascii="Times New Roman" w:cs="Times New Roman" w:hAnsi="Times New Roman"/>
          <w:sz w:val="24"/>
          <w:szCs w:val="24"/>
          <w:lang w:eastAsia="en-GB"/>
        </w:rPr>
        <w:t xml:space="preserve">econdary </w:t>
      </w:r>
      <w:r>
        <w:rPr>
          <w:rFonts w:ascii="Times New Roman" w:cs="Times New Roman" w:hAnsi="Times New Roman"/>
          <w:sz w:val="24"/>
          <w:szCs w:val="24"/>
          <w:lang w:eastAsia="en-GB"/>
        </w:rPr>
        <w:t>d</w:t>
      </w:r>
      <w:r>
        <w:rPr>
          <w:rFonts w:ascii="Times New Roman" w:cs="Times New Roman" w:hAnsi="Times New Roman"/>
          <w:sz w:val="24"/>
          <w:szCs w:val="24"/>
          <w:lang w:eastAsia="en-GB"/>
        </w:rPr>
        <w:t>ata</w:t>
      </w:r>
      <w:r>
        <w:rPr>
          <w:rFonts w:ascii="Times New Roman" w:cs="Times New Roman" w:hAnsi="Times New Roman"/>
          <w:sz w:val="24"/>
          <w:szCs w:val="24"/>
          <w:lang w:eastAsia="en-GB"/>
        </w:rPr>
        <w:t xml:space="preserve"> includes: c</w:t>
      </w:r>
      <w:r>
        <w:rPr>
          <w:rFonts w:ascii="Times New Roman" w:cs="Times New Roman" w:hAnsi="Times New Roman"/>
          <w:sz w:val="24"/>
          <w:szCs w:val="24"/>
          <w:lang w:eastAsia="en-GB"/>
        </w:rPr>
        <w:t xml:space="preserve">ompany employment manuals and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contracts</w:t>
      </w:r>
      <w:r>
        <w:rPr>
          <w:rFonts w:ascii="Times New Roman" w:cs="Times New Roman" w:hAnsi="Times New Roman"/>
          <w:sz w:val="24"/>
          <w:szCs w:val="24"/>
          <w:lang w:eastAsia="en-GB"/>
        </w:rPr>
        <w:t>, N</w:t>
      </w:r>
      <w:r>
        <w:rPr>
          <w:rFonts w:ascii="Times New Roman" w:cs="Times New Roman" w:hAnsi="Times New Roman"/>
          <w:sz w:val="24"/>
          <w:szCs w:val="24"/>
          <w:lang w:eastAsia="en-GB"/>
        </w:rPr>
        <w:t xml:space="preserve">ational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statistics from the National Bureau of Statistics</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Public wage benchmarks</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 xml:space="preserve">Reports from the International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Organization</w:t>
      </w:r>
      <w:r>
        <w:rPr>
          <w:rFonts w:ascii="Times New Roman" w:cs="Times New Roman" w:hAnsi="Times New Roman"/>
          <w:sz w:val="24"/>
          <w:szCs w:val="24"/>
          <w:lang w:eastAsia="en-GB"/>
        </w:rPr>
        <w:t xml:space="preserve"> and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and Local Content policy documents</w:t>
      </w:r>
      <w:r>
        <w:rPr>
          <w:rFonts w:ascii="Times New Roman" w:cs="Times New Roman" w:hAnsi="Times New Roman"/>
          <w:sz w:val="24"/>
          <w:szCs w:val="24"/>
          <w:lang w:eastAsia="en-GB"/>
        </w:rPr>
        <w:t>.</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The integration of these sources allows comparison between policy objectives and actual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outcomes.</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3.4 Data Analysis Procedures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Quantitative data were </w:t>
      </w:r>
      <w:r>
        <w:rPr>
          <w:rFonts w:ascii="Times New Roman" w:cs="Times New Roman" w:hAnsi="Times New Roman"/>
          <w:sz w:val="24"/>
          <w:szCs w:val="24"/>
          <w:lang w:eastAsia="en-GB"/>
        </w:rPr>
        <w:t>analysed</w:t>
      </w:r>
      <w:r>
        <w:rPr>
          <w:rFonts w:ascii="Times New Roman" w:cs="Times New Roman" w:hAnsi="Times New Roman"/>
          <w:sz w:val="24"/>
          <w:szCs w:val="24"/>
          <w:lang w:eastAsia="en-GB"/>
        </w:rPr>
        <w:t xml:space="preserve"> through descriptive comparative techniques, focusing on</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Wage differentials</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Allowance structures</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Pension coverage rates</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medical insurance access</w:t>
      </w:r>
      <w:r>
        <w:rPr>
          <w:rFonts w:ascii="Times New Roman" w:cs="Times New Roman" w:hAnsi="Times New Roman"/>
          <w:sz w:val="24"/>
          <w:szCs w:val="24"/>
          <w:lang w:eastAsia="en-GB"/>
        </w:rPr>
        <w:t xml:space="preserve"> and </w:t>
      </w:r>
      <w:r>
        <w:rPr>
          <w:rFonts w:ascii="Times New Roman" w:cs="Times New Roman" w:hAnsi="Times New Roman"/>
          <w:sz w:val="24"/>
          <w:szCs w:val="24"/>
          <w:lang w:eastAsia="en-GB"/>
        </w:rPr>
        <w:t>Contract duration patterns</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Comparisons were made across firm categories to identify structural differences between indigenous and IOC-linked firms.</w:t>
      </w:r>
      <w:r>
        <w:rPr>
          <w:rFonts w:ascii="Times New Roman" w:cs="Times New Roman" w:hAnsi="Times New Roman"/>
          <w:sz w:val="24"/>
          <w:szCs w:val="24"/>
          <w:lang w:eastAsia="en-GB"/>
        </w:rPr>
        <w:t xml:space="preserve"> While the q</w:t>
      </w:r>
      <w:r>
        <w:rPr>
          <w:rFonts w:ascii="Times New Roman" w:cs="Times New Roman" w:hAnsi="Times New Roman"/>
          <w:sz w:val="24"/>
          <w:szCs w:val="24"/>
          <w:lang w:eastAsia="en-GB"/>
        </w:rPr>
        <w:t xml:space="preserve">ualitative data were </w:t>
      </w:r>
      <w:r>
        <w:rPr>
          <w:rFonts w:ascii="Times New Roman" w:cs="Times New Roman" w:hAnsi="Times New Roman"/>
          <w:sz w:val="24"/>
          <w:szCs w:val="24"/>
          <w:lang w:eastAsia="en-GB"/>
        </w:rPr>
        <w:t>analysed</w:t>
      </w:r>
      <w:r>
        <w:rPr>
          <w:rFonts w:ascii="Times New Roman" w:cs="Times New Roman" w:hAnsi="Times New Roman"/>
          <w:sz w:val="24"/>
          <w:szCs w:val="24"/>
          <w:lang w:eastAsia="en-GB"/>
        </w:rPr>
        <w:t xml:space="preserve"> using thematic analysis. Interview transcripts were coded and </w:t>
      </w:r>
      <w:r>
        <w:rPr>
          <w:rFonts w:ascii="Times New Roman" w:cs="Times New Roman" w:hAnsi="Times New Roman"/>
          <w:sz w:val="24"/>
          <w:szCs w:val="24"/>
          <w:lang w:eastAsia="en-GB"/>
        </w:rPr>
        <w:t>organised</w:t>
      </w:r>
      <w:r>
        <w:rPr>
          <w:rFonts w:ascii="Times New Roman" w:cs="Times New Roman" w:hAnsi="Times New Roman"/>
          <w:sz w:val="24"/>
          <w:szCs w:val="24"/>
          <w:lang w:eastAsia="en-GB"/>
        </w:rPr>
        <w:t xml:space="preserve"> into four core analytical themes:</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Welfare erosion</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Casualisation</w:t>
      </w:r>
      <w:r>
        <w:rPr>
          <w:rFonts w:ascii="Times New Roman" w:cs="Times New Roman" w:hAnsi="Times New Roman"/>
          <w:sz w:val="24"/>
          <w:szCs w:val="24"/>
          <w:lang w:eastAsia="en-GB"/>
        </w:rPr>
        <w:t xml:space="preserve"> and contract insecurity</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Career stagnation and blocked mobility</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 xml:space="preserve">Coping strategies and adaptive </w:t>
      </w:r>
      <w:r>
        <w:rPr>
          <w:rFonts w:ascii="Times New Roman" w:cs="Times New Roman" w:hAnsi="Times New Roman"/>
          <w:sz w:val="24"/>
          <w:szCs w:val="24"/>
          <w:lang w:eastAsia="en-GB"/>
        </w:rPr>
        <w:t>behaviour</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Mapping excerpts directly to these defined themes improved analytical cohesion and ensured systematic interpretation rather than anecdotal illustration.</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3.5 Ethical Considerations</w:t>
      </w:r>
    </w:p>
    <w:p>
      <w:pPr>
        <w:pStyle w:val="style0"/>
        <w:spacing w:lineRule="auto" w:line="360"/>
        <w:jc w:val="both"/>
        <w:rPr/>
      </w:pPr>
      <w:r>
        <w:rPr>
          <w:rFonts w:ascii="Times New Roman" w:cs="Times New Roman" w:hAnsi="Times New Roman"/>
          <w:sz w:val="24"/>
          <w:szCs w:val="24"/>
          <w:lang w:eastAsia="en-GB"/>
        </w:rPr>
        <w:t xml:space="preserve">All participants were assured confidentiality and anonymity. Pseudonyms were used in reporting interview excerpts, and sensitive firm-level data were </w:t>
      </w:r>
      <w:r>
        <w:rPr>
          <w:rFonts w:ascii="Times New Roman" w:cs="Times New Roman" w:hAnsi="Times New Roman"/>
          <w:sz w:val="24"/>
          <w:szCs w:val="24"/>
          <w:lang w:eastAsia="en-GB"/>
        </w:rPr>
        <w:t>anonymised</w:t>
      </w:r>
      <w:r>
        <w:rPr>
          <w:rFonts w:ascii="Times New Roman" w:cs="Times New Roman" w:hAnsi="Times New Roman"/>
          <w:sz w:val="24"/>
          <w:szCs w:val="24"/>
          <w:lang w:eastAsia="en-GB"/>
        </w:rPr>
        <w:t xml:space="preserve"> to protect </w:t>
      </w:r>
      <w:r>
        <w:rPr>
          <w:rFonts w:ascii="Times New Roman" w:cs="Times New Roman" w:hAnsi="Times New Roman"/>
          <w:sz w:val="24"/>
          <w:szCs w:val="24"/>
          <w:lang w:eastAsia="en-GB"/>
        </w:rPr>
        <w:t>respondents from professional risk. Participation was voluntary, and informed consent was obtained prior to interviews.</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4.0 </w:t>
      </w:r>
      <w:r>
        <w:rPr>
          <w:rFonts w:ascii="Times New Roman" w:cs="Times New Roman" w:hAnsi="Times New Roman"/>
          <w:b/>
          <w:bCs/>
          <w:sz w:val="24"/>
          <w:szCs w:val="24"/>
        </w:rPr>
        <w:t>Findings and Discussion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w:t>
      </w:r>
      <w:r>
        <w:rPr>
          <w:rFonts w:ascii="Times New Roman" w:cs="Times New Roman" w:hAnsi="Times New Roman"/>
          <w:sz w:val="24"/>
          <w:szCs w:val="24"/>
        </w:rPr>
        <w:t>section</w:t>
      </w:r>
      <w:r>
        <w:rPr>
          <w:rFonts w:ascii="Times New Roman" w:cs="Times New Roman" w:hAnsi="Times New Roman"/>
          <w:sz w:val="24"/>
          <w:szCs w:val="24"/>
        </w:rPr>
        <w:t xml:space="preserve"> presents and discusses the empirical findings of the study, focusing on </w:t>
      </w:r>
      <w:r>
        <w:rPr>
          <w:rFonts w:ascii="Times New Roman" w:cs="Times New Roman" w:hAnsi="Times New Roman"/>
          <w:sz w:val="24"/>
          <w:szCs w:val="24"/>
        </w:rPr>
        <w:t>labour</w:t>
      </w:r>
      <w:r>
        <w:rPr>
          <w:rFonts w:ascii="Times New Roman" w:cs="Times New Roman" w:hAnsi="Times New Roman"/>
          <w:sz w:val="24"/>
          <w:szCs w:val="24"/>
        </w:rPr>
        <w:t xml:space="preserve"> welfare, wage structures, employment security, and class outcomes under Nigerian-owned firms in the oil and private sectors. The findings are drawn from comparative analysis of employment conditions across indigenous oil firms, IOC-linked service companies, and Nigerian-owned private enterprises, supplemented by qualitative </w:t>
      </w:r>
      <w:r>
        <w:rPr>
          <w:rFonts w:ascii="Times New Roman" w:cs="Times New Roman" w:hAnsi="Times New Roman"/>
          <w:sz w:val="24"/>
          <w:szCs w:val="24"/>
        </w:rPr>
        <w:t>analysis</w:t>
      </w:r>
      <w:r>
        <w:rPr>
          <w:rFonts w:ascii="Times New Roman" w:cs="Times New Roman" w:hAnsi="Times New Roman"/>
          <w:sz w:val="24"/>
          <w:szCs w:val="24"/>
        </w:rPr>
        <w:t xml:space="preserve"> from workers, human resource managers, and </w:t>
      </w:r>
      <w:r>
        <w:rPr>
          <w:rFonts w:ascii="Times New Roman" w:cs="Times New Roman" w:hAnsi="Times New Roman"/>
          <w:sz w:val="24"/>
          <w:szCs w:val="24"/>
        </w:rPr>
        <w:t>labour</w:t>
      </w:r>
      <w:r>
        <w:rPr>
          <w:rFonts w:ascii="Times New Roman" w:cs="Times New Roman" w:hAnsi="Times New Roman"/>
          <w:sz w:val="24"/>
          <w:szCs w:val="24"/>
        </w:rPr>
        <w:t xml:space="preserve"> union officials.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w:t>
      </w:r>
      <w:r>
        <w:rPr>
          <w:rFonts w:ascii="Times New Roman" w:cs="Times New Roman" w:hAnsi="Times New Roman"/>
          <w:b/>
          <w:bCs/>
          <w:sz w:val="24"/>
          <w:szCs w:val="24"/>
        </w:rPr>
        <w:t>1</w:t>
      </w:r>
      <w:r>
        <w:rPr>
          <w:rFonts w:ascii="Times New Roman" w:cs="Times New Roman" w:hAnsi="Times New Roman"/>
          <w:b/>
          <w:bCs/>
          <w:sz w:val="24"/>
          <w:szCs w:val="24"/>
        </w:rPr>
        <w:t xml:space="preserve"> Collapse of Welfare Structures under Nigerian Ownership</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One of the most striking findings of the study is the systematic collapse of welfare structures that were once standard in the oil sector. Under earlier IOC-dominated regimes, workers are particularly professionals and highly technical, workers had access to comprehensive welfare packages, including employer-funded medical insurance, contributory pension schemes, housing or offshore allowances, and structured leave benefits. In contrast, The Nigerian-owned firms increasingly treat these provisions as optional or dispensable.</w:t>
      </w:r>
    </w:p>
    <w:p>
      <w:pPr>
        <w:pStyle w:val="style157"/>
        <w:jc w:val="both"/>
        <w:rPr>
          <w:rFonts w:ascii="Times New Roman" w:cs="Times New Roman" w:hAnsi="Times New Roman"/>
          <w:sz w:val="24"/>
          <w:szCs w:val="24"/>
        </w:rPr>
      </w:pPr>
      <w:r>
        <w:rPr>
          <w:rFonts w:ascii="Times New Roman" w:cs="Times New Roman" w:hAnsi="Times New Roman"/>
          <w:sz w:val="24"/>
          <w:szCs w:val="24"/>
        </w:rPr>
        <w:t>Table 4.1: Comparison of Welfare Provisions across Firm Types (% of Firms Offering Benefit)</w:t>
      </w:r>
    </w:p>
    <w:tbl>
      <w:tblPr>
        <w:tblStyle w:val="style154"/>
        <w:tblW w:w="0" w:type="auto"/>
        <w:tblLook w:val="04A0" w:firstRow="1" w:lastRow="0" w:firstColumn="1" w:lastColumn="0" w:noHBand="0" w:noVBand="1"/>
      </w:tblPr>
      <w:tblGrid>
        <w:gridCol w:w="2624"/>
        <w:gridCol w:w="1615"/>
        <w:gridCol w:w="1928"/>
        <w:gridCol w:w="2137"/>
      </w:tblGrid>
      <w:tr>
        <w:trPr/>
        <w:tc>
          <w:tcPr>
            <w:tcW w:w="0" w:type="auto"/>
            <w:tcBorders/>
          </w:tcPr>
          <w:p>
            <w:pPr>
              <w:pStyle w:val="style157"/>
              <w:jc w:val="both"/>
              <w:rPr>
                <w:rFonts w:ascii="Times New Roman" w:cs="Times New Roman" w:hAnsi="Times New Roman"/>
                <w:b/>
                <w:bCs/>
                <w:sz w:val="24"/>
                <w:szCs w:val="24"/>
              </w:rPr>
            </w:pPr>
            <w:r>
              <w:rPr>
                <w:rFonts w:ascii="Times New Roman" w:cs="Times New Roman" w:eastAsia="SimSun" w:hAnsi="Times New Roman"/>
                <w:b/>
                <w:bCs/>
                <w:sz w:val="24"/>
                <w:szCs w:val="24"/>
              </w:rPr>
              <w:t>Welfare Component</w:t>
            </w:r>
          </w:p>
        </w:tc>
        <w:tc>
          <w:tcPr>
            <w:tcW w:w="0" w:type="auto"/>
            <w:tcBorders/>
          </w:tcPr>
          <w:p>
            <w:pPr>
              <w:pStyle w:val="style157"/>
              <w:jc w:val="center"/>
              <w:rPr>
                <w:rFonts w:ascii="Times New Roman" w:cs="Times New Roman" w:hAnsi="Times New Roman"/>
                <w:b/>
                <w:bCs/>
                <w:sz w:val="24"/>
                <w:szCs w:val="24"/>
              </w:rPr>
            </w:pPr>
            <w:r>
              <w:rPr>
                <w:rFonts w:ascii="Times New Roman" w:cs="Times New Roman" w:eastAsia="SimSun" w:hAnsi="Times New Roman"/>
                <w:b/>
                <w:bCs/>
                <w:sz w:val="24"/>
                <w:szCs w:val="24"/>
              </w:rPr>
              <w:t>IOC / IOC-linked Firms</w:t>
            </w:r>
          </w:p>
        </w:tc>
        <w:tc>
          <w:tcPr>
            <w:tcW w:w="0" w:type="auto"/>
            <w:tcBorders/>
          </w:tcPr>
          <w:p>
            <w:pPr>
              <w:pStyle w:val="style157"/>
              <w:jc w:val="center"/>
              <w:rPr>
                <w:rFonts w:ascii="Times New Roman" w:cs="Times New Roman" w:hAnsi="Times New Roman"/>
                <w:b/>
                <w:bCs/>
                <w:sz w:val="24"/>
                <w:szCs w:val="24"/>
              </w:rPr>
            </w:pPr>
            <w:r>
              <w:rPr>
                <w:rFonts w:ascii="Times New Roman" w:cs="Times New Roman" w:eastAsia="SimSun" w:hAnsi="Times New Roman"/>
                <w:b/>
                <w:bCs/>
                <w:sz w:val="24"/>
                <w:szCs w:val="24"/>
              </w:rPr>
              <w:t>Nigerian-Owned Oil Firms</w:t>
            </w:r>
          </w:p>
        </w:tc>
        <w:tc>
          <w:tcPr>
            <w:tcW w:w="0" w:type="auto"/>
            <w:tcBorders/>
          </w:tcPr>
          <w:p>
            <w:pPr>
              <w:pStyle w:val="style157"/>
              <w:jc w:val="center"/>
              <w:rPr>
                <w:rFonts w:ascii="Times New Roman" w:cs="Times New Roman" w:hAnsi="Times New Roman"/>
                <w:b/>
                <w:bCs/>
                <w:sz w:val="24"/>
                <w:szCs w:val="24"/>
              </w:rPr>
            </w:pPr>
            <w:r>
              <w:rPr>
                <w:rFonts w:ascii="Times New Roman" w:cs="Times New Roman" w:eastAsia="SimSun" w:hAnsi="Times New Roman"/>
                <w:b/>
                <w:bCs/>
                <w:sz w:val="24"/>
                <w:szCs w:val="24"/>
              </w:rPr>
              <w:t>Nigerian-Owned Private Firms</w:t>
            </w:r>
          </w:p>
        </w:tc>
      </w:tr>
      <w:tr>
        <w:tblPrEx/>
        <w:trPr/>
        <w:tc>
          <w:tcPr>
            <w:tcW w:w="0" w:type="auto"/>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Medical Insurance</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92%</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28%</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21%</w:t>
            </w:r>
          </w:p>
        </w:tc>
      </w:tr>
      <w:tr>
        <w:tblPrEx/>
        <w:trPr/>
        <w:tc>
          <w:tcPr>
            <w:tcW w:w="0" w:type="auto"/>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Pension Scheme</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88%</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41%</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34%</w:t>
            </w:r>
          </w:p>
        </w:tc>
      </w:tr>
      <w:tr>
        <w:tblPrEx/>
        <w:trPr/>
        <w:tc>
          <w:tcPr>
            <w:tcW w:w="0" w:type="auto"/>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Housing/Offshore Allowance</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76%</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19%</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12%</w:t>
            </w:r>
          </w:p>
        </w:tc>
      </w:tr>
      <w:tr>
        <w:tblPrEx/>
        <w:trPr/>
        <w:tc>
          <w:tcPr>
            <w:tcW w:w="0" w:type="auto"/>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Paid Annual Leave</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94%</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63%</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58%</w:t>
            </w:r>
          </w:p>
        </w:tc>
      </w:tr>
      <w:tr>
        <w:tblPrEx/>
        <w:trPr/>
        <w:tc>
          <w:tcPr>
            <w:tcW w:w="0" w:type="auto"/>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Health &amp; Safety Coverage</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90%</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47%</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39%</w:t>
            </w:r>
          </w:p>
        </w:tc>
      </w:tr>
    </w:tbl>
    <w:p>
      <w:pPr>
        <w:pStyle w:val="style0"/>
        <w:spacing w:lineRule="auto" w:line="360"/>
        <w:jc w:val="both"/>
        <w:rPr/>
      </w:pPr>
      <w:r>
        <w:rPr>
          <w:rStyle w:val="style88"/>
          <w:rFonts w:ascii="Times New Roman" w:cs="Times New Roman" w:hAnsi="Times New Roman"/>
          <w:sz w:val="24"/>
          <w:szCs w:val="24"/>
        </w:rPr>
        <w:t>Source: Field Survey and Company Policy Review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data show a dramatic reduction in welfare coverage following the transition to Nigerian ownership. Medical insurance</w:t>
      </w:r>
      <w:r>
        <w:rPr>
          <w:rFonts w:ascii="Times New Roman" w:cs="Times New Roman" w:hAnsi="Times New Roman"/>
          <w:sz w:val="24"/>
          <w:szCs w:val="24"/>
        </w:rPr>
        <w:t xml:space="preserve"> </w:t>
      </w:r>
      <w:r>
        <w:rPr>
          <w:rFonts w:ascii="Times New Roman" w:cs="Times New Roman" w:hAnsi="Times New Roman"/>
          <w:sz w:val="24"/>
          <w:szCs w:val="24"/>
        </w:rPr>
        <w:t>arguably the most critical welfare component in a hazardous industry like oil</w:t>
      </w:r>
      <w:r>
        <w:rPr>
          <w:rFonts w:ascii="Times New Roman" w:cs="Times New Roman" w:hAnsi="Times New Roman"/>
          <w:sz w:val="24"/>
          <w:szCs w:val="24"/>
        </w:rPr>
        <w:t xml:space="preserve"> </w:t>
      </w:r>
      <w:r>
        <w:rPr>
          <w:rFonts w:ascii="Times New Roman" w:cs="Times New Roman" w:hAnsi="Times New Roman"/>
          <w:sz w:val="24"/>
          <w:szCs w:val="24"/>
        </w:rPr>
        <w:t>is absent in over two-thirds of Nigerian-owned oil firms. Interviews reveal that workers are often required to pay out-of-pocket for medical emergencies, including work-related injuries, undermining both wellbeing and morale.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senior technician interviewed in Port Harcourt captured this reality succinctly:</w:t>
      </w:r>
    </w:p>
    <w:p>
      <w:pPr>
        <w:pStyle w:val="style0"/>
        <w:spacing w:lineRule="auto" w:line="360"/>
        <w:ind w:left="567" w:right="935"/>
        <w:jc w:val="both"/>
        <w:rPr>
          <w:rFonts w:ascii="Times New Roman" w:cs="Times New Roman" w:hAnsi="Times New Roman"/>
          <w:i/>
          <w:iCs/>
          <w:sz w:val="24"/>
          <w:szCs w:val="24"/>
        </w:rPr>
      </w:pPr>
      <w:r>
        <w:rPr>
          <w:rFonts w:ascii="Times New Roman" w:cs="Times New Roman" w:eastAsia="SimSun" w:hAnsi="Times New Roman"/>
          <w:i/>
          <w:iCs/>
          <w:sz w:val="24"/>
          <w:szCs w:val="24"/>
        </w:rPr>
        <w:t>“We work in risky environments, but when something happens, you are on your own. Before, the company handled everything. Now, even hospital bills are your personal problem.”</w:t>
      </w:r>
    </w:p>
    <w:p>
      <w:pPr>
        <w:pStyle w:val="style0"/>
        <w:spacing w:lineRule="auto" w:line="360"/>
        <w:jc w:val="both"/>
        <w:rPr/>
      </w:pPr>
      <w:r>
        <w:rPr>
          <w:rFonts w:ascii="Times New Roman" w:cs="Times New Roman" w:hAnsi="Times New Roman"/>
          <w:sz w:val="24"/>
          <w:szCs w:val="24"/>
        </w:rPr>
        <w:t xml:space="preserve">This welfare collapse contradicts the original promise of </w:t>
      </w:r>
      <w:r>
        <w:rPr>
          <w:rFonts w:ascii="Times New Roman" w:cs="Times New Roman" w:hAnsi="Times New Roman"/>
          <w:sz w:val="24"/>
          <w:szCs w:val="24"/>
        </w:rPr>
        <w:t>Nigerianisation</w:t>
      </w:r>
      <w:r>
        <w:rPr>
          <w:rFonts w:ascii="Times New Roman" w:cs="Times New Roman" w:hAnsi="Times New Roman"/>
          <w:sz w:val="24"/>
          <w:szCs w:val="24"/>
        </w:rPr>
        <w:t xml:space="preserve"> and represents a clear deviation from decent work principles.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w:t>
      </w:r>
      <w:r>
        <w:rPr>
          <w:rFonts w:ascii="Times New Roman" w:cs="Times New Roman" w:hAnsi="Times New Roman"/>
          <w:b/>
          <w:bCs/>
          <w:sz w:val="24"/>
          <w:szCs w:val="24"/>
        </w:rPr>
        <w:t>2</w:t>
      </w:r>
      <w:r>
        <w:rPr>
          <w:rFonts w:ascii="Times New Roman" w:cs="Times New Roman" w:hAnsi="Times New Roman"/>
          <w:b/>
          <w:bCs/>
          <w:sz w:val="24"/>
          <w:szCs w:val="24"/>
        </w:rPr>
        <w:t xml:space="preserve"> Wage Suppression and Graduate Devaluation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Beyond welfare erosion, the study finds significant wage suppression across Nigerian-owned firms. Contrary to expectations that indigenous ownership would improve earnings through local understanding and reduced expatriate cost structures, wages for graduates and professionals have stagnated or declined in real terms.</w:t>
      </w:r>
    </w:p>
    <w:p>
      <w:pPr>
        <w:pStyle w:val="style157"/>
        <w:jc w:val="both"/>
        <w:rPr>
          <w:rFonts w:ascii="Times New Roman" w:cs="Times New Roman" w:hAnsi="Times New Roman"/>
          <w:sz w:val="24"/>
          <w:szCs w:val="24"/>
        </w:rPr>
      </w:pPr>
      <w:r>
        <w:rPr>
          <w:rFonts w:ascii="Times New Roman" w:cs="Times New Roman" w:hAnsi="Times New Roman"/>
          <w:sz w:val="24"/>
          <w:szCs w:val="24"/>
        </w:rPr>
        <w:t>Table 4.2: Average Monthly Wages by Sector and Ownership (₦)</w:t>
      </w:r>
    </w:p>
    <w:tbl>
      <w:tblPr>
        <w:tblStyle w:val="style154"/>
        <w:tblW w:w="0" w:type="auto"/>
        <w:tblLook w:val="04A0" w:firstRow="1" w:lastRow="0" w:firstColumn="1" w:lastColumn="0" w:noHBand="0" w:noVBand="1"/>
      </w:tblPr>
      <w:tblGrid>
        <w:gridCol w:w="2045"/>
        <w:gridCol w:w="2014"/>
        <w:gridCol w:w="2099"/>
        <w:gridCol w:w="2145"/>
      </w:tblGrid>
      <w:tr>
        <w:trPr/>
        <w:tc>
          <w:tcPr>
            <w:tcW w:w="0" w:type="auto"/>
            <w:tcBorders/>
          </w:tcPr>
          <w:p>
            <w:pPr>
              <w:pStyle w:val="style157"/>
              <w:jc w:val="both"/>
              <w:rPr>
                <w:rFonts w:ascii="Times New Roman" w:cs="Times New Roman" w:hAnsi="Times New Roman"/>
                <w:b/>
                <w:bCs/>
                <w:sz w:val="24"/>
                <w:szCs w:val="24"/>
              </w:rPr>
            </w:pPr>
            <w:r>
              <w:rPr>
                <w:rFonts w:ascii="Times New Roman" w:cs="Times New Roman" w:eastAsia="SimSun" w:hAnsi="Times New Roman"/>
                <w:b/>
                <w:bCs/>
                <w:sz w:val="24"/>
                <w:szCs w:val="24"/>
              </w:rPr>
              <w:t>Category</w:t>
            </w:r>
          </w:p>
        </w:tc>
        <w:tc>
          <w:tcPr>
            <w:tcW w:w="0" w:type="auto"/>
            <w:tcBorders/>
          </w:tcPr>
          <w:p>
            <w:pPr>
              <w:pStyle w:val="style157"/>
              <w:jc w:val="center"/>
              <w:rPr>
                <w:rFonts w:ascii="Times New Roman" w:cs="Times New Roman" w:hAnsi="Times New Roman"/>
                <w:b/>
                <w:bCs/>
                <w:sz w:val="24"/>
                <w:szCs w:val="24"/>
              </w:rPr>
            </w:pPr>
            <w:r>
              <w:rPr>
                <w:rFonts w:ascii="Times New Roman" w:cs="Times New Roman" w:eastAsia="SimSun" w:hAnsi="Times New Roman"/>
                <w:b/>
                <w:bCs/>
                <w:sz w:val="24"/>
                <w:szCs w:val="24"/>
              </w:rPr>
              <w:t>IOC / IOC-linked Firms</w:t>
            </w:r>
          </w:p>
        </w:tc>
        <w:tc>
          <w:tcPr>
            <w:tcW w:w="0" w:type="auto"/>
            <w:tcBorders/>
          </w:tcPr>
          <w:p>
            <w:pPr>
              <w:pStyle w:val="style157"/>
              <w:jc w:val="center"/>
              <w:rPr>
                <w:rFonts w:ascii="Times New Roman" w:cs="Times New Roman" w:hAnsi="Times New Roman"/>
                <w:b/>
                <w:bCs/>
                <w:sz w:val="24"/>
                <w:szCs w:val="24"/>
              </w:rPr>
            </w:pPr>
            <w:r>
              <w:rPr>
                <w:rFonts w:ascii="Times New Roman" w:cs="Times New Roman" w:eastAsia="SimSun" w:hAnsi="Times New Roman"/>
                <w:b/>
                <w:bCs/>
                <w:sz w:val="24"/>
                <w:szCs w:val="24"/>
              </w:rPr>
              <w:t>Nigerian-Owned Oil Firms</w:t>
            </w:r>
          </w:p>
        </w:tc>
        <w:tc>
          <w:tcPr>
            <w:tcW w:w="0" w:type="auto"/>
            <w:tcBorders/>
          </w:tcPr>
          <w:p>
            <w:pPr>
              <w:pStyle w:val="style157"/>
              <w:jc w:val="center"/>
              <w:rPr>
                <w:rFonts w:ascii="Times New Roman" w:cs="Times New Roman" w:hAnsi="Times New Roman"/>
                <w:b/>
                <w:bCs/>
                <w:sz w:val="24"/>
                <w:szCs w:val="24"/>
              </w:rPr>
            </w:pPr>
            <w:r>
              <w:rPr>
                <w:rFonts w:ascii="Times New Roman" w:cs="Times New Roman" w:eastAsia="SimSun" w:hAnsi="Times New Roman"/>
                <w:b/>
                <w:bCs/>
                <w:sz w:val="24"/>
                <w:szCs w:val="24"/>
              </w:rPr>
              <w:t>Public Sector Benchmark</w:t>
            </w:r>
          </w:p>
        </w:tc>
      </w:tr>
      <w:tr>
        <w:tblPrEx/>
        <w:trPr/>
        <w:tc>
          <w:tcPr>
            <w:tcW w:w="0" w:type="auto"/>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Graduate Entry Level</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₦420,000</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₦180,000</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₦230,000</w:t>
            </w:r>
          </w:p>
        </w:tc>
      </w:tr>
      <w:tr>
        <w:tblPrEx/>
        <w:trPr/>
        <w:tc>
          <w:tcPr>
            <w:tcW w:w="0" w:type="auto"/>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Mid-Level Professional</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₦750,000</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₦320,000</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₦410,000</w:t>
            </w:r>
          </w:p>
        </w:tc>
      </w:tr>
      <w:tr>
        <w:tblPrEx/>
        <w:trPr/>
        <w:tc>
          <w:tcPr>
            <w:tcW w:w="0" w:type="auto"/>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Senior Technical Staff</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₦1,200,000</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₦520,000</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₦650,000</w:t>
            </w:r>
          </w:p>
        </w:tc>
      </w:tr>
    </w:tbl>
    <w:p>
      <w:pPr>
        <w:pStyle w:val="style0"/>
        <w:spacing w:lineRule="auto" w:line="360"/>
        <w:jc w:val="both"/>
        <w:rPr/>
      </w:pPr>
      <w:r>
        <w:rPr>
          <w:rStyle w:val="style88"/>
          <w:rFonts w:ascii="Times New Roman" w:cs="Times New Roman" w:hAnsi="Times New Roman"/>
          <w:sz w:val="24"/>
          <w:szCs w:val="24"/>
        </w:rPr>
        <w:t>Source: Field Survey; Public Service Salary Structure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table demonstrates that Nigerian-owned oil firms often pay wages lower than the public sector, even though the oil industry is capital-intensive and high-risk. When adjusted for inflation and cost of living, these wages translate into declining purchasing power and financial stress for workers. Many respondents reported taking on secondary income activities or relying on family support despite being formally employed. This phenomenon reflects what the study </w:t>
      </w:r>
      <w:r>
        <w:rPr>
          <w:rFonts w:ascii="Times New Roman" w:cs="Times New Roman" w:hAnsi="Times New Roman"/>
          <w:sz w:val="24"/>
          <w:szCs w:val="24"/>
        </w:rPr>
        <w:t>conceptualizes</w:t>
      </w:r>
      <w:r>
        <w:rPr>
          <w:rFonts w:ascii="Times New Roman" w:cs="Times New Roman" w:hAnsi="Times New Roman"/>
          <w:sz w:val="24"/>
          <w:szCs w:val="24"/>
        </w:rPr>
        <w:t xml:space="preserve"> as</w:t>
      </w:r>
      <w:r>
        <w:rPr>
          <w:rFonts w:ascii="Times New Roman" w:cs="Times New Roman" w:hAnsi="Times New Roman"/>
          <w:sz w:val="24"/>
          <w:szCs w:val="24"/>
        </w:rPr>
        <w:t xml:space="preserve"> graduate devaluation,</w:t>
      </w:r>
      <w:r>
        <w:rPr>
          <w:rFonts w:ascii="Times New Roman" w:cs="Times New Roman" w:hAnsi="Times New Roman"/>
          <w:sz w:val="24"/>
          <w:szCs w:val="24"/>
        </w:rPr>
        <w:t xml:space="preserve"> where educational attainment and professional skills no longer guarantee commensurate remuneration. The oil sector, once perceived as a premium </w:t>
      </w:r>
      <w:r>
        <w:rPr>
          <w:rFonts w:ascii="Times New Roman" w:cs="Times New Roman" w:hAnsi="Times New Roman"/>
          <w:sz w:val="24"/>
          <w:szCs w:val="24"/>
        </w:rPr>
        <w:t>labour</w:t>
      </w:r>
      <w:r>
        <w:rPr>
          <w:rFonts w:ascii="Times New Roman" w:cs="Times New Roman" w:hAnsi="Times New Roman"/>
          <w:sz w:val="24"/>
          <w:szCs w:val="24"/>
        </w:rPr>
        <w:t xml:space="preserve"> market, increasingly mirrors low-quality employment conditions prevalent in other segments of the Nigerian economy.</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w:t>
      </w:r>
      <w:r>
        <w:rPr>
          <w:rFonts w:ascii="Times New Roman" w:cs="Times New Roman" w:hAnsi="Times New Roman"/>
          <w:b/>
          <w:bCs/>
          <w:sz w:val="24"/>
          <w:szCs w:val="24"/>
        </w:rPr>
        <w:t>3</w:t>
      </w:r>
      <w:r>
        <w:rPr>
          <w:rFonts w:ascii="Times New Roman" w:cs="Times New Roman" w:hAnsi="Times New Roman"/>
          <w:b/>
          <w:bCs/>
          <w:sz w:val="24"/>
          <w:szCs w:val="24"/>
        </w:rPr>
        <w:t xml:space="preserve"> </w:t>
      </w:r>
      <w:r>
        <w:rPr>
          <w:rFonts w:ascii="Times New Roman" w:cs="Times New Roman" w:hAnsi="Times New Roman"/>
          <w:b/>
          <w:bCs/>
          <w:sz w:val="24"/>
          <w:szCs w:val="24"/>
        </w:rPr>
        <w:t>Labour</w:t>
      </w:r>
      <w:r>
        <w:rPr>
          <w:rFonts w:ascii="Times New Roman" w:cs="Times New Roman" w:hAnsi="Times New Roman"/>
          <w:b/>
          <w:bCs/>
          <w:sz w:val="24"/>
          <w:szCs w:val="24"/>
        </w:rPr>
        <w:t xml:space="preserve"> </w:t>
      </w:r>
      <w:r>
        <w:rPr>
          <w:rFonts w:ascii="Times New Roman" w:cs="Times New Roman" w:hAnsi="Times New Roman"/>
          <w:b/>
          <w:bCs/>
          <w:sz w:val="24"/>
          <w:szCs w:val="24"/>
        </w:rPr>
        <w:t>Casualisation</w:t>
      </w:r>
      <w:r>
        <w:rPr>
          <w:rFonts w:ascii="Times New Roman" w:cs="Times New Roman" w:hAnsi="Times New Roman"/>
          <w:b/>
          <w:bCs/>
          <w:sz w:val="24"/>
          <w:szCs w:val="24"/>
        </w:rPr>
        <w:t xml:space="preserve"> and Job Insecurity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Another dominant finding is the </w:t>
      </w:r>
      <w:r>
        <w:rPr>
          <w:rFonts w:ascii="Times New Roman" w:cs="Times New Roman" w:hAnsi="Times New Roman"/>
          <w:sz w:val="24"/>
          <w:szCs w:val="24"/>
        </w:rPr>
        <w:t>normalisation</w:t>
      </w:r>
      <w:r>
        <w:rPr>
          <w:rFonts w:ascii="Times New Roman" w:cs="Times New Roman" w:hAnsi="Times New Roman"/>
          <w:sz w:val="24"/>
          <w:szCs w:val="24"/>
        </w:rPr>
        <w:t xml:space="preserve"> of </w:t>
      </w:r>
      <w:r>
        <w:rPr>
          <w:rFonts w:ascii="Times New Roman" w:cs="Times New Roman" w:hAnsi="Times New Roman"/>
          <w:sz w:val="24"/>
          <w:szCs w:val="24"/>
        </w:rPr>
        <w:t>labour</w:t>
      </w:r>
      <w:r>
        <w:rPr>
          <w:rFonts w:ascii="Times New Roman" w:cs="Times New Roman" w:hAnsi="Times New Roman"/>
          <w:sz w:val="24"/>
          <w:szCs w:val="24"/>
        </w:rPr>
        <w:t xml:space="preserve"> </w:t>
      </w:r>
      <w:r>
        <w:rPr>
          <w:rFonts w:ascii="Times New Roman" w:cs="Times New Roman" w:hAnsi="Times New Roman"/>
          <w:sz w:val="24"/>
          <w:szCs w:val="24"/>
        </w:rPr>
        <w:t>casualisation</w:t>
      </w:r>
      <w:r>
        <w:rPr>
          <w:rFonts w:ascii="Times New Roman" w:cs="Times New Roman" w:hAnsi="Times New Roman"/>
          <w:sz w:val="24"/>
          <w:szCs w:val="24"/>
        </w:rPr>
        <w:t xml:space="preserve"> under Nigerian ownership. The study reveals widespread use of short-term contracts, third-party outsourcing, and renewable temporary appointments for roles that were previously permanent.</w:t>
      </w: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Table 4.3: Employment Contract Types (% of </w:t>
      </w:r>
      <w:r>
        <w:rPr>
          <w:rFonts w:ascii="Times New Roman" w:cs="Times New Roman" w:hAnsi="Times New Roman"/>
          <w:sz w:val="24"/>
          <w:szCs w:val="24"/>
        </w:rPr>
        <w:t>Workforce</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2779"/>
        <w:gridCol w:w="2579"/>
        <w:gridCol w:w="2946"/>
      </w:tblGrid>
      <w:tr>
        <w:trPr/>
        <w:tc>
          <w:tcPr>
            <w:tcW w:w="0" w:type="auto"/>
            <w:tcBorders/>
          </w:tcPr>
          <w:p>
            <w:pPr>
              <w:pStyle w:val="style157"/>
              <w:jc w:val="both"/>
              <w:rPr>
                <w:rFonts w:ascii="Times New Roman" w:cs="Times New Roman" w:hAnsi="Times New Roman"/>
                <w:b/>
                <w:bCs/>
                <w:sz w:val="24"/>
                <w:szCs w:val="24"/>
              </w:rPr>
            </w:pPr>
            <w:r>
              <w:rPr>
                <w:rFonts w:ascii="Times New Roman" w:cs="Times New Roman" w:eastAsia="SimSun" w:hAnsi="Times New Roman"/>
                <w:b/>
                <w:bCs/>
                <w:sz w:val="24"/>
                <w:szCs w:val="24"/>
              </w:rPr>
              <w:t>Contract Type</w:t>
            </w:r>
          </w:p>
        </w:tc>
        <w:tc>
          <w:tcPr>
            <w:tcW w:w="0" w:type="auto"/>
            <w:tcBorders/>
          </w:tcPr>
          <w:p>
            <w:pPr>
              <w:pStyle w:val="style157"/>
              <w:jc w:val="center"/>
              <w:rPr>
                <w:rFonts w:ascii="Times New Roman" w:cs="Times New Roman" w:hAnsi="Times New Roman"/>
                <w:b/>
                <w:bCs/>
                <w:sz w:val="24"/>
                <w:szCs w:val="24"/>
              </w:rPr>
            </w:pPr>
            <w:r>
              <w:rPr>
                <w:rFonts w:ascii="Times New Roman" w:cs="Times New Roman" w:eastAsia="SimSun" w:hAnsi="Times New Roman"/>
                <w:b/>
                <w:bCs/>
                <w:sz w:val="24"/>
                <w:szCs w:val="24"/>
              </w:rPr>
              <w:t>IOC / IOC-linked Firms</w:t>
            </w:r>
          </w:p>
        </w:tc>
        <w:tc>
          <w:tcPr>
            <w:tcW w:w="0" w:type="auto"/>
            <w:tcBorders/>
          </w:tcPr>
          <w:p>
            <w:pPr>
              <w:pStyle w:val="style157"/>
              <w:jc w:val="center"/>
              <w:rPr>
                <w:rFonts w:ascii="Times New Roman" w:cs="Times New Roman" w:hAnsi="Times New Roman"/>
                <w:b/>
                <w:bCs/>
                <w:sz w:val="24"/>
                <w:szCs w:val="24"/>
              </w:rPr>
            </w:pPr>
            <w:r>
              <w:rPr>
                <w:rFonts w:ascii="Times New Roman" w:cs="Times New Roman" w:eastAsia="SimSun" w:hAnsi="Times New Roman"/>
                <w:b/>
                <w:bCs/>
                <w:sz w:val="24"/>
                <w:szCs w:val="24"/>
              </w:rPr>
              <w:t>Nigerian-Owned Oil Firms</w:t>
            </w:r>
          </w:p>
        </w:tc>
      </w:tr>
      <w:tr>
        <w:tblPrEx/>
        <w:trPr/>
        <w:tc>
          <w:tcPr>
            <w:tcW w:w="0" w:type="auto"/>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Permanent Employment</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68%</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22%</w:t>
            </w:r>
          </w:p>
        </w:tc>
      </w:tr>
      <w:tr>
        <w:tblPrEx/>
        <w:trPr/>
        <w:tc>
          <w:tcPr>
            <w:tcW w:w="0" w:type="auto"/>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Fixed-Term Contracts</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21%</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44%</w:t>
            </w:r>
          </w:p>
        </w:tc>
      </w:tr>
      <w:tr>
        <w:tblPrEx/>
        <w:trPr/>
        <w:tc>
          <w:tcPr>
            <w:tcW w:w="0" w:type="auto"/>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Outsourced/Casual</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11%</w:t>
            </w:r>
          </w:p>
        </w:tc>
        <w:tc>
          <w:tcPr>
            <w:tcW w:w="0" w:type="auto"/>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34%</w:t>
            </w:r>
          </w:p>
        </w:tc>
      </w:tr>
    </w:tbl>
    <w:p>
      <w:pPr>
        <w:pStyle w:val="style0"/>
        <w:spacing w:lineRule="auto" w:line="360"/>
        <w:jc w:val="both"/>
        <w:rPr/>
      </w:pPr>
      <w:r>
        <w:rPr>
          <w:rStyle w:val="style88"/>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Casualization</w:t>
      </w:r>
      <w:r>
        <w:rPr>
          <w:rFonts w:ascii="Times New Roman" w:cs="Times New Roman" w:hAnsi="Times New Roman"/>
          <w:sz w:val="24"/>
          <w:szCs w:val="24"/>
        </w:rPr>
        <w:t xml:space="preserve"> has profound implications for job security, career development, and worker loyalty. Employees on short-term contracts report constant anxiety over contract renewal, limited access to training, and exclusion from welfare benefits. This insecurity discourages long-term commitment and undermines skill accumulation, ultimately affecting </w:t>
      </w:r>
      <w:r>
        <w:rPr>
          <w:rFonts w:ascii="Times New Roman" w:cs="Times New Roman" w:hAnsi="Times New Roman"/>
          <w:sz w:val="24"/>
          <w:szCs w:val="24"/>
        </w:rPr>
        <w:t>organisational</w:t>
      </w:r>
      <w:r>
        <w:rPr>
          <w:rFonts w:ascii="Times New Roman" w:cs="Times New Roman" w:hAnsi="Times New Roman"/>
          <w:sz w:val="24"/>
          <w:szCs w:val="24"/>
        </w:rPr>
        <w:t xml:space="preserve"> productivity. Union officials interviewed described </w:t>
      </w:r>
      <w:r>
        <w:rPr>
          <w:rFonts w:ascii="Times New Roman" w:cs="Times New Roman" w:hAnsi="Times New Roman"/>
          <w:sz w:val="24"/>
          <w:szCs w:val="24"/>
        </w:rPr>
        <w:t>casualisation</w:t>
      </w:r>
      <w:r>
        <w:rPr>
          <w:rFonts w:ascii="Times New Roman" w:cs="Times New Roman" w:hAnsi="Times New Roman"/>
          <w:sz w:val="24"/>
          <w:szCs w:val="24"/>
        </w:rPr>
        <w:t xml:space="preserve"> as a deliberate cost-control strategy rather than a temporary adjustment. One union representative noted:</w:t>
      </w:r>
    </w:p>
    <w:p>
      <w:pPr>
        <w:pStyle w:val="style0"/>
        <w:spacing w:lineRule="auto" w:line="360"/>
        <w:ind w:left="709" w:right="793"/>
        <w:jc w:val="both"/>
        <w:rPr>
          <w:i/>
          <w:iCs/>
        </w:rPr>
      </w:pPr>
      <w:r>
        <w:rPr>
          <w:rFonts w:ascii="Times New Roman" w:cs="Times New Roman" w:eastAsia="SimSun" w:hAnsi="Times New Roman"/>
          <w:i/>
          <w:iCs/>
          <w:sz w:val="24"/>
          <w:szCs w:val="24"/>
        </w:rPr>
        <w:t>“Casual workers do the same job as permanent staff, sometimes even more, but without protection. It is cheaper for the company, but devastating for the worker.”</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w:t>
      </w:r>
      <w:r>
        <w:rPr>
          <w:rFonts w:ascii="Times New Roman" w:cs="Times New Roman" w:hAnsi="Times New Roman"/>
          <w:b/>
          <w:bCs/>
          <w:sz w:val="24"/>
          <w:szCs w:val="24"/>
        </w:rPr>
        <w:t>4</w:t>
      </w:r>
      <w:r>
        <w:rPr>
          <w:rFonts w:ascii="Times New Roman" w:cs="Times New Roman" w:hAnsi="Times New Roman"/>
          <w:b/>
          <w:bCs/>
          <w:sz w:val="24"/>
          <w:szCs w:val="24"/>
        </w:rPr>
        <w:t xml:space="preserve"> Executive Opulence and Class Fragmentation</w:t>
      </w:r>
    </w:p>
    <w:p>
      <w:pPr>
        <w:pStyle w:val="style0"/>
        <w:spacing w:lineRule="auto" w:line="360"/>
        <w:jc w:val="both"/>
        <w:rPr/>
      </w:pPr>
      <w:r>
        <w:rPr>
          <w:rFonts w:ascii="Times New Roman" w:cs="Times New Roman" w:hAnsi="Times New Roman"/>
          <w:sz w:val="24"/>
          <w:szCs w:val="24"/>
        </w:rPr>
        <w:t>While workers experience declining wages and welfare, the study observes a contrasting trend of wealth concentration among indigenous company owners and top executives. Although detailed executive compensation data are often opaque, visible indicators such as lifestyle, asset ownership, and corporate disclosures point to significant accumulation of wealth at the top.</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w:t>
      </w:r>
      <w:r>
        <w:rPr>
          <w:rFonts w:ascii="Times New Roman" w:cs="Times New Roman" w:hAnsi="Times New Roman"/>
          <w:b/>
          <w:bCs/>
          <w:sz w:val="24"/>
          <w:szCs w:val="24"/>
        </w:rPr>
        <w:t>5</w:t>
      </w:r>
      <w:r>
        <w:rPr>
          <w:rFonts w:ascii="Times New Roman" w:cs="Times New Roman" w:hAnsi="Times New Roman"/>
          <w:b/>
          <w:bCs/>
          <w:sz w:val="24"/>
          <w:szCs w:val="24"/>
        </w:rPr>
        <w:t xml:space="preserve"> Employment as Underemployment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Perhaps the most consequential finding of the study is the </w:t>
      </w:r>
      <w:r>
        <w:rPr>
          <w:rFonts w:ascii="Times New Roman" w:cs="Times New Roman" w:hAnsi="Times New Roman"/>
          <w:sz w:val="24"/>
          <w:szCs w:val="24"/>
        </w:rPr>
        <w:t>recharacterization</w:t>
      </w:r>
      <w:r>
        <w:rPr>
          <w:rFonts w:ascii="Times New Roman" w:cs="Times New Roman" w:hAnsi="Times New Roman"/>
          <w:sz w:val="24"/>
          <w:szCs w:val="24"/>
        </w:rPr>
        <w:t xml:space="preserve"> of employment in the Nigerian oil and private sectors as</w:t>
      </w:r>
      <w:r>
        <w:rPr>
          <w:rFonts w:ascii="Times New Roman" w:cs="Times New Roman" w:hAnsi="Times New Roman"/>
          <w:sz w:val="24"/>
          <w:szCs w:val="24"/>
        </w:rPr>
        <w:t xml:space="preserve"> underemployment.</w:t>
      </w:r>
      <w:r>
        <w:rPr>
          <w:rFonts w:ascii="Times New Roman" w:cs="Times New Roman" w:hAnsi="Times New Roman"/>
          <w:sz w:val="24"/>
          <w:szCs w:val="24"/>
        </w:rPr>
        <w:t xml:space="preserve"> Despite being formally employed, many workers lack adequate income, social protection, and job security. Employment, therefore, functions primarily as a survival strategy rather than a pathway to stability or advancement.</w:t>
      </w:r>
    </w:p>
    <w:p>
      <w:pPr>
        <w:pStyle w:val="style157"/>
        <w:jc w:val="both"/>
        <w:rPr>
          <w:rFonts w:ascii="Times New Roman" w:cs="Times New Roman" w:hAnsi="Times New Roman"/>
          <w:sz w:val="24"/>
          <w:szCs w:val="24"/>
        </w:rPr>
      </w:pPr>
      <w:r>
        <w:rPr>
          <w:rFonts w:ascii="Times New Roman" w:cs="Times New Roman" w:hAnsi="Times New Roman"/>
          <w:sz w:val="24"/>
          <w:szCs w:val="24"/>
        </w:rPr>
        <w:t>Table 4.4: Indicators of Underemployment among Respondents (%)</w:t>
      </w:r>
    </w:p>
    <w:tbl>
      <w:tblPr>
        <w:tblStyle w:val="style154"/>
        <w:tblW w:w="0" w:type="auto"/>
        <w:tblLook w:val="04A0" w:firstRow="1" w:lastRow="0" w:firstColumn="1" w:lastColumn="0" w:noHBand="0" w:noVBand="1"/>
      </w:tblPr>
      <w:tblGrid>
        <w:gridCol w:w="4106"/>
        <w:gridCol w:w="4111"/>
      </w:tblGrid>
      <w:tr>
        <w:trPr/>
        <w:tc>
          <w:tcPr>
            <w:tcW w:w="4106" w:type="dxa"/>
            <w:tcBorders/>
          </w:tcPr>
          <w:p>
            <w:pPr>
              <w:pStyle w:val="style157"/>
              <w:jc w:val="both"/>
              <w:rPr>
                <w:rFonts w:ascii="Times New Roman" w:cs="Times New Roman" w:hAnsi="Times New Roman"/>
                <w:b/>
                <w:bCs/>
                <w:sz w:val="24"/>
                <w:szCs w:val="24"/>
              </w:rPr>
            </w:pPr>
            <w:r>
              <w:rPr>
                <w:rFonts w:ascii="Times New Roman" w:cs="Times New Roman" w:eastAsia="SimSun" w:hAnsi="Times New Roman"/>
                <w:b/>
                <w:bCs/>
                <w:sz w:val="24"/>
                <w:szCs w:val="24"/>
              </w:rPr>
              <w:t>Indicator</w:t>
            </w:r>
          </w:p>
        </w:tc>
        <w:tc>
          <w:tcPr>
            <w:tcW w:w="4111" w:type="dxa"/>
            <w:tcBorders/>
          </w:tcPr>
          <w:p>
            <w:pPr>
              <w:pStyle w:val="style157"/>
              <w:jc w:val="center"/>
              <w:rPr>
                <w:rFonts w:ascii="Times New Roman" w:cs="Times New Roman" w:hAnsi="Times New Roman"/>
                <w:b/>
                <w:bCs/>
                <w:sz w:val="24"/>
                <w:szCs w:val="24"/>
              </w:rPr>
            </w:pPr>
            <w:r>
              <w:rPr>
                <w:rFonts w:ascii="Times New Roman" w:cs="Times New Roman" w:eastAsia="SimSun" w:hAnsi="Times New Roman"/>
                <w:b/>
                <w:bCs/>
                <w:sz w:val="24"/>
                <w:szCs w:val="24"/>
              </w:rPr>
              <w:t>Percentage of Workers Affected</w:t>
            </w:r>
          </w:p>
        </w:tc>
      </w:tr>
      <w:tr>
        <w:tblPrEx/>
        <w:trPr/>
        <w:tc>
          <w:tcPr>
            <w:tcW w:w="4106" w:type="dxa"/>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No Medical Insurance</w:t>
            </w:r>
          </w:p>
        </w:tc>
        <w:tc>
          <w:tcPr>
            <w:tcW w:w="4111" w:type="dxa"/>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67%</w:t>
            </w:r>
          </w:p>
        </w:tc>
      </w:tr>
      <w:tr>
        <w:tblPrEx/>
        <w:trPr/>
        <w:tc>
          <w:tcPr>
            <w:tcW w:w="4106" w:type="dxa"/>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No Pension Coverage</w:t>
            </w:r>
          </w:p>
        </w:tc>
        <w:tc>
          <w:tcPr>
            <w:tcW w:w="4111" w:type="dxa"/>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54%</w:t>
            </w:r>
          </w:p>
        </w:tc>
      </w:tr>
      <w:tr>
        <w:tblPrEx/>
        <w:trPr/>
        <w:tc>
          <w:tcPr>
            <w:tcW w:w="4106" w:type="dxa"/>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Temporary or Casual Contract</w:t>
            </w:r>
          </w:p>
        </w:tc>
        <w:tc>
          <w:tcPr>
            <w:tcW w:w="4111" w:type="dxa"/>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61%</w:t>
            </w:r>
          </w:p>
        </w:tc>
      </w:tr>
      <w:tr>
        <w:tblPrEx/>
        <w:trPr/>
        <w:tc>
          <w:tcPr>
            <w:tcW w:w="4106" w:type="dxa"/>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Income Insufficient for Basic Needs</w:t>
            </w:r>
          </w:p>
        </w:tc>
        <w:tc>
          <w:tcPr>
            <w:tcW w:w="4111" w:type="dxa"/>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58%</w:t>
            </w:r>
          </w:p>
        </w:tc>
      </w:tr>
      <w:tr>
        <w:tblPrEx/>
        <w:trPr/>
        <w:tc>
          <w:tcPr>
            <w:tcW w:w="4106" w:type="dxa"/>
            <w:tcBorders/>
          </w:tcPr>
          <w:p>
            <w:pPr>
              <w:pStyle w:val="style157"/>
              <w:jc w:val="both"/>
              <w:rPr>
                <w:rFonts w:ascii="Times New Roman" w:cs="Times New Roman" w:hAnsi="Times New Roman"/>
                <w:sz w:val="24"/>
                <w:szCs w:val="24"/>
              </w:rPr>
            </w:pPr>
            <w:r>
              <w:rPr>
                <w:rFonts w:ascii="Times New Roman" w:cs="Times New Roman" w:eastAsia="SimSun" w:hAnsi="Times New Roman"/>
                <w:sz w:val="24"/>
                <w:szCs w:val="24"/>
              </w:rPr>
              <w:t>High Job Insecurity Anxiety</w:t>
            </w:r>
          </w:p>
        </w:tc>
        <w:tc>
          <w:tcPr>
            <w:tcW w:w="4111" w:type="dxa"/>
            <w:tcBorders/>
          </w:tcPr>
          <w:p>
            <w:pPr>
              <w:pStyle w:val="style157"/>
              <w:jc w:val="center"/>
              <w:rPr>
                <w:rFonts w:ascii="Times New Roman" w:cs="Times New Roman" w:hAnsi="Times New Roman"/>
                <w:sz w:val="24"/>
                <w:szCs w:val="24"/>
              </w:rPr>
            </w:pPr>
            <w:r>
              <w:rPr>
                <w:rFonts w:ascii="Times New Roman" w:cs="Times New Roman" w:eastAsia="SimSun" w:hAnsi="Times New Roman"/>
                <w:sz w:val="24"/>
                <w:szCs w:val="24"/>
              </w:rPr>
              <w:t>72%</w:t>
            </w:r>
          </w:p>
        </w:tc>
      </w:tr>
    </w:tbl>
    <w:p>
      <w:pPr>
        <w:pStyle w:val="style0"/>
        <w:spacing w:lineRule="auto" w:line="360"/>
        <w:jc w:val="both"/>
        <w:rPr/>
      </w:pPr>
      <w:r>
        <w:rPr>
          <w:rStyle w:val="style88"/>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persistence of underemployment is reinforced by Nigeria’s high unemployment rate, which limits workers’ bargaining power. Many respondents acknowledged </w:t>
      </w:r>
      <w:r>
        <w:rPr>
          <w:rFonts w:ascii="Times New Roman" w:cs="Times New Roman" w:hAnsi="Times New Roman"/>
          <w:sz w:val="24"/>
          <w:szCs w:val="24"/>
        </w:rPr>
        <w:t xml:space="preserve">remaining in </w:t>
      </w:r>
      <w:r>
        <w:rPr>
          <w:rFonts w:ascii="Times New Roman" w:cs="Times New Roman" w:hAnsi="Times New Roman"/>
          <w:sz w:val="24"/>
          <w:szCs w:val="24"/>
        </w:rPr>
        <w:t>unfavourable</w:t>
      </w:r>
      <w:r>
        <w:rPr>
          <w:rFonts w:ascii="Times New Roman" w:cs="Times New Roman" w:hAnsi="Times New Roman"/>
          <w:sz w:val="24"/>
          <w:szCs w:val="24"/>
        </w:rPr>
        <w:t xml:space="preserve"> jobs due to fear of joblessness. This dynamic creates a </w:t>
      </w:r>
      <w:r>
        <w:rPr>
          <w:rFonts w:ascii="Times New Roman" w:cs="Times New Roman" w:hAnsi="Times New Roman"/>
          <w:sz w:val="24"/>
          <w:szCs w:val="24"/>
        </w:rPr>
        <w:t>labour</w:t>
      </w:r>
      <w:r>
        <w:rPr>
          <w:rFonts w:ascii="Times New Roman" w:cs="Times New Roman" w:hAnsi="Times New Roman"/>
          <w:sz w:val="24"/>
          <w:szCs w:val="24"/>
        </w:rPr>
        <w:t xml:space="preserve"> market where exploitation is </w:t>
      </w:r>
      <w:r>
        <w:rPr>
          <w:rFonts w:ascii="Times New Roman" w:cs="Times New Roman" w:hAnsi="Times New Roman"/>
          <w:sz w:val="24"/>
          <w:szCs w:val="24"/>
        </w:rPr>
        <w:t>normalized</w:t>
      </w:r>
      <w:r>
        <w:rPr>
          <w:rFonts w:ascii="Times New Roman" w:cs="Times New Roman" w:hAnsi="Times New Roman"/>
          <w:sz w:val="24"/>
          <w:szCs w:val="24"/>
        </w:rPr>
        <w:t xml:space="preserve"> and resistance is muted.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Psychologically, prolonged underemployment manifests in stress, diminished self-worth, and declining job satisfaction. Socially, it delays family formation, home ownership, and upward mobility, thereby reproducing intergenerational inequality. From a development perspective, underemployment in a high-revenue sector represents a significant misallocation of human capital.</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4.6 Discussion of Findings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The findings reveal a structural paradox at the heart of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While indigenous ownership has expanded across Nigeria’s oil and private sectors,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welfare, wage stability, and employment security have deteriorated relative to earlier institutional arrangements. This outcome challenges the foundational assumption that domestic ownership would naturally align capital accumulation with national welfare.</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From a political economy perspective, the results suggest that ownership transfer alone does not transform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relations. Indigenous firms appear to operate within the same accumulation logic as foreign firms, but often with weaker regulatory oversight and fewer external accountability pressures. In the absence of strong enforcement of welfare standards, cost </w:t>
      </w:r>
      <w:r>
        <w:rPr>
          <w:rFonts w:ascii="Times New Roman" w:cs="Times New Roman" w:hAnsi="Times New Roman"/>
          <w:sz w:val="24"/>
          <w:szCs w:val="24"/>
          <w:lang w:eastAsia="en-GB"/>
        </w:rPr>
        <w:t>minimisation</w:t>
      </w:r>
      <w:r>
        <w:rPr>
          <w:rFonts w:ascii="Times New Roman" w:cs="Times New Roman" w:hAnsi="Times New Roman"/>
          <w:sz w:val="24"/>
          <w:szCs w:val="24"/>
          <w:lang w:eastAsia="en-GB"/>
        </w:rPr>
        <w:t xml:space="preserve"> strategies disproportionately affect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Welfare provisions—medical insurance, pensions, housing allowances</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have shifted from institutional guarantees to discretionary benefits.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The findings also reinforce dual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market segmentation. Across sectors, a protected minority of permanent employees coexists with a majority of contract and outsourced workers lacking social protection. This segmentation is particularly visible in Nigerian-owned firms, where permanent employment has declined sharply relative to IOC-linked companies. Employment growth, therefore, has occurred primarily within the secondary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segment.</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The </w:t>
      </w:r>
      <w:r>
        <w:rPr>
          <w:rFonts w:ascii="Times New Roman" w:cs="Times New Roman" w:hAnsi="Times New Roman"/>
          <w:sz w:val="24"/>
          <w:szCs w:val="24"/>
          <w:lang w:eastAsia="en-GB"/>
        </w:rPr>
        <w:t>recharacterisation</w:t>
      </w:r>
      <w:r>
        <w:rPr>
          <w:rFonts w:ascii="Times New Roman" w:cs="Times New Roman" w:hAnsi="Times New Roman"/>
          <w:sz w:val="24"/>
          <w:szCs w:val="24"/>
          <w:lang w:eastAsia="en-GB"/>
        </w:rPr>
        <w:t xml:space="preserve"> of oil sector employment as underemployment is especially significant. High-revenue extraction industries are typically associated with premium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conditions. However, the evidence demonstrates that formal employment does not necessarily provide economic security or upward mobility. Workers remain vulnerable to income shocks, health risks, and contract termination, undermining the developmental promise of resource extraction.</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These findings suggest that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has </w:t>
      </w:r>
      <w:r>
        <w:rPr>
          <w:rFonts w:ascii="Times New Roman" w:cs="Times New Roman" w:hAnsi="Times New Roman"/>
          <w:sz w:val="24"/>
          <w:szCs w:val="24"/>
          <w:lang w:eastAsia="en-GB"/>
        </w:rPr>
        <w:t>prioritised</w:t>
      </w:r>
      <w:r>
        <w:rPr>
          <w:rFonts w:ascii="Times New Roman" w:cs="Times New Roman" w:hAnsi="Times New Roman"/>
          <w:sz w:val="24"/>
          <w:szCs w:val="24"/>
          <w:lang w:eastAsia="en-GB"/>
        </w:rPr>
        <w:t xml:space="preserve"> participation metrics—ownership shares, contract awards, local procurement—over measurable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upgrading. Without enforceable welfare benchmarks, employment expansion can coexist with declining job quality.</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 xml:space="preserve">4.7 Comparative Perspective: </w:t>
      </w:r>
      <w:r>
        <w:rPr>
          <w:rFonts w:ascii="Times New Roman" w:cs="Times New Roman" w:hAnsi="Times New Roman"/>
          <w:b/>
          <w:bCs/>
          <w:sz w:val="24"/>
          <w:szCs w:val="24"/>
          <w:lang w:eastAsia="en-GB"/>
        </w:rPr>
        <w:t>Nigerianisation</w:t>
      </w:r>
      <w:r>
        <w:rPr>
          <w:rFonts w:ascii="Times New Roman" w:cs="Times New Roman" w:hAnsi="Times New Roman"/>
          <w:b/>
          <w:bCs/>
          <w:sz w:val="24"/>
          <w:szCs w:val="24"/>
          <w:lang w:eastAsia="en-GB"/>
        </w:rPr>
        <w:t xml:space="preserve"> and Global Local Content Regimes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To strengthen analytical clarity, it is useful to contrast Nigeria’s outcomes with comparable local content regimes in other resource-rich countries.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In Norway, local participation policies were embedded within a robust welfare state architecture. Petroleum governance was designed not only to promote domestic ownership but also to ensure high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standards, structured skills transfer, and strong union participation. Enforcement mechanisms, collective bargaining institutions, and transparent regulatory oversight limited the scope for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casualisation</w:t>
      </w:r>
      <w:r>
        <w:rPr>
          <w:rFonts w:ascii="Times New Roman" w:cs="Times New Roman" w:hAnsi="Times New Roman"/>
          <w:sz w:val="24"/>
          <w:szCs w:val="24"/>
          <w:lang w:eastAsia="en-GB"/>
        </w:rPr>
        <w:t>. Indigenous participation was therefore accompanied by sustained employment upgrading.</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Similarly, Brazil incorporated local content requirements within a broader industrial policy framework. Although Brazil has faced fluctuations in enforcement over time, earlier phases of its petroleum policy linked domestic participation with technical training </w:t>
      </w:r>
      <w:r>
        <w:rPr>
          <w:rFonts w:ascii="Times New Roman" w:cs="Times New Roman" w:hAnsi="Times New Roman"/>
          <w:sz w:val="24"/>
          <w:szCs w:val="24"/>
          <w:lang w:eastAsia="en-GB"/>
        </w:rPr>
        <w:t>programmes</w:t>
      </w:r>
      <w:r>
        <w:rPr>
          <w:rFonts w:ascii="Times New Roman" w:cs="Times New Roman" w:hAnsi="Times New Roman"/>
          <w:sz w:val="24"/>
          <w:szCs w:val="24"/>
          <w:lang w:eastAsia="en-GB"/>
        </w:rPr>
        <w:t xml:space="preserve"> and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formalisation</w:t>
      </w:r>
      <w:r>
        <w:rPr>
          <w:rFonts w:ascii="Times New Roman" w:cs="Times New Roman" w:hAnsi="Times New Roman"/>
          <w:sz w:val="24"/>
          <w:szCs w:val="24"/>
          <w:lang w:eastAsia="en-GB"/>
        </w:rPr>
        <w:t xml:space="preserve"> mechanisms. Compliance reporting and state monitoring reduced the gap between policy rhetoric and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practice.</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In contrast, Nigeria’s implementation of local content under the Nigerian Oil and Gas Industry Content Development framework has </w:t>
      </w:r>
      <w:r>
        <w:rPr>
          <w:rFonts w:ascii="Times New Roman" w:cs="Times New Roman" w:hAnsi="Times New Roman"/>
          <w:sz w:val="24"/>
          <w:szCs w:val="24"/>
          <w:lang w:eastAsia="en-GB"/>
        </w:rPr>
        <w:t>emphasised</w:t>
      </w:r>
      <w:r>
        <w:rPr>
          <w:rFonts w:ascii="Times New Roman" w:cs="Times New Roman" w:hAnsi="Times New Roman"/>
          <w:sz w:val="24"/>
          <w:szCs w:val="24"/>
          <w:lang w:eastAsia="en-GB"/>
        </w:rPr>
        <w:t xml:space="preserve"> quantitative participation targets—ownership percentages, contract allocation ratios, and local sourcing thresholds—without equivalent emphasis on enforceable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quality indicators. While institutions such as the Nigerian Content Development and Monitoring Board monitor participation compliance,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standards remain weakly integrated into performance metrics.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This comparative divergence is not merely administrative; it reflects structural governance differences. Norway’s petroleum regime developed within a high-capacity state with strong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institutions. Brazil’s model emerged alongside industrial policy coordination mechanisms. Nigeria’s regime operates in a context of regulatory fragility, high unemployment, and constrained union leverage. These structural conditions create stronger incentives for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cost suppression.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eastAsia="en-GB"/>
        </w:rPr>
        <w:t xml:space="preserve">The comparison clarifies that </w:t>
      </w:r>
      <w:r>
        <w:rPr>
          <w:rFonts w:ascii="Times New Roman" w:cs="Times New Roman" w:hAnsi="Times New Roman"/>
          <w:sz w:val="24"/>
          <w:szCs w:val="24"/>
          <w:lang w:eastAsia="en-GB"/>
        </w:rPr>
        <w:t>Nigerianisation’s</w:t>
      </w:r>
      <w:r>
        <w:rPr>
          <w:rFonts w:ascii="Times New Roman" w:cs="Times New Roman" w:hAnsi="Times New Roman"/>
          <w:sz w:val="24"/>
          <w:szCs w:val="24"/>
          <w:lang w:eastAsia="en-GB"/>
        </w:rPr>
        <w:t xml:space="preserve"> paradox is not inevitable. Indigenous ownership can coexist with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upgrading when policy frameworks embed measurable and enforceable welfare benchmarks. Where such benchmarks are absent, ownership transfer risks reinforcing rather than transforming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inequality.</w:t>
      </w:r>
    </w:p>
    <w:p>
      <w:pPr>
        <w:pStyle w:val="style0"/>
        <w:spacing w:lineRule="auto" w:line="360"/>
        <w:jc w:val="both"/>
        <w:rPr>
          <w:rFonts w:ascii="Times New Roman" w:cs="Times New Roman" w:hAnsi="Times New Roman"/>
          <w:b/>
          <w:bCs/>
          <w:sz w:val="24"/>
          <w:szCs w:val="24"/>
          <w:lang w:eastAsia="en-GB"/>
        </w:rPr>
      </w:pPr>
      <w:r>
        <w:rPr>
          <w:rFonts w:ascii="Times New Roman" w:cs="Times New Roman" w:hAnsi="Times New Roman"/>
          <w:b/>
          <w:bCs/>
          <w:sz w:val="24"/>
          <w:szCs w:val="24"/>
          <w:lang w:eastAsia="en-GB"/>
        </w:rPr>
        <w:t>5.0 Conclusion and Recommendations</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The findings of this study reveal a structural paradox within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While indigenous ownership, contract allocation, and local procurement have expanded,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welfare has not been systematically embedded within performance evaluation frameworks. Success under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is primarily measured through participation metrics—equity shares, contract values, and procurement ratios</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 xml:space="preserve">while employment quality remains weakly </w:t>
      </w:r>
      <w:r>
        <w:rPr>
          <w:rFonts w:ascii="Times New Roman" w:cs="Times New Roman" w:hAnsi="Times New Roman"/>
          <w:sz w:val="24"/>
          <w:szCs w:val="24"/>
          <w:lang w:eastAsia="en-GB"/>
        </w:rPr>
        <w:t>institutionalised</w:t>
      </w:r>
      <w:r>
        <w:rPr>
          <w:rFonts w:ascii="Times New Roman" w:cs="Times New Roman" w:hAnsi="Times New Roman"/>
          <w:sz w:val="24"/>
          <w:szCs w:val="24"/>
          <w:lang w:eastAsia="en-GB"/>
        </w:rPr>
        <w:t>.</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This measurement bias produces unintended incentives. Firms may qualify as compliant based on ownership criteria while simultaneously reducing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costs through welfare withdrawal, contract </w:t>
      </w:r>
      <w:r>
        <w:rPr>
          <w:rFonts w:ascii="Times New Roman" w:cs="Times New Roman" w:hAnsi="Times New Roman"/>
          <w:sz w:val="24"/>
          <w:szCs w:val="24"/>
          <w:lang w:eastAsia="en-GB"/>
        </w:rPr>
        <w:t>casualisation</w:t>
      </w:r>
      <w:r>
        <w:rPr>
          <w:rFonts w:ascii="Times New Roman" w:cs="Times New Roman" w:hAnsi="Times New Roman"/>
          <w:sz w:val="24"/>
          <w:szCs w:val="24"/>
          <w:lang w:eastAsia="en-GB"/>
        </w:rPr>
        <w:t xml:space="preserve">, and wage suppression. Over time, such practices </w:t>
      </w:r>
      <w:r>
        <w:rPr>
          <w:rFonts w:ascii="Times New Roman" w:cs="Times New Roman" w:hAnsi="Times New Roman"/>
          <w:sz w:val="24"/>
          <w:szCs w:val="24"/>
          <w:lang w:eastAsia="en-GB"/>
        </w:rPr>
        <w:t>normalise</w:t>
      </w:r>
      <w:r>
        <w:rPr>
          <w:rFonts w:ascii="Times New Roman" w:cs="Times New Roman" w:hAnsi="Times New Roman"/>
          <w:sz w:val="24"/>
          <w:szCs w:val="24"/>
          <w:lang w:eastAsia="en-GB"/>
        </w:rPr>
        <w:t xml:space="preserve"> precarious employment even within high-revenue industries. The broader developmental consequences include declining productivity, weakened professional commitment, rising turnover, skilled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migration, and widening income inequality.</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The paradox, therefore, is not merely that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conditions have deteriorated under indigenous ownership; rather, it is that the architecture of </w:t>
      </w:r>
      <w:r>
        <w:rPr>
          <w:rFonts w:ascii="Times New Roman" w:cs="Times New Roman" w:hAnsi="Times New Roman"/>
          <w:sz w:val="24"/>
          <w:szCs w:val="24"/>
          <w:lang w:eastAsia="en-GB"/>
        </w:rPr>
        <w:t>Nigerianisation</w:t>
      </w:r>
      <w:r>
        <w:rPr>
          <w:rFonts w:ascii="Times New Roman" w:cs="Times New Roman" w:hAnsi="Times New Roman"/>
          <w:sz w:val="24"/>
          <w:szCs w:val="24"/>
          <w:lang w:eastAsia="en-GB"/>
        </w:rPr>
        <w:t xml:space="preserve"> has not </w:t>
      </w:r>
      <w:r>
        <w:rPr>
          <w:rFonts w:ascii="Times New Roman" w:cs="Times New Roman" w:hAnsi="Times New Roman"/>
          <w:sz w:val="24"/>
          <w:szCs w:val="24"/>
          <w:lang w:eastAsia="en-GB"/>
        </w:rPr>
        <w:t>operationalised</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dignity as a non-negotiable pillar of national participation.</w:t>
      </w:r>
    </w:p>
    <w:p>
      <w:pPr>
        <w:pStyle w:val="style0"/>
        <w:spacing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Based on the study, the following recommendations were made for policy formulation.</w:t>
      </w:r>
    </w:p>
    <w:p>
      <w:pPr>
        <w:pStyle w:val="style179"/>
        <w:numPr>
          <w:ilvl w:val="0"/>
          <w:numId w:val="5"/>
        </w:numPr>
        <w:spacing w:after="160"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Local content certification should require firms to meet mandatory welfare thresholds, including</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Minimum 90% pension coverage for all employees after probation</w:t>
      </w:r>
      <w:r>
        <w:rPr>
          <w:rFonts w:ascii="Times New Roman" w:cs="Times New Roman" w:hAnsi="Times New Roman"/>
          <w:sz w:val="24"/>
          <w:szCs w:val="24"/>
          <w:lang w:eastAsia="en-GB"/>
        </w:rPr>
        <w:t>, m</w:t>
      </w:r>
      <w:r>
        <w:rPr>
          <w:rFonts w:ascii="Times New Roman" w:cs="Times New Roman" w:hAnsi="Times New Roman"/>
          <w:sz w:val="24"/>
          <w:szCs w:val="24"/>
          <w:lang w:eastAsia="en-GB"/>
        </w:rPr>
        <w:t>andatory employer-funded medical insurance covering occupational hazards</w:t>
      </w:r>
      <w:r>
        <w:rPr>
          <w:rFonts w:ascii="Times New Roman" w:cs="Times New Roman" w:hAnsi="Times New Roman"/>
          <w:sz w:val="24"/>
          <w:szCs w:val="24"/>
          <w:lang w:eastAsia="en-GB"/>
        </w:rPr>
        <w:t xml:space="preserve"> and m</w:t>
      </w:r>
      <w:r>
        <w:rPr>
          <w:rFonts w:ascii="Times New Roman" w:cs="Times New Roman" w:hAnsi="Times New Roman"/>
          <w:sz w:val="24"/>
          <w:szCs w:val="24"/>
          <w:lang w:eastAsia="en-GB"/>
        </w:rPr>
        <w:t>inimum 21 days paid annual leave for permanent and long-term contract staff</w:t>
      </w:r>
      <w:r>
        <w:rPr>
          <w:rFonts w:ascii="Times New Roman" w:cs="Times New Roman" w:hAnsi="Times New Roman"/>
          <w:sz w:val="24"/>
          <w:szCs w:val="24"/>
          <w:lang w:eastAsia="en-GB"/>
        </w:rPr>
        <w:t>.</w:t>
      </w:r>
    </w:p>
    <w:p>
      <w:pPr>
        <w:pStyle w:val="style179"/>
        <w:numPr>
          <w:ilvl w:val="0"/>
          <w:numId w:val="5"/>
        </w:numPr>
        <w:spacing w:after="160"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To reduce excessive </w:t>
      </w:r>
      <w:r>
        <w:rPr>
          <w:rFonts w:ascii="Times New Roman" w:cs="Times New Roman" w:hAnsi="Times New Roman"/>
          <w:sz w:val="24"/>
          <w:szCs w:val="24"/>
          <w:lang w:eastAsia="en-GB"/>
        </w:rPr>
        <w:t>casualisation</w:t>
      </w:r>
      <w:r>
        <w:rPr>
          <w:rFonts w:ascii="Times New Roman" w:cs="Times New Roman" w:hAnsi="Times New Roman"/>
          <w:sz w:val="24"/>
          <w:szCs w:val="24"/>
          <w:lang w:eastAsia="en-GB"/>
        </w:rPr>
        <w:t>, firms should be required to report and meet minimum employment stability ratios:</w:t>
      </w:r>
      <w:r>
        <w:rPr>
          <w:rFonts w:ascii="Times New Roman" w:cs="Times New Roman" w:hAnsi="Times New Roman"/>
          <w:sz w:val="24"/>
          <w:szCs w:val="24"/>
          <w:lang w:eastAsia="en-GB"/>
        </w:rPr>
        <w:t xml:space="preserve"> a</w:t>
      </w:r>
      <w:r>
        <w:rPr>
          <w:rFonts w:ascii="Times New Roman" w:cs="Times New Roman" w:hAnsi="Times New Roman"/>
          <w:sz w:val="24"/>
          <w:szCs w:val="24"/>
          <w:lang w:eastAsia="en-GB"/>
        </w:rPr>
        <w:t>t least 60% of workforce on permanent contracts</w:t>
      </w:r>
      <w:r>
        <w:rPr>
          <w:rFonts w:ascii="Times New Roman" w:cs="Times New Roman" w:hAnsi="Times New Roman"/>
          <w:sz w:val="24"/>
          <w:szCs w:val="24"/>
          <w:lang w:eastAsia="en-GB"/>
        </w:rPr>
        <w:t>, r</w:t>
      </w:r>
      <w:r>
        <w:rPr>
          <w:rFonts w:ascii="Times New Roman" w:cs="Times New Roman" w:hAnsi="Times New Roman"/>
          <w:sz w:val="24"/>
          <w:szCs w:val="24"/>
          <w:lang w:eastAsia="en-GB"/>
        </w:rPr>
        <w:t>enewable</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fixed-term contracts limited to a maximum of two cycles</w:t>
      </w:r>
      <w:r>
        <w:rPr>
          <w:rFonts w:ascii="Times New Roman" w:cs="Times New Roman" w:hAnsi="Times New Roman"/>
          <w:sz w:val="24"/>
          <w:szCs w:val="24"/>
          <w:lang w:eastAsia="en-GB"/>
        </w:rPr>
        <w:t xml:space="preserve"> and t</w:t>
      </w:r>
      <w:r>
        <w:rPr>
          <w:rFonts w:ascii="Times New Roman" w:cs="Times New Roman" w:hAnsi="Times New Roman"/>
          <w:sz w:val="24"/>
          <w:szCs w:val="24"/>
          <w:lang w:eastAsia="en-GB"/>
        </w:rPr>
        <w:t>ransparent reporting of outsourced versus core staff proportions</w:t>
      </w:r>
    </w:p>
    <w:p>
      <w:pPr>
        <w:pStyle w:val="style179"/>
        <w:numPr>
          <w:ilvl w:val="0"/>
          <w:numId w:val="5"/>
        </w:numPr>
        <w:spacing w:after="160"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Given inflationary pressures and cost-of-living realities, wage benchmarks should be tied to sectoral revenue capacity:</w:t>
      </w:r>
      <w:r>
        <w:rPr>
          <w:rFonts w:ascii="Times New Roman" w:cs="Times New Roman" w:hAnsi="Times New Roman"/>
          <w:sz w:val="24"/>
          <w:szCs w:val="24"/>
          <w:lang w:eastAsia="en-GB"/>
        </w:rPr>
        <w:t xml:space="preserve"> </w:t>
      </w:r>
      <w:r>
        <w:rPr>
          <w:rFonts w:ascii="Times New Roman" w:cs="Times New Roman" w:hAnsi="Times New Roman"/>
          <w:sz w:val="24"/>
          <w:szCs w:val="24"/>
          <w:lang w:eastAsia="en-GB"/>
        </w:rPr>
        <w:t>Establishment of a sector-adjusted minimum professional wage floor for oil and high-risk industries</w:t>
      </w:r>
    </w:p>
    <w:p>
      <w:pPr>
        <w:pStyle w:val="style179"/>
        <w:numPr>
          <w:ilvl w:val="0"/>
          <w:numId w:val="5"/>
        </w:numPr>
        <w:spacing w:after="160" w:lineRule="auto" w:line="360"/>
        <w:jc w:val="both"/>
        <w:rPr>
          <w:rFonts w:ascii="Times New Roman" w:cs="Times New Roman" w:hAnsi="Times New Roman"/>
          <w:sz w:val="24"/>
          <w:szCs w:val="24"/>
          <w:lang w:eastAsia="en-GB"/>
        </w:rPr>
      </w:pPr>
      <w:r>
        <w:rPr>
          <w:rFonts w:ascii="Times New Roman" w:cs="Times New Roman" w:hAnsi="Times New Roman"/>
          <w:sz w:val="24"/>
          <w:szCs w:val="24"/>
          <w:lang w:eastAsia="en-GB"/>
        </w:rPr>
        <w:t xml:space="preserve">Institutions such as the Nigerian Content Development and Monitoring Board should incorporate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benchmarks directly into local content evaluation metrics. Compliance scoring should include a </w:t>
      </w:r>
      <w:r>
        <w:rPr>
          <w:rFonts w:ascii="Times New Roman" w:cs="Times New Roman" w:hAnsi="Times New Roman"/>
          <w:sz w:val="24"/>
          <w:szCs w:val="24"/>
          <w:lang w:eastAsia="en-GB"/>
        </w:rPr>
        <w:t>labour</w:t>
      </w:r>
      <w:r>
        <w:rPr>
          <w:rFonts w:ascii="Times New Roman" w:cs="Times New Roman" w:hAnsi="Times New Roman"/>
          <w:sz w:val="24"/>
          <w:szCs w:val="24"/>
          <w:lang w:eastAsia="en-GB"/>
        </w:rPr>
        <w:t xml:space="preserve"> welfare index weighted alongside ownership and procurement indicators.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94"/>
        <w:jc w:val="both"/>
        <w:rPr/>
      </w:pPr>
      <w:r>
        <w:t xml:space="preserve">Ake, C. (1981). </w:t>
      </w:r>
      <w:r>
        <w:rPr>
          <w:rStyle w:val="style88"/>
        </w:rPr>
        <w:t>A political economy of Africa</w:t>
      </w:r>
      <w:r>
        <w:t>. Longman.</w:t>
      </w:r>
    </w:p>
    <w:p>
      <w:pPr>
        <w:pStyle w:val="style94"/>
        <w:jc w:val="both"/>
        <w:rPr/>
      </w:pPr>
      <w:r>
        <w:t xml:space="preserve">African Development Bank. (2021). </w:t>
      </w:r>
      <w:r>
        <w:rPr>
          <w:rStyle w:val="style88"/>
        </w:rPr>
        <w:t>African Economic Outlook 2021: From debt resolution to growth—The road ahead for Africa</w:t>
      </w:r>
      <w:r>
        <w:t xml:space="preserve">. African Development Bank. </w:t>
      </w:r>
    </w:p>
    <w:p>
      <w:pPr>
        <w:pStyle w:val="style94"/>
        <w:jc w:val="both"/>
        <w:rPr/>
      </w:pPr>
      <w:r>
        <w:t xml:space="preserve">Creswell, J. W., &amp; Plano Clark, V. L. (2018). </w:t>
      </w:r>
      <w:r>
        <w:rPr>
          <w:rStyle w:val="style88"/>
        </w:rPr>
        <w:t>Designing and conducting mixed methods research</w:t>
      </w:r>
      <w:r>
        <w:t xml:space="preserve"> (3rd ed.). SAGE Publications.</w:t>
      </w:r>
    </w:p>
    <w:p>
      <w:pPr>
        <w:pStyle w:val="style94"/>
        <w:jc w:val="both"/>
        <w:rPr/>
      </w:pPr>
      <w:r>
        <w:t xml:space="preserve">Doeringer, P. B., &amp; </w:t>
      </w:r>
      <w:r>
        <w:t>Piore</w:t>
      </w:r>
      <w:r>
        <w:t xml:space="preserve">, M. J. (1971). </w:t>
      </w:r>
      <w:r>
        <w:rPr>
          <w:rStyle w:val="style88"/>
        </w:rPr>
        <w:t>Internal labor markets and manpower analysis</w:t>
      </w:r>
      <w:r>
        <w:t xml:space="preserve">. D. C. Heath. </w:t>
      </w:r>
    </w:p>
    <w:p>
      <w:pPr>
        <w:pStyle w:val="style94"/>
        <w:jc w:val="both"/>
        <w:rPr/>
      </w:pPr>
      <w:r>
        <w:t xml:space="preserve">Fanon, F. (1963). </w:t>
      </w:r>
      <w:r>
        <w:rPr>
          <w:rStyle w:val="style88"/>
        </w:rPr>
        <w:t>The wretched of the earth</w:t>
      </w:r>
      <w:r>
        <w:t xml:space="preserve"> (C. Farrington, Trans.). Grove Press. (Original work published 1961).</w:t>
      </w:r>
    </w:p>
    <w:p>
      <w:pPr>
        <w:pStyle w:val="style94"/>
        <w:jc w:val="both"/>
        <w:rPr/>
      </w:pPr>
      <w:r>
        <w:t xml:space="preserve">Ferguson, J. (2006). </w:t>
      </w:r>
      <w:r>
        <w:rPr>
          <w:rStyle w:val="style88"/>
        </w:rPr>
        <w:t>Global shadows: Africa in the neoliberal world order</w:t>
      </w:r>
      <w:r>
        <w:t>. Duke University Press.</w:t>
      </w:r>
    </w:p>
    <w:p>
      <w:pPr>
        <w:pStyle w:val="style94"/>
        <w:jc w:val="both"/>
        <w:rPr/>
      </w:pPr>
      <w:r>
        <w:t xml:space="preserve">Harvey, D. (2005). </w:t>
      </w:r>
      <w:r>
        <w:rPr>
          <w:rStyle w:val="style88"/>
        </w:rPr>
        <w:t>A brief history of neoliberalism</w:t>
      </w:r>
      <w:r>
        <w:t>. Oxford University Press.</w:t>
      </w:r>
    </w:p>
    <w:p>
      <w:pPr>
        <w:pStyle w:val="style94"/>
        <w:jc w:val="both"/>
        <w:rPr/>
      </w:pPr>
      <w:r>
        <w:t xml:space="preserve">International </w:t>
      </w:r>
      <w:r>
        <w:t>Labour</w:t>
      </w:r>
      <w:r>
        <w:t xml:space="preserve"> Organization. (1999). </w:t>
      </w:r>
      <w:r>
        <w:rPr>
          <w:rStyle w:val="style88"/>
        </w:rPr>
        <w:t xml:space="preserve">Decent work: Report of the Director-General, International </w:t>
      </w:r>
      <w:r>
        <w:rPr>
          <w:rStyle w:val="style88"/>
        </w:rPr>
        <w:t>Labour</w:t>
      </w:r>
      <w:r>
        <w:rPr>
          <w:rStyle w:val="style88"/>
        </w:rPr>
        <w:t xml:space="preserve"> Conference, 87th Session</w:t>
      </w:r>
      <w:r>
        <w:t xml:space="preserve">. International </w:t>
      </w:r>
      <w:r>
        <w:t>Labour</w:t>
      </w:r>
      <w:r>
        <w:t xml:space="preserve"> Office. </w:t>
      </w:r>
    </w:p>
    <w:p>
      <w:pPr>
        <w:pStyle w:val="style94"/>
        <w:jc w:val="both"/>
        <w:rPr/>
      </w:pPr>
      <w:r>
        <w:t xml:space="preserve">International </w:t>
      </w:r>
      <w:r>
        <w:t>Labour</w:t>
      </w:r>
      <w:r>
        <w:t xml:space="preserve"> Organization. (2021). </w:t>
      </w:r>
      <w:r>
        <w:rPr>
          <w:rStyle w:val="style88"/>
        </w:rPr>
        <w:t>World social protection report 2020–22: Social protection at the crossroads—in pursuit of a better future</w:t>
      </w:r>
      <w:r>
        <w:t xml:space="preserve">. International </w:t>
      </w:r>
      <w:r>
        <w:t>Labour</w:t>
      </w:r>
      <w:r>
        <w:t xml:space="preserve"> Office. </w:t>
      </w:r>
    </w:p>
    <w:p>
      <w:pPr>
        <w:pStyle w:val="style94"/>
        <w:jc w:val="both"/>
        <w:rPr/>
      </w:pPr>
      <w:r>
        <w:t>Kalleberg</w:t>
      </w:r>
      <w:r>
        <w:t xml:space="preserve">, A. L. (2011). </w:t>
      </w:r>
      <w:r>
        <w:rPr>
          <w:rStyle w:val="style88"/>
        </w:rPr>
        <w:t>Good jobs, bad jobs: The rise of polarized and precarious employment systems in the United States, 1970s–2000s</w:t>
      </w:r>
      <w:r>
        <w:t xml:space="preserve">. Russell Sage Foundation. </w:t>
      </w:r>
    </w:p>
    <w:p>
      <w:pPr>
        <w:pStyle w:val="style94"/>
        <w:jc w:val="both"/>
        <w:rPr/>
      </w:pPr>
      <w:r>
        <w:t xml:space="preserve">Karl, T. L. (1997). </w:t>
      </w:r>
      <w:r>
        <w:rPr>
          <w:rStyle w:val="style88"/>
        </w:rPr>
        <w:t xml:space="preserve">The paradox of plenty: Oil booms and </w:t>
      </w:r>
      <w:r>
        <w:rPr>
          <w:rStyle w:val="style88"/>
        </w:rPr>
        <w:t>petro</w:t>
      </w:r>
      <w:r>
        <w:rPr>
          <w:rStyle w:val="style88"/>
        </w:rPr>
        <w:t>-states</w:t>
      </w:r>
      <w:r>
        <w:t>. University of California Press.</w:t>
      </w:r>
    </w:p>
    <w:p>
      <w:pPr>
        <w:pStyle w:val="style94"/>
        <w:jc w:val="both"/>
        <w:rPr/>
      </w:pPr>
      <w:r>
        <w:t xml:space="preserve">Kashi, E. (2008). </w:t>
      </w:r>
      <w:r>
        <w:rPr>
          <w:rStyle w:val="style88"/>
        </w:rPr>
        <w:t>Curse of the black gold: 50 years of oil in the Niger Delta</w:t>
      </w:r>
      <w:r>
        <w:t xml:space="preserve">. </w:t>
      </w:r>
      <w:r>
        <w:t>PowerHouse</w:t>
      </w:r>
      <w:r>
        <w:t xml:space="preserve"> Books. </w:t>
      </w:r>
    </w:p>
    <w:p>
      <w:pPr>
        <w:pStyle w:val="style94"/>
        <w:jc w:val="both"/>
        <w:rPr/>
      </w:pPr>
      <w:r>
        <w:t xml:space="preserve">National Bureau of Statistics (Nigeria). (2024). </w:t>
      </w:r>
      <w:r>
        <w:rPr>
          <w:rStyle w:val="style88"/>
        </w:rPr>
        <w:t xml:space="preserve">Nigeria </w:t>
      </w:r>
      <w:r>
        <w:rPr>
          <w:rStyle w:val="style88"/>
        </w:rPr>
        <w:t>labour</w:t>
      </w:r>
      <w:r>
        <w:rPr>
          <w:rStyle w:val="style88"/>
        </w:rPr>
        <w:t xml:space="preserve"> force survey: Annual report 2023</w:t>
      </w:r>
      <w:r>
        <w:t xml:space="preserve">. National Bureau of Statistics. </w:t>
      </w:r>
    </w:p>
    <w:p>
      <w:pPr>
        <w:pStyle w:val="style94"/>
        <w:jc w:val="both"/>
        <w:rPr/>
      </w:pPr>
      <w:r>
        <w:t xml:space="preserve">National Salaries, Incomes and Wages Commission (Nigeria). (2024, September 30). </w:t>
      </w:r>
      <w:r>
        <w:rPr>
          <w:rStyle w:val="style88"/>
        </w:rPr>
        <w:t>Consolidated public service salary structure (CONPSS) (effective from 18th …)</w:t>
      </w:r>
      <w:r>
        <w:t xml:space="preserve">. NSIWC. </w:t>
      </w:r>
    </w:p>
    <w:p>
      <w:pPr>
        <w:pStyle w:val="style94"/>
        <w:jc w:val="both"/>
        <w:rPr/>
      </w:pPr>
      <w:r>
        <w:rPr>
          <w:rStyle w:val="style88"/>
        </w:rPr>
        <w:t>Nigerian Oil and Gas Industry Content Development Act</w:t>
      </w:r>
      <w:r>
        <w:t xml:space="preserve">, 2010 (Nigeria). </w:t>
      </w:r>
    </w:p>
    <w:p>
      <w:pPr>
        <w:pStyle w:val="style94"/>
        <w:jc w:val="both"/>
        <w:rPr/>
      </w:pPr>
      <w:r>
        <w:t xml:space="preserve">Oxfam. (2023). </w:t>
      </w:r>
      <w:r>
        <w:rPr>
          <w:rStyle w:val="style88"/>
        </w:rPr>
        <w:t>Survival of the richest: How we must tax the super-rich now to fight inequality</w:t>
      </w:r>
      <w:r>
        <w:t xml:space="preserve">. Oxfam International. </w:t>
      </w:r>
    </w:p>
    <w:p>
      <w:pPr>
        <w:pStyle w:val="style94"/>
        <w:jc w:val="both"/>
        <w:rPr/>
      </w:pPr>
      <w:r>
        <w:t xml:space="preserve">Piketty, T. (2014). </w:t>
      </w:r>
      <w:r>
        <w:rPr>
          <w:rStyle w:val="style88"/>
        </w:rPr>
        <w:t>Capital in the twenty-first century</w:t>
      </w:r>
      <w:r>
        <w:t xml:space="preserve"> (A. </w:t>
      </w:r>
      <w:r>
        <w:t>Goldhammer</w:t>
      </w:r>
      <w:r>
        <w:t xml:space="preserve">, Trans.). Belknap Press of Harvard University Press. </w:t>
      </w:r>
    </w:p>
    <w:p>
      <w:pPr>
        <w:pStyle w:val="style94"/>
        <w:jc w:val="both"/>
        <w:rPr/>
      </w:pPr>
      <w:r>
        <w:t xml:space="preserve">Standing, G. (2011). </w:t>
      </w:r>
      <w:r>
        <w:rPr>
          <w:rStyle w:val="style88"/>
        </w:rPr>
        <w:t>The precariat: The new dangerous class</w:t>
      </w:r>
      <w:r>
        <w:t xml:space="preserve">. Bloomsbury Academic. </w:t>
      </w:r>
    </w:p>
    <w:p>
      <w:pPr>
        <w:pStyle w:val="style94"/>
        <w:jc w:val="both"/>
        <w:rPr/>
      </w:pPr>
      <w:r>
        <w:t xml:space="preserve">United Nations Development </w:t>
      </w:r>
      <w:r>
        <w:t>Programme</w:t>
      </w:r>
      <w:r>
        <w:t xml:space="preserve">. (2020). </w:t>
      </w:r>
      <w:r>
        <w:rPr>
          <w:rStyle w:val="style88"/>
        </w:rPr>
        <w:t>Human development report 2020: The next frontier—Human development and the Anthropocene</w:t>
      </w:r>
      <w:r>
        <w:t xml:space="preserve">. UNDP. </w:t>
      </w:r>
    </w:p>
    <w:p>
      <w:pPr>
        <w:pStyle w:val="style94"/>
        <w:jc w:val="both"/>
        <w:rPr/>
      </w:pPr>
      <w:r>
        <w:t xml:space="preserve">Watts, M. (2004). Resource curse? Governmentality, oil and power in the Niger Delta, Nigeria. </w:t>
      </w:r>
      <w:r>
        <w:rPr>
          <w:rStyle w:val="style88"/>
        </w:rPr>
        <w:t>Geopolitics, 9</w:t>
      </w:r>
      <w:r>
        <w:t xml:space="preserve">(1), 50–80. </w:t>
      </w:r>
    </w:p>
    <w:p>
      <w:pPr>
        <w:pStyle w:val="style94"/>
        <w:jc w:val="both"/>
        <w:rPr/>
      </w:pPr>
      <w:r>
        <w:t xml:space="preserve">Watts, M. J. (2007). </w:t>
      </w:r>
      <w:r>
        <w:rPr>
          <w:rStyle w:val="style88"/>
        </w:rPr>
        <w:t xml:space="preserve">Blood oil: The anatomy of a </w:t>
      </w:r>
      <w:r>
        <w:rPr>
          <w:rStyle w:val="style88"/>
        </w:rPr>
        <w:t>petro</w:t>
      </w:r>
      <w:r>
        <w:rPr>
          <w:rStyle w:val="style88"/>
        </w:rPr>
        <w:t>-insurgency in the Niger Delta, Nigeria</w:t>
      </w:r>
      <w:r>
        <w:t xml:space="preserve"> (Working paper). University of California, Berkeley. </w:t>
      </w:r>
    </w:p>
    <w:p>
      <w:pPr>
        <w:pStyle w:val="style94"/>
        <w:jc w:val="both"/>
        <w:rPr/>
      </w:pPr>
      <w:r>
        <w:t xml:space="preserve">World Bank. (2022). </w:t>
      </w:r>
      <w:r>
        <w:rPr>
          <w:rStyle w:val="style88"/>
        </w:rPr>
        <w:t>Nigeria development update: The continuing urgency of business unusual</w:t>
      </w:r>
      <w:r>
        <w:t xml:space="preserve"> (June 2022). World Bank. </w:t>
      </w:r>
    </w:p>
    <w:sectPr>
      <w:footerReference w:type="default" r:id="rId2"/>
      <w:pgSz w:w="11906" w:h="16838"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DengXian">
    <w:altName w:val="等线"/>
    <w:panose1 w:val="02010600030000010101"/>
    <w:charset w:val="86"/>
    <w:family w:val="auto"/>
    <w:pitch w:val="variable"/>
    <w:sig w:usb0="A00002BF" w:usb1="38CF7CFA" w:usb2="00000016" w:usb3="00000000" w:csb0="0004000F" w:csb1="00000000"/>
  </w:font>
  <w:font w:name="Courier New">
    <w:altName w:val="Courier New"/>
    <w:panose1 w:val="02070309020000020404"/>
    <w:charset w:val="00"/>
    <w:family w:val="modern"/>
    <w:pitch w:val="fixed"/>
    <w:sig w:usb0="E0002EFF" w:usb1="C0007843" w:usb2="00000009" w:usb3="00000000" w:csb0="000001FF" w:csb1="00000000"/>
  </w:font>
  <w:font w:name="DengXian Light">
    <w:altName w:val="等线 Light"/>
    <w:panose1 w:val="00000000000000000000"/>
    <w:charset w:val="86"/>
    <w:family w:val="auto"/>
    <w:pitch w:val="variable"/>
    <w:sig w:usb0="A00002BF" w:usb1="38CF7CFA" w:usb2="00000016" w:usb3="00000000" w:csb0="0004000F" w:csb1="00000000"/>
  </w:font>
  <w:font w:name="Calibri Light">
    <w:altName w:val="Calibri Light"/>
    <w:panose1 w:val="020f0302020000030204"/>
    <w:charset w:val="00"/>
    <w:family w:val="swiss"/>
    <w:pitch w:val="variable"/>
    <w:sig w:usb0="E4002EFF" w:usb1="C000247B" w:usb2="00000009" w:usb3="00000000" w:csb0="000001FF" w:csb1="00000000"/>
  </w:font>
  <w:font w:name="等线">
    <w:altName w:val="等线"/>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5BCCE26"/>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0000001"/>
    <w:multiLevelType w:val="multilevel"/>
    <w:tmpl w:val="FF864D5E"/>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0000002"/>
    <w:multiLevelType w:val="multilevel"/>
    <w:tmpl w:val="AC663C88"/>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0000003"/>
    <w:multiLevelType w:val="multilevel"/>
    <w:tmpl w:val="8AB6FAD2"/>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04"/>
    <w:multiLevelType w:val="multilevel"/>
    <w:tmpl w:val="0BF286B8"/>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GB" w:bidi="ar-SA" w:eastAsia="en-GB"/>
      </w:rPr>
    </w:rPrDefault>
    <w:pPrDefault>
      <w:pPr/>
    </w:pPrDefault>
  </w:docDefaults>
  <w:style w:type="paragraph" w:default="1" w:styleId="style0">
    <w:name w:val="Normal"/>
    <w:next w:val="style0"/>
    <w:qFormat/>
    <w:pPr/>
    <w:rPr>
      <w:rFonts w:ascii="Calibri" w:cs="宋体" w:eastAsia="等线" w:hAnsi="Calibri"/>
      <w:lang w:val="en-US" w:eastAsia="zh-CN"/>
    </w:rPr>
  </w:style>
  <w:style w:type="paragraph" w:styleId="style1">
    <w:name w:val="heading 1"/>
    <w:next w:val="style0"/>
    <w:qFormat/>
    <w:pPr>
      <w:spacing w:beforeAutospacing="true" w:afterAutospacing="true"/>
      <w:outlineLvl w:val="0"/>
    </w:pPr>
    <w:rPr>
      <w:rFonts w:ascii="SimSun" w:hAnsi="SimSun" w:hint="eastAsia"/>
      <w:b/>
      <w:bCs/>
      <w:kern w:val="44"/>
      <w:sz w:val="48"/>
      <w:szCs w:val="48"/>
      <w:lang w:val="en-US" w:eastAsia="zh-CN"/>
    </w:rPr>
  </w:style>
  <w:style w:type="paragraph" w:styleId="style2">
    <w:name w:val="heading 2"/>
    <w:next w:val="style0"/>
    <w:qFormat/>
    <w:pPr>
      <w:spacing w:beforeAutospacing="true" w:afterAutospacing="true"/>
      <w:outlineLvl w:val="1"/>
    </w:pPr>
    <w:rPr>
      <w:rFonts w:ascii="SimSun" w:hAnsi="SimSun" w:hint="eastAsia"/>
      <w:b/>
      <w:bCs/>
      <w:sz w:val="36"/>
      <w:szCs w:val="36"/>
      <w:lang w:val="en-US" w:eastAsia="zh-CN"/>
    </w:rPr>
  </w:style>
  <w:style w:type="paragraph" w:styleId="style3">
    <w:name w:val="heading 3"/>
    <w:next w:val="style0"/>
    <w:qFormat/>
    <w:pPr>
      <w:spacing w:beforeAutospacing="true" w:afterAutospacing="true"/>
      <w:outlineLvl w:val="2"/>
    </w:pPr>
    <w:rPr>
      <w:rFonts w:ascii="SimSun" w:hAnsi="SimSun" w:hint="eastAsia"/>
      <w:b/>
      <w:bCs/>
      <w:sz w:val="27"/>
      <w:szCs w:val="27"/>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rPr>
      <w:i/>
      <w:iCs/>
    </w:rPr>
  </w:style>
  <w:style w:type="character" w:styleId="style98">
    <w:name w:val="HTML Code"/>
    <w:basedOn w:val="style65"/>
    <w:next w:val="style98"/>
    <w:rPr>
      <w:rFonts w:ascii="Courier New" w:cs="Courier New" w:hAnsi="Courier New"/>
      <w:sz w:val="20"/>
      <w:szCs w:val="20"/>
    </w:rPr>
  </w:style>
  <w:style w:type="paragraph" w:styleId="style101">
    <w:name w:val="HTML Preformatted"/>
    <w:next w:val="style10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SimSun" w:hAnsi="SimSun" w:hint="eastAsia"/>
      <w:sz w:val="24"/>
      <w:szCs w:val="24"/>
      <w:lang w:val="en-US" w:eastAsia="zh-CN"/>
    </w:rPr>
  </w:style>
  <w:style w:type="paragraph" w:styleId="style94">
    <w:name w:val="Normal (Web)"/>
    <w:next w:val="style94"/>
    <w:qFormat/>
    <w:pPr>
      <w:spacing w:beforeAutospacing="true" w:afterAutospacing="true"/>
    </w:pPr>
    <w:rPr>
      <w:sz w:val="24"/>
      <w:szCs w:val="24"/>
      <w:lang w:val="en-US" w:eastAsia="zh-CN"/>
    </w:rPr>
  </w:style>
  <w:style w:type="character" w:styleId="style87">
    <w:name w:val="Strong"/>
    <w:basedOn w:val="style65"/>
    <w:next w:val="style87"/>
    <w:qFormat/>
    <w:rPr>
      <w:b/>
      <w:bCs/>
    </w:r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rPr>
      <w:rFonts w:ascii="Calibri" w:cs="宋体" w:eastAsia="等线" w:hAnsi="Calibri"/>
      <w:lang w:val="en-US" w:eastAsia="zh-CN"/>
    </w:rPr>
  </w:style>
  <w:style w:type="table" w:styleId="style154">
    <w:name w:val="Table Grid"/>
    <w:basedOn w:val="style105"/>
    <w:next w:val="style154"/>
    <w:uiPriority w:val="39"/>
    <w:pPr/>
    <w:rPr>
      <w:rFonts w:ascii="Calibri" w:cs="宋体"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pPr>
      <w:tabs>
        <w:tab w:val="center" w:leader="none" w:pos="4513"/>
        <w:tab w:val="right" w:leader="none" w:pos="9026"/>
      </w:tabs>
    </w:pPr>
    <w:rPr/>
  </w:style>
  <w:style w:type="character" w:customStyle="1" w:styleId="style4097">
    <w:name w:val="Header Char_93a06d05-431d-4435-bce9-cbf4de41eb11"/>
    <w:basedOn w:val="style65"/>
    <w:next w:val="style4097"/>
    <w:link w:val="style31"/>
    <w:rPr>
      <w:rFonts w:ascii="Calibri" w:cs="宋体" w:eastAsia="等线" w:hAnsi="Calibri"/>
      <w:lang w:val="en-US" w:eastAsia="zh-CN"/>
    </w:rPr>
  </w:style>
  <w:style w:type="paragraph" w:styleId="style32">
    <w:name w:val="footer"/>
    <w:basedOn w:val="style0"/>
    <w:next w:val="style32"/>
    <w:link w:val="style4098"/>
    <w:uiPriority w:val="99"/>
    <w:pPr>
      <w:tabs>
        <w:tab w:val="center" w:leader="none" w:pos="4513"/>
        <w:tab w:val="right" w:leader="none" w:pos="9026"/>
      </w:tabs>
    </w:pPr>
    <w:rPr/>
  </w:style>
  <w:style w:type="character" w:customStyle="1" w:styleId="style4098">
    <w:name w:val="Footer Char_0e4c2fd1-54fb-4aab-8c27-49a6c0fa91e9"/>
    <w:basedOn w:val="style65"/>
    <w:next w:val="style4098"/>
    <w:link w:val="style32"/>
    <w:uiPriority w:val="99"/>
    <w:rPr>
      <w:rFonts w:ascii="Calibri" w:cs="宋体" w:eastAsia="等线" w:hAnsi="Calibri"/>
      <w:lang w:val="en-US"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Words>4902</Words>
  <Pages>17</Pages>
  <Characters>33105</Characters>
  <Application>WPS Office</Application>
  <DocSecurity>0</DocSecurity>
  <Paragraphs>290</Paragraphs>
  <ScaleCrop>false</ScaleCrop>
  <LinksUpToDate>false</LinksUpToDate>
  <CharactersWithSpaces>37756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2026-01-29T11:35:00Z</dcterms:created>
  <dc:creator>Agbana Edwin</dc:creator>
  <lastModifiedBy>CPH2481</lastModifiedBy>
  <dcterms:modified xsi:type="dcterms:W3CDTF">2026-02-21T17:08:51Z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bc35cac66c9d4c6e8569853eba7d75b9</vt:lpwstr>
  </property>
</Properties>
</file>