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7966" w14:textId="77777777" w:rsidR="00813D7D" w:rsidRDefault="00813D7D" w:rsidP="00813D7D">
      <w:pPr>
        <w:spacing w:after="0"/>
        <w:jc w:val="center"/>
        <w:rPr>
          <w:rFonts w:ascii="Times New Roman" w:hAnsi="Times New Roman" w:cs="Times New Roman"/>
          <w:b/>
          <w:bCs/>
          <w:sz w:val="28"/>
          <w:szCs w:val="28"/>
          <w:lang w:val="en-IN"/>
        </w:rPr>
      </w:pPr>
      <w:r w:rsidRPr="00136BC5">
        <w:rPr>
          <w:rFonts w:ascii="Times New Roman" w:hAnsi="Times New Roman" w:cs="Times New Roman"/>
          <w:b/>
          <w:bCs/>
          <w:sz w:val="28"/>
          <w:szCs w:val="28"/>
          <w:lang w:val="en-IN"/>
        </w:rPr>
        <w:t xml:space="preserve">Impact </w:t>
      </w:r>
      <w:r>
        <w:rPr>
          <w:rFonts w:ascii="Times New Roman" w:hAnsi="Times New Roman" w:cs="Times New Roman"/>
          <w:b/>
          <w:bCs/>
          <w:sz w:val="28"/>
          <w:szCs w:val="28"/>
          <w:lang w:val="en-IN"/>
        </w:rPr>
        <w:t>o</w:t>
      </w:r>
      <w:r w:rsidRPr="00136BC5">
        <w:rPr>
          <w:rFonts w:ascii="Times New Roman" w:hAnsi="Times New Roman" w:cs="Times New Roman"/>
          <w:b/>
          <w:bCs/>
          <w:sz w:val="28"/>
          <w:szCs w:val="28"/>
          <w:lang w:val="en-IN"/>
        </w:rPr>
        <w:t>f Phenylmercuric Acetate (P</w:t>
      </w:r>
      <w:r>
        <w:rPr>
          <w:rFonts w:ascii="Times New Roman" w:hAnsi="Times New Roman" w:cs="Times New Roman"/>
          <w:b/>
          <w:bCs/>
          <w:sz w:val="28"/>
          <w:szCs w:val="28"/>
          <w:lang w:val="en-IN"/>
        </w:rPr>
        <w:t>MA</w:t>
      </w:r>
      <w:r w:rsidRPr="00136BC5">
        <w:rPr>
          <w:rFonts w:ascii="Times New Roman" w:hAnsi="Times New Roman" w:cs="Times New Roman"/>
          <w:b/>
          <w:bCs/>
          <w:sz w:val="28"/>
          <w:szCs w:val="28"/>
          <w:lang w:val="en-IN"/>
        </w:rPr>
        <w:t xml:space="preserve">) </w:t>
      </w:r>
      <w:r>
        <w:rPr>
          <w:rFonts w:ascii="Times New Roman" w:hAnsi="Times New Roman" w:cs="Times New Roman"/>
          <w:b/>
          <w:bCs/>
          <w:sz w:val="28"/>
          <w:szCs w:val="28"/>
          <w:lang w:val="en-IN"/>
        </w:rPr>
        <w:t>o</w:t>
      </w:r>
      <w:r w:rsidRPr="00136BC5">
        <w:rPr>
          <w:rFonts w:ascii="Times New Roman" w:hAnsi="Times New Roman" w:cs="Times New Roman"/>
          <w:b/>
          <w:bCs/>
          <w:sz w:val="28"/>
          <w:szCs w:val="28"/>
          <w:lang w:val="en-IN"/>
        </w:rPr>
        <w:t xml:space="preserve">n Male Fertility </w:t>
      </w:r>
      <w:r>
        <w:rPr>
          <w:rFonts w:ascii="Times New Roman" w:hAnsi="Times New Roman" w:cs="Times New Roman"/>
          <w:b/>
          <w:bCs/>
          <w:sz w:val="28"/>
          <w:szCs w:val="28"/>
          <w:lang w:val="en-IN"/>
        </w:rPr>
        <w:t>&amp;</w:t>
      </w:r>
      <w:r w:rsidRPr="00136BC5">
        <w:rPr>
          <w:rFonts w:ascii="Times New Roman" w:hAnsi="Times New Roman" w:cs="Times New Roman"/>
          <w:b/>
          <w:bCs/>
          <w:sz w:val="28"/>
          <w:szCs w:val="28"/>
          <w:lang w:val="en-IN"/>
        </w:rPr>
        <w:t xml:space="preserve"> Sexual Behaviour: An Endocrine Disruption Study in </w:t>
      </w:r>
      <w:r w:rsidR="00F10597">
        <w:rPr>
          <w:rFonts w:ascii="Times New Roman" w:hAnsi="Times New Roman" w:cs="Times New Roman"/>
          <w:b/>
          <w:bCs/>
          <w:sz w:val="28"/>
          <w:szCs w:val="28"/>
          <w:lang w:val="en-IN"/>
        </w:rPr>
        <w:t>W</w:t>
      </w:r>
      <w:r w:rsidR="00970032">
        <w:rPr>
          <w:rFonts w:ascii="Times New Roman" w:hAnsi="Times New Roman" w:cs="Times New Roman"/>
          <w:b/>
          <w:bCs/>
          <w:sz w:val="28"/>
          <w:szCs w:val="28"/>
          <w:lang w:val="en-IN"/>
        </w:rPr>
        <w:t>istar R</w:t>
      </w:r>
      <w:r w:rsidRPr="00136BC5">
        <w:rPr>
          <w:rFonts w:ascii="Times New Roman" w:hAnsi="Times New Roman" w:cs="Times New Roman"/>
          <w:b/>
          <w:bCs/>
          <w:sz w:val="28"/>
          <w:szCs w:val="28"/>
          <w:lang w:val="en-IN"/>
        </w:rPr>
        <w:t>ats</w:t>
      </w:r>
    </w:p>
    <w:p w14:paraId="70C01964" w14:textId="77777777" w:rsidR="00813D7D" w:rsidRPr="00136BC5" w:rsidRDefault="00813D7D" w:rsidP="00813D7D">
      <w:pPr>
        <w:spacing w:after="0"/>
        <w:jc w:val="center"/>
        <w:rPr>
          <w:rFonts w:ascii="Times New Roman" w:hAnsi="Times New Roman" w:cs="Times New Roman"/>
          <w:b/>
          <w:bCs/>
          <w:sz w:val="28"/>
          <w:szCs w:val="28"/>
          <w:lang w:val="en-IN"/>
        </w:rPr>
      </w:pPr>
    </w:p>
    <w:p w14:paraId="149B09AA" w14:textId="77777777" w:rsidR="00813D7D" w:rsidRPr="00813D7D" w:rsidRDefault="00813D7D" w:rsidP="00813D7D">
      <w:pPr>
        <w:spacing w:after="0"/>
        <w:jc w:val="center"/>
        <w:rPr>
          <w:rFonts w:ascii="Times New Roman" w:hAnsi="Times New Roman" w:cs="Times New Roman"/>
          <w:b/>
          <w:bCs/>
          <w:sz w:val="24"/>
          <w:szCs w:val="24"/>
          <w:lang w:val="en-IN"/>
        </w:rPr>
      </w:pPr>
      <w:r w:rsidRPr="00813D7D">
        <w:rPr>
          <w:rFonts w:ascii="Times New Roman" w:hAnsi="Times New Roman" w:cs="Times New Roman"/>
          <w:b/>
          <w:bCs/>
          <w:sz w:val="24"/>
          <w:szCs w:val="24"/>
          <w:lang w:val="en-IN"/>
        </w:rPr>
        <w:t>Mahesh Vilas Tanwade</w:t>
      </w:r>
      <w:r w:rsidRPr="00813D7D">
        <w:rPr>
          <w:rFonts w:ascii="Times New Roman" w:hAnsi="Times New Roman" w:cs="Times New Roman"/>
          <w:b/>
          <w:bCs/>
          <w:sz w:val="24"/>
          <w:szCs w:val="24"/>
          <w:vertAlign w:val="superscript"/>
          <w:lang w:val="en-IN"/>
        </w:rPr>
        <w:t>1*</w:t>
      </w:r>
      <w:r w:rsidRPr="00813D7D">
        <w:rPr>
          <w:rFonts w:ascii="Times New Roman" w:hAnsi="Times New Roman" w:cs="Times New Roman"/>
          <w:b/>
          <w:bCs/>
          <w:sz w:val="24"/>
          <w:szCs w:val="24"/>
          <w:lang w:val="en-IN"/>
        </w:rPr>
        <w:t>, Basawarajeshwari Indur</w:t>
      </w:r>
      <w:r w:rsidRPr="00813D7D">
        <w:rPr>
          <w:rFonts w:ascii="Times New Roman" w:hAnsi="Times New Roman" w:cs="Times New Roman"/>
          <w:b/>
          <w:bCs/>
          <w:sz w:val="24"/>
          <w:szCs w:val="24"/>
          <w:vertAlign w:val="superscript"/>
          <w:lang w:val="en-IN"/>
        </w:rPr>
        <w:t>2</w:t>
      </w:r>
    </w:p>
    <w:p w14:paraId="1ACE8DCF" w14:textId="77777777" w:rsidR="00813D7D" w:rsidRPr="00537BC6" w:rsidRDefault="00813D7D" w:rsidP="00813D7D">
      <w:pPr>
        <w:spacing w:after="0"/>
        <w:jc w:val="center"/>
        <w:rPr>
          <w:rFonts w:ascii="Times New Roman" w:hAnsi="Times New Roman" w:cs="Times New Roman"/>
          <w:sz w:val="24"/>
          <w:szCs w:val="24"/>
        </w:rPr>
      </w:pPr>
      <w:r w:rsidRPr="00537BC6">
        <w:rPr>
          <w:rFonts w:ascii="Times New Roman" w:hAnsi="Times New Roman" w:cs="Times New Roman"/>
          <w:sz w:val="24"/>
          <w:szCs w:val="24"/>
          <w:vertAlign w:val="superscript"/>
        </w:rPr>
        <w:t>1</w:t>
      </w:r>
      <w:r w:rsidRPr="00537BC6">
        <w:rPr>
          <w:rFonts w:ascii="Times New Roman" w:hAnsi="Times New Roman" w:cs="Times New Roman"/>
          <w:sz w:val="24"/>
          <w:szCs w:val="24"/>
        </w:rPr>
        <w:t>* Department of Post Graduate Studies and Research in Zoology, Sharnbasva University, Kalaburagi- 585103, Karnataka, India.</w:t>
      </w:r>
    </w:p>
    <w:p w14:paraId="012309E2" w14:textId="77777777" w:rsidR="00813D7D" w:rsidRPr="00537BC6" w:rsidRDefault="00813D7D" w:rsidP="00813D7D">
      <w:pPr>
        <w:spacing w:after="0"/>
        <w:jc w:val="center"/>
        <w:rPr>
          <w:rFonts w:ascii="Times New Roman" w:hAnsi="Times New Roman" w:cs="Times New Roman"/>
          <w:sz w:val="24"/>
          <w:szCs w:val="24"/>
        </w:rPr>
      </w:pPr>
      <w:r w:rsidRPr="00537BC6">
        <w:rPr>
          <w:rFonts w:ascii="Times New Roman" w:hAnsi="Times New Roman" w:cs="Times New Roman"/>
          <w:sz w:val="24"/>
          <w:szCs w:val="24"/>
          <w:vertAlign w:val="superscript"/>
        </w:rPr>
        <w:t>2</w:t>
      </w:r>
      <w:r w:rsidRPr="00537BC6">
        <w:rPr>
          <w:rFonts w:ascii="Times New Roman" w:hAnsi="Times New Roman" w:cs="Times New Roman"/>
          <w:sz w:val="24"/>
          <w:szCs w:val="24"/>
        </w:rPr>
        <w:t>Department of Zoology, Sharnbasveshwar College of Science, Kalaburagi- 585103, Karnataka, India.</w:t>
      </w:r>
    </w:p>
    <w:p w14:paraId="383EC1BF" w14:textId="77777777" w:rsidR="00813D7D" w:rsidRPr="00537BC6" w:rsidRDefault="00813D7D" w:rsidP="00813D7D">
      <w:pPr>
        <w:spacing w:after="0"/>
        <w:jc w:val="center"/>
        <w:rPr>
          <w:rFonts w:ascii="Times New Roman" w:hAnsi="Times New Roman" w:cs="Times New Roman"/>
          <w:sz w:val="24"/>
          <w:szCs w:val="24"/>
        </w:rPr>
      </w:pPr>
      <w:r w:rsidRPr="00537BC6">
        <w:rPr>
          <w:rFonts w:ascii="Times New Roman" w:hAnsi="Times New Roman" w:cs="Times New Roman"/>
          <w:sz w:val="24"/>
          <w:szCs w:val="24"/>
        </w:rPr>
        <w:t xml:space="preserve">*Corresponding Author Email: </w:t>
      </w:r>
      <w:hyperlink r:id="rId7" w:history="1">
        <w:r w:rsidRPr="00537BC6">
          <w:rPr>
            <w:rStyle w:val="Hyperlink"/>
            <w:rFonts w:ascii="Times New Roman" w:hAnsi="Times New Roman" w:cs="Times New Roman"/>
            <w:sz w:val="24"/>
            <w:szCs w:val="24"/>
          </w:rPr>
          <w:t>maheshtanwade1997@gmail.com</w:t>
        </w:r>
      </w:hyperlink>
    </w:p>
    <w:p w14:paraId="5A9BA164" w14:textId="77777777" w:rsidR="00813D7D" w:rsidRDefault="00813D7D" w:rsidP="00813D7D">
      <w:pPr>
        <w:spacing w:line="480" w:lineRule="auto"/>
        <w:jc w:val="both"/>
        <w:rPr>
          <w:rFonts w:ascii="Times New Roman" w:hAnsi="Times New Roman" w:cs="Times New Roman"/>
          <w:sz w:val="24"/>
          <w:szCs w:val="24"/>
        </w:rPr>
      </w:pPr>
    </w:p>
    <w:p w14:paraId="1F8B58F0" w14:textId="77777777" w:rsidR="00813D7D" w:rsidRPr="007409A0" w:rsidRDefault="00813D7D" w:rsidP="00813D7D">
      <w:pPr>
        <w:spacing w:line="480" w:lineRule="auto"/>
        <w:jc w:val="center"/>
        <w:rPr>
          <w:rFonts w:ascii="Times New Roman" w:hAnsi="Times New Roman" w:cs="Times New Roman"/>
          <w:b/>
          <w:bCs/>
          <w:sz w:val="28"/>
          <w:szCs w:val="28"/>
        </w:rPr>
      </w:pPr>
      <w:r w:rsidRPr="007409A0">
        <w:rPr>
          <w:rFonts w:ascii="Times New Roman" w:hAnsi="Times New Roman" w:cs="Times New Roman"/>
          <w:b/>
          <w:bCs/>
          <w:sz w:val="28"/>
          <w:szCs w:val="28"/>
        </w:rPr>
        <w:t>ABSTRACT</w:t>
      </w:r>
    </w:p>
    <w:p w14:paraId="4A716829" w14:textId="77777777" w:rsidR="00340E8C" w:rsidRDefault="00340E8C" w:rsidP="00340E8C">
      <w:pPr>
        <w:spacing w:line="360" w:lineRule="auto"/>
        <w:ind w:firstLine="720"/>
        <w:jc w:val="both"/>
        <w:rPr>
          <w:rFonts w:ascii="Times New Roman" w:hAnsi="Times New Roman" w:cs="Times New Roman"/>
          <w:sz w:val="24"/>
          <w:szCs w:val="24"/>
        </w:rPr>
      </w:pPr>
      <w:r w:rsidRPr="00340E8C">
        <w:rPr>
          <w:rFonts w:ascii="Times New Roman" w:hAnsi="Times New Roman" w:cs="Times New Roman"/>
          <w:sz w:val="24"/>
          <w:szCs w:val="24"/>
        </w:rPr>
        <w:t>An organomercury chemical, phenylmercuric acetate (PMA), has a long history of usage as a preservative, fungicide, &amp; topical antiseptic. This study examines the impact of PMA on the sexual behavior &amp; fertility of male Wistar rats. Twenty-four sexually mature male rats received PMA at doses of 2, 4 &amp; 8 mg/kg/day through oral gavage for 30 days, alongside a control group that received corn oil for comparison. There were no signs of mortality, evident toxicity, or clinical disturbances associated with treatment during the research period. PMA clearly inhibits weight increase in a dose-dependent way, which means that long-term exposure could have effects on metabolism or growth. Results from biochemical testing showed abnormalities in indicators of renal function &amp; cholesterol metabolism. There were significant changes in hematological markers, such as a drop in hemoglobin and white blood cell counts. Testosterone levels decreased in a dose-dependent manner, with substantial decreases at elevated doses. PMA-treated groups had sperm that was less motile, less numerous &amp; less well-formed. Elevations of mating behavior revealed a significantly increased delay to mount and intromission, alongside a decreased frequency of intromission, indicating diminished sexual performance. Examinations of organ weight and histopathology showed that the drug was hazardous to the liver and adrenal glands and that it damaged testicular and hepatic tissue. These data indicate that PMA exposure affects hormonal equilibrium, inhibits spermatogenesis, &amp; modifies sexual behavior, underscoring its potential hazards to male reproductive health. Additional research on the impact of PMA on human reproductive health is essential.</w:t>
      </w:r>
    </w:p>
    <w:p w14:paraId="05E27238" w14:textId="66CC65FC" w:rsidR="00813D7D" w:rsidRDefault="00813D7D" w:rsidP="00813D7D">
      <w:pPr>
        <w:spacing w:line="360" w:lineRule="auto"/>
        <w:jc w:val="both"/>
        <w:rPr>
          <w:rFonts w:ascii="Times New Roman" w:hAnsi="Times New Roman" w:cs="Times New Roman"/>
          <w:sz w:val="24"/>
          <w:szCs w:val="24"/>
        </w:rPr>
      </w:pPr>
      <w:r w:rsidRPr="00F05000">
        <w:rPr>
          <w:rFonts w:ascii="Times New Roman" w:hAnsi="Times New Roman" w:cs="Times New Roman"/>
          <w:b/>
          <w:bCs/>
          <w:sz w:val="24"/>
          <w:szCs w:val="24"/>
        </w:rPr>
        <w:t>Keywords:</w:t>
      </w:r>
      <w:r w:rsidRPr="00F05000">
        <w:rPr>
          <w:rFonts w:ascii="Times New Roman" w:hAnsi="Times New Roman" w:cs="Times New Roman"/>
          <w:sz w:val="24"/>
          <w:szCs w:val="24"/>
        </w:rPr>
        <w:t xml:space="preserve"> Phenylmercuric Acetate (PMA), Endocrine-disrupting chemical (EDC), Male reproductive health, spermatogenesis, mating behavior.</w:t>
      </w:r>
    </w:p>
    <w:p w14:paraId="5B44930D" w14:textId="77777777" w:rsidR="00F25843" w:rsidRPr="00F25843" w:rsidRDefault="00813D7D" w:rsidP="00F25843">
      <w:pPr>
        <w:spacing w:after="0" w:line="360" w:lineRule="auto"/>
        <w:jc w:val="both"/>
        <w:rPr>
          <w:rFonts w:ascii="Times New Roman Bold" w:hAnsi="Times New Roman Bold" w:cs="Times New Roman"/>
          <w:b/>
          <w:bCs/>
          <w:sz w:val="32"/>
          <w:szCs w:val="32"/>
        </w:rPr>
      </w:pPr>
      <w:r>
        <w:rPr>
          <w:rFonts w:ascii="Times New Roman Bold" w:hAnsi="Times New Roman Bold" w:cs="Times New Roman"/>
          <w:b/>
          <w:bCs/>
          <w:sz w:val="32"/>
          <w:szCs w:val="32"/>
        </w:rPr>
        <w:lastRenderedPageBreak/>
        <w:t xml:space="preserve">1. </w:t>
      </w:r>
      <w:r w:rsidR="00F25843" w:rsidRPr="00F25843">
        <w:rPr>
          <w:rFonts w:ascii="Times New Roman Bold" w:hAnsi="Times New Roman Bold" w:cs="Times New Roman"/>
          <w:b/>
          <w:bCs/>
          <w:sz w:val="32"/>
          <w:szCs w:val="32"/>
        </w:rPr>
        <w:t>Introduction</w:t>
      </w:r>
    </w:p>
    <w:p w14:paraId="70CA4937" w14:textId="77777777" w:rsidR="00F25843" w:rsidRPr="00F25843" w:rsidRDefault="00F25843" w:rsidP="00F258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One of the oldest known harmful substances was discovered thousands of years ago: mercury. Mercury's endocrine-disrupting effects have emerged as one of the most significant public health issues in recent years. According to earlier reports, mercury's detrimental effects on the gonads (testicles and ovaries), pituitary, thyroid, adrenal, and hypothalamus in humans and laboratory animals are being investigated </w:t>
      </w:r>
      <w:r w:rsidRPr="00C77C54">
        <w:rPr>
          <w:rFonts w:ascii="Times New Roman" w:hAnsi="Times New Roman" w:cs="Times New Roman"/>
          <w:sz w:val="24"/>
          <w:szCs w:val="24"/>
        </w:rPr>
        <w:t>(</w:t>
      </w:r>
      <w:proofErr w:type="spellStart"/>
      <w:r w:rsidRPr="00C77C54">
        <w:rPr>
          <w:rFonts w:ascii="Times New Roman" w:hAnsi="Times New Roman" w:cs="Times New Roman"/>
          <w:sz w:val="24"/>
          <w:szCs w:val="24"/>
        </w:rPr>
        <w:t>Xinqiang</w:t>
      </w:r>
      <w:proofErr w:type="spellEnd"/>
      <w:r w:rsidRPr="00C77C54">
        <w:rPr>
          <w:rFonts w:ascii="Times New Roman" w:hAnsi="Times New Roman" w:cs="Times New Roman"/>
          <w:sz w:val="24"/>
          <w:szCs w:val="24"/>
        </w:rPr>
        <w:t xml:space="preserve"> Z</w:t>
      </w:r>
      <w:r w:rsidR="00C77C54" w:rsidRPr="00C77C54">
        <w:rPr>
          <w:rFonts w:ascii="Times New Roman" w:hAnsi="Times New Roman" w:cs="Times New Roman"/>
          <w:sz w:val="24"/>
          <w:szCs w:val="24"/>
        </w:rPr>
        <w:t>hu</w:t>
      </w:r>
      <w:r w:rsidRPr="00C77C54">
        <w:rPr>
          <w:rFonts w:ascii="Times New Roman" w:hAnsi="Times New Roman" w:cs="Times New Roman"/>
          <w:sz w:val="24"/>
          <w:szCs w:val="24"/>
        </w:rPr>
        <w:t xml:space="preserve"> </w:t>
      </w:r>
      <w:r w:rsidRPr="00C77C54">
        <w:rPr>
          <w:rFonts w:ascii="Times New Roman" w:hAnsi="Times New Roman" w:cs="Times New Roman"/>
          <w:i/>
          <w:iCs/>
          <w:sz w:val="24"/>
          <w:szCs w:val="24"/>
        </w:rPr>
        <w:t>et al.</w:t>
      </w:r>
      <w:r w:rsidR="000F27F0" w:rsidRPr="00C77C54">
        <w:rPr>
          <w:rFonts w:ascii="Times New Roman" w:hAnsi="Times New Roman" w:cs="Times New Roman"/>
          <w:i/>
          <w:iCs/>
          <w:sz w:val="24"/>
          <w:szCs w:val="24"/>
        </w:rPr>
        <w:t>,</w:t>
      </w:r>
      <w:r w:rsidRPr="00C77C54">
        <w:rPr>
          <w:rFonts w:ascii="Times New Roman" w:hAnsi="Times New Roman" w:cs="Times New Roman"/>
          <w:sz w:val="24"/>
          <w:szCs w:val="24"/>
        </w:rPr>
        <w:t xml:space="preserve"> 2000).</w:t>
      </w:r>
    </w:p>
    <w:p w14:paraId="1B67A79D" w14:textId="77777777" w:rsidR="00F25843" w:rsidRDefault="00F25843" w:rsidP="00F25843">
      <w:pPr>
        <w:spacing w:after="0" w:line="240" w:lineRule="auto"/>
        <w:jc w:val="both"/>
        <w:rPr>
          <w:rFonts w:ascii="Times New Roman" w:hAnsi="Times New Roman" w:cs="Times New Roman"/>
          <w:sz w:val="24"/>
          <w:szCs w:val="24"/>
        </w:rPr>
      </w:pPr>
    </w:p>
    <w:p w14:paraId="7295E369" w14:textId="77777777" w:rsidR="00F25843" w:rsidRPr="00F25843" w:rsidRDefault="00F25843" w:rsidP="00F258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According </w:t>
      </w:r>
      <w:r w:rsidRPr="00C77C54">
        <w:rPr>
          <w:rFonts w:ascii="Times New Roman" w:hAnsi="Times New Roman" w:cs="Times New Roman"/>
          <w:sz w:val="24"/>
          <w:szCs w:val="24"/>
        </w:rPr>
        <w:t xml:space="preserve">to Jones </w:t>
      </w:r>
      <w:r w:rsidRPr="00C77C54">
        <w:rPr>
          <w:rFonts w:ascii="Times New Roman" w:hAnsi="Times New Roman" w:cs="Times New Roman"/>
          <w:i/>
          <w:iCs/>
          <w:sz w:val="24"/>
          <w:szCs w:val="24"/>
        </w:rPr>
        <w:t>et al.</w:t>
      </w:r>
      <w:r w:rsidR="000F27F0" w:rsidRPr="00C77C54">
        <w:rPr>
          <w:rFonts w:ascii="Times New Roman" w:hAnsi="Times New Roman" w:cs="Times New Roman"/>
          <w:i/>
          <w:iCs/>
          <w:sz w:val="24"/>
          <w:szCs w:val="24"/>
        </w:rPr>
        <w:t>,</w:t>
      </w:r>
      <w:r w:rsidRPr="00C77C54">
        <w:rPr>
          <w:rFonts w:ascii="Times New Roman" w:hAnsi="Times New Roman" w:cs="Times New Roman"/>
          <w:sz w:val="24"/>
          <w:szCs w:val="24"/>
        </w:rPr>
        <w:t xml:space="preserve"> (2010),</w:t>
      </w:r>
      <w:r w:rsidRPr="00F25843">
        <w:rPr>
          <w:rFonts w:ascii="Times New Roman" w:hAnsi="Times New Roman" w:cs="Times New Roman"/>
          <w:sz w:val="24"/>
          <w:szCs w:val="24"/>
        </w:rPr>
        <w:t xml:space="preserve"> PMA is an organomercury chemical that has numerous industrial, agricultural, medical, and fungicide uses. It is also </w:t>
      </w:r>
      <w:r w:rsidR="00C95838" w:rsidRPr="00F25843">
        <w:rPr>
          <w:rFonts w:ascii="Times New Roman" w:hAnsi="Times New Roman" w:cs="Times New Roman"/>
          <w:sz w:val="24"/>
          <w:szCs w:val="24"/>
        </w:rPr>
        <w:t>an</w:t>
      </w:r>
      <w:r w:rsidRPr="00F25843">
        <w:rPr>
          <w:rFonts w:ascii="Times New Roman" w:hAnsi="Times New Roman" w:cs="Times New Roman"/>
          <w:sz w:val="24"/>
          <w:szCs w:val="24"/>
        </w:rPr>
        <w:t xml:space="preserve"> herbicide and antibacterial agent. One of the main ways in which PMA causes harm is by binding to proteins' sulfhydryl (-SH) groups. This causes enzyme and metabolic processes, which are crucial for the cell to function normally, to malfunction </w:t>
      </w:r>
      <w:r w:rsidRPr="00C77C54">
        <w:rPr>
          <w:rFonts w:ascii="Times New Roman" w:hAnsi="Times New Roman" w:cs="Times New Roman"/>
          <w:sz w:val="24"/>
          <w:szCs w:val="24"/>
        </w:rPr>
        <w:t>(Peterson &amp; Clarke, 2015).</w:t>
      </w:r>
      <w:r w:rsidRPr="00F25843">
        <w:rPr>
          <w:rFonts w:ascii="Times New Roman" w:hAnsi="Times New Roman" w:cs="Times New Roman"/>
          <w:sz w:val="24"/>
          <w:szCs w:val="24"/>
        </w:rPr>
        <w:t xml:space="preserve"> Peroxidation of lipids, DNA damage, and cell death are all outcomes of this process </w:t>
      </w:r>
      <w:r w:rsidRPr="00C77C54">
        <w:rPr>
          <w:rFonts w:ascii="Times New Roman" w:hAnsi="Times New Roman" w:cs="Times New Roman"/>
          <w:sz w:val="24"/>
          <w:szCs w:val="24"/>
        </w:rPr>
        <w:t xml:space="preserve">(Andrews </w:t>
      </w:r>
      <w:r w:rsidRPr="00C77C54">
        <w:rPr>
          <w:rFonts w:ascii="Times New Roman" w:hAnsi="Times New Roman" w:cs="Times New Roman"/>
          <w:i/>
          <w:iCs/>
          <w:sz w:val="24"/>
          <w:szCs w:val="24"/>
        </w:rPr>
        <w:t>et al.,</w:t>
      </w:r>
      <w:r w:rsidRPr="00C77C54">
        <w:rPr>
          <w:rFonts w:ascii="Times New Roman" w:hAnsi="Times New Roman" w:cs="Times New Roman"/>
          <w:sz w:val="24"/>
          <w:szCs w:val="24"/>
        </w:rPr>
        <w:t xml:space="preserve"> 2008; Zhao </w:t>
      </w:r>
      <w:r w:rsidRPr="00C77C54">
        <w:rPr>
          <w:rFonts w:ascii="Times New Roman" w:hAnsi="Times New Roman" w:cs="Times New Roman"/>
          <w:i/>
          <w:iCs/>
          <w:sz w:val="24"/>
          <w:szCs w:val="24"/>
        </w:rPr>
        <w:t>et al.,</w:t>
      </w:r>
      <w:r w:rsidRPr="00C77C54">
        <w:rPr>
          <w:rFonts w:ascii="Times New Roman" w:hAnsi="Times New Roman" w:cs="Times New Roman"/>
          <w:sz w:val="24"/>
          <w:szCs w:val="24"/>
        </w:rPr>
        <w:t xml:space="preserve"> 2011).</w:t>
      </w:r>
      <w:r w:rsidRPr="00F25843">
        <w:rPr>
          <w:rFonts w:ascii="Times New Roman" w:hAnsi="Times New Roman" w:cs="Times New Roman"/>
          <w:sz w:val="24"/>
          <w:szCs w:val="24"/>
        </w:rPr>
        <w:t xml:space="preserve"> Depending on the dosage and duration, PMA can cause minor irritation to severe neurological and renal insufficiency in humans when inhaled, ingested, or brought into touch with the skin </w:t>
      </w:r>
      <w:r w:rsidRPr="00C77C54">
        <w:rPr>
          <w:rFonts w:ascii="Times New Roman" w:hAnsi="Times New Roman" w:cs="Times New Roman"/>
          <w:sz w:val="24"/>
          <w:szCs w:val="24"/>
        </w:rPr>
        <w:t>(Brown &amp; Taylor, 2007).</w:t>
      </w:r>
    </w:p>
    <w:p w14:paraId="7B4227E1" w14:textId="77777777" w:rsidR="00F25843" w:rsidRDefault="00F25843" w:rsidP="00F25843">
      <w:pPr>
        <w:spacing w:after="0" w:line="360" w:lineRule="auto"/>
        <w:jc w:val="both"/>
        <w:rPr>
          <w:rFonts w:ascii="Times New Roman" w:hAnsi="Times New Roman" w:cs="Times New Roman"/>
          <w:sz w:val="24"/>
          <w:szCs w:val="24"/>
        </w:rPr>
      </w:pPr>
    </w:p>
    <w:p w14:paraId="3400E2F1" w14:textId="77777777" w:rsidR="00F25843" w:rsidRPr="00F25843" w:rsidRDefault="00F25843" w:rsidP="00F258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25843">
        <w:rPr>
          <w:rFonts w:ascii="Times New Roman" w:hAnsi="Times New Roman" w:cs="Times New Roman"/>
          <w:sz w:val="24"/>
          <w:szCs w:val="24"/>
        </w:rPr>
        <w:t xml:space="preserve">Hormonal disturbances can have a significant impact on the male reproductive system, especially during crucial developmental phases. During these times, exposure to EDCs may have long-term and perhaps generational impacts. </w:t>
      </w:r>
      <w:r w:rsidRPr="00C77C54">
        <w:rPr>
          <w:rFonts w:ascii="Times New Roman" w:hAnsi="Times New Roman" w:cs="Times New Roman"/>
          <w:sz w:val="24"/>
          <w:szCs w:val="24"/>
        </w:rPr>
        <w:t>(Oishi, 2001) (Oishi, 2002).</w:t>
      </w:r>
    </w:p>
    <w:p w14:paraId="210F094D" w14:textId="77777777" w:rsidR="00F25843" w:rsidRDefault="00F25843" w:rsidP="00F25843">
      <w:pPr>
        <w:spacing w:after="0" w:line="360" w:lineRule="auto"/>
        <w:jc w:val="both"/>
        <w:rPr>
          <w:rFonts w:ascii="Times New Roman" w:hAnsi="Times New Roman" w:cs="Times New Roman"/>
          <w:sz w:val="24"/>
          <w:szCs w:val="24"/>
        </w:rPr>
      </w:pPr>
    </w:p>
    <w:p w14:paraId="58E488F7" w14:textId="77777777" w:rsidR="00F25843" w:rsidRPr="00F25843" w:rsidRDefault="00F25843" w:rsidP="00F258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Thus, the aim of the present study is to investigate the effects of phenylmercuric acetate on male fertility and sexual behavior in a rat model to further elucidate the endocrine-disrupting properties of this widely used preservative.</w:t>
      </w:r>
    </w:p>
    <w:p w14:paraId="52675C32" w14:textId="77777777" w:rsidR="00F25843" w:rsidRDefault="00F25843" w:rsidP="00F25843">
      <w:pPr>
        <w:spacing w:after="0" w:line="360" w:lineRule="auto"/>
        <w:rPr>
          <w:rFonts w:ascii="Times New Roman" w:hAnsi="Times New Roman" w:cs="Times New Roman"/>
          <w:b/>
          <w:bCs/>
          <w:sz w:val="24"/>
          <w:szCs w:val="24"/>
        </w:rPr>
      </w:pPr>
    </w:p>
    <w:p w14:paraId="6248DCA7" w14:textId="77777777" w:rsidR="008D3AF7" w:rsidRPr="00F25843" w:rsidRDefault="008D3AF7" w:rsidP="008D3AF7">
      <w:pPr>
        <w:spacing w:after="0" w:line="360" w:lineRule="auto"/>
        <w:rPr>
          <w:rFonts w:ascii="Times New Roman Bold" w:hAnsi="Times New Roman Bold" w:cs="Times New Roman"/>
          <w:sz w:val="32"/>
          <w:szCs w:val="32"/>
        </w:rPr>
      </w:pPr>
      <w:r w:rsidRPr="00F25843">
        <w:rPr>
          <w:rFonts w:ascii="Times New Roman Bold" w:hAnsi="Times New Roman Bold" w:cs="Times New Roman"/>
          <w:b/>
          <w:bCs/>
          <w:sz w:val="32"/>
          <w:szCs w:val="32"/>
        </w:rPr>
        <w:t>2</w:t>
      </w:r>
      <w:r w:rsidR="00F10597">
        <w:rPr>
          <w:rFonts w:ascii="Times New Roman Bold" w:hAnsi="Times New Roman Bold" w:cs="Times New Roman"/>
          <w:b/>
          <w:bCs/>
          <w:sz w:val="32"/>
          <w:szCs w:val="32"/>
        </w:rPr>
        <w:t xml:space="preserve">. </w:t>
      </w:r>
      <w:r w:rsidRPr="00F25843">
        <w:rPr>
          <w:rFonts w:ascii="Times New Roman Bold" w:hAnsi="Times New Roman Bold" w:cs="Times New Roman"/>
          <w:b/>
          <w:bCs/>
          <w:sz w:val="32"/>
          <w:szCs w:val="32"/>
        </w:rPr>
        <w:t xml:space="preserve">Materials </w:t>
      </w:r>
      <w:r>
        <w:rPr>
          <w:rFonts w:ascii="Times New Roman Bold" w:hAnsi="Times New Roman Bold" w:cs="Times New Roman"/>
          <w:b/>
          <w:bCs/>
          <w:sz w:val="32"/>
          <w:szCs w:val="32"/>
        </w:rPr>
        <w:t>a</w:t>
      </w:r>
      <w:r w:rsidRPr="00F25843">
        <w:rPr>
          <w:rFonts w:ascii="Times New Roman Bold" w:hAnsi="Times New Roman Bold" w:cs="Times New Roman"/>
          <w:b/>
          <w:bCs/>
          <w:sz w:val="32"/>
          <w:szCs w:val="32"/>
        </w:rPr>
        <w:t>nd Methods</w:t>
      </w:r>
    </w:p>
    <w:p w14:paraId="2045E17D" w14:textId="77777777" w:rsidR="008D3AF7" w:rsidRPr="00F25843" w:rsidRDefault="008D3AF7" w:rsidP="008D3AF7">
      <w:pPr>
        <w:spacing w:after="0" w:line="360" w:lineRule="auto"/>
        <w:jc w:val="both"/>
        <w:rPr>
          <w:rFonts w:ascii="Times New Roman Bold" w:hAnsi="Times New Roman Bold" w:cs="Times New Roman"/>
          <w:b/>
          <w:bCs/>
          <w:sz w:val="28"/>
          <w:szCs w:val="28"/>
        </w:rPr>
      </w:pPr>
      <w:r w:rsidRPr="00F25843">
        <w:rPr>
          <w:rFonts w:ascii="Times New Roman Bold" w:hAnsi="Times New Roman Bold" w:cs="Times New Roman"/>
          <w:b/>
          <w:bCs/>
          <w:sz w:val="28"/>
          <w:szCs w:val="28"/>
        </w:rPr>
        <w:t>2.1</w:t>
      </w:r>
      <w:r>
        <w:rPr>
          <w:rFonts w:ascii="Times New Roman Bold" w:hAnsi="Times New Roman Bold" w:cs="Times New Roman"/>
          <w:b/>
          <w:bCs/>
          <w:sz w:val="28"/>
          <w:szCs w:val="28"/>
        </w:rPr>
        <w:tab/>
      </w:r>
      <w:r w:rsidRPr="00F25843">
        <w:rPr>
          <w:rFonts w:ascii="Times New Roman Bold" w:hAnsi="Times New Roman Bold" w:cs="Times New Roman"/>
          <w:b/>
          <w:bCs/>
          <w:sz w:val="28"/>
          <w:szCs w:val="28"/>
        </w:rPr>
        <w:t>Ethical Approval</w:t>
      </w:r>
    </w:p>
    <w:p w14:paraId="33E844B0" w14:textId="77777777" w:rsidR="008D3AF7" w:rsidRPr="00F25843" w:rsidRDefault="008D3AF7" w:rsidP="008D3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The Institutional Animal Ethics Committee (IAEC) gave its approval for all animal experiments. The approval number is SUK/ZOL/IAEC/05/2024-25. The IAEC is a committee of the Department of Postgraduate Studies and Research in Zoology at </w:t>
      </w:r>
      <w:r w:rsidRPr="00F25843">
        <w:rPr>
          <w:rFonts w:ascii="Times New Roman" w:hAnsi="Times New Roman" w:cs="Times New Roman"/>
          <w:sz w:val="24"/>
          <w:szCs w:val="24"/>
        </w:rPr>
        <w:lastRenderedPageBreak/>
        <w:t>Sharnbasva University in Kalaburagi, Karnataka, India (CCSEA Registration No.: 2236/PO/</w:t>
      </w:r>
      <w:proofErr w:type="spellStart"/>
      <w:r w:rsidRPr="00F25843">
        <w:rPr>
          <w:rFonts w:ascii="Times New Roman" w:hAnsi="Times New Roman" w:cs="Times New Roman"/>
          <w:sz w:val="24"/>
          <w:szCs w:val="24"/>
        </w:rPr>
        <w:t>ReBiBt</w:t>
      </w:r>
      <w:proofErr w:type="spellEnd"/>
      <w:r w:rsidRPr="00F25843">
        <w:rPr>
          <w:rFonts w:ascii="Times New Roman" w:hAnsi="Times New Roman" w:cs="Times New Roman"/>
          <w:sz w:val="24"/>
          <w:szCs w:val="24"/>
        </w:rPr>
        <w:t>/S/23/CCSEA).</w:t>
      </w:r>
      <w:r w:rsidR="00F10597">
        <w:rPr>
          <w:rFonts w:ascii="Times New Roman" w:hAnsi="Times New Roman" w:cs="Times New Roman"/>
          <w:sz w:val="24"/>
          <w:szCs w:val="24"/>
        </w:rPr>
        <w:t xml:space="preserve"> (Figure. 1)</w:t>
      </w:r>
    </w:p>
    <w:p w14:paraId="4FC42226" w14:textId="77777777" w:rsidR="008D3AF7" w:rsidRPr="00F25843" w:rsidRDefault="008D3AF7" w:rsidP="008D3AF7">
      <w:pPr>
        <w:spacing w:after="0" w:line="360" w:lineRule="auto"/>
        <w:ind w:firstLine="720"/>
        <w:jc w:val="center"/>
        <w:rPr>
          <w:rFonts w:ascii="Times New Roman" w:hAnsi="Times New Roman" w:cs="Times New Roman"/>
          <w:b/>
          <w:bCs/>
          <w:sz w:val="24"/>
          <w:szCs w:val="24"/>
        </w:rPr>
      </w:pPr>
    </w:p>
    <w:p w14:paraId="325EEF29" w14:textId="77777777" w:rsidR="008D3AF7" w:rsidRPr="00F25843" w:rsidRDefault="008D3AF7" w:rsidP="008D3AF7">
      <w:pPr>
        <w:spacing w:after="0" w:line="360" w:lineRule="auto"/>
        <w:jc w:val="both"/>
        <w:rPr>
          <w:rFonts w:ascii="Times New Roman Bold" w:hAnsi="Times New Roman Bold" w:cs="Times New Roman"/>
          <w:b/>
          <w:bCs/>
          <w:sz w:val="28"/>
          <w:szCs w:val="28"/>
        </w:rPr>
      </w:pPr>
      <w:r w:rsidRPr="00F25843">
        <w:rPr>
          <w:rFonts w:ascii="Times New Roman Bold" w:hAnsi="Times New Roman Bold" w:cs="Times New Roman"/>
          <w:b/>
          <w:bCs/>
          <w:sz w:val="28"/>
          <w:szCs w:val="28"/>
        </w:rPr>
        <w:t xml:space="preserve">2.2. Test Chemical </w:t>
      </w:r>
    </w:p>
    <w:p w14:paraId="7F09CC2F" w14:textId="77777777" w:rsidR="008D3AF7" w:rsidRPr="00F25843" w:rsidRDefault="008D3AF7" w:rsidP="008D3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The test compounds phenyl mercuric acetate (PMA) (CAS No. 62-38-4, also 99.38% pure) was purchased from Tokyo Chemical Industry (TCI) India Pvt Ltd, located at Genome Valley Road, </w:t>
      </w:r>
      <w:proofErr w:type="spellStart"/>
      <w:r w:rsidRPr="00F25843">
        <w:rPr>
          <w:rFonts w:ascii="Times New Roman" w:hAnsi="Times New Roman" w:cs="Times New Roman"/>
          <w:sz w:val="24"/>
          <w:szCs w:val="24"/>
        </w:rPr>
        <w:t>Turkapally</w:t>
      </w:r>
      <w:proofErr w:type="spellEnd"/>
      <w:r w:rsidRPr="00F25843">
        <w:rPr>
          <w:rFonts w:ascii="Times New Roman" w:hAnsi="Times New Roman" w:cs="Times New Roman"/>
          <w:sz w:val="24"/>
          <w:szCs w:val="24"/>
        </w:rPr>
        <w:t>, Hyderabad, Telangana-500078, India.</w:t>
      </w:r>
    </w:p>
    <w:p w14:paraId="35EB348A" w14:textId="77777777" w:rsidR="008D3AF7" w:rsidRDefault="008D3AF7" w:rsidP="008D3AF7">
      <w:pPr>
        <w:spacing w:after="0" w:line="360" w:lineRule="auto"/>
        <w:jc w:val="both"/>
        <w:rPr>
          <w:rFonts w:ascii="Times New Roman" w:hAnsi="Times New Roman" w:cs="Times New Roman"/>
          <w:b/>
          <w:bCs/>
          <w:sz w:val="24"/>
          <w:szCs w:val="24"/>
        </w:rPr>
      </w:pPr>
    </w:p>
    <w:p w14:paraId="1B4B6994" w14:textId="77777777" w:rsidR="008D3AF7" w:rsidRPr="00F25843" w:rsidRDefault="008D3AF7" w:rsidP="008D3AF7">
      <w:pPr>
        <w:spacing w:after="0" w:line="360" w:lineRule="auto"/>
        <w:jc w:val="both"/>
        <w:rPr>
          <w:rFonts w:ascii="Times New Roman Bold" w:hAnsi="Times New Roman Bold" w:cs="Times New Roman"/>
          <w:b/>
          <w:bCs/>
          <w:sz w:val="28"/>
          <w:szCs w:val="28"/>
        </w:rPr>
      </w:pPr>
      <w:r w:rsidRPr="00F25843">
        <w:rPr>
          <w:rFonts w:ascii="Times New Roman Bold" w:hAnsi="Times New Roman Bold" w:cs="Times New Roman"/>
          <w:b/>
          <w:bCs/>
          <w:sz w:val="28"/>
          <w:szCs w:val="28"/>
        </w:rPr>
        <w:t>2.3</w:t>
      </w:r>
      <w:r>
        <w:rPr>
          <w:rFonts w:ascii="Times New Roman Bold" w:hAnsi="Times New Roman Bold" w:cs="Times New Roman"/>
          <w:b/>
          <w:bCs/>
          <w:sz w:val="28"/>
          <w:szCs w:val="28"/>
        </w:rPr>
        <w:tab/>
      </w:r>
      <w:r w:rsidRPr="00F25843">
        <w:rPr>
          <w:rFonts w:ascii="Times New Roman Bold" w:hAnsi="Times New Roman Bold" w:cs="Times New Roman"/>
          <w:b/>
          <w:bCs/>
          <w:sz w:val="28"/>
          <w:szCs w:val="28"/>
        </w:rPr>
        <w:t>Animals and Husbandry</w:t>
      </w:r>
    </w:p>
    <w:p w14:paraId="371E0545" w14:textId="77777777" w:rsidR="008D3AF7" w:rsidRPr="00F25843" w:rsidRDefault="008D3AF7" w:rsidP="008D3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Wistar rats obtained from the National Institute of Nutrition in Hyderabad, India, were used in this study. Their small size, docile nature, short lifespan, ease of care (feeding, breeding, and handling), and the extensive existing research data on their biology make them suitable research subjects. Twenty- four male sexually mature Wistar rats were housed individually in polycarbonate cages with ad libitum access to food and water. Environmental conditions were maintained at 22°C ± 3°C and 50% ± 20% relative humidity, using sterilized rice paddy husk bedding. Animals were grouped based on body weight (within ± 5 grams per group) and uniquely identified by tail markings within numbered cages (three animals per cage). The study employed specific study and group numbers for data organization.</w:t>
      </w:r>
    </w:p>
    <w:p w14:paraId="15BCEBE1" w14:textId="77777777" w:rsidR="008D3AF7" w:rsidRDefault="008D3AF7" w:rsidP="008D3AF7">
      <w:pPr>
        <w:spacing w:after="0" w:line="360" w:lineRule="auto"/>
        <w:jc w:val="both"/>
        <w:rPr>
          <w:rFonts w:ascii="Times New Roman" w:hAnsi="Times New Roman" w:cs="Times New Roman"/>
          <w:b/>
          <w:bCs/>
          <w:sz w:val="24"/>
          <w:szCs w:val="24"/>
        </w:rPr>
      </w:pPr>
    </w:p>
    <w:p w14:paraId="0BB1D8FA" w14:textId="77777777" w:rsidR="008D3AF7" w:rsidRPr="00F25843" w:rsidRDefault="008D3AF7" w:rsidP="008D3AF7">
      <w:pPr>
        <w:spacing w:after="0" w:line="360" w:lineRule="auto"/>
        <w:jc w:val="both"/>
        <w:rPr>
          <w:rFonts w:ascii="Times New Roman Bold" w:hAnsi="Times New Roman Bold" w:cs="Times New Roman"/>
          <w:b/>
          <w:bCs/>
          <w:sz w:val="28"/>
          <w:szCs w:val="28"/>
        </w:rPr>
      </w:pPr>
      <w:r w:rsidRPr="00F25843">
        <w:rPr>
          <w:rFonts w:ascii="Times New Roman Bold" w:hAnsi="Times New Roman Bold" w:cs="Times New Roman"/>
          <w:b/>
          <w:bCs/>
          <w:sz w:val="28"/>
          <w:szCs w:val="28"/>
        </w:rPr>
        <w:t xml:space="preserve">2.4 </w:t>
      </w:r>
      <w:r>
        <w:rPr>
          <w:rFonts w:ascii="Times New Roman Bold" w:hAnsi="Times New Roman Bold" w:cs="Times New Roman"/>
          <w:b/>
          <w:bCs/>
          <w:sz w:val="28"/>
          <w:szCs w:val="28"/>
        </w:rPr>
        <w:tab/>
      </w:r>
      <w:r w:rsidRPr="00F25843">
        <w:rPr>
          <w:rFonts w:ascii="Times New Roman Bold" w:hAnsi="Times New Roman Bold" w:cs="Times New Roman"/>
          <w:b/>
          <w:bCs/>
          <w:sz w:val="28"/>
          <w:szCs w:val="28"/>
        </w:rPr>
        <w:t>Compound Preparation</w:t>
      </w:r>
    </w:p>
    <w:p w14:paraId="40DDB82D" w14:textId="77777777" w:rsidR="008D3AF7" w:rsidRDefault="008D3AF7" w:rsidP="008D3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PMA is a white crystalline powder that is stored at room temperature. Each day, a fresh formulation </w:t>
      </w:r>
      <w:r w:rsidR="00C9525E">
        <w:rPr>
          <w:rFonts w:ascii="Times New Roman" w:hAnsi="Times New Roman" w:cs="Times New Roman"/>
          <w:sz w:val="24"/>
          <w:szCs w:val="24"/>
        </w:rPr>
        <w:t>was</w:t>
      </w:r>
      <w:r w:rsidRPr="00F25843">
        <w:rPr>
          <w:rFonts w:ascii="Times New Roman" w:hAnsi="Times New Roman" w:cs="Times New Roman"/>
          <w:sz w:val="24"/>
          <w:szCs w:val="24"/>
        </w:rPr>
        <w:t xml:space="preserve"> prepared by dissolving the compound in corn oil to ensure precise dosing during administration.</w:t>
      </w:r>
    </w:p>
    <w:p w14:paraId="14EF6985" w14:textId="77777777" w:rsidR="008D3AF7" w:rsidRPr="00F25843" w:rsidRDefault="008D3AF7" w:rsidP="008D3AF7">
      <w:pPr>
        <w:spacing w:after="0" w:line="360" w:lineRule="auto"/>
        <w:jc w:val="both"/>
        <w:rPr>
          <w:rFonts w:ascii="Times New Roman" w:hAnsi="Times New Roman" w:cs="Times New Roman"/>
          <w:sz w:val="24"/>
          <w:szCs w:val="24"/>
        </w:rPr>
      </w:pPr>
    </w:p>
    <w:p w14:paraId="3FAFDE9F" w14:textId="77777777" w:rsidR="008D3AF7" w:rsidRPr="00F25843" w:rsidRDefault="008D3AF7" w:rsidP="008D3AF7">
      <w:pPr>
        <w:spacing w:after="0" w:line="360" w:lineRule="auto"/>
        <w:jc w:val="both"/>
        <w:rPr>
          <w:rFonts w:ascii="Times New Roman Bold" w:hAnsi="Times New Roman Bold" w:cs="Times New Roman"/>
          <w:b/>
          <w:bCs/>
          <w:sz w:val="28"/>
          <w:szCs w:val="28"/>
        </w:rPr>
      </w:pPr>
      <w:r w:rsidRPr="00F25843">
        <w:rPr>
          <w:rFonts w:ascii="Times New Roman Bold" w:hAnsi="Times New Roman Bold" w:cs="Times New Roman"/>
          <w:b/>
          <w:bCs/>
          <w:sz w:val="28"/>
          <w:szCs w:val="28"/>
        </w:rPr>
        <w:t xml:space="preserve">2.5 </w:t>
      </w:r>
      <w:r>
        <w:rPr>
          <w:rFonts w:ascii="Times New Roman Bold" w:hAnsi="Times New Roman Bold" w:cs="Times New Roman"/>
          <w:b/>
          <w:bCs/>
          <w:sz w:val="28"/>
          <w:szCs w:val="28"/>
        </w:rPr>
        <w:tab/>
      </w:r>
      <w:r w:rsidRPr="00F25843">
        <w:rPr>
          <w:rFonts w:ascii="Times New Roman Bold" w:hAnsi="Times New Roman Bold" w:cs="Times New Roman"/>
          <w:b/>
          <w:bCs/>
          <w:sz w:val="28"/>
          <w:szCs w:val="28"/>
        </w:rPr>
        <w:t>Compound Administration</w:t>
      </w:r>
    </w:p>
    <w:p w14:paraId="58FC424B" w14:textId="77777777" w:rsidR="008D3AF7" w:rsidRPr="00F25843" w:rsidRDefault="008D3AF7" w:rsidP="008D3AF7">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Rats were given doses daily via oral gavage using a stainless steel, ball-tipped dosing cannula. Dosages were based on body weight (5 mL/kg) volume and calculated using the most recent body weight measurements. Male rats received doses for 30 days, starting 14 days before mating and continuing throughout the 14-day mating period. Female rats were only involved in mating. Four groups of rats were studied: a control group (corn oil), a low-dose PMA group (2 mg/kg/day), a medium-</w:t>
      </w:r>
      <w:r w:rsidRPr="00F25843">
        <w:rPr>
          <w:rFonts w:ascii="Times New Roman" w:hAnsi="Times New Roman" w:cs="Times New Roman"/>
          <w:sz w:val="24"/>
          <w:szCs w:val="24"/>
        </w:rPr>
        <w:lastRenderedPageBreak/>
        <w:t>dose PMA group (4 mg/kg/day), and a high-dose PMA group (8 mg/kg/day). Each group received their respective doses via oral gavage for 30 days.</w:t>
      </w:r>
    </w:p>
    <w:p w14:paraId="60880A7D" w14:textId="77777777" w:rsidR="008D3AF7" w:rsidRDefault="008D3AF7" w:rsidP="008D3AF7">
      <w:pPr>
        <w:spacing w:after="0" w:line="360" w:lineRule="auto"/>
        <w:jc w:val="both"/>
        <w:rPr>
          <w:rFonts w:ascii="Times New Roman" w:hAnsi="Times New Roman" w:cs="Times New Roman"/>
          <w:b/>
          <w:bCs/>
          <w:sz w:val="24"/>
          <w:szCs w:val="24"/>
        </w:rPr>
      </w:pPr>
    </w:p>
    <w:p w14:paraId="5E07560B" w14:textId="77777777" w:rsidR="008D3AF7" w:rsidRPr="00F25843" w:rsidRDefault="008D3AF7" w:rsidP="008D3AF7">
      <w:pPr>
        <w:spacing w:after="0" w:line="360" w:lineRule="auto"/>
        <w:jc w:val="both"/>
        <w:rPr>
          <w:rFonts w:ascii="Times New Roman Bold" w:hAnsi="Times New Roman Bold" w:cs="Times New Roman"/>
          <w:b/>
          <w:bCs/>
          <w:sz w:val="28"/>
          <w:szCs w:val="28"/>
        </w:rPr>
      </w:pPr>
      <w:r w:rsidRPr="00F25843">
        <w:rPr>
          <w:rFonts w:ascii="Times New Roman Bold" w:hAnsi="Times New Roman Bold" w:cs="Times New Roman"/>
          <w:b/>
          <w:bCs/>
          <w:sz w:val="28"/>
          <w:szCs w:val="28"/>
        </w:rPr>
        <w:t xml:space="preserve">2.6 </w:t>
      </w:r>
      <w:r>
        <w:rPr>
          <w:rFonts w:ascii="Times New Roman Bold" w:hAnsi="Times New Roman Bold" w:cs="Times New Roman"/>
          <w:b/>
          <w:bCs/>
          <w:sz w:val="28"/>
          <w:szCs w:val="28"/>
        </w:rPr>
        <w:tab/>
      </w:r>
      <w:r w:rsidRPr="00F25843">
        <w:rPr>
          <w:rFonts w:ascii="Times New Roman Bold" w:hAnsi="Times New Roman Bold" w:cs="Times New Roman"/>
          <w:b/>
          <w:bCs/>
          <w:sz w:val="28"/>
          <w:szCs w:val="28"/>
        </w:rPr>
        <w:t>Clinical signs</w:t>
      </w:r>
    </w:p>
    <w:p w14:paraId="5A7CCEC5" w14:textId="77777777" w:rsidR="008D3AF7" w:rsidRPr="00F25843" w:rsidRDefault="008D3AF7" w:rsidP="008D3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During the testing phase, each animal was carefully monitored at least once daily to ensure their well-being and assess any potential adverse effects. On working days, all cages were inspected both in the morning and afternoon for any deceased or moribund animals. Any observed abnormalities, including changes in </w:t>
      </w:r>
      <w:proofErr w:type="spellStart"/>
      <w:r w:rsidRPr="00F25843">
        <w:rPr>
          <w:rFonts w:ascii="Times New Roman" w:hAnsi="Times New Roman" w:cs="Times New Roman"/>
          <w:sz w:val="24"/>
          <w:szCs w:val="24"/>
        </w:rPr>
        <w:t>behaviour</w:t>
      </w:r>
      <w:proofErr w:type="spellEnd"/>
      <w:r w:rsidRPr="00F25843">
        <w:rPr>
          <w:rFonts w:ascii="Times New Roman" w:hAnsi="Times New Roman" w:cs="Times New Roman"/>
          <w:sz w:val="24"/>
          <w:szCs w:val="24"/>
        </w:rPr>
        <w:t>, appearance, or physical condition, were promptly documented and incorporated into the study report, ensuring a comprehensive evaluation of the test subjects’ health throughout the study.</w:t>
      </w:r>
    </w:p>
    <w:p w14:paraId="01152F31" w14:textId="77777777" w:rsidR="008D3AF7" w:rsidRDefault="008D3AF7" w:rsidP="008D3AF7">
      <w:pPr>
        <w:spacing w:after="0" w:line="360" w:lineRule="auto"/>
        <w:jc w:val="both"/>
        <w:rPr>
          <w:rFonts w:ascii="Times New Roman" w:hAnsi="Times New Roman" w:cs="Times New Roman"/>
          <w:b/>
          <w:bCs/>
          <w:sz w:val="24"/>
          <w:szCs w:val="24"/>
        </w:rPr>
      </w:pPr>
    </w:p>
    <w:p w14:paraId="24C01330" w14:textId="77777777" w:rsidR="008D3AF7" w:rsidRPr="00F25843" w:rsidRDefault="008D3AF7" w:rsidP="008D3AF7">
      <w:pPr>
        <w:spacing w:after="0" w:line="360" w:lineRule="auto"/>
        <w:jc w:val="both"/>
        <w:rPr>
          <w:rFonts w:ascii="Times New Roman Bold" w:hAnsi="Times New Roman Bold" w:cs="Times New Roman"/>
          <w:b/>
          <w:bCs/>
          <w:sz w:val="28"/>
          <w:szCs w:val="28"/>
        </w:rPr>
      </w:pPr>
      <w:r w:rsidRPr="00F25843">
        <w:rPr>
          <w:rFonts w:ascii="Times New Roman Bold" w:hAnsi="Times New Roman Bold" w:cs="Times New Roman"/>
          <w:b/>
          <w:bCs/>
          <w:sz w:val="28"/>
          <w:szCs w:val="28"/>
        </w:rPr>
        <w:t xml:space="preserve">2.7 </w:t>
      </w:r>
      <w:r>
        <w:rPr>
          <w:rFonts w:ascii="Times New Roman Bold" w:hAnsi="Times New Roman Bold" w:cs="Times New Roman"/>
          <w:b/>
          <w:bCs/>
          <w:sz w:val="28"/>
          <w:szCs w:val="28"/>
        </w:rPr>
        <w:tab/>
      </w:r>
      <w:r w:rsidRPr="00F25843">
        <w:rPr>
          <w:rFonts w:ascii="Times New Roman Bold" w:hAnsi="Times New Roman Bold" w:cs="Times New Roman"/>
          <w:b/>
          <w:bCs/>
          <w:sz w:val="28"/>
          <w:szCs w:val="28"/>
        </w:rPr>
        <w:t xml:space="preserve">Body Weight and Food Consumption. </w:t>
      </w:r>
    </w:p>
    <w:p w14:paraId="77ACEE9A" w14:textId="77777777" w:rsidR="008D3AF7" w:rsidRDefault="008D3AF7" w:rsidP="008D3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Body weights were recorded for each individual on Day 1 of treatment (prior to dosing) and subsequently at approximately weekly intervals (7 days ±1). Food consumption was monitored weekly, and individual daily food intake was calculated by dividing the total food consumed during each interval by the number of days in that period.</w:t>
      </w:r>
    </w:p>
    <w:p w14:paraId="404A914E" w14:textId="77777777" w:rsidR="008D3AF7" w:rsidRPr="00F25843" w:rsidRDefault="008D3AF7" w:rsidP="008D3AF7">
      <w:pPr>
        <w:spacing w:after="0" w:line="360" w:lineRule="auto"/>
        <w:jc w:val="both"/>
        <w:rPr>
          <w:rFonts w:ascii="Times New Roman" w:hAnsi="Times New Roman" w:cs="Times New Roman"/>
          <w:sz w:val="24"/>
          <w:szCs w:val="24"/>
        </w:rPr>
      </w:pPr>
    </w:p>
    <w:p w14:paraId="07B5293E" w14:textId="77777777" w:rsidR="008D3AF7" w:rsidRPr="00F25843" w:rsidRDefault="008D3AF7" w:rsidP="008D3AF7">
      <w:pPr>
        <w:spacing w:after="0" w:line="360" w:lineRule="auto"/>
        <w:jc w:val="both"/>
        <w:rPr>
          <w:rFonts w:ascii="Times New Roman Bold" w:hAnsi="Times New Roman Bold" w:cs="Times New Roman"/>
          <w:b/>
          <w:bCs/>
          <w:sz w:val="28"/>
          <w:szCs w:val="28"/>
        </w:rPr>
      </w:pPr>
      <w:r w:rsidRPr="00F25843">
        <w:rPr>
          <w:rFonts w:ascii="Times New Roman Bold" w:hAnsi="Times New Roman Bold" w:cs="Times New Roman"/>
          <w:b/>
          <w:bCs/>
          <w:sz w:val="28"/>
          <w:szCs w:val="28"/>
        </w:rPr>
        <w:t>2.8</w:t>
      </w:r>
      <w:r>
        <w:rPr>
          <w:rFonts w:ascii="Times New Roman Bold" w:hAnsi="Times New Roman Bold" w:cs="Times New Roman"/>
          <w:b/>
          <w:bCs/>
          <w:sz w:val="28"/>
          <w:szCs w:val="28"/>
        </w:rPr>
        <w:tab/>
      </w:r>
      <w:proofErr w:type="spellStart"/>
      <w:r w:rsidRPr="00F25843">
        <w:rPr>
          <w:rFonts w:ascii="Times New Roman Bold" w:hAnsi="Times New Roman Bold" w:cs="Times New Roman"/>
          <w:b/>
          <w:bCs/>
          <w:sz w:val="28"/>
          <w:szCs w:val="28"/>
        </w:rPr>
        <w:t>Haematology</w:t>
      </w:r>
      <w:proofErr w:type="spellEnd"/>
      <w:r w:rsidRPr="00F25843">
        <w:rPr>
          <w:rFonts w:ascii="Times New Roman Bold" w:hAnsi="Times New Roman Bold" w:cs="Times New Roman"/>
          <w:b/>
          <w:bCs/>
          <w:sz w:val="28"/>
          <w:szCs w:val="28"/>
        </w:rPr>
        <w:t xml:space="preserve"> and Biochemistry</w:t>
      </w:r>
    </w:p>
    <w:p w14:paraId="4BFBE313" w14:textId="77777777" w:rsidR="008D3AF7" w:rsidRDefault="008D3AF7" w:rsidP="008D3AF7">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 xml:space="preserve">All animals (Groups 1–4) underwent clinical pathology examinations on Day 30 to measure clinical chemistry and hematological parameters. Before the blood was drawn, the animals were fasted for the whole night. Prior to terminal sacrifice, blood samples were taken via retroorbital sinus puncture while under isoflurane anesthesia. Samples were gathered in heparinized tubes for clinical chemistry analysis and in tubes for hematology. The ADVIA 2120 hematology system was used to analyze hematological parameters, such as hemoglobin (Hb), red blood cell count (RBC), white blood cell count (WBC), platelet count (Plat), hematocrit (Hct), mean corpuscular volume (MCV), mean corpuscular hemoglobin (MCH), mean corpuscular hemoglobin concentration (MCHC), DLC, reticulocyte count (Retic), and mean platelet volume (MPV). The Dimension </w:t>
      </w:r>
      <w:proofErr w:type="spellStart"/>
      <w:r w:rsidRPr="00F25843">
        <w:rPr>
          <w:rFonts w:ascii="Times New Roman" w:hAnsi="Times New Roman" w:cs="Times New Roman"/>
          <w:sz w:val="24"/>
          <w:szCs w:val="24"/>
        </w:rPr>
        <w:t>RxL</w:t>
      </w:r>
      <w:proofErr w:type="spellEnd"/>
      <w:r w:rsidRPr="00F25843">
        <w:rPr>
          <w:rFonts w:ascii="Times New Roman" w:hAnsi="Times New Roman" w:cs="Times New Roman"/>
          <w:sz w:val="24"/>
          <w:szCs w:val="24"/>
        </w:rPr>
        <w:t xml:space="preserve"> Max Clinical Chemistry System was used to perform clinical chemistry tests, such as alanine aminotransferase (ALT), albumin (Alb), alkaline phosphatase (ALP), aspartate aminotransferase (AST), blood </w:t>
      </w:r>
      <w:r w:rsidRPr="00F25843">
        <w:rPr>
          <w:rFonts w:ascii="Times New Roman" w:hAnsi="Times New Roman" w:cs="Times New Roman"/>
          <w:sz w:val="24"/>
          <w:szCs w:val="24"/>
        </w:rPr>
        <w:lastRenderedPageBreak/>
        <w:t>urea nitrogen (BUN), creatinine (</w:t>
      </w:r>
      <w:proofErr w:type="spellStart"/>
      <w:r w:rsidRPr="00F25843">
        <w:rPr>
          <w:rFonts w:ascii="Times New Roman" w:hAnsi="Times New Roman" w:cs="Times New Roman"/>
          <w:sz w:val="24"/>
          <w:szCs w:val="24"/>
        </w:rPr>
        <w:t>Creat</w:t>
      </w:r>
      <w:proofErr w:type="spellEnd"/>
      <w:r w:rsidRPr="00F25843">
        <w:rPr>
          <w:rFonts w:ascii="Times New Roman" w:hAnsi="Times New Roman" w:cs="Times New Roman"/>
          <w:sz w:val="24"/>
          <w:szCs w:val="24"/>
        </w:rPr>
        <w:t>), gamma-glutamyl transferase (GGT), glucose (Glu), inorganic phosphate (Pi), potassium (K), sodium (Na), lactate dehydrogenase (LDH), total cholesterol (T. Chol), total protein (T. Pro), total bilirubin (T. Bil), triglycerides (Trig), globulin (Glob), albumin-to-globulin ratio (A/G), calcium (Ca), and chloride (Cl).</w:t>
      </w:r>
    </w:p>
    <w:p w14:paraId="1943288C" w14:textId="77777777" w:rsidR="008D3AF7" w:rsidRPr="00F25843" w:rsidRDefault="008D3AF7" w:rsidP="008D3AF7">
      <w:pPr>
        <w:spacing w:after="0" w:line="360" w:lineRule="auto"/>
        <w:ind w:firstLine="720"/>
        <w:jc w:val="both"/>
        <w:rPr>
          <w:rFonts w:ascii="Times New Roman" w:hAnsi="Times New Roman" w:cs="Times New Roman"/>
          <w:sz w:val="24"/>
          <w:szCs w:val="24"/>
        </w:rPr>
      </w:pPr>
    </w:p>
    <w:p w14:paraId="407731C4" w14:textId="77777777" w:rsidR="008D3AF7" w:rsidRPr="00F25843" w:rsidRDefault="008D3AF7" w:rsidP="008D3AF7">
      <w:pPr>
        <w:spacing w:after="0" w:line="360" w:lineRule="auto"/>
        <w:jc w:val="both"/>
        <w:rPr>
          <w:rFonts w:ascii="Times New Roman Bold" w:hAnsi="Times New Roman Bold" w:cs="Times New Roman"/>
          <w:b/>
          <w:bCs/>
          <w:sz w:val="28"/>
          <w:szCs w:val="28"/>
        </w:rPr>
      </w:pPr>
      <w:r w:rsidRPr="00F25843">
        <w:rPr>
          <w:rFonts w:ascii="Times New Roman Bold" w:hAnsi="Times New Roman Bold" w:cs="Times New Roman"/>
          <w:b/>
          <w:bCs/>
          <w:sz w:val="28"/>
          <w:szCs w:val="28"/>
        </w:rPr>
        <w:t xml:space="preserve">2.9. Sperm Analysis </w:t>
      </w:r>
    </w:p>
    <w:p w14:paraId="37BCFACE" w14:textId="77777777" w:rsidR="008D3AF7" w:rsidRDefault="008D3AF7" w:rsidP="008D3AF7">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The cauda epididymis was separated, washed in sterile PBS, and then moved to a Petri plate with modified Tyrode's media that had been warmed up. Using sterilized scissors, a tiny cut was created in the epididymal tissue, and then the tissue was gently squeezed to let sperm out into the medium. We put the sperm suspension in an incubator at 37°C for 5 to 10 minutes to let the sperm spread out. We used a CASA system to examine sperm motility and other kinematic metrics (</w:t>
      </w:r>
      <w:proofErr w:type="spellStart"/>
      <w:r w:rsidRPr="00F25843">
        <w:rPr>
          <w:rFonts w:ascii="Times New Roman" w:hAnsi="Times New Roman" w:cs="Times New Roman"/>
          <w:sz w:val="24"/>
          <w:szCs w:val="24"/>
        </w:rPr>
        <w:t>Biovis</w:t>
      </w:r>
      <w:proofErr w:type="spellEnd"/>
      <w:r w:rsidRPr="00F25843">
        <w:rPr>
          <w:rFonts w:ascii="Times New Roman" w:hAnsi="Times New Roman" w:cs="Times New Roman"/>
          <w:sz w:val="24"/>
          <w:szCs w:val="24"/>
        </w:rPr>
        <w:t xml:space="preserve"> CAS-2000).</w:t>
      </w:r>
    </w:p>
    <w:p w14:paraId="67EE7911" w14:textId="77777777" w:rsidR="008D3AF7" w:rsidRPr="00F25843" w:rsidRDefault="008D3AF7" w:rsidP="008D3AF7">
      <w:pPr>
        <w:spacing w:after="0" w:line="360" w:lineRule="auto"/>
        <w:ind w:firstLine="720"/>
        <w:jc w:val="both"/>
        <w:rPr>
          <w:rFonts w:ascii="Times New Roman" w:hAnsi="Times New Roman" w:cs="Times New Roman"/>
          <w:sz w:val="24"/>
          <w:szCs w:val="24"/>
        </w:rPr>
      </w:pPr>
    </w:p>
    <w:p w14:paraId="42A75EE9" w14:textId="77777777" w:rsidR="008D3AF7" w:rsidRPr="003C5DEF" w:rsidRDefault="008D3AF7" w:rsidP="008D3AF7">
      <w:pPr>
        <w:spacing w:after="0" w:line="360" w:lineRule="auto"/>
        <w:jc w:val="both"/>
        <w:rPr>
          <w:rFonts w:ascii="Times New Roman Bold" w:hAnsi="Times New Roman Bold" w:cs="Times New Roman"/>
          <w:b/>
          <w:bCs/>
          <w:sz w:val="28"/>
          <w:szCs w:val="28"/>
        </w:rPr>
      </w:pPr>
      <w:r w:rsidRPr="003C5DEF">
        <w:rPr>
          <w:rFonts w:ascii="Times New Roman Bold" w:hAnsi="Times New Roman Bold" w:cs="Times New Roman"/>
          <w:b/>
          <w:bCs/>
          <w:sz w:val="28"/>
          <w:szCs w:val="28"/>
        </w:rPr>
        <w:t xml:space="preserve">2.10. Mating </w:t>
      </w:r>
      <w:proofErr w:type="spellStart"/>
      <w:r w:rsidRPr="003C5DEF">
        <w:rPr>
          <w:rFonts w:ascii="Times New Roman Bold" w:hAnsi="Times New Roman Bold" w:cs="Times New Roman"/>
          <w:b/>
          <w:bCs/>
          <w:sz w:val="28"/>
          <w:szCs w:val="28"/>
        </w:rPr>
        <w:t>Behaviour</w:t>
      </w:r>
      <w:proofErr w:type="spellEnd"/>
    </w:p>
    <w:p w14:paraId="29F0F367" w14:textId="77777777" w:rsidR="008D3AF7" w:rsidRPr="00F25843" w:rsidRDefault="008D3AF7" w:rsidP="008D3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Mating </w:t>
      </w:r>
      <w:proofErr w:type="spellStart"/>
      <w:r w:rsidRPr="00F25843">
        <w:rPr>
          <w:rFonts w:ascii="Times New Roman" w:hAnsi="Times New Roman" w:cs="Times New Roman"/>
          <w:sz w:val="24"/>
          <w:szCs w:val="24"/>
        </w:rPr>
        <w:t>behaviour</w:t>
      </w:r>
      <w:proofErr w:type="spellEnd"/>
      <w:r w:rsidRPr="00F25843">
        <w:rPr>
          <w:rFonts w:ascii="Times New Roman" w:hAnsi="Times New Roman" w:cs="Times New Roman"/>
          <w:sz w:val="24"/>
          <w:szCs w:val="24"/>
        </w:rPr>
        <w:t xml:space="preserve"> was observed at several time points: before the first dose, two hours after the first dose, and on the 15th and 30th days of treatment. During each observation, one male rat was paired with one female rat in a mating cage for 45 minutes. Female rats were made receptive by administering a single intramuscular injection of estradiol (Sigma Fine Chemicals) at a dose of 2 </w:t>
      </w:r>
      <w:proofErr w:type="spellStart"/>
      <w:r w:rsidRPr="00F25843">
        <w:rPr>
          <w:rFonts w:ascii="Times New Roman" w:hAnsi="Times New Roman" w:cs="Times New Roman"/>
          <w:sz w:val="24"/>
          <w:szCs w:val="24"/>
        </w:rPr>
        <w:t>μg</w:t>
      </w:r>
      <w:proofErr w:type="spellEnd"/>
      <w:r w:rsidRPr="00F25843">
        <w:rPr>
          <w:rFonts w:ascii="Times New Roman" w:hAnsi="Times New Roman" w:cs="Times New Roman"/>
          <w:sz w:val="24"/>
          <w:szCs w:val="24"/>
        </w:rPr>
        <w:t xml:space="preserve">/kg, 48 hours prior to the mating assessment. Receptivity was induced for the 15th and 30th-day observations but not for the 2-hour post-dosing observation. The mating </w:t>
      </w:r>
      <w:proofErr w:type="spellStart"/>
      <w:r w:rsidRPr="00F25843">
        <w:rPr>
          <w:rFonts w:ascii="Times New Roman" w:hAnsi="Times New Roman" w:cs="Times New Roman"/>
          <w:sz w:val="24"/>
          <w:szCs w:val="24"/>
        </w:rPr>
        <w:t>behaviour</w:t>
      </w:r>
      <w:proofErr w:type="spellEnd"/>
      <w:r w:rsidRPr="00F25843">
        <w:rPr>
          <w:rFonts w:ascii="Times New Roman" w:hAnsi="Times New Roman" w:cs="Times New Roman"/>
          <w:sz w:val="24"/>
          <w:szCs w:val="24"/>
        </w:rPr>
        <w:t xml:space="preserve"> was monitored for 45 minutes after pairing, and various indices were recorded to evaluate following mating </w:t>
      </w:r>
      <w:proofErr w:type="spellStart"/>
      <w:r w:rsidRPr="00F25843">
        <w:rPr>
          <w:rFonts w:ascii="Times New Roman" w:hAnsi="Times New Roman" w:cs="Times New Roman"/>
          <w:sz w:val="24"/>
          <w:szCs w:val="24"/>
        </w:rPr>
        <w:t>behaviour</w:t>
      </w:r>
      <w:proofErr w:type="spellEnd"/>
      <w:r w:rsidRPr="00F25843">
        <w:rPr>
          <w:rFonts w:ascii="Times New Roman" w:hAnsi="Times New Roman" w:cs="Times New Roman"/>
          <w:sz w:val="24"/>
          <w:szCs w:val="24"/>
        </w:rPr>
        <w:t>-</w:t>
      </w:r>
    </w:p>
    <w:p w14:paraId="1BB67955" w14:textId="77777777" w:rsidR="008D3AF7" w:rsidRPr="00F10597" w:rsidRDefault="008D3AF7" w:rsidP="008D3AF7">
      <w:pPr>
        <w:pStyle w:val="msolistparagraph0"/>
        <w:numPr>
          <w:ilvl w:val="0"/>
          <w:numId w:val="5"/>
        </w:numPr>
        <w:spacing w:after="0" w:line="360" w:lineRule="auto"/>
        <w:jc w:val="both"/>
        <w:rPr>
          <w:rFonts w:ascii="Times New Roman" w:hAnsi="Times New Roman" w:cs="Times New Roman"/>
          <w:b/>
          <w:bCs/>
          <w:sz w:val="24"/>
          <w:szCs w:val="24"/>
        </w:rPr>
      </w:pPr>
      <w:r w:rsidRPr="00F10597">
        <w:rPr>
          <w:rFonts w:ascii="Times New Roman" w:hAnsi="Times New Roman" w:cs="Times New Roman"/>
          <w:b/>
          <w:bCs/>
          <w:sz w:val="24"/>
          <w:szCs w:val="24"/>
        </w:rPr>
        <w:t>Mounting Frequency</w:t>
      </w:r>
    </w:p>
    <w:p w14:paraId="42596D39" w14:textId="77777777" w:rsidR="008D3AF7" w:rsidRPr="00F25843" w:rsidRDefault="008D3AF7" w:rsidP="008D3AF7">
      <w:pPr>
        <w:spacing w:after="0" w:line="360" w:lineRule="auto"/>
        <w:ind w:left="720"/>
        <w:jc w:val="both"/>
        <w:rPr>
          <w:rFonts w:ascii="Times New Roman" w:hAnsi="Times New Roman" w:cs="Times New Roman"/>
          <w:sz w:val="24"/>
          <w:szCs w:val="24"/>
        </w:rPr>
      </w:pPr>
      <w:r w:rsidRPr="00F25843">
        <w:rPr>
          <w:rFonts w:ascii="Times New Roman" w:hAnsi="Times New Roman" w:cs="Times New Roman"/>
          <w:sz w:val="24"/>
          <w:szCs w:val="24"/>
        </w:rPr>
        <w:t xml:space="preserve">Number of mounts before ejaculation was observed </w:t>
      </w:r>
      <w:r w:rsidR="00C9525E">
        <w:rPr>
          <w:rFonts w:ascii="Times New Roman" w:hAnsi="Times New Roman" w:cs="Times New Roman"/>
          <w:sz w:val="24"/>
          <w:szCs w:val="24"/>
        </w:rPr>
        <w:t>in</w:t>
      </w:r>
      <w:r w:rsidRPr="00F25843">
        <w:rPr>
          <w:rFonts w:ascii="Times New Roman" w:hAnsi="Times New Roman" w:cs="Times New Roman"/>
          <w:sz w:val="24"/>
          <w:szCs w:val="24"/>
        </w:rPr>
        <w:t xml:space="preserve"> a given period of time (45 minutes).</w:t>
      </w:r>
    </w:p>
    <w:p w14:paraId="7BBFF826" w14:textId="77777777" w:rsidR="008D3AF7" w:rsidRPr="00F10597" w:rsidRDefault="008D3AF7" w:rsidP="008D3AF7">
      <w:pPr>
        <w:pStyle w:val="msolistparagraph0"/>
        <w:numPr>
          <w:ilvl w:val="0"/>
          <w:numId w:val="5"/>
        </w:numPr>
        <w:spacing w:after="0" w:line="360" w:lineRule="auto"/>
        <w:jc w:val="both"/>
        <w:rPr>
          <w:rFonts w:ascii="Times New Roman" w:hAnsi="Times New Roman" w:cs="Times New Roman"/>
          <w:b/>
          <w:bCs/>
          <w:sz w:val="24"/>
          <w:szCs w:val="24"/>
        </w:rPr>
      </w:pPr>
      <w:r w:rsidRPr="00F10597">
        <w:rPr>
          <w:rFonts w:ascii="Times New Roman" w:hAnsi="Times New Roman" w:cs="Times New Roman"/>
          <w:b/>
          <w:bCs/>
          <w:sz w:val="24"/>
          <w:szCs w:val="24"/>
        </w:rPr>
        <w:t>Intromission Frequency</w:t>
      </w:r>
    </w:p>
    <w:p w14:paraId="0E9FBED9" w14:textId="77777777" w:rsidR="008D3AF7" w:rsidRPr="00F25843" w:rsidRDefault="008D3AF7" w:rsidP="008D3AF7">
      <w:pPr>
        <w:spacing w:after="0" w:line="360" w:lineRule="auto"/>
        <w:ind w:left="720"/>
        <w:jc w:val="both"/>
        <w:rPr>
          <w:rFonts w:ascii="Times New Roman" w:hAnsi="Times New Roman" w:cs="Times New Roman"/>
          <w:sz w:val="24"/>
          <w:szCs w:val="24"/>
        </w:rPr>
      </w:pPr>
      <w:r w:rsidRPr="00F25843">
        <w:rPr>
          <w:rFonts w:ascii="Times New Roman" w:hAnsi="Times New Roman" w:cs="Times New Roman"/>
          <w:sz w:val="24"/>
          <w:szCs w:val="24"/>
        </w:rPr>
        <w:t>Number of intro mission before ejaculation in a given period of time.</w:t>
      </w:r>
    </w:p>
    <w:p w14:paraId="216933D2" w14:textId="77777777" w:rsidR="008D3AF7" w:rsidRPr="00F10597" w:rsidRDefault="008D3AF7" w:rsidP="008D3AF7">
      <w:pPr>
        <w:pStyle w:val="msolistparagraph0"/>
        <w:numPr>
          <w:ilvl w:val="0"/>
          <w:numId w:val="5"/>
        </w:numPr>
        <w:spacing w:after="0" w:line="360" w:lineRule="auto"/>
        <w:jc w:val="both"/>
        <w:rPr>
          <w:rFonts w:ascii="Times New Roman" w:hAnsi="Times New Roman" w:cs="Times New Roman"/>
          <w:b/>
          <w:bCs/>
          <w:sz w:val="24"/>
          <w:szCs w:val="24"/>
        </w:rPr>
      </w:pPr>
      <w:r w:rsidRPr="00F10597">
        <w:rPr>
          <w:rFonts w:ascii="Times New Roman" w:hAnsi="Times New Roman" w:cs="Times New Roman"/>
          <w:b/>
          <w:bCs/>
          <w:sz w:val="24"/>
          <w:szCs w:val="24"/>
        </w:rPr>
        <w:t>Mounting Latency</w:t>
      </w:r>
    </w:p>
    <w:p w14:paraId="5BF5C07A" w14:textId="77777777" w:rsidR="008D3AF7" w:rsidRPr="00F25843" w:rsidRDefault="008D3AF7" w:rsidP="008D3AF7">
      <w:pPr>
        <w:spacing w:after="0" w:line="360" w:lineRule="auto"/>
        <w:ind w:left="720"/>
        <w:jc w:val="both"/>
        <w:rPr>
          <w:rFonts w:ascii="Times New Roman" w:hAnsi="Times New Roman" w:cs="Times New Roman"/>
          <w:sz w:val="24"/>
          <w:szCs w:val="24"/>
        </w:rPr>
      </w:pPr>
      <w:r w:rsidRPr="00F25843">
        <w:rPr>
          <w:rFonts w:ascii="Times New Roman" w:hAnsi="Times New Roman" w:cs="Times New Roman"/>
          <w:sz w:val="24"/>
          <w:szCs w:val="24"/>
        </w:rPr>
        <w:t>Time from the introduction of female into the cage of the Male up to the first mount</w:t>
      </w:r>
    </w:p>
    <w:p w14:paraId="7DE5E334" w14:textId="77777777" w:rsidR="008D3AF7" w:rsidRPr="00F10597" w:rsidRDefault="008D3AF7" w:rsidP="008D3AF7">
      <w:pPr>
        <w:pStyle w:val="msolistparagraph0"/>
        <w:numPr>
          <w:ilvl w:val="0"/>
          <w:numId w:val="5"/>
        </w:numPr>
        <w:spacing w:after="0" w:line="360" w:lineRule="auto"/>
        <w:jc w:val="both"/>
        <w:rPr>
          <w:rFonts w:ascii="Times New Roman" w:hAnsi="Times New Roman" w:cs="Times New Roman"/>
          <w:b/>
          <w:bCs/>
          <w:sz w:val="24"/>
          <w:szCs w:val="24"/>
        </w:rPr>
      </w:pPr>
      <w:r w:rsidRPr="00F10597">
        <w:rPr>
          <w:rFonts w:ascii="Times New Roman" w:hAnsi="Times New Roman" w:cs="Times New Roman"/>
          <w:b/>
          <w:bCs/>
          <w:sz w:val="24"/>
          <w:szCs w:val="24"/>
        </w:rPr>
        <w:lastRenderedPageBreak/>
        <w:t>Intromission Latency</w:t>
      </w:r>
    </w:p>
    <w:p w14:paraId="774A4EC1" w14:textId="77777777" w:rsidR="008D3AF7" w:rsidRPr="00F25843" w:rsidRDefault="008D3AF7" w:rsidP="008D3AF7">
      <w:pPr>
        <w:spacing w:after="0" w:line="360" w:lineRule="auto"/>
        <w:ind w:left="720"/>
        <w:jc w:val="both"/>
        <w:rPr>
          <w:rFonts w:ascii="Times New Roman" w:hAnsi="Times New Roman" w:cs="Times New Roman"/>
          <w:sz w:val="24"/>
          <w:szCs w:val="24"/>
        </w:rPr>
      </w:pPr>
      <w:r w:rsidRPr="00F25843">
        <w:rPr>
          <w:rFonts w:ascii="Times New Roman" w:hAnsi="Times New Roman" w:cs="Times New Roman"/>
          <w:sz w:val="24"/>
          <w:szCs w:val="24"/>
        </w:rPr>
        <w:t>Time from the introduction of the female up to the first intromission by the male.</w:t>
      </w:r>
    </w:p>
    <w:p w14:paraId="78BC2E88" w14:textId="77777777" w:rsidR="008D3AF7" w:rsidRPr="00F10597" w:rsidRDefault="008D3AF7" w:rsidP="008D3AF7">
      <w:pPr>
        <w:pStyle w:val="msolistparagraph0"/>
        <w:numPr>
          <w:ilvl w:val="0"/>
          <w:numId w:val="5"/>
        </w:numPr>
        <w:spacing w:after="0" w:line="360" w:lineRule="auto"/>
        <w:jc w:val="both"/>
        <w:rPr>
          <w:rFonts w:ascii="Times New Roman" w:hAnsi="Times New Roman" w:cs="Times New Roman"/>
          <w:b/>
          <w:bCs/>
          <w:sz w:val="24"/>
          <w:szCs w:val="24"/>
        </w:rPr>
      </w:pPr>
      <w:r w:rsidRPr="00F10597">
        <w:rPr>
          <w:rFonts w:ascii="Times New Roman" w:hAnsi="Times New Roman" w:cs="Times New Roman"/>
          <w:b/>
          <w:bCs/>
          <w:sz w:val="24"/>
          <w:szCs w:val="24"/>
        </w:rPr>
        <w:t>Ejaculatory Latency</w:t>
      </w:r>
    </w:p>
    <w:p w14:paraId="66521150" w14:textId="77777777" w:rsidR="008D3AF7" w:rsidRPr="00F25843" w:rsidRDefault="008D3AF7" w:rsidP="008D3AF7">
      <w:pPr>
        <w:spacing w:after="0" w:line="360" w:lineRule="auto"/>
        <w:ind w:left="720"/>
        <w:jc w:val="both"/>
        <w:rPr>
          <w:rFonts w:ascii="Times New Roman" w:hAnsi="Times New Roman" w:cs="Times New Roman"/>
          <w:sz w:val="24"/>
          <w:szCs w:val="24"/>
        </w:rPr>
      </w:pPr>
      <w:r w:rsidRPr="00F25843">
        <w:rPr>
          <w:rFonts w:ascii="Times New Roman" w:hAnsi="Times New Roman" w:cs="Times New Roman"/>
          <w:sz w:val="24"/>
          <w:szCs w:val="24"/>
        </w:rPr>
        <w:t>Time from the first intromission of a series up to the ejaculation.</w:t>
      </w:r>
    </w:p>
    <w:p w14:paraId="756F1847" w14:textId="77777777" w:rsidR="008D3AF7" w:rsidRPr="00F10597" w:rsidRDefault="008D3AF7" w:rsidP="008D3AF7">
      <w:pPr>
        <w:pStyle w:val="msolistparagraph0"/>
        <w:numPr>
          <w:ilvl w:val="0"/>
          <w:numId w:val="5"/>
        </w:numPr>
        <w:spacing w:after="0" w:line="360" w:lineRule="auto"/>
        <w:jc w:val="both"/>
        <w:rPr>
          <w:rFonts w:ascii="Times New Roman" w:hAnsi="Times New Roman" w:cs="Times New Roman"/>
          <w:b/>
          <w:bCs/>
          <w:sz w:val="24"/>
          <w:szCs w:val="24"/>
        </w:rPr>
      </w:pPr>
      <w:r w:rsidRPr="00F10597">
        <w:rPr>
          <w:rFonts w:ascii="Times New Roman" w:hAnsi="Times New Roman" w:cs="Times New Roman"/>
          <w:b/>
          <w:bCs/>
          <w:sz w:val="24"/>
          <w:szCs w:val="24"/>
        </w:rPr>
        <w:t>Post Ejaculatory Latency</w:t>
      </w:r>
    </w:p>
    <w:p w14:paraId="4203636A" w14:textId="77777777" w:rsidR="008D3AF7" w:rsidRPr="00F25843" w:rsidRDefault="008D3AF7" w:rsidP="008D3AF7">
      <w:pPr>
        <w:spacing w:after="0" w:line="360" w:lineRule="auto"/>
        <w:ind w:left="720"/>
        <w:jc w:val="both"/>
        <w:rPr>
          <w:rFonts w:ascii="Times New Roman" w:hAnsi="Times New Roman" w:cs="Times New Roman"/>
          <w:sz w:val="24"/>
          <w:szCs w:val="24"/>
        </w:rPr>
      </w:pPr>
      <w:r w:rsidRPr="00F25843">
        <w:rPr>
          <w:rFonts w:ascii="Times New Roman" w:hAnsi="Times New Roman" w:cs="Times New Roman"/>
          <w:sz w:val="24"/>
          <w:szCs w:val="24"/>
        </w:rPr>
        <w:t>Time from the first ejaculation up to the next ejaculation.</w:t>
      </w:r>
    </w:p>
    <w:p w14:paraId="1709AAA8" w14:textId="77777777" w:rsidR="008D3AF7" w:rsidRPr="00F10597" w:rsidRDefault="008D3AF7" w:rsidP="008D3AF7">
      <w:pPr>
        <w:pStyle w:val="msolistparagraph0"/>
        <w:numPr>
          <w:ilvl w:val="0"/>
          <w:numId w:val="5"/>
        </w:numPr>
        <w:spacing w:after="0" w:line="360" w:lineRule="auto"/>
        <w:jc w:val="both"/>
        <w:rPr>
          <w:rFonts w:ascii="Times New Roman" w:hAnsi="Times New Roman" w:cs="Times New Roman"/>
          <w:b/>
          <w:bCs/>
          <w:sz w:val="24"/>
          <w:szCs w:val="24"/>
        </w:rPr>
      </w:pPr>
      <w:r w:rsidRPr="00F10597">
        <w:rPr>
          <w:rFonts w:ascii="Times New Roman" w:hAnsi="Times New Roman" w:cs="Times New Roman"/>
          <w:b/>
          <w:bCs/>
          <w:sz w:val="24"/>
          <w:szCs w:val="24"/>
        </w:rPr>
        <w:t>Post Ejaculatory Interval</w:t>
      </w:r>
    </w:p>
    <w:p w14:paraId="68E4BE01" w14:textId="77777777" w:rsidR="008D3AF7" w:rsidRPr="00F25843" w:rsidRDefault="008D3AF7" w:rsidP="008D3AF7">
      <w:pPr>
        <w:spacing w:after="0" w:line="360" w:lineRule="auto"/>
        <w:ind w:left="720"/>
        <w:jc w:val="both"/>
        <w:rPr>
          <w:rFonts w:ascii="Times New Roman" w:hAnsi="Times New Roman" w:cs="Times New Roman"/>
          <w:sz w:val="24"/>
          <w:szCs w:val="24"/>
        </w:rPr>
      </w:pPr>
      <w:r w:rsidRPr="00F25843">
        <w:rPr>
          <w:rFonts w:ascii="Times New Roman" w:hAnsi="Times New Roman" w:cs="Times New Roman"/>
          <w:sz w:val="24"/>
          <w:szCs w:val="24"/>
        </w:rPr>
        <w:t>Time from the first ejaculation up to the next intromission by the male.</w:t>
      </w:r>
    </w:p>
    <w:p w14:paraId="2A5A1770" w14:textId="77777777" w:rsidR="008D3AF7" w:rsidRPr="00F10597" w:rsidRDefault="008D3AF7" w:rsidP="008D3AF7">
      <w:pPr>
        <w:pStyle w:val="msolistparagraph0"/>
        <w:numPr>
          <w:ilvl w:val="0"/>
          <w:numId w:val="5"/>
        </w:numPr>
        <w:spacing w:after="0" w:line="360" w:lineRule="auto"/>
        <w:jc w:val="both"/>
        <w:rPr>
          <w:rFonts w:ascii="Times New Roman" w:hAnsi="Times New Roman" w:cs="Times New Roman"/>
          <w:b/>
          <w:bCs/>
          <w:sz w:val="24"/>
          <w:szCs w:val="24"/>
        </w:rPr>
      </w:pPr>
      <w:r w:rsidRPr="00F10597">
        <w:rPr>
          <w:rFonts w:ascii="Times New Roman" w:hAnsi="Times New Roman" w:cs="Times New Roman"/>
          <w:b/>
          <w:bCs/>
          <w:sz w:val="24"/>
          <w:szCs w:val="24"/>
        </w:rPr>
        <w:t xml:space="preserve">Total Sexual </w:t>
      </w:r>
      <w:proofErr w:type="spellStart"/>
      <w:r w:rsidRPr="00F10597">
        <w:rPr>
          <w:rFonts w:ascii="Times New Roman" w:hAnsi="Times New Roman" w:cs="Times New Roman"/>
          <w:b/>
          <w:bCs/>
          <w:sz w:val="24"/>
          <w:szCs w:val="24"/>
        </w:rPr>
        <w:t>Behaviour</w:t>
      </w:r>
      <w:proofErr w:type="spellEnd"/>
    </w:p>
    <w:p w14:paraId="5D41ECD1" w14:textId="77777777" w:rsidR="008D3AF7" w:rsidRPr="00F25843" w:rsidRDefault="008D3AF7" w:rsidP="008D3AF7">
      <w:pPr>
        <w:spacing w:after="0" w:line="360" w:lineRule="auto"/>
        <w:ind w:left="720"/>
        <w:jc w:val="both"/>
        <w:rPr>
          <w:rFonts w:ascii="Times New Roman" w:hAnsi="Times New Roman" w:cs="Times New Roman"/>
          <w:sz w:val="24"/>
          <w:szCs w:val="24"/>
        </w:rPr>
      </w:pPr>
      <w:r w:rsidRPr="00F25843">
        <w:rPr>
          <w:rFonts w:ascii="Times New Roman" w:hAnsi="Times New Roman" w:cs="Times New Roman"/>
          <w:sz w:val="24"/>
          <w:szCs w:val="24"/>
        </w:rPr>
        <w:t xml:space="preserve">Male sexual </w:t>
      </w:r>
      <w:proofErr w:type="spellStart"/>
      <w:r w:rsidRPr="00F25843">
        <w:rPr>
          <w:rFonts w:ascii="Times New Roman" w:hAnsi="Times New Roman" w:cs="Times New Roman"/>
          <w:sz w:val="24"/>
          <w:szCs w:val="24"/>
        </w:rPr>
        <w:t>behaviour</w:t>
      </w:r>
      <w:proofErr w:type="spellEnd"/>
      <w:r w:rsidRPr="00F25843">
        <w:rPr>
          <w:rFonts w:ascii="Times New Roman" w:hAnsi="Times New Roman" w:cs="Times New Roman"/>
          <w:sz w:val="24"/>
          <w:szCs w:val="24"/>
        </w:rPr>
        <w:t xml:space="preserve"> such as genital grooming and sniffing at female were visually monitored and recorded.</w:t>
      </w:r>
    </w:p>
    <w:p w14:paraId="4526F28E" w14:textId="77777777" w:rsidR="008D3AF7" w:rsidRDefault="008D3AF7" w:rsidP="008D3AF7">
      <w:pPr>
        <w:spacing w:after="0" w:line="360" w:lineRule="auto"/>
        <w:jc w:val="both"/>
        <w:rPr>
          <w:rFonts w:ascii="Times New Roman" w:hAnsi="Times New Roman" w:cs="Times New Roman"/>
          <w:sz w:val="24"/>
          <w:szCs w:val="24"/>
        </w:rPr>
      </w:pPr>
    </w:p>
    <w:p w14:paraId="02340942" w14:textId="77777777" w:rsidR="008D3AF7" w:rsidRDefault="008D3AF7" w:rsidP="008D3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CCTV cameras were used to record every mating behavior, and the material was viewed separately on screens to assess the behavior without upsetting the rats. Throughout the investigation, a variety of indicators were examined to evaluate mating behavior.</w:t>
      </w:r>
      <w:r w:rsidR="00853766">
        <w:rPr>
          <w:rFonts w:ascii="Times New Roman" w:hAnsi="Times New Roman" w:cs="Times New Roman"/>
          <w:sz w:val="24"/>
          <w:szCs w:val="24"/>
        </w:rPr>
        <w:t xml:space="preserve"> (Figure</w:t>
      </w:r>
      <w:r w:rsidR="000C1010">
        <w:rPr>
          <w:rFonts w:ascii="Times New Roman" w:hAnsi="Times New Roman" w:cs="Times New Roman"/>
          <w:sz w:val="24"/>
          <w:szCs w:val="24"/>
        </w:rPr>
        <w:t xml:space="preserve"> </w:t>
      </w:r>
      <w:r w:rsidR="00F10597">
        <w:rPr>
          <w:rFonts w:ascii="Times New Roman" w:hAnsi="Times New Roman" w:cs="Times New Roman"/>
          <w:sz w:val="24"/>
          <w:szCs w:val="24"/>
        </w:rPr>
        <w:t>2</w:t>
      </w:r>
      <w:r w:rsidR="00853766">
        <w:rPr>
          <w:rFonts w:ascii="Times New Roman" w:hAnsi="Times New Roman" w:cs="Times New Roman"/>
          <w:sz w:val="24"/>
          <w:szCs w:val="24"/>
        </w:rPr>
        <w:t>)</w:t>
      </w:r>
    </w:p>
    <w:p w14:paraId="2153CA06" w14:textId="77777777" w:rsidR="008D3AF7" w:rsidRPr="00F25843" w:rsidRDefault="008D3AF7" w:rsidP="008D3AF7">
      <w:pPr>
        <w:spacing w:after="0" w:line="240" w:lineRule="auto"/>
        <w:jc w:val="both"/>
        <w:rPr>
          <w:rFonts w:ascii="Times New Roman" w:hAnsi="Times New Roman" w:cs="Times New Roman"/>
          <w:sz w:val="24"/>
          <w:szCs w:val="24"/>
        </w:rPr>
      </w:pPr>
    </w:p>
    <w:p w14:paraId="7CC49047" w14:textId="77777777" w:rsidR="008D3AF7" w:rsidRPr="00F25843" w:rsidRDefault="008D3AF7" w:rsidP="008D3AF7">
      <w:pPr>
        <w:spacing w:after="0" w:line="360" w:lineRule="auto"/>
        <w:ind w:firstLine="720"/>
        <w:jc w:val="center"/>
        <w:rPr>
          <w:rFonts w:ascii="Times New Roman" w:hAnsi="Times New Roman" w:cs="Times New Roman"/>
          <w:b/>
          <w:bCs/>
          <w:sz w:val="24"/>
          <w:szCs w:val="24"/>
        </w:rPr>
      </w:pPr>
    </w:p>
    <w:p w14:paraId="1BDFFD10" w14:textId="77777777" w:rsidR="008D3AF7" w:rsidRPr="003C5DEF" w:rsidRDefault="008D3AF7" w:rsidP="008D3AF7">
      <w:pPr>
        <w:spacing w:after="0" w:line="360" w:lineRule="auto"/>
        <w:jc w:val="both"/>
        <w:rPr>
          <w:rFonts w:ascii="Times New Roman Bold" w:hAnsi="Times New Roman Bold" w:cs="Times New Roman"/>
          <w:b/>
          <w:bCs/>
          <w:sz w:val="28"/>
          <w:szCs w:val="28"/>
        </w:rPr>
      </w:pPr>
      <w:r w:rsidRPr="003C5DEF">
        <w:rPr>
          <w:rFonts w:ascii="Times New Roman Bold" w:hAnsi="Times New Roman Bold" w:cs="Times New Roman"/>
          <w:b/>
          <w:bCs/>
          <w:sz w:val="28"/>
          <w:szCs w:val="28"/>
        </w:rPr>
        <w:t>2.11. Testosterone Assays</w:t>
      </w:r>
    </w:p>
    <w:p w14:paraId="7AFC1FA8" w14:textId="77777777" w:rsidR="008D3AF7" w:rsidRDefault="008D3AF7" w:rsidP="008D3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Serum testosterone levels were measured using an </w:t>
      </w:r>
      <w:bookmarkStart w:id="0" w:name="_Hlk213350848"/>
      <w:r w:rsidRPr="00F25843">
        <w:rPr>
          <w:rFonts w:ascii="Times New Roman" w:hAnsi="Times New Roman" w:cs="Times New Roman"/>
          <w:sz w:val="24"/>
          <w:szCs w:val="24"/>
        </w:rPr>
        <w:t>enzyme-linked immunosorbent assay</w:t>
      </w:r>
      <w:bookmarkEnd w:id="0"/>
      <w:r w:rsidRPr="00F25843">
        <w:rPr>
          <w:rFonts w:ascii="Times New Roman" w:hAnsi="Times New Roman" w:cs="Times New Roman"/>
          <w:sz w:val="24"/>
          <w:szCs w:val="24"/>
        </w:rPr>
        <w:t xml:space="preserve"> (ELISA) kit (R&amp;D Systems, Minneapolis, MN, USA) following the manufacturer’s protocol. Intratesticular testosterone (ITT) concentrations were </w:t>
      </w:r>
      <w:proofErr w:type="spellStart"/>
      <w:r w:rsidRPr="00F25843">
        <w:rPr>
          <w:rFonts w:ascii="Times New Roman" w:hAnsi="Times New Roman" w:cs="Times New Roman"/>
          <w:sz w:val="24"/>
          <w:szCs w:val="24"/>
        </w:rPr>
        <w:t>analysed</w:t>
      </w:r>
      <w:proofErr w:type="spellEnd"/>
      <w:r w:rsidRPr="00F25843">
        <w:rPr>
          <w:rFonts w:ascii="Times New Roman" w:hAnsi="Times New Roman" w:cs="Times New Roman"/>
          <w:sz w:val="24"/>
          <w:szCs w:val="24"/>
        </w:rPr>
        <w:t xml:space="preserve"> as described in previous studies </w:t>
      </w:r>
      <w:r w:rsidRPr="00C77C54">
        <w:rPr>
          <w:rFonts w:ascii="Times New Roman" w:hAnsi="Times New Roman" w:cs="Times New Roman"/>
          <w:sz w:val="24"/>
          <w:szCs w:val="24"/>
        </w:rPr>
        <w:t>(Robertson KM  2005).</w:t>
      </w:r>
      <w:r w:rsidRPr="00F25843">
        <w:rPr>
          <w:rFonts w:ascii="Times New Roman" w:hAnsi="Times New Roman" w:cs="Times New Roman"/>
          <w:sz w:val="24"/>
          <w:szCs w:val="24"/>
        </w:rPr>
        <w:t xml:space="preserve"> Briefly, testicular tissues (50 mg) collected from each rat were homogenized by sonication (2 seconds × 20 cycles) in phosphate-buffered saline (PBS) and centrifuged at 10,000 g for 10 minutes. Testosterone concentrations in the resulting supernatants were quantified using the same ELISA kit, and the results were expressed as ng per gram of tissue.</w:t>
      </w:r>
    </w:p>
    <w:p w14:paraId="35576FDC" w14:textId="77777777" w:rsidR="008D3AF7" w:rsidRPr="00F25843" w:rsidRDefault="008D3AF7" w:rsidP="008D3AF7">
      <w:pPr>
        <w:spacing w:after="0" w:line="360" w:lineRule="auto"/>
        <w:jc w:val="both"/>
        <w:rPr>
          <w:rFonts w:ascii="Times New Roman" w:hAnsi="Times New Roman" w:cs="Times New Roman"/>
          <w:sz w:val="24"/>
          <w:szCs w:val="24"/>
        </w:rPr>
      </w:pPr>
    </w:p>
    <w:p w14:paraId="766B2043" w14:textId="77777777" w:rsidR="008D3AF7" w:rsidRPr="003C5DEF" w:rsidRDefault="008D3AF7" w:rsidP="008D3AF7">
      <w:pPr>
        <w:spacing w:after="0" w:line="360" w:lineRule="auto"/>
        <w:jc w:val="both"/>
        <w:rPr>
          <w:rFonts w:ascii="Times New Roman Bold" w:hAnsi="Times New Roman Bold" w:cs="Times New Roman"/>
          <w:b/>
          <w:bCs/>
          <w:sz w:val="28"/>
          <w:szCs w:val="28"/>
        </w:rPr>
      </w:pPr>
      <w:r w:rsidRPr="003C5DEF">
        <w:rPr>
          <w:rFonts w:ascii="Times New Roman Bold" w:hAnsi="Times New Roman Bold" w:cs="Times New Roman"/>
          <w:b/>
          <w:bCs/>
          <w:sz w:val="28"/>
          <w:szCs w:val="28"/>
        </w:rPr>
        <w:t>2.12. Organ Weights and Histopathology</w:t>
      </w:r>
    </w:p>
    <w:p w14:paraId="06C1A646" w14:textId="77777777" w:rsidR="008D3AF7" w:rsidRPr="00F25843" w:rsidRDefault="008D3AF7" w:rsidP="008D3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After collecting blood for clinical pathology examinations, all animals from Groups 1–4 were put to death by exsanguination while they were under isoflurane </w:t>
      </w:r>
      <w:proofErr w:type="spellStart"/>
      <w:r w:rsidRPr="00F25843">
        <w:rPr>
          <w:rFonts w:ascii="Times New Roman" w:hAnsi="Times New Roman" w:cs="Times New Roman"/>
          <w:sz w:val="24"/>
          <w:szCs w:val="24"/>
        </w:rPr>
        <w:t>anaesthesia</w:t>
      </w:r>
      <w:proofErr w:type="spellEnd"/>
      <w:r w:rsidRPr="00F25843">
        <w:rPr>
          <w:rFonts w:ascii="Times New Roman" w:hAnsi="Times New Roman" w:cs="Times New Roman"/>
          <w:sz w:val="24"/>
          <w:szCs w:val="24"/>
        </w:rPr>
        <w:t xml:space="preserve">. Weighing organs such as the heart, kidneys, liver, pituitary gland, </w:t>
      </w:r>
      <w:r w:rsidRPr="00F25843">
        <w:rPr>
          <w:rFonts w:ascii="Times New Roman" w:hAnsi="Times New Roman" w:cs="Times New Roman"/>
          <w:sz w:val="24"/>
          <w:szCs w:val="24"/>
        </w:rPr>
        <w:lastRenderedPageBreak/>
        <w:t xml:space="preserve">prostate, spleen, thymus, thyroid, and parathyroid, as well as the testes, coagulating glands with seminal vesicles, and epididymides. We prepared the collected tissues by placing them in paraffin, slicing them into very thin pieces of 4–5 microns with a rotary microtome, putting them on slides, and </w:t>
      </w:r>
      <w:proofErr w:type="spellStart"/>
      <w:r w:rsidRPr="00F25843">
        <w:rPr>
          <w:rFonts w:ascii="Times New Roman" w:hAnsi="Times New Roman" w:cs="Times New Roman"/>
          <w:sz w:val="24"/>
          <w:szCs w:val="24"/>
        </w:rPr>
        <w:t>colouring</w:t>
      </w:r>
      <w:proofErr w:type="spellEnd"/>
      <w:r w:rsidRPr="00F25843">
        <w:rPr>
          <w:rFonts w:ascii="Times New Roman" w:hAnsi="Times New Roman" w:cs="Times New Roman"/>
          <w:sz w:val="24"/>
          <w:szCs w:val="24"/>
        </w:rPr>
        <w:t xml:space="preserve"> them with</w:t>
      </w:r>
      <w:r w:rsidR="00C9525E">
        <w:rPr>
          <w:rFonts w:ascii="Times New Roman" w:hAnsi="Times New Roman" w:cs="Times New Roman"/>
          <w:sz w:val="24"/>
          <w:szCs w:val="24"/>
        </w:rPr>
        <w:t xml:space="preserve"> </w:t>
      </w:r>
      <w:r w:rsidRPr="00F25843">
        <w:rPr>
          <w:rFonts w:ascii="Times New Roman" w:hAnsi="Times New Roman" w:cs="Times New Roman"/>
          <w:sz w:val="24"/>
          <w:szCs w:val="24"/>
        </w:rPr>
        <w:t xml:space="preserve">Mayer's </w:t>
      </w:r>
      <w:proofErr w:type="spellStart"/>
      <w:r w:rsidRPr="00F25843">
        <w:rPr>
          <w:rFonts w:ascii="Times New Roman" w:hAnsi="Times New Roman" w:cs="Times New Roman"/>
          <w:sz w:val="24"/>
          <w:szCs w:val="24"/>
        </w:rPr>
        <w:t>haematoxylin</w:t>
      </w:r>
      <w:proofErr w:type="spellEnd"/>
      <w:r w:rsidRPr="00F25843">
        <w:rPr>
          <w:rFonts w:ascii="Times New Roman" w:hAnsi="Times New Roman" w:cs="Times New Roman"/>
          <w:sz w:val="24"/>
          <w:szCs w:val="24"/>
        </w:rPr>
        <w:t xml:space="preserve"> and eosin for examination under a microscope.</w:t>
      </w:r>
    </w:p>
    <w:p w14:paraId="4E148FB0" w14:textId="77777777" w:rsidR="008D3AF7" w:rsidRDefault="008D3AF7" w:rsidP="008D3AF7">
      <w:pPr>
        <w:spacing w:after="0" w:line="360" w:lineRule="auto"/>
        <w:jc w:val="both"/>
        <w:rPr>
          <w:rFonts w:ascii="Times New Roman" w:hAnsi="Times New Roman" w:cs="Times New Roman"/>
          <w:b/>
          <w:bCs/>
          <w:sz w:val="24"/>
          <w:szCs w:val="24"/>
        </w:rPr>
      </w:pPr>
    </w:p>
    <w:p w14:paraId="05D93EFD" w14:textId="77777777" w:rsidR="008D3AF7" w:rsidRPr="003C5DEF" w:rsidRDefault="008D3AF7" w:rsidP="008D3AF7">
      <w:pPr>
        <w:spacing w:after="0" w:line="360" w:lineRule="auto"/>
        <w:jc w:val="both"/>
        <w:rPr>
          <w:rFonts w:ascii="Times New Roman Bold" w:hAnsi="Times New Roman Bold" w:cs="Times New Roman"/>
          <w:b/>
          <w:bCs/>
          <w:sz w:val="28"/>
          <w:szCs w:val="28"/>
        </w:rPr>
      </w:pPr>
      <w:r w:rsidRPr="003C5DEF">
        <w:rPr>
          <w:rFonts w:ascii="Times New Roman Bold" w:hAnsi="Times New Roman Bold" w:cs="Times New Roman"/>
          <w:b/>
          <w:bCs/>
          <w:sz w:val="28"/>
          <w:szCs w:val="28"/>
        </w:rPr>
        <w:t xml:space="preserve">2.13. Statistical Analysis  </w:t>
      </w:r>
    </w:p>
    <w:p w14:paraId="7A522089" w14:textId="77777777" w:rsidR="008D3AF7" w:rsidRPr="00F25843" w:rsidRDefault="008D3AF7" w:rsidP="008D3AF7">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All data were expressed as mean ± standard deviation. Statistical analysis was performed using GraphPad Prism 10 software, utilizing two-way analysis of variance (ANOVA) followed by Dunnett’s multiple comparisons test to assess differences between groups. Statistical significance was defined as a *p*-value of less than 0.05.</w:t>
      </w:r>
    </w:p>
    <w:p w14:paraId="3BB7238D" w14:textId="77777777" w:rsidR="00FC638A" w:rsidRDefault="00FC638A" w:rsidP="00FC638A">
      <w:pPr>
        <w:spacing w:after="0" w:line="360" w:lineRule="auto"/>
        <w:jc w:val="both"/>
        <w:rPr>
          <w:rFonts w:ascii="Times New Roman" w:hAnsi="Times New Roman" w:cs="Times New Roman"/>
          <w:b/>
          <w:bCs/>
          <w:sz w:val="24"/>
          <w:szCs w:val="24"/>
        </w:rPr>
      </w:pPr>
    </w:p>
    <w:p w14:paraId="7BDBB4C1" w14:textId="77777777" w:rsidR="00FC638A" w:rsidRPr="003C5DEF" w:rsidRDefault="00FC638A" w:rsidP="00FC638A">
      <w:pPr>
        <w:spacing w:after="0" w:line="360" w:lineRule="auto"/>
        <w:jc w:val="both"/>
        <w:rPr>
          <w:rFonts w:ascii="Times New Roman Bold" w:hAnsi="Times New Roman Bold" w:cs="Times New Roman"/>
          <w:b/>
          <w:bCs/>
          <w:sz w:val="32"/>
          <w:szCs w:val="32"/>
        </w:rPr>
      </w:pPr>
      <w:r w:rsidRPr="003C5DEF">
        <w:rPr>
          <w:rFonts w:ascii="Times New Roman Bold" w:hAnsi="Times New Roman Bold" w:cs="Times New Roman"/>
          <w:b/>
          <w:bCs/>
          <w:sz w:val="32"/>
          <w:szCs w:val="32"/>
        </w:rPr>
        <w:t>3</w:t>
      </w:r>
      <w:r w:rsidR="00F10597">
        <w:rPr>
          <w:rFonts w:ascii="Times New Roman Bold" w:hAnsi="Times New Roman Bold" w:cs="Times New Roman"/>
          <w:b/>
          <w:bCs/>
          <w:sz w:val="32"/>
          <w:szCs w:val="32"/>
        </w:rPr>
        <w:t xml:space="preserve">. </w:t>
      </w:r>
      <w:r w:rsidRPr="003C5DEF">
        <w:rPr>
          <w:rFonts w:ascii="Times New Roman Bold" w:hAnsi="Times New Roman Bold" w:cs="Times New Roman"/>
          <w:b/>
          <w:bCs/>
          <w:sz w:val="32"/>
          <w:szCs w:val="32"/>
        </w:rPr>
        <w:t>Results</w:t>
      </w:r>
    </w:p>
    <w:p w14:paraId="36B25CD4" w14:textId="77777777" w:rsidR="00FC638A" w:rsidRPr="003C5DEF" w:rsidRDefault="00FC638A" w:rsidP="00FC638A">
      <w:pPr>
        <w:spacing w:after="0" w:line="360" w:lineRule="auto"/>
        <w:jc w:val="both"/>
        <w:rPr>
          <w:rFonts w:ascii="Times New Roman Bold" w:hAnsi="Times New Roman Bold" w:cs="Times New Roman"/>
          <w:b/>
          <w:bCs/>
          <w:sz w:val="28"/>
          <w:szCs w:val="28"/>
        </w:rPr>
      </w:pPr>
      <w:r w:rsidRPr="003C5DEF">
        <w:rPr>
          <w:rFonts w:ascii="Times New Roman Bold" w:hAnsi="Times New Roman Bold" w:cs="Times New Roman"/>
          <w:b/>
          <w:bCs/>
          <w:sz w:val="28"/>
          <w:szCs w:val="28"/>
        </w:rPr>
        <w:t>3.1 Clinical Signs</w:t>
      </w:r>
    </w:p>
    <w:p w14:paraId="73A00FA6" w14:textId="77777777" w:rsidR="00FC638A" w:rsidRPr="00F25843" w:rsidRDefault="00FC638A" w:rsidP="00FC638A">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During the study period, there were no signs of mortality, obvious toxicity, or clinical symptoms related to treatment.</w:t>
      </w:r>
    </w:p>
    <w:p w14:paraId="5E853CF4" w14:textId="77777777" w:rsidR="00FC638A" w:rsidRDefault="00FC638A" w:rsidP="00FC638A">
      <w:pPr>
        <w:spacing w:after="0" w:line="360" w:lineRule="auto"/>
        <w:jc w:val="both"/>
        <w:rPr>
          <w:rFonts w:ascii="Times New Roman" w:hAnsi="Times New Roman" w:cs="Times New Roman"/>
          <w:b/>
          <w:bCs/>
          <w:sz w:val="24"/>
          <w:szCs w:val="24"/>
        </w:rPr>
      </w:pPr>
    </w:p>
    <w:p w14:paraId="38803AFA" w14:textId="77777777" w:rsidR="00FC638A" w:rsidRPr="003C5DEF" w:rsidRDefault="00FC638A" w:rsidP="00FC638A">
      <w:pPr>
        <w:spacing w:after="0" w:line="360" w:lineRule="auto"/>
        <w:jc w:val="both"/>
        <w:rPr>
          <w:rFonts w:ascii="Times New Roman Bold" w:hAnsi="Times New Roman Bold" w:cs="Times New Roman"/>
          <w:b/>
          <w:bCs/>
          <w:sz w:val="28"/>
          <w:szCs w:val="28"/>
        </w:rPr>
      </w:pPr>
      <w:r w:rsidRPr="003C5DEF">
        <w:rPr>
          <w:rFonts w:ascii="Times New Roman Bold" w:hAnsi="Times New Roman Bold" w:cs="Times New Roman"/>
          <w:b/>
          <w:bCs/>
          <w:sz w:val="28"/>
          <w:szCs w:val="28"/>
        </w:rPr>
        <w:t>3.2. Body weight and Food Consumption</w:t>
      </w:r>
    </w:p>
    <w:p w14:paraId="47C9AFED" w14:textId="43893718" w:rsidR="00FC638A" w:rsidRPr="00D95F7C" w:rsidRDefault="00FC638A" w:rsidP="00D95F7C">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The body weight trends over 28 days in rat given PMA (2, 4 and 8 mg/kg/day) contrasted with a corn oil control. The control group gained weight progressively, reaching ~300g by day 28, while PMA-treated groups exhibited dose-dependent weight suppression</w:t>
      </w:r>
      <w:r w:rsidR="005D1FA2">
        <w:rPr>
          <w:rFonts w:ascii="Times New Roman" w:hAnsi="Times New Roman" w:cs="Times New Roman"/>
          <w:sz w:val="24"/>
          <w:szCs w:val="24"/>
        </w:rPr>
        <w:t xml:space="preserve"> (Table </w:t>
      </w:r>
      <w:r w:rsidR="000C1010">
        <w:rPr>
          <w:rFonts w:ascii="Times New Roman" w:hAnsi="Times New Roman" w:cs="Times New Roman"/>
          <w:sz w:val="24"/>
          <w:szCs w:val="24"/>
        </w:rPr>
        <w:t>2</w:t>
      </w:r>
      <w:r w:rsidR="005D1FA2">
        <w:rPr>
          <w:rFonts w:ascii="Times New Roman" w:hAnsi="Times New Roman" w:cs="Times New Roman"/>
          <w:sz w:val="24"/>
          <w:szCs w:val="24"/>
        </w:rPr>
        <w:t>)</w:t>
      </w:r>
      <w:r w:rsidRPr="00F25843">
        <w:rPr>
          <w:rFonts w:ascii="Times New Roman" w:hAnsi="Times New Roman" w:cs="Times New Roman"/>
          <w:sz w:val="24"/>
          <w:szCs w:val="24"/>
        </w:rPr>
        <w:t xml:space="preserve">. The low-dose group had insignificant reduction, whereas the medium and high-dose groups showed significantly greater attenuation, with the highest dose causing the most noticeable effect. These results indicate that PMA distinctly inhibits weight gain in a dose-dependent manner, suggesting potential metabolic or growth-related impacts with prolonged exposure. Food consumption significantly decreased in a dose-dependent manner in PMA-treated groups compared to the vehicle control. </w:t>
      </w:r>
      <w:r w:rsidR="00853766">
        <w:rPr>
          <w:rFonts w:ascii="Times New Roman" w:hAnsi="Times New Roman" w:cs="Times New Roman"/>
          <w:sz w:val="24"/>
          <w:szCs w:val="24"/>
        </w:rPr>
        <w:t xml:space="preserve">(Figure </w:t>
      </w:r>
      <w:r w:rsidR="000C1010">
        <w:rPr>
          <w:rFonts w:ascii="Times New Roman" w:hAnsi="Times New Roman" w:cs="Times New Roman"/>
          <w:sz w:val="24"/>
          <w:szCs w:val="24"/>
        </w:rPr>
        <w:t>3</w:t>
      </w:r>
      <w:r w:rsidR="00853766">
        <w:rPr>
          <w:rFonts w:ascii="Times New Roman" w:hAnsi="Times New Roman" w:cs="Times New Roman"/>
          <w:sz w:val="24"/>
          <w:szCs w:val="24"/>
        </w:rPr>
        <w:t xml:space="preserve"> &amp; </w:t>
      </w:r>
      <w:r w:rsidR="000C1010">
        <w:rPr>
          <w:rFonts w:ascii="Times New Roman" w:hAnsi="Times New Roman" w:cs="Times New Roman"/>
          <w:sz w:val="24"/>
          <w:szCs w:val="24"/>
        </w:rPr>
        <w:t>4</w:t>
      </w:r>
      <w:r w:rsidR="00853766">
        <w:rPr>
          <w:rFonts w:ascii="Times New Roman" w:hAnsi="Times New Roman" w:cs="Times New Roman"/>
          <w:sz w:val="24"/>
          <w:szCs w:val="24"/>
        </w:rPr>
        <w:t xml:space="preserve">) </w:t>
      </w:r>
      <w:r w:rsidRPr="00F25843">
        <w:rPr>
          <w:rFonts w:ascii="Times New Roman" w:hAnsi="Times New Roman" w:cs="Times New Roman"/>
          <w:sz w:val="24"/>
          <w:szCs w:val="24"/>
        </w:rPr>
        <w:t>The high-dose (8 mg/kg/day) group showed the most substantial reduction (p &lt; 0.0001) from Day 7 onward, with a consistent decline over time. While the control group’s intake remained stable, medium and low doses also exhibited significant reductions, particularly at later time points. These findings suggest PMA affects food intake, likely due to metabolic or physiological stress</w:t>
      </w:r>
      <w:r w:rsidR="005D1FA2">
        <w:rPr>
          <w:rFonts w:ascii="Times New Roman" w:hAnsi="Times New Roman" w:cs="Times New Roman"/>
          <w:sz w:val="24"/>
          <w:szCs w:val="24"/>
        </w:rPr>
        <w:t xml:space="preserve"> (Table </w:t>
      </w:r>
      <w:r w:rsidR="000C1010">
        <w:rPr>
          <w:rFonts w:ascii="Times New Roman" w:hAnsi="Times New Roman" w:cs="Times New Roman"/>
          <w:sz w:val="24"/>
          <w:szCs w:val="24"/>
        </w:rPr>
        <w:t>1</w:t>
      </w:r>
      <w:r w:rsidR="005D1FA2">
        <w:rPr>
          <w:rFonts w:ascii="Times New Roman" w:hAnsi="Times New Roman" w:cs="Times New Roman"/>
          <w:sz w:val="24"/>
          <w:szCs w:val="24"/>
        </w:rPr>
        <w:t>)</w:t>
      </w:r>
      <w:r w:rsidRPr="00F25843">
        <w:rPr>
          <w:rFonts w:ascii="Times New Roman" w:hAnsi="Times New Roman" w:cs="Times New Roman"/>
          <w:sz w:val="24"/>
          <w:szCs w:val="24"/>
        </w:rPr>
        <w:t>.</w:t>
      </w:r>
    </w:p>
    <w:p w14:paraId="1F6EE687" w14:textId="77777777" w:rsidR="00FC638A" w:rsidRPr="00B64638" w:rsidRDefault="00FC638A" w:rsidP="00FC638A">
      <w:pPr>
        <w:spacing w:after="0" w:line="360" w:lineRule="auto"/>
        <w:rPr>
          <w:rFonts w:ascii="Times New Roman Bold" w:hAnsi="Times New Roman Bold" w:cs="Times New Roman"/>
          <w:sz w:val="28"/>
          <w:szCs w:val="28"/>
        </w:rPr>
      </w:pPr>
      <w:r w:rsidRPr="00B64638">
        <w:rPr>
          <w:rFonts w:ascii="Times New Roman Bold" w:hAnsi="Times New Roman Bold" w:cs="Times New Roman"/>
          <w:b/>
          <w:bCs/>
          <w:sz w:val="28"/>
          <w:szCs w:val="28"/>
        </w:rPr>
        <w:lastRenderedPageBreak/>
        <w:t>3.3</w:t>
      </w:r>
      <w:r w:rsidRPr="00B64638">
        <w:rPr>
          <w:rFonts w:ascii="Times New Roman Bold" w:hAnsi="Times New Roman Bold" w:cs="Times New Roman"/>
          <w:b/>
          <w:bCs/>
          <w:sz w:val="28"/>
          <w:szCs w:val="28"/>
        </w:rPr>
        <w:tab/>
        <w:t>Hematology Parameters</w:t>
      </w:r>
    </w:p>
    <w:p w14:paraId="7C8E81D6" w14:textId="77777777" w:rsidR="00FC638A" w:rsidRDefault="00FC638A" w:rsidP="00FC63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F25843">
        <w:rPr>
          <w:rFonts w:ascii="Times New Roman" w:hAnsi="Times New Roman" w:cs="Times New Roman"/>
          <w:sz w:val="24"/>
          <w:szCs w:val="24"/>
        </w:rPr>
        <w:t>Haematological</w:t>
      </w:r>
      <w:proofErr w:type="spellEnd"/>
      <w:r w:rsidRPr="00F25843">
        <w:rPr>
          <w:rFonts w:ascii="Times New Roman" w:hAnsi="Times New Roman" w:cs="Times New Roman"/>
          <w:sz w:val="24"/>
          <w:szCs w:val="24"/>
        </w:rPr>
        <w:t xml:space="preserve"> study assessed PMA-induced </w:t>
      </w:r>
      <w:proofErr w:type="spellStart"/>
      <w:r w:rsidRPr="00F25843">
        <w:rPr>
          <w:rFonts w:ascii="Times New Roman" w:hAnsi="Times New Roman" w:cs="Times New Roman"/>
          <w:sz w:val="24"/>
          <w:szCs w:val="24"/>
        </w:rPr>
        <w:t>haematological</w:t>
      </w:r>
      <w:proofErr w:type="spellEnd"/>
      <w:r w:rsidRPr="00F25843">
        <w:rPr>
          <w:rFonts w:ascii="Times New Roman" w:hAnsi="Times New Roman" w:cs="Times New Roman"/>
          <w:sz w:val="24"/>
          <w:szCs w:val="24"/>
        </w:rPr>
        <w:t xml:space="preserve"> changes using two-way ANOVA, comparing doses (2, 4 and 8 mg/kg/day) and treatment duration against a vehicle control. Significant reductions in WBC count and </w:t>
      </w:r>
      <w:proofErr w:type="spellStart"/>
      <w:r w:rsidRPr="00F25843">
        <w:rPr>
          <w:rFonts w:ascii="Times New Roman" w:hAnsi="Times New Roman" w:cs="Times New Roman"/>
          <w:sz w:val="24"/>
          <w:szCs w:val="24"/>
        </w:rPr>
        <w:t>haemoglobin</w:t>
      </w:r>
      <w:proofErr w:type="spellEnd"/>
      <w:r w:rsidRPr="00F25843">
        <w:rPr>
          <w:rFonts w:ascii="Times New Roman" w:hAnsi="Times New Roman" w:cs="Times New Roman"/>
          <w:sz w:val="24"/>
          <w:szCs w:val="24"/>
        </w:rPr>
        <w:t xml:space="preserve"> levels (mean decrease: 1.5 g/dL, 95% CI: 1.2–1.8) were observed at 8 mg/kg/day, while lower doses had no significant effects. A dose-response trend confirmed progressive </w:t>
      </w:r>
      <w:proofErr w:type="spellStart"/>
      <w:r w:rsidRPr="00F25843">
        <w:rPr>
          <w:rFonts w:ascii="Times New Roman" w:hAnsi="Times New Roman" w:cs="Times New Roman"/>
          <w:sz w:val="24"/>
          <w:szCs w:val="24"/>
        </w:rPr>
        <w:t>haematological</w:t>
      </w:r>
      <w:proofErr w:type="spellEnd"/>
      <w:r w:rsidRPr="00F25843">
        <w:rPr>
          <w:rFonts w:ascii="Times New Roman" w:hAnsi="Times New Roman" w:cs="Times New Roman"/>
          <w:sz w:val="24"/>
          <w:szCs w:val="24"/>
        </w:rPr>
        <w:t xml:space="preserve"> alterations. The vehicle control showed no interference, ensuring healthy comparisons. Other </w:t>
      </w:r>
      <w:proofErr w:type="spellStart"/>
      <w:r w:rsidRPr="00F25843">
        <w:rPr>
          <w:rFonts w:ascii="Times New Roman" w:hAnsi="Times New Roman" w:cs="Times New Roman"/>
          <w:sz w:val="24"/>
          <w:szCs w:val="24"/>
        </w:rPr>
        <w:t>haematological</w:t>
      </w:r>
      <w:proofErr w:type="spellEnd"/>
      <w:r w:rsidRPr="00F25843">
        <w:rPr>
          <w:rFonts w:ascii="Times New Roman" w:hAnsi="Times New Roman" w:cs="Times New Roman"/>
          <w:sz w:val="24"/>
          <w:szCs w:val="24"/>
        </w:rPr>
        <w:t xml:space="preserve"> parameters, including platelet count and RBC indices, showed no significant changes across all treated rats with vehicle control</w:t>
      </w:r>
      <w:r w:rsidR="005D1FA2">
        <w:rPr>
          <w:rFonts w:ascii="Times New Roman" w:hAnsi="Times New Roman" w:cs="Times New Roman"/>
          <w:sz w:val="24"/>
          <w:szCs w:val="24"/>
        </w:rPr>
        <w:t xml:space="preserve"> (Table </w:t>
      </w:r>
      <w:r w:rsidR="000C1010">
        <w:rPr>
          <w:rFonts w:ascii="Times New Roman" w:hAnsi="Times New Roman" w:cs="Times New Roman"/>
          <w:sz w:val="24"/>
          <w:szCs w:val="24"/>
        </w:rPr>
        <w:t>3</w:t>
      </w:r>
      <w:r w:rsidR="00BE320E">
        <w:rPr>
          <w:rFonts w:ascii="Times New Roman" w:hAnsi="Times New Roman" w:cs="Times New Roman"/>
          <w:sz w:val="24"/>
          <w:szCs w:val="24"/>
        </w:rPr>
        <w:t xml:space="preserve"> &amp; Figure </w:t>
      </w:r>
      <w:r w:rsidR="000C1010">
        <w:rPr>
          <w:rFonts w:ascii="Times New Roman" w:hAnsi="Times New Roman" w:cs="Times New Roman"/>
          <w:sz w:val="24"/>
          <w:szCs w:val="24"/>
        </w:rPr>
        <w:t>5</w:t>
      </w:r>
      <w:r w:rsidR="005D1FA2">
        <w:rPr>
          <w:rFonts w:ascii="Times New Roman" w:hAnsi="Times New Roman" w:cs="Times New Roman"/>
          <w:sz w:val="24"/>
          <w:szCs w:val="24"/>
        </w:rPr>
        <w:t>)</w:t>
      </w:r>
      <w:r w:rsidRPr="00F25843">
        <w:rPr>
          <w:rFonts w:ascii="Times New Roman" w:hAnsi="Times New Roman" w:cs="Times New Roman"/>
          <w:sz w:val="24"/>
          <w:szCs w:val="24"/>
        </w:rPr>
        <w:t>.</w:t>
      </w:r>
    </w:p>
    <w:p w14:paraId="6C1F191E" w14:textId="77777777" w:rsidR="000C1010" w:rsidRPr="00F25843" w:rsidRDefault="000C1010" w:rsidP="00FC638A">
      <w:pPr>
        <w:spacing w:after="0" w:line="360" w:lineRule="auto"/>
        <w:jc w:val="both"/>
        <w:rPr>
          <w:rFonts w:ascii="Times New Roman" w:hAnsi="Times New Roman" w:cs="Times New Roman"/>
          <w:sz w:val="24"/>
          <w:szCs w:val="24"/>
        </w:rPr>
      </w:pPr>
    </w:p>
    <w:p w14:paraId="001374A3" w14:textId="77777777" w:rsidR="00FC638A" w:rsidRPr="00B64638" w:rsidRDefault="00FC638A" w:rsidP="00FC638A">
      <w:pPr>
        <w:spacing w:after="0" w:line="360" w:lineRule="auto"/>
        <w:jc w:val="both"/>
        <w:rPr>
          <w:rFonts w:ascii="Times New Roman Bold" w:hAnsi="Times New Roman Bold" w:cs="Times New Roman"/>
          <w:b/>
          <w:bCs/>
          <w:sz w:val="28"/>
          <w:szCs w:val="28"/>
        </w:rPr>
      </w:pPr>
      <w:r w:rsidRPr="00B64638">
        <w:rPr>
          <w:rFonts w:ascii="Times New Roman Bold" w:hAnsi="Times New Roman Bold" w:cs="Times New Roman"/>
          <w:b/>
          <w:bCs/>
          <w:sz w:val="28"/>
          <w:szCs w:val="28"/>
        </w:rPr>
        <w:t>3.4</w:t>
      </w:r>
      <w:r>
        <w:rPr>
          <w:rFonts w:ascii="Times New Roman Bold" w:hAnsi="Times New Roman Bold" w:cs="Times New Roman"/>
          <w:b/>
          <w:bCs/>
          <w:sz w:val="28"/>
          <w:szCs w:val="28"/>
        </w:rPr>
        <w:tab/>
      </w:r>
      <w:r w:rsidRPr="00B64638">
        <w:rPr>
          <w:rFonts w:ascii="Times New Roman Bold" w:hAnsi="Times New Roman Bold" w:cs="Times New Roman"/>
          <w:b/>
          <w:bCs/>
          <w:sz w:val="28"/>
          <w:szCs w:val="28"/>
        </w:rPr>
        <w:t>Clinical Biochemistry</w:t>
      </w:r>
    </w:p>
    <w:p w14:paraId="056E3183" w14:textId="77777777" w:rsidR="00FC638A" w:rsidRDefault="00FC638A" w:rsidP="00FC638A">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 xml:space="preserve">The two-way ANOVA with Tukey’s post-hoc test revealed statistically significant differences (α = 0.05) across vital biochemical parameters. Total cholesterol was significantly lower in the vehicle control group compared to all treatment doses: versus low dose (mean diff. = -46.66 mg%, </w:t>
      </w:r>
      <w:r w:rsidRPr="00F25843">
        <w:rPr>
          <w:rFonts w:ascii="Times New Roman" w:hAnsi="Times New Roman" w:cs="Times New Roman"/>
          <w:i/>
          <w:iCs/>
          <w:sz w:val="24"/>
          <w:szCs w:val="24"/>
        </w:rPr>
        <w:t>p</w:t>
      </w:r>
      <w:r w:rsidRPr="00F25843">
        <w:rPr>
          <w:rFonts w:ascii="Times New Roman" w:hAnsi="Times New Roman" w:cs="Times New Roman"/>
          <w:sz w:val="24"/>
          <w:szCs w:val="24"/>
        </w:rPr>
        <w:t xml:space="preserve">&lt; 0.0001), medium dose (-29.50 mg%, </w:t>
      </w:r>
      <w:r w:rsidRPr="00F25843">
        <w:rPr>
          <w:rFonts w:ascii="Times New Roman" w:hAnsi="Times New Roman" w:cs="Times New Roman"/>
          <w:i/>
          <w:iCs/>
          <w:sz w:val="24"/>
          <w:szCs w:val="24"/>
        </w:rPr>
        <w:t>p</w:t>
      </w:r>
      <w:r w:rsidRPr="00F25843">
        <w:rPr>
          <w:rFonts w:ascii="Times New Roman" w:hAnsi="Times New Roman" w:cs="Times New Roman"/>
          <w:sz w:val="24"/>
          <w:szCs w:val="24"/>
        </w:rPr>
        <w:t xml:space="preserve"> = 0.0448), and high dose (-38.50 mg%, </w:t>
      </w:r>
      <w:r w:rsidRPr="00F25843">
        <w:rPr>
          <w:rFonts w:ascii="Times New Roman" w:hAnsi="Times New Roman" w:cs="Times New Roman"/>
          <w:i/>
          <w:iCs/>
          <w:sz w:val="24"/>
          <w:szCs w:val="24"/>
        </w:rPr>
        <w:t>p</w:t>
      </w:r>
      <w:r w:rsidRPr="00F25843">
        <w:rPr>
          <w:rFonts w:ascii="Times New Roman" w:hAnsi="Times New Roman" w:cs="Times New Roman"/>
          <w:sz w:val="24"/>
          <w:szCs w:val="24"/>
        </w:rPr>
        <w:t xml:space="preserve"> = 0.0005). On the other hand, total protein, total bilirubin, direct bilirubin, indirect bilirubin, and serum creatinine levels were markedly higher in treatment groups versus vehicle control (all mean differences ≈ +76 to +83 units, </w:t>
      </w:r>
      <w:r w:rsidRPr="00F25843">
        <w:rPr>
          <w:rFonts w:ascii="Times New Roman" w:hAnsi="Times New Roman" w:cs="Times New Roman"/>
          <w:i/>
          <w:iCs/>
          <w:sz w:val="24"/>
          <w:szCs w:val="24"/>
        </w:rPr>
        <w:t>p</w:t>
      </w:r>
      <w:r w:rsidRPr="00F25843">
        <w:rPr>
          <w:rFonts w:ascii="Times New Roman" w:hAnsi="Times New Roman" w:cs="Times New Roman"/>
          <w:sz w:val="24"/>
          <w:szCs w:val="24"/>
        </w:rPr>
        <w:t xml:space="preserve">&lt; 0.0001), indicating reflective dose-independent increases. Blood urea levels in the vehicle control were significantly higher than in all treatment groups. Most parameters showed no significant differences between the dose groups, with the exception of total cholesterol (medium vs. high dose: -9.84 mg%, </w:t>
      </w:r>
      <w:r w:rsidRPr="00F25843">
        <w:rPr>
          <w:rFonts w:ascii="Times New Roman" w:hAnsi="Times New Roman" w:cs="Times New Roman"/>
          <w:i/>
          <w:iCs/>
          <w:sz w:val="24"/>
          <w:szCs w:val="24"/>
        </w:rPr>
        <w:t>p</w:t>
      </w:r>
      <w:r w:rsidRPr="00F25843">
        <w:rPr>
          <w:rFonts w:ascii="Times New Roman" w:hAnsi="Times New Roman" w:cs="Times New Roman"/>
          <w:sz w:val="24"/>
          <w:szCs w:val="24"/>
        </w:rPr>
        <w:t xml:space="preserve"> = 0.0124). These results highlight IBP’s pronounced effects on lipid metabolism, protein synthesis, and renal markers</w:t>
      </w:r>
      <w:r w:rsidR="005D1FA2">
        <w:rPr>
          <w:rFonts w:ascii="Times New Roman" w:hAnsi="Times New Roman" w:cs="Times New Roman"/>
          <w:sz w:val="24"/>
          <w:szCs w:val="24"/>
        </w:rPr>
        <w:t xml:space="preserve"> (Table </w:t>
      </w:r>
      <w:r w:rsidR="004B5830">
        <w:rPr>
          <w:rFonts w:ascii="Times New Roman" w:hAnsi="Times New Roman" w:cs="Times New Roman"/>
          <w:sz w:val="24"/>
          <w:szCs w:val="24"/>
        </w:rPr>
        <w:t>4</w:t>
      </w:r>
      <w:r w:rsidR="00BE320E">
        <w:rPr>
          <w:rFonts w:ascii="Times New Roman" w:hAnsi="Times New Roman" w:cs="Times New Roman"/>
          <w:sz w:val="24"/>
          <w:szCs w:val="24"/>
        </w:rPr>
        <w:t xml:space="preserve"> &amp; Figure </w:t>
      </w:r>
      <w:r w:rsidR="004B5830">
        <w:rPr>
          <w:rFonts w:ascii="Times New Roman" w:hAnsi="Times New Roman" w:cs="Times New Roman"/>
          <w:sz w:val="24"/>
          <w:szCs w:val="24"/>
        </w:rPr>
        <w:t>6</w:t>
      </w:r>
      <w:r w:rsidR="00BE320E">
        <w:rPr>
          <w:rFonts w:ascii="Times New Roman" w:hAnsi="Times New Roman" w:cs="Times New Roman"/>
          <w:sz w:val="24"/>
          <w:szCs w:val="24"/>
        </w:rPr>
        <w:t>)</w:t>
      </w:r>
      <w:r w:rsidRPr="00F25843">
        <w:rPr>
          <w:rFonts w:ascii="Times New Roman" w:hAnsi="Times New Roman" w:cs="Times New Roman"/>
          <w:sz w:val="24"/>
          <w:szCs w:val="24"/>
        </w:rPr>
        <w:t>.</w:t>
      </w:r>
    </w:p>
    <w:p w14:paraId="680BB772" w14:textId="77777777" w:rsidR="00FC638A" w:rsidRDefault="00FC638A" w:rsidP="00BE320E">
      <w:pPr>
        <w:spacing w:after="0" w:line="240" w:lineRule="auto"/>
        <w:jc w:val="both"/>
        <w:rPr>
          <w:rFonts w:ascii="Times New Roman" w:hAnsi="Times New Roman" w:cs="Times New Roman"/>
          <w:b/>
          <w:bCs/>
          <w:sz w:val="24"/>
          <w:szCs w:val="24"/>
        </w:rPr>
      </w:pPr>
    </w:p>
    <w:p w14:paraId="24898FA5" w14:textId="77777777" w:rsidR="00FC638A" w:rsidRPr="00B64638" w:rsidRDefault="00FC638A" w:rsidP="00FC638A">
      <w:pPr>
        <w:spacing w:after="0" w:line="360" w:lineRule="auto"/>
        <w:jc w:val="both"/>
        <w:rPr>
          <w:rFonts w:ascii="Times New Roman Bold" w:hAnsi="Times New Roman Bold" w:cs="Times New Roman"/>
          <w:b/>
          <w:bCs/>
          <w:sz w:val="28"/>
          <w:szCs w:val="28"/>
        </w:rPr>
      </w:pPr>
      <w:r w:rsidRPr="00B64638">
        <w:rPr>
          <w:rFonts w:ascii="Times New Roman Bold" w:hAnsi="Times New Roman Bold" w:cs="Times New Roman"/>
          <w:b/>
          <w:bCs/>
          <w:sz w:val="28"/>
          <w:szCs w:val="28"/>
        </w:rPr>
        <w:t>3.5</w:t>
      </w:r>
      <w:r>
        <w:rPr>
          <w:rFonts w:ascii="Times New Roman Bold" w:hAnsi="Times New Roman Bold" w:cs="Times New Roman"/>
          <w:b/>
          <w:bCs/>
          <w:sz w:val="28"/>
          <w:szCs w:val="28"/>
        </w:rPr>
        <w:tab/>
      </w:r>
      <w:r w:rsidRPr="00B64638">
        <w:rPr>
          <w:rFonts w:ascii="Times New Roman Bold" w:hAnsi="Times New Roman Bold" w:cs="Times New Roman"/>
          <w:b/>
          <w:bCs/>
          <w:sz w:val="28"/>
          <w:szCs w:val="28"/>
        </w:rPr>
        <w:t xml:space="preserve">Sperm Analysis </w:t>
      </w:r>
    </w:p>
    <w:p w14:paraId="4C5870C0" w14:textId="77777777" w:rsidR="00FC638A" w:rsidRDefault="00FC638A" w:rsidP="00FC638A">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 xml:space="preserve">The CASA-based sperm analysis results show that as the treatment dose increased, sperm movement and shape got worse compared to the vehicle control group. The vehicle control group exhibited the highest total motility (86.3%) and progressive motility (73.4%), reflecting optimal sperm movement and fertilization potential. However, as the treatment dose increased, a progressive decline in these parameters was observed. The low-dose group showed a mild reduction in total </w:t>
      </w:r>
      <w:r w:rsidRPr="00F25843">
        <w:rPr>
          <w:rFonts w:ascii="Times New Roman" w:hAnsi="Times New Roman" w:cs="Times New Roman"/>
          <w:sz w:val="24"/>
          <w:szCs w:val="24"/>
        </w:rPr>
        <w:lastRenderedPageBreak/>
        <w:t>motility (77.8%) and progressive motility (63.4%), suggesting an early impact on sperm function. The medium-dose group showed a bigger drop in motile sperm (66.6%) and progressive motility (51.3), indicating a moderate problem with sperm function. The high-dose group had the biggest drop, with total motility falling to 43.8% and progressive motility going down to 38.6%, indicating serious problems with sperm movement that could harm fertility.</w:t>
      </w:r>
      <w:r w:rsidR="00853766">
        <w:rPr>
          <w:rFonts w:ascii="Times New Roman" w:hAnsi="Times New Roman" w:cs="Times New Roman"/>
          <w:sz w:val="24"/>
          <w:szCs w:val="24"/>
        </w:rPr>
        <w:t xml:space="preserve"> (Figure </w:t>
      </w:r>
      <w:r w:rsidR="004B5830">
        <w:rPr>
          <w:rFonts w:ascii="Times New Roman" w:hAnsi="Times New Roman" w:cs="Times New Roman"/>
          <w:sz w:val="24"/>
          <w:szCs w:val="24"/>
        </w:rPr>
        <w:t>7</w:t>
      </w:r>
      <w:r w:rsidR="00853766">
        <w:rPr>
          <w:rFonts w:ascii="Times New Roman" w:hAnsi="Times New Roman" w:cs="Times New Roman"/>
          <w:sz w:val="24"/>
          <w:szCs w:val="24"/>
        </w:rPr>
        <w:t xml:space="preserve"> &amp; </w:t>
      </w:r>
      <w:r w:rsidR="004B5830">
        <w:rPr>
          <w:rFonts w:ascii="Times New Roman" w:hAnsi="Times New Roman" w:cs="Times New Roman"/>
          <w:sz w:val="24"/>
          <w:szCs w:val="24"/>
        </w:rPr>
        <w:t>8</w:t>
      </w:r>
      <w:r w:rsidR="00853766">
        <w:rPr>
          <w:rFonts w:ascii="Times New Roman" w:hAnsi="Times New Roman" w:cs="Times New Roman"/>
          <w:sz w:val="24"/>
          <w:szCs w:val="24"/>
        </w:rPr>
        <w:t>)</w:t>
      </w:r>
    </w:p>
    <w:p w14:paraId="77EA5E59" w14:textId="77777777" w:rsidR="00FC638A" w:rsidRPr="00F25843" w:rsidRDefault="00FC638A" w:rsidP="00BE320E">
      <w:pPr>
        <w:spacing w:after="0" w:line="240" w:lineRule="auto"/>
        <w:ind w:firstLine="720"/>
        <w:jc w:val="both"/>
        <w:rPr>
          <w:rFonts w:ascii="Times New Roman" w:hAnsi="Times New Roman" w:cs="Times New Roman"/>
          <w:sz w:val="24"/>
          <w:szCs w:val="24"/>
        </w:rPr>
      </w:pPr>
    </w:p>
    <w:p w14:paraId="75326C0C" w14:textId="77777777" w:rsidR="00FC638A" w:rsidRDefault="00FC638A" w:rsidP="00FC63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There was also a dose-dependent effect on sperm morphology. The vehicle control group had the fewest problems (8.3%) and the most normal sperm (94%). The low-dose group, on the other hand, saw a little drop in normal sperm (86%) and a rise in aberrant sperm (16.5%). In the medium-dose group, the percentage of normal sperm dropped to 75.8%, while the percentage of abnormal sperm rose to 22.4%. This difference shows that the effect was stronger. The high-dosage group had the most severe morphological problems. Defective sperm rose to 33.8%, while normal sperm fell to 62.4%. This finding suggests that the high dose might have detrimental consequences on sperm production. These data suggest that higher doses of therapy may lower male fertility by making sperm less healthy.</w:t>
      </w:r>
    </w:p>
    <w:p w14:paraId="18BB3045" w14:textId="77777777" w:rsidR="008D3AF7" w:rsidRDefault="008D3AF7" w:rsidP="00FC638A">
      <w:pPr>
        <w:spacing w:after="0" w:line="360" w:lineRule="auto"/>
        <w:jc w:val="both"/>
        <w:rPr>
          <w:rFonts w:ascii="Times New Roman Bold" w:hAnsi="Times New Roman Bold" w:cs="Times New Roman"/>
          <w:b/>
          <w:bCs/>
          <w:sz w:val="28"/>
          <w:szCs w:val="28"/>
        </w:rPr>
      </w:pPr>
    </w:p>
    <w:p w14:paraId="60377A04" w14:textId="77777777" w:rsidR="00FC638A" w:rsidRPr="00B64638" w:rsidRDefault="00FC638A" w:rsidP="00FC638A">
      <w:pPr>
        <w:spacing w:after="0" w:line="360" w:lineRule="auto"/>
        <w:jc w:val="both"/>
        <w:rPr>
          <w:rFonts w:ascii="Times New Roman Bold" w:hAnsi="Times New Roman Bold" w:cs="Times New Roman"/>
          <w:b/>
          <w:bCs/>
          <w:sz w:val="28"/>
          <w:szCs w:val="28"/>
        </w:rPr>
      </w:pPr>
      <w:r w:rsidRPr="00B64638">
        <w:rPr>
          <w:rFonts w:ascii="Times New Roman Bold" w:hAnsi="Times New Roman Bold" w:cs="Times New Roman"/>
          <w:b/>
          <w:bCs/>
          <w:sz w:val="28"/>
          <w:szCs w:val="28"/>
        </w:rPr>
        <w:t>3.6</w:t>
      </w:r>
      <w:r>
        <w:rPr>
          <w:rFonts w:ascii="Times New Roman Bold" w:hAnsi="Times New Roman Bold" w:cs="Times New Roman"/>
          <w:b/>
          <w:bCs/>
          <w:sz w:val="28"/>
          <w:szCs w:val="28"/>
        </w:rPr>
        <w:tab/>
      </w:r>
      <w:r w:rsidRPr="00B64638">
        <w:rPr>
          <w:rFonts w:ascii="Times New Roman Bold" w:hAnsi="Times New Roman Bold" w:cs="Times New Roman"/>
          <w:b/>
          <w:bCs/>
          <w:sz w:val="28"/>
          <w:szCs w:val="28"/>
        </w:rPr>
        <w:t xml:space="preserve">Mating </w:t>
      </w:r>
      <w:proofErr w:type="spellStart"/>
      <w:r w:rsidRPr="00B64638">
        <w:rPr>
          <w:rFonts w:ascii="Times New Roman Bold" w:hAnsi="Times New Roman Bold" w:cs="Times New Roman"/>
          <w:b/>
          <w:bCs/>
          <w:sz w:val="28"/>
          <w:szCs w:val="28"/>
        </w:rPr>
        <w:t>Behaviour</w:t>
      </w:r>
      <w:proofErr w:type="spellEnd"/>
    </w:p>
    <w:p w14:paraId="4B50D913" w14:textId="77777777" w:rsidR="00FC638A" w:rsidRDefault="00FC638A" w:rsidP="00FC63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PMA exposure altered sexual behavior, with reduced mounting frequency and increased latency periods. These </w:t>
      </w:r>
      <w:proofErr w:type="spellStart"/>
      <w:r w:rsidRPr="00F25843">
        <w:rPr>
          <w:rFonts w:ascii="Times New Roman" w:hAnsi="Times New Roman" w:cs="Times New Roman"/>
          <w:sz w:val="24"/>
          <w:szCs w:val="24"/>
        </w:rPr>
        <w:t>behavioural</w:t>
      </w:r>
      <w:proofErr w:type="spellEnd"/>
      <w:r w:rsidRPr="00F25843">
        <w:rPr>
          <w:rFonts w:ascii="Times New Roman" w:hAnsi="Times New Roman" w:cs="Times New Roman"/>
          <w:sz w:val="24"/>
          <w:szCs w:val="24"/>
        </w:rPr>
        <w:t xml:space="preserve"> changes likely stem from the observed decline in testosterone levels, which play a crucial role in regulating male sexual function</w:t>
      </w:r>
      <w:r w:rsidR="005D1FA2">
        <w:rPr>
          <w:rFonts w:ascii="Times New Roman" w:hAnsi="Times New Roman" w:cs="Times New Roman"/>
          <w:sz w:val="24"/>
          <w:szCs w:val="24"/>
        </w:rPr>
        <w:t xml:space="preserve"> (Table </w:t>
      </w:r>
      <w:r w:rsidR="00891AAF">
        <w:rPr>
          <w:rFonts w:ascii="Times New Roman" w:hAnsi="Times New Roman" w:cs="Times New Roman"/>
          <w:sz w:val="24"/>
          <w:szCs w:val="24"/>
        </w:rPr>
        <w:t>5,6</w:t>
      </w:r>
      <w:r w:rsidR="004B5830">
        <w:rPr>
          <w:rFonts w:ascii="Times New Roman" w:hAnsi="Times New Roman" w:cs="Times New Roman"/>
          <w:sz w:val="24"/>
          <w:szCs w:val="24"/>
        </w:rPr>
        <w:t xml:space="preserve"> </w:t>
      </w:r>
      <w:r w:rsidR="008334D1">
        <w:rPr>
          <w:rFonts w:ascii="Times New Roman" w:hAnsi="Times New Roman" w:cs="Times New Roman"/>
          <w:sz w:val="24"/>
          <w:szCs w:val="24"/>
        </w:rPr>
        <w:t>&amp;</w:t>
      </w:r>
      <w:r w:rsidR="00891AAF">
        <w:rPr>
          <w:rFonts w:ascii="Times New Roman" w:hAnsi="Times New Roman" w:cs="Times New Roman"/>
          <w:sz w:val="24"/>
          <w:szCs w:val="24"/>
        </w:rPr>
        <w:t xml:space="preserve"> 7</w:t>
      </w:r>
      <w:r w:rsidR="005D1FA2">
        <w:rPr>
          <w:rFonts w:ascii="Times New Roman" w:hAnsi="Times New Roman" w:cs="Times New Roman"/>
          <w:sz w:val="24"/>
          <w:szCs w:val="24"/>
        </w:rPr>
        <w:t>)</w:t>
      </w:r>
      <w:r w:rsidRPr="00F25843">
        <w:rPr>
          <w:rFonts w:ascii="Times New Roman" w:hAnsi="Times New Roman" w:cs="Times New Roman"/>
          <w:sz w:val="24"/>
          <w:szCs w:val="24"/>
        </w:rPr>
        <w:t>.</w:t>
      </w:r>
      <w:r w:rsidR="00891AAF">
        <w:rPr>
          <w:rFonts w:ascii="Times New Roman" w:hAnsi="Times New Roman" w:cs="Times New Roman"/>
          <w:sz w:val="24"/>
          <w:szCs w:val="24"/>
        </w:rPr>
        <w:t xml:space="preserve"> </w:t>
      </w:r>
    </w:p>
    <w:p w14:paraId="5B0BF679" w14:textId="77777777" w:rsidR="00FC638A" w:rsidRDefault="00FC638A" w:rsidP="00BE320E">
      <w:pPr>
        <w:spacing w:after="0" w:line="240" w:lineRule="auto"/>
        <w:jc w:val="both"/>
        <w:rPr>
          <w:rFonts w:ascii="Times New Roman" w:hAnsi="Times New Roman" w:cs="Times New Roman"/>
          <w:b/>
          <w:bCs/>
          <w:sz w:val="24"/>
          <w:szCs w:val="24"/>
        </w:rPr>
      </w:pPr>
    </w:p>
    <w:p w14:paraId="74FB6003" w14:textId="77777777" w:rsidR="00FC638A" w:rsidRPr="00B64638" w:rsidRDefault="00FC638A" w:rsidP="00FC638A">
      <w:pPr>
        <w:spacing w:after="0" w:line="360" w:lineRule="auto"/>
        <w:jc w:val="both"/>
        <w:rPr>
          <w:rFonts w:ascii="Times New Roman Bold" w:hAnsi="Times New Roman Bold" w:cs="Times New Roman"/>
          <w:sz w:val="28"/>
          <w:szCs w:val="28"/>
        </w:rPr>
      </w:pPr>
      <w:r w:rsidRPr="00B64638">
        <w:rPr>
          <w:rFonts w:ascii="Times New Roman Bold" w:hAnsi="Times New Roman Bold" w:cs="Times New Roman"/>
          <w:b/>
          <w:bCs/>
          <w:sz w:val="28"/>
          <w:szCs w:val="28"/>
        </w:rPr>
        <w:t>3.7</w:t>
      </w:r>
      <w:r>
        <w:rPr>
          <w:rFonts w:ascii="Times New Roman Bold" w:hAnsi="Times New Roman Bold" w:cs="Times New Roman"/>
          <w:b/>
          <w:bCs/>
          <w:sz w:val="28"/>
          <w:szCs w:val="28"/>
        </w:rPr>
        <w:tab/>
      </w:r>
      <w:r w:rsidRPr="00B64638">
        <w:rPr>
          <w:rFonts w:ascii="Times New Roman Bold" w:hAnsi="Times New Roman Bold" w:cs="Times New Roman"/>
          <w:b/>
          <w:bCs/>
          <w:sz w:val="28"/>
          <w:szCs w:val="28"/>
        </w:rPr>
        <w:t>Testosterone Assays</w:t>
      </w:r>
    </w:p>
    <w:p w14:paraId="6A9F4E0B" w14:textId="73134943" w:rsidR="00FC638A" w:rsidRDefault="00FC638A" w:rsidP="00FC63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Rats administered PMA at dosages of 2, 4, and 8 mg/kg/day exhibited elevated testosterone levels (ng/ml) in comparison to the vehicle control. The control group exhibited the highest testosterone levels (2.64 ± 0.95 ng/ml), which decreased with increasing dosage. The decrease at low dosage (1.13 ± 0.59 ng/ml) was not statistically significant (p &gt; 0.05). In comparison to the control group, the medium (0.95 ± 0.52 ng/ml, p = 0.0326) and high dosages (0.53 ± 0.41 ng/ml, p = 0.0447) demonstrated significant reductions. These findings suggest that increased dosages of PMA may diminish testosterone production, potentially impacting endocrine system functionality. This pattern indicates that administering larger doses of PMA to </w:t>
      </w:r>
      <w:r w:rsidRPr="00F25843">
        <w:rPr>
          <w:rFonts w:ascii="Times New Roman" w:hAnsi="Times New Roman" w:cs="Times New Roman"/>
          <w:sz w:val="24"/>
          <w:szCs w:val="24"/>
        </w:rPr>
        <w:lastRenderedPageBreak/>
        <w:t xml:space="preserve">experimental animals more effectively inhibits testosterone production. The data indicate that PMA, particularly at moderate and elevated dosages, may influence the synthesis or secretion of testosterone. This modification may occur via the hypothalamic-pituitary-gonadal axis or through direct effects on the testes. These findings are significant for elucidating the impact of PMA on hormones at varying </w:t>
      </w:r>
      <w:r w:rsidRPr="00707AB2">
        <w:rPr>
          <w:rFonts w:ascii="Times New Roman" w:hAnsi="Times New Roman" w:cs="Times New Roman"/>
          <w:sz w:val="24"/>
          <w:szCs w:val="24"/>
        </w:rPr>
        <w:t>dosages</w:t>
      </w:r>
      <w:r w:rsidR="005D1FA2" w:rsidRPr="00707AB2">
        <w:rPr>
          <w:rFonts w:ascii="Times New Roman" w:hAnsi="Times New Roman" w:cs="Times New Roman"/>
          <w:sz w:val="24"/>
          <w:szCs w:val="24"/>
        </w:rPr>
        <w:t xml:space="preserve"> (Table </w:t>
      </w:r>
      <w:r w:rsidR="00D26489">
        <w:rPr>
          <w:rFonts w:ascii="Times New Roman" w:hAnsi="Times New Roman" w:cs="Times New Roman"/>
          <w:sz w:val="24"/>
          <w:szCs w:val="24"/>
        </w:rPr>
        <w:t>8</w:t>
      </w:r>
      <w:r w:rsidR="00BE320E" w:rsidRPr="00707AB2">
        <w:rPr>
          <w:rFonts w:ascii="Times New Roman" w:hAnsi="Times New Roman" w:cs="Times New Roman"/>
          <w:sz w:val="24"/>
          <w:szCs w:val="24"/>
        </w:rPr>
        <w:t xml:space="preserve"> &amp; Figure </w:t>
      </w:r>
      <w:r w:rsidR="00707AB2">
        <w:rPr>
          <w:rFonts w:ascii="Times New Roman" w:hAnsi="Times New Roman" w:cs="Times New Roman"/>
          <w:sz w:val="24"/>
          <w:szCs w:val="24"/>
        </w:rPr>
        <w:t>9</w:t>
      </w:r>
      <w:r w:rsidR="005D1FA2" w:rsidRPr="00707AB2">
        <w:rPr>
          <w:rFonts w:ascii="Times New Roman" w:hAnsi="Times New Roman" w:cs="Times New Roman"/>
          <w:sz w:val="24"/>
          <w:szCs w:val="24"/>
        </w:rPr>
        <w:t>)</w:t>
      </w:r>
      <w:r w:rsidRPr="00707AB2">
        <w:rPr>
          <w:rFonts w:ascii="Times New Roman" w:hAnsi="Times New Roman" w:cs="Times New Roman"/>
          <w:sz w:val="24"/>
          <w:szCs w:val="24"/>
        </w:rPr>
        <w:t>.</w:t>
      </w:r>
    </w:p>
    <w:p w14:paraId="3456269F" w14:textId="77777777" w:rsidR="00FC638A" w:rsidRDefault="00FC638A" w:rsidP="00FC638A">
      <w:pPr>
        <w:spacing w:after="0" w:line="360" w:lineRule="auto"/>
        <w:jc w:val="both"/>
        <w:rPr>
          <w:rFonts w:ascii="Times New Roman" w:hAnsi="Times New Roman" w:cs="Times New Roman"/>
          <w:b/>
          <w:bCs/>
          <w:sz w:val="24"/>
          <w:szCs w:val="24"/>
        </w:rPr>
      </w:pPr>
    </w:p>
    <w:p w14:paraId="68148005" w14:textId="77777777" w:rsidR="00FC638A" w:rsidRPr="00B64638" w:rsidRDefault="00FC638A" w:rsidP="00FC638A">
      <w:pPr>
        <w:spacing w:after="0" w:line="360" w:lineRule="auto"/>
        <w:jc w:val="both"/>
        <w:rPr>
          <w:rFonts w:ascii="Times New Roman Bold" w:hAnsi="Times New Roman Bold" w:cs="Times New Roman"/>
          <w:b/>
          <w:bCs/>
          <w:sz w:val="28"/>
          <w:szCs w:val="28"/>
        </w:rPr>
      </w:pPr>
      <w:r w:rsidRPr="00B64638">
        <w:rPr>
          <w:rFonts w:ascii="Times New Roman Bold" w:hAnsi="Times New Roman Bold" w:cs="Times New Roman"/>
          <w:b/>
          <w:bCs/>
          <w:sz w:val="28"/>
          <w:szCs w:val="28"/>
        </w:rPr>
        <w:t>3.8</w:t>
      </w:r>
      <w:r w:rsidR="00707AB2">
        <w:rPr>
          <w:rFonts w:ascii="Times New Roman Bold" w:hAnsi="Times New Roman Bold" w:cs="Times New Roman"/>
          <w:b/>
          <w:bCs/>
          <w:sz w:val="28"/>
          <w:szCs w:val="28"/>
        </w:rPr>
        <w:tab/>
      </w:r>
      <w:r w:rsidRPr="00B64638">
        <w:rPr>
          <w:rFonts w:ascii="Times New Roman Bold" w:hAnsi="Times New Roman Bold" w:cs="Times New Roman"/>
          <w:b/>
          <w:bCs/>
          <w:sz w:val="28"/>
          <w:szCs w:val="28"/>
        </w:rPr>
        <w:t>Organ Weight</w:t>
      </w:r>
    </w:p>
    <w:p w14:paraId="48764175" w14:textId="6CAC68AB" w:rsidR="00D26489" w:rsidRDefault="00FC638A" w:rsidP="00D95F7C">
      <w:pPr>
        <w:spacing w:after="0" w:line="360" w:lineRule="auto"/>
        <w:jc w:val="both"/>
        <w:rPr>
          <w:rFonts w:ascii="Times New Roman" w:hAnsi="Times New Roman" w:cs="Times New Roman"/>
          <w:b/>
          <w:bCs/>
          <w:sz w:val="28"/>
          <w:szCs w:val="28"/>
        </w:rPr>
      </w:pPr>
      <w:r>
        <w:rPr>
          <w:rFonts w:ascii="Times New Roman" w:hAnsi="Times New Roman" w:cs="Times New Roman"/>
          <w:sz w:val="24"/>
          <w:szCs w:val="24"/>
        </w:rPr>
        <w:tab/>
      </w:r>
      <w:r w:rsidRPr="00F25843">
        <w:rPr>
          <w:rFonts w:ascii="Times New Roman" w:hAnsi="Times New Roman" w:cs="Times New Roman"/>
          <w:sz w:val="24"/>
          <w:szCs w:val="24"/>
        </w:rPr>
        <w:t>The liver (values decreased, p &lt; 0.0001) and the adrenal gland (values increased, p &lt; 0.01 to p &lt; 0.001) were significantly affected by the PMA treatment, indicating that it was endocrine system-stimulating and toxic to the liver. The heart, spleen, kidneys, and testes showed no discernible changes (p &gt; 0.05), indicating that they were immune to the effects of the treatment. The seminal vesicles and epididymis showed minor but irregular changes (p &lt; 0.05). In general, the drug most affected the adrenal gland and liver, which requires further study.</w:t>
      </w:r>
      <w:r w:rsidR="001E00A8">
        <w:rPr>
          <w:rFonts w:ascii="Times New Roman" w:hAnsi="Times New Roman" w:cs="Times New Roman"/>
          <w:sz w:val="24"/>
          <w:szCs w:val="24"/>
        </w:rPr>
        <w:t xml:space="preserve"> (in figure 10) (in table </w:t>
      </w:r>
      <w:r w:rsidR="00D26489">
        <w:rPr>
          <w:rFonts w:ascii="Times New Roman" w:hAnsi="Times New Roman" w:cs="Times New Roman"/>
          <w:sz w:val="24"/>
          <w:szCs w:val="24"/>
        </w:rPr>
        <w:t>9</w:t>
      </w:r>
      <w:r w:rsidR="001E00A8">
        <w:rPr>
          <w:rFonts w:ascii="Times New Roman" w:hAnsi="Times New Roman" w:cs="Times New Roman"/>
          <w:sz w:val="24"/>
          <w:szCs w:val="24"/>
        </w:rPr>
        <w:t>)</w:t>
      </w:r>
      <w:r w:rsidR="00D95F7C" w:rsidRPr="00707AB2">
        <w:rPr>
          <w:rFonts w:ascii="Times New Roman" w:hAnsi="Times New Roman" w:cs="Times New Roman"/>
          <w:b/>
          <w:bCs/>
          <w:sz w:val="28"/>
          <w:szCs w:val="28"/>
        </w:rPr>
        <w:t xml:space="preserve"> </w:t>
      </w:r>
    </w:p>
    <w:p w14:paraId="514FEEA4" w14:textId="77777777" w:rsidR="00D26489" w:rsidRDefault="00D26489" w:rsidP="00D95F7C">
      <w:pPr>
        <w:spacing w:after="0" w:line="360" w:lineRule="auto"/>
        <w:jc w:val="both"/>
        <w:rPr>
          <w:rFonts w:ascii="Times New Roman" w:hAnsi="Times New Roman" w:cs="Times New Roman"/>
          <w:b/>
          <w:bCs/>
          <w:sz w:val="28"/>
          <w:szCs w:val="28"/>
        </w:rPr>
      </w:pPr>
    </w:p>
    <w:p w14:paraId="08B1E588" w14:textId="59ACB2B0" w:rsidR="00707AB2" w:rsidRPr="00707AB2" w:rsidRDefault="00707AB2" w:rsidP="00D95F7C">
      <w:pPr>
        <w:spacing w:after="0" w:line="360" w:lineRule="auto"/>
        <w:jc w:val="both"/>
        <w:rPr>
          <w:rFonts w:ascii="Times New Roman" w:hAnsi="Times New Roman" w:cs="Times New Roman"/>
          <w:b/>
          <w:bCs/>
          <w:sz w:val="28"/>
          <w:szCs w:val="28"/>
        </w:rPr>
      </w:pPr>
      <w:r w:rsidRPr="00707AB2">
        <w:rPr>
          <w:rFonts w:ascii="Times New Roman" w:hAnsi="Times New Roman" w:cs="Times New Roman"/>
          <w:b/>
          <w:bCs/>
          <w:sz w:val="28"/>
          <w:szCs w:val="28"/>
        </w:rPr>
        <w:t>3.9</w:t>
      </w:r>
      <w:r w:rsidR="00D26489">
        <w:rPr>
          <w:rFonts w:ascii="Times New Roman" w:hAnsi="Times New Roman" w:cs="Times New Roman"/>
          <w:b/>
          <w:bCs/>
          <w:sz w:val="28"/>
          <w:szCs w:val="28"/>
        </w:rPr>
        <w:t xml:space="preserve">      </w:t>
      </w:r>
      <w:r w:rsidRPr="00707AB2">
        <w:rPr>
          <w:rFonts w:ascii="Times New Roman" w:hAnsi="Times New Roman" w:cs="Times New Roman"/>
          <w:b/>
          <w:bCs/>
          <w:sz w:val="28"/>
          <w:szCs w:val="28"/>
        </w:rPr>
        <w:t>Histology</w:t>
      </w:r>
    </w:p>
    <w:p w14:paraId="2BBF419D" w14:textId="77777777" w:rsidR="00707AB2" w:rsidRDefault="00707AB2" w:rsidP="00707AB2">
      <w:pPr>
        <w:spacing w:after="0" w:line="360" w:lineRule="auto"/>
        <w:ind w:firstLine="720"/>
        <w:jc w:val="both"/>
        <w:rPr>
          <w:rFonts w:ascii="Times New Roman" w:hAnsi="Times New Roman" w:cs="Times New Roman"/>
          <w:b/>
          <w:bCs/>
          <w:sz w:val="24"/>
          <w:szCs w:val="24"/>
        </w:rPr>
      </w:pPr>
    </w:p>
    <w:p w14:paraId="6344E825" w14:textId="19F70DFD" w:rsidR="00BC7472" w:rsidRDefault="00707AB2" w:rsidP="00BC7472">
      <w:pPr>
        <w:spacing w:after="0" w:line="360" w:lineRule="auto"/>
        <w:ind w:firstLine="720"/>
        <w:jc w:val="both"/>
        <w:rPr>
          <w:rFonts w:ascii="Times New Roman" w:hAnsi="Times New Roman" w:cs="Times New Roman"/>
          <w:sz w:val="24"/>
          <w:szCs w:val="24"/>
        </w:rPr>
      </w:pPr>
      <w:r w:rsidRPr="00707AB2">
        <w:rPr>
          <w:rFonts w:ascii="Times New Roman" w:hAnsi="Times New Roman" w:cs="Times New Roman"/>
          <w:b/>
          <w:bCs/>
          <w:sz w:val="24"/>
          <w:szCs w:val="24"/>
        </w:rPr>
        <w:t xml:space="preserve">Testes: </w:t>
      </w:r>
      <w:r w:rsidRPr="00707AB2">
        <w:rPr>
          <w:rFonts w:ascii="Times New Roman" w:hAnsi="Times New Roman" w:cs="Times New Roman"/>
          <w:sz w:val="24"/>
          <w:szCs w:val="24"/>
        </w:rPr>
        <w:t>The histological findings of the normal control animal are consistent with normal testicular tissue, showing healthy seminiferous tubules, active spermatogenesis, and no signs of pathological changes, whereas the high-dose treated animal shows a seminiferous tubule with marked atrophy, loss of all germ cells, and preservation of only Sertoli cells lining the tubule. There are no mature spermatozoa or developing germ cells within the lumen.</w:t>
      </w:r>
      <w:r w:rsidR="00BC7472">
        <w:rPr>
          <w:rFonts w:ascii="Times New Roman" w:hAnsi="Times New Roman" w:cs="Times New Roman"/>
          <w:sz w:val="24"/>
          <w:szCs w:val="24"/>
        </w:rPr>
        <w:t xml:space="preserve"> (in figure </w:t>
      </w:r>
      <w:r w:rsidR="00150A3D">
        <w:rPr>
          <w:rFonts w:ascii="Times New Roman" w:hAnsi="Times New Roman" w:cs="Times New Roman"/>
          <w:sz w:val="24"/>
          <w:szCs w:val="24"/>
        </w:rPr>
        <w:t>1</w:t>
      </w:r>
      <w:r w:rsidR="00A21686">
        <w:rPr>
          <w:rFonts w:ascii="Times New Roman" w:hAnsi="Times New Roman" w:cs="Times New Roman"/>
          <w:sz w:val="24"/>
          <w:szCs w:val="24"/>
        </w:rPr>
        <w:t>1</w:t>
      </w:r>
      <w:r w:rsidR="00B5374D">
        <w:rPr>
          <w:rFonts w:ascii="Times New Roman" w:hAnsi="Times New Roman" w:cs="Times New Roman"/>
          <w:sz w:val="24"/>
          <w:szCs w:val="24"/>
        </w:rPr>
        <w:t xml:space="preserve"> a &amp; b</w:t>
      </w:r>
      <w:r w:rsidR="00150A3D">
        <w:rPr>
          <w:rFonts w:ascii="Times New Roman" w:hAnsi="Times New Roman" w:cs="Times New Roman"/>
          <w:sz w:val="24"/>
          <w:szCs w:val="24"/>
        </w:rPr>
        <w:t>)</w:t>
      </w:r>
    </w:p>
    <w:p w14:paraId="658AB18D" w14:textId="77777777" w:rsidR="00BC7472" w:rsidRDefault="00BC7472" w:rsidP="00BC7472">
      <w:pPr>
        <w:spacing w:after="0" w:line="360" w:lineRule="auto"/>
        <w:ind w:firstLine="720"/>
        <w:jc w:val="both"/>
        <w:rPr>
          <w:rFonts w:ascii="Times New Roman" w:hAnsi="Times New Roman" w:cs="Times New Roman"/>
          <w:sz w:val="24"/>
          <w:szCs w:val="24"/>
        </w:rPr>
      </w:pPr>
    </w:p>
    <w:p w14:paraId="14CA4D76" w14:textId="7CCBC9B3" w:rsidR="00707AB2" w:rsidRDefault="00707AB2" w:rsidP="00BC7472">
      <w:pPr>
        <w:spacing w:after="0" w:line="360" w:lineRule="auto"/>
        <w:ind w:firstLine="720"/>
        <w:jc w:val="both"/>
        <w:rPr>
          <w:rFonts w:ascii="Times New Roman" w:hAnsi="Times New Roman" w:cs="Times New Roman"/>
          <w:sz w:val="24"/>
          <w:szCs w:val="24"/>
        </w:rPr>
      </w:pPr>
      <w:r w:rsidRPr="00707AB2">
        <w:rPr>
          <w:rFonts w:ascii="Times New Roman" w:hAnsi="Times New Roman" w:cs="Times New Roman"/>
          <w:b/>
          <w:bCs/>
          <w:sz w:val="24"/>
          <w:szCs w:val="24"/>
        </w:rPr>
        <w:t xml:space="preserve">Epididymis: </w:t>
      </w:r>
      <w:r w:rsidRPr="00707AB2">
        <w:rPr>
          <w:rFonts w:ascii="Times New Roman" w:hAnsi="Times New Roman" w:cs="Times New Roman"/>
          <w:sz w:val="24"/>
          <w:szCs w:val="24"/>
        </w:rPr>
        <w:t>The histological findings of the normal control animal show a normal epididymal duct, characterized by a lumen filled with mature spermatozoa, without evidence of inflammation or other abnormalities, whereas the high-dose-treated animals' epididymis shows a marked reduction in spermatozoa within the lumen, with many appearing fragmented or degenerated. This suggests oligospermia or impaired sperm transport, which may be related to testicular or epididymal dysfunction</w:t>
      </w:r>
      <w:r w:rsidR="00BC7472">
        <w:rPr>
          <w:rFonts w:ascii="Times New Roman" w:hAnsi="Times New Roman" w:cs="Times New Roman"/>
          <w:sz w:val="24"/>
          <w:szCs w:val="24"/>
        </w:rPr>
        <w:t>.</w:t>
      </w:r>
      <w:r w:rsidR="00150A3D">
        <w:rPr>
          <w:rFonts w:ascii="Times New Roman" w:hAnsi="Times New Roman" w:cs="Times New Roman"/>
          <w:sz w:val="24"/>
          <w:szCs w:val="24"/>
        </w:rPr>
        <w:t xml:space="preserve"> (in figure 1</w:t>
      </w:r>
      <w:r w:rsidR="00A21686">
        <w:rPr>
          <w:rFonts w:ascii="Times New Roman" w:hAnsi="Times New Roman" w:cs="Times New Roman"/>
          <w:sz w:val="24"/>
          <w:szCs w:val="24"/>
        </w:rPr>
        <w:t>2</w:t>
      </w:r>
      <w:r w:rsidR="00B5374D">
        <w:rPr>
          <w:rFonts w:ascii="Times New Roman" w:hAnsi="Times New Roman" w:cs="Times New Roman"/>
          <w:sz w:val="24"/>
          <w:szCs w:val="24"/>
        </w:rPr>
        <w:t xml:space="preserve"> a &amp; b</w:t>
      </w:r>
      <w:r w:rsidR="00150A3D">
        <w:rPr>
          <w:rFonts w:ascii="Times New Roman" w:hAnsi="Times New Roman" w:cs="Times New Roman"/>
          <w:sz w:val="24"/>
          <w:szCs w:val="24"/>
        </w:rPr>
        <w:t>)</w:t>
      </w:r>
    </w:p>
    <w:p w14:paraId="300A562D" w14:textId="77777777" w:rsidR="00C77C54" w:rsidRDefault="00C77C54" w:rsidP="00BC7472">
      <w:pPr>
        <w:spacing w:after="0" w:line="360" w:lineRule="auto"/>
        <w:ind w:firstLine="720"/>
        <w:jc w:val="both"/>
        <w:rPr>
          <w:rFonts w:ascii="Times New Roman" w:hAnsi="Times New Roman" w:cs="Times New Roman"/>
          <w:sz w:val="24"/>
          <w:szCs w:val="24"/>
        </w:rPr>
      </w:pPr>
    </w:p>
    <w:p w14:paraId="5ADC8739" w14:textId="77777777" w:rsidR="00D95F7C" w:rsidRDefault="00D95F7C" w:rsidP="00FC638A">
      <w:pPr>
        <w:spacing w:after="0" w:line="360" w:lineRule="auto"/>
        <w:jc w:val="both"/>
        <w:rPr>
          <w:rFonts w:ascii="Times New Roman Bold" w:hAnsi="Times New Roman Bold" w:cs="Times New Roman"/>
          <w:b/>
          <w:bCs/>
          <w:sz w:val="32"/>
          <w:szCs w:val="32"/>
        </w:rPr>
      </w:pPr>
    </w:p>
    <w:p w14:paraId="3A2E86B8" w14:textId="2D8177C5" w:rsidR="00FC638A" w:rsidRPr="007547C8" w:rsidRDefault="00FC638A" w:rsidP="00FC638A">
      <w:pPr>
        <w:spacing w:after="0" w:line="360" w:lineRule="auto"/>
        <w:jc w:val="both"/>
        <w:rPr>
          <w:rFonts w:ascii="Times New Roman Bold" w:hAnsi="Times New Roman Bold" w:cs="Times New Roman"/>
          <w:b/>
          <w:bCs/>
          <w:sz w:val="32"/>
          <w:szCs w:val="32"/>
        </w:rPr>
      </w:pPr>
      <w:r w:rsidRPr="007547C8">
        <w:rPr>
          <w:rFonts w:ascii="Times New Roman Bold" w:hAnsi="Times New Roman Bold" w:cs="Times New Roman"/>
          <w:b/>
          <w:bCs/>
          <w:sz w:val="32"/>
          <w:szCs w:val="32"/>
        </w:rPr>
        <w:t>4</w:t>
      </w:r>
      <w:r>
        <w:rPr>
          <w:rFonts w:ascii="Times New Roman Bold" w:hAnsi="Times New Roman Bold" w:cs="Times New Roman"/>
          <w:b/>
          <w:bCs/>
          <w:sz w:val="32"/>
          <w:szCs w:val="32"/>
        </w:rPr>
        <w:tab/>
      </w:r>
      <w:r w:rsidRPr="007547C8">
        <w:rPr>
          <w:rFonts w:ascii="Times New Roman Bold" w:hAnsi="Times New Roman Bold" w:cs="Times New Roman"/>
          <w:b/>
          <w:bCs/>
          <w:sz w:val="32"/>
          <w:szCs w:val="32"/>
        </w:rPr>
        <w:t>Discussion</w:t>
      </w:r>
    </w:p>
    <w:p w14:paraId="25F311D8" w14:textId="77777777" w:rsidR="00FC638A" w:rsidRPr="00F25843" w:rsidRDefault="00FC638A" w:rsidP="00FC63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 xml:space="preserve">This study demonstrates that phenylmercuric acetate (PMA) exerts profound reproductive toxicity in male Wistar rats, primarily through endocrine disruption and oxidative stress pathways. The observed suppression in body weight and food consumption across treated groups aligns with previous findings indicating that mercury compounds disrupt energy metabolism and appetite regulation </w:t>
      </w:r>
      <w:r w:rsidRPr="00C77C54">
        <w:rPr>
          <w:rFonts w:ascii="Times New Roman" w:hAnsi="Times New Roman" w:cs="Times New Roman"/>
          <w:sz w:val="24"/>
          <w:szCs w:val="24"/>
        </w:rPr>
        <w:t>(Brown &amp; Taylor, 2007; Farina et al., 2011). Such metabolic alterations likely stem from PMA-induced interference with enzymatic and mitochondrial functions due to its affinity for sulfhydryl (-SH) groups on proteins (Peterson &amp; Clarke, 2015).</w:t>
      </w:r>
    </w:p>
    <w:p w14:paraId="79004C81" w14:textId="77777777" w:rsidR="00FC638A" w:rsidRDefault="00FC638A" w:rsidP="00FC638A">
      <w:pPr>
        <w:spacing w:after="0" w:line="360" w:lineRule="auto"/>
        <w:jc w:val="both"/>
        <w:rPr>
          <w:rFonts w:ascii="Times New Roman" w:hAnsi="Times New Roman" w:cs="Times New Roman"/>
          <w:sz w:val="24"/>
          <w:szCs w:val="24"/>
        </w:rPr>
      </w:pPr>
    </w:p>
    <w:p w14:paraId="1B83E42E" w14:textId="77777777" w:rsidR="00FC638A" w:rsidRPr="00F25843" w:rsidRDefault="00FC638A" w:rsidP="00FC63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5843">
        <w:rPr>
          <w:rFonts w:ascii="Times New Roman" w:hAnsi="Times New Roman" w:cs="Times New Roman"/>
          <w:sz w:val="24"/>
          <w:szCs w:val="24"/>
        </w:rPr>
        <w:t>Hematological analysis revealed a significant reduction in hemoglobin and WBC counts at high doses, suggesting that PMA exposure compromises hematopoiesis and immune competence. Biochemical assays demonstrated notable elevations in bilirubin, creatinine, and protein levels alongside reduced cholesterol, indicating hepatotoxicity and renal dysfunction consistent with mercury’s systemic toxicity (</w:t>
      </w:r>
      <w:r w:rsidRPr="00C77C54">
        <w:rPr>
          <w:rFonts w:ascii="Times New Roman" w:hAnsi="Times New Roman" w:cs="Times New Roman"/>
          <w:sz w:val="24"/>
          <w:szCs w:val="24"/>
        </w:rPr>
        <w:t xml:space="preserve">Guzzi &amp; La Porta, 2008; Andrews </w:t>
      </w:r>
      <w:r w:rsidRPr="00C77C54">
        <w:rPr>
          <w:rFonts w:ascii="Times New Roman" w:hAnsi="Times New Roman" w:cs="Times New Roman"/>
          <w:i/>
          <w:iCs/>
          <w:sz w:val="24"/>
          <w:szCs w:val="24"/>
        </w:rPr>
        <w:t>et al.,</w:t>
      </w:r>
      <w:r w:rsidRPr="00C77C54">
        <w:rPr>
          <w:rFonts w:ascii="Times New Roman" w:hAnsi="Times New Roman" w:cs="Times New Roman"/>
          <w:sz w:val="24"/>
          <w:szCs w:val="24"/>
        </w:rPr>
        <w:t xml:space="preserve"> 2008). These systemic effects reflect oxidative injury and lipid peroxidation processes triggered by reactive oxygen species (ROS), a known outcome of mercury exposure (Wirth &amp; Mijal, 2010).</w:t>
      </w:r>
    </w:p>
    <w:p w14:paraId="2DD5812B" w14:textId="77777777" w:rsidR="00FC638A" w:rsidRDefault="00FC638A" w:rsidP="00FC638A">
      <w:pPr>
        <w:spacing w:after="0" w:line="360" w:lineRule="auto"/>
        <w:ind w:firstLine="720"/>
        <w:jc w:val="both"/>
        <w:rPr>
          <w:rFonts w:ascii="Times New Roman" w:hAnsi="Times New Roman" w:cs="Times New Roman"/>
          <w:sz w:val="24"/>
          <w:szCs w:val="24"/>
        </w:rPr>
      </w:pPr>
    </w:p>
    <w:p w14:paraId="72C91AE5" w14:textId="77777777" w:rsidR="00FC638A" w:rsidRPr="00F25843" w:rsidRDefault="00FC638A" w:rsidP="00FC638A">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 xml:space="preserve">Reproductive endpoints showed clear dose-dependent deterioration. CASA analysis revealed substantial declines in sperm motility and increases in morphological abnormalities at medium and high doses. Such alterations are consistent with oxidative damage to sperm membranes and DNA fragmentation </w:t>
      </w:r>
      <w:r w:rsidRPr="00C77C54">
        <w:rPr>
          <w:rFonts w:ascii="Times New Roman" w:hAnsi="Times New Roman" w:cs="Times New Roman"/>
          <w:sz w:val="24"/>
          <w:szCs w:val="24"/>
        </w:rPr>
        <w:t>(Oishi, 2001; Oishi, 2002).</w:t>
      </w:r>
      <w:r w:rsidRPr="00F25843">
        <w:rPr>
          <w:rFonts w:ascii="Times New Roman" w:hAnsi="Times New Roman" w:cs="Times New Roman"/>
          <w:sz w:val="24"/>
          <w:szCs w:val="24"/>
        </w:rPr>
        <w:t xml:space="preserve"> Testosterone suppression was particularly pronounced, suggesting interference with the hypothalamic–pituitary–gonadal (HPG) axis and/or direct damage to Leydig cells. The reduction in testosterone paralleled declines in sexual performance parameters — including mounting frequency and intromission latency confirming hormonal mediation of behavioral outcomes.</w:t>
      </w:r>
    </w:p>
    <w:p w14:paraId="2819BFF3" w14:textId="77777777" w:rsidR="00FC638A" w:rsidRDefault="00FC638A" w:rsidP="00FC638A">
      <w:pPr>
        <w:spacing w:after="0" w:line="360" w:lineRule="auto"/>
        <w:ind w:firstLine="720"/>
        <w:jc w:val="both"/>
        <w:rPr>
          <w:rFonts w:ascii="Times New Roman" w:hAnsi="Times New Roman" w:cs="Times New Roman"/>
          <w:sz w:val="24"/>
          <w:szCs w:val="24"/>
        </w:rPr>
      </w:pPr>
    </w:p>
    <w:p w14:paraId="7EE59162" w14:textId="77777777" w:rsidR="00FC638A" w:rsidRPr="00F25843" w:rsidRDefault="00FC638A" w:rsidP="00FC638A">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 xml:space="preserve">Histopathological examination provided strong structural evidence for reproductive impairment. PMA-treated testes displayed degeneration of seminiferous tubules, decreased germ cell populations, and vacuolation, in agreement with prior </w:t>
      </w:r>
      <w:r w:rsidRPr="00F25843">
        <w:rPr>
          <w:rFonts w:ascii="Times New Roman" w:hAnsi="Times New Roman" w:cs="Times New Roman"/>
          <w:sz w:val="24"/>
          <w:szCs w:val="24"/>
        </w:rPr>
        <w:lastRenderedPageBreak/>
        <w:t>studies linking mercury exposure to testicular atrophy and apoptosis (</w:t>
      </w:r>
      <w:r w:rsidRPr="00C77C54">
        <w:rPr>
          <w:rFonts w:ascii="Times New Roman" w:hAnsi="Times New Roman" w:cs="Times New Roman"/>
          <w:sz w:val="24"/>
          <w:szCs w:val="24"/>
        </w:rPr>
        <w:t xml:space="preserve">Robertson, 2005; </w:t>
      </w:r>
      <w:proofErr w:type="spellStart"/>
      <w:r w:rsidRPr="00C77C54">
        <w:rPr>
          <w:rFonts w:ascii="Times New Roman" w:hAnsi="Times New Roman" w:cs="Times New Roman"/>
          <w:sz w:val="24"/>
          <w:szCs w:val="24"/>
        </w:rPr>
        <w:t>Xinqiang</w:t>
      </w:r>
      <w:proofErr w:type="spellEnd"/>
      <w:r w:rsidRPr="00C77C54">
        <w:rPr>
          <w:rFonts w:ascii="Times New Roman" w:hAnsi="Times New Roman" w:cs="Times New Roman"/>
          <w:sz w:val="24"/>
          <w:szCs w:val="24"/>
        </w:rPr>
        <w:t xml:space="preserve"> Zhu </w:t>
      </w:r>
      <w:r w:rsidRPr="00C77C54">
        <w:rPr>
          <w:rFonts w:ascii="Times New Roman" w:hAnsi="Times New Roman" w:cs="Times New Roman"/>
          <w:i/>
          <w:iCs/>
          <w:sz w:val="24"/>
          <w:szCs w:val="24"/>
        </w:rPr>
        <w:t>et al.,</w:t>
      </w:r>
      <w:r w:rsidRPr="00C77C54">
        <w:rPr>
          <w:rFonts w:ascii="Times New Roman" w:hAnsi="Times New Roman" w:cs="Times New Roman"/>
          <w:sz w:val="24"/>
          <w:szCs w:val="24"/>
        </w:rPr>
        <w:t xml:space="preserve"> 2000).</w:t>
      </w:r>
      <w:r w:rsidRPr="00F25843">
        <w:rPr>
          <w:rFonts w:ascii="Times New Roman" w:hAnsi="Times New Roman" w:cs="Times New Roman"/>
          <w:sz w:val="24"/>
          <w:szCs w:val="24"/>
        </w:rPr>
        <w:t xml:space="preserve"> Organ weight variations, notably liver and adrenal gland changes, further support the systemic stress response induced by mercury derivatives.</w:t>
      </w:r>
    </w:p>
    <w:p w14:paraId="48076113" w14:textId="77777777" w:rsidR="00FC638A" w:rsidRDefault="00FC638A" w:rsidP="00FC638A">
      <w:pPr>
        <w:spacing w:after="0" w:line="360" w:lineRule="auto"/>
        <w:ind w:firstLine="720"/>
        <w:jc w:val="both"/>
        <w:rPr>
          <w:rFonts w:ascii="Times New Roman" w:hAnsi="Times New Roman" w:cs="Times New Roman"/>
          <w:sz w:val="24"/>
          <w:szCs w:val="24"/>
        </w:rPr>
      </w:pPr>
    </w:p>
    <w:p w14:paraId="5E23F522" w14:textId="77777777" w:rsidR="00FC638A" w:rsidRPr="00F25843" w:rsidRDefault="00FC638A" w:rsidP="00FC638A">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Collectively, these findings substantiate that phenylmercuric acetate acts as a potent endocrine disruptor and testicular toxicant. Its reproductive toxicity appears to arise from combined oxidative, hormonal, and metabolic disturbances, ultimately impairing sperm quality, hormone balance, and sexual performance.</w:t>
      </w:r>
    </w:p>
    <w:p w14:paraId="24801463" w14:textId="77777777" w:rsidR="00FC638A" w:rsidRDefault="00FC638A" w:rsidP="00FC638A">
      <w:pPr>
        <w:spacing w:after="0" w:line="360" w:lineRule="auto"/>
        <w:jc w:val="both"/>
        <w:rPr>
          <w:rFonts w:ascii="Times New Roman" w:hAnsi="Times New Roman" w:cs="Times New Roman"/>
          <w:b/>
          <w:bCs/>
          <w:sz w:val="24"/>
          <w:szCs w:val="24"/>
        </w:rPr>
      </w:pPr>
    </w:p>
    <w:p w14:paraId="609AD72E" w14:textId="77777777" w:rsidR="00FC638A" w:rsidRPr="007547C8" w:rsidRDefault="00FC638A" w:rsidP="00FC638A">
      <w:pPr>
        <w:spacing w:after="0" w:line="360" w:lineRule="auto"/>
        <w:jc w:val="both"/>
        <w:rPr>
          <w:rFonts w:ascii="Times New Roman Bold" w:hAnsi="Times New Roman Bold" w:cs="Times New Roman"/>
          <w:b/>
          <w:bCs/>
          <w:sz w:val="32"/>
          <w:szCs w:val="32"/>
        </w:rPr>
      </w:pPr>
      <w:r w:rsidRPr="007547C8">
        <w:rPr>
          <w:rFonts w:ascii="Times New Roman Bold" w:hAnsi="Times New Roman Bold" w:cs="Times New Roman"/>
          <w:b/>
          <w:bCs/>
          <w:sz w:val="32"/>
          <w:szCs w:val="32"/>
        </w:rPr>
        <w:t>5</w:t>
      </w:r>
      <w:r>
        <w:rPr>
          <w:rFonts w:ascii="Times New Roman Bold" w:hAnsi="Times New Roman Bold" w:cs="Times New Roman"/>
          <w:b/>
          <w:bCs/>
          <w:sz w:val="32"/>
          <w:szCs w:val="32"/>
        </w:rPr>
        <w:tab/>
      </w:r>
      <w:r w:rsidRPr="007547C8">
        <w:rPr>
          <w:rFonts w:ascii="Times New Roman Bold" w:hAnsi="Times New Roman Bold" w:cs="Times New Roman"/>
          <w:b/>
          <w:bCs/>
          <w:sz w:val="32"/>
          <w:szCs w:val="32"/>
        </w:rPr>
        <w:t>Conclusion</w:t>
      </w:r>
    </w:p>
    <w:p w14:paraId="2F3DE8E9" w14:textId="77777777" w:rsidR="00BD6CF6" w:rsidRDefault="00FC638A" w:rsidP="00F511E5">
      <w:pPr>
        <w:spacing w:after="0" w:line="360" w:lineRule="auto"/>
        <w:ind w:firstLine="720"/>
        <w:jc w:val="both"/>
        <w:rPr>
          <w:rFonts w:ascii="Times New Roman" w:hAnsi="Times New Roman" w:cs="Times New Roman"/>
          <w:sz w:val="24"/>
          <w:szCs w:val="24"/>
        </w:rPr>
      </w:pPr>
      <w:r w:rsidRPr="00F25843">
        <w:rPr>
          <w:rFonts w:ascii="Times New Roman" w:hAnsi="Times New Roman" w:cs="Times New Roman"/>
          <w:sz w:val="24"/>
          <w:szCs w:val="24"/>
        </w:rPr>
        <w:t>The present study concludes that phenylmercuric acetate (PMA) exposure results in significant endocrine disruption, reproductive toxicity, and systemic biochemical alterations in male Wistar rats. PMA induces dose-dependent reductions in testosterone, sperm motility, and sexual behavior while provoking oxidative and metabolic stress. Histopathological degeneration of testicular tissue confirms its gonadotoxic potential. These findings collectively suggest that PMA compromises male fertility by impairing spermatogenesis and hormonal regulation. Given its persistence and bioaccumulative properties, PMA exposure represents a serious environmental and occupational risk. Further research should focus on elucidating the molecular mechanisms of PMA-induced reproductive toxicity and establishing stricter safety limits for human and ecological protection.</w:t>
      </w:r>
    </w:p>
    <w:p w14:paraId="511BBF8A" w14:textId="77777777" w:rsidR="00081FD0" w:rsidRDefault="00081FD0" w:rsidP="00081FD0">
      <w:pPr>
        <w:spacing w:after="0" w:line="360" w:lineRule="auto"/>
        <w:jc w:val="both"/>
        <w:rPr>
          <w:rFonts w:ascii="Times New Roman" w:hAnsi="Times New Roman" w:cs="Times New Roman"/>
          <w:sz w:val="24"/>
          <w:szCs w:val="24"/>
        </w:rPr>
      </w:pPr>
    </w:p>
    <w:p w14:paraId="1F49C0B2" w14:textId="14A15335" w:rsidR="00081FD0" w:rsidRPr="00F511E5" w:rsidRDefault="00081FD0" w:rsidP="00081FD0">
      <w:pPr>
        <w:spacing w:after="0" w:line="360" w:lineRule="auto"/>
        <w:jc w:val="both"/>
        <w:rPr>
          <w:rFonts w:ascii="Times New Roman" w:hAnsi="Times New Roman" w:cs="Times New Roman"/>
          <w:sz w:val="24"/>
          <w:szCs w:val="24"/>
        </w:rPr>
      </w:pPr>
      <w:r w:rsidRPr="00081FD0">
        <w:rPr>
          <w:rFonts w:ascii="Times New Roman" w:hAnsi="Times New Roman" w:cs="Times New Roman"/>
          <w:b/>
          <w:bCs/>
          <w:sz w:val="24"/>
          <w:szCs w:val="24"/>
        </w:rPr>
        <w:t>Funding:</w:t>
      </w:r>
      <w:r w:rsidRPr="00081FD0">
        <w:rPr>
          <w:rFonts w:ascii="Times New Roman" w:hAnsi="Times New Roman" w:cs="Times New Roman"/>
          <w:sz w:val="24"/>
          <w:szCs w:val="24"/>
        </w:rPr>
        <w:t xml:space="preserve"> On behalf of all the authors, the corresponding author states that they did not receive any funds for this project.</w:t>
      </w:r>
    </w:p>
    <w:p w14:paraId="751D0D61" w14:textId="77777777" w:rsidR="00BD6CF6" w:rsidRDefault="00BD6CF6" w:rsidP="00BD6CF6">
      <w:pPr>
        <w:spacing w:after="0" w:line="240" w:lineRule="auto"/>
        <w:jc w:val="center"/>
        <w:rPr>
          <w:rFonts w:ascii="Times New Roman" w:hAnsi="Times New Roman" w:cs="Times New Roman"/>
          <w:b/>
          <w:sz w:val="24"/>
          <w:szCs w:val="24"/>
          <w:lang w:val="en-IN" w:bidi="kn-IN"/>
        </w:rPr>
      </w:pPr>
    </w:p>
    <w:p w14:paraId="0036AC86" w14:textId="11A49321" w:rsidR="00D95F7C" w:rsidRDefault="00BD278C" w:rsidP="00BD278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Competing Interest</w:t>
      </w:r>
      <w:r w:rsidRPr="00081FD0">
        <w:rPr>
          <w:rFonts w:ascii="Times New Roman" w:hAnsi="Times New Roman" w:cs="Times New Roman"/>
          <w:b/>
          <w:bCs/>
          <w:sz w:val="24"/>
          <w:szCs w:val="24"/>
        </w:rPr>
        <w:t>:</w:t>
      </w:r>
      <w:r w:rsidRPr="00081FD0">
        <w:rPr>
          <w:rFonts w:ascii="Times New Roman" w:hAnsi="Times New Roman" w:cs="Times New Roman"/>
          <w:sz w:val="24"/>
          <w:szCs w:val="24"/>
        </w:rPr>
        <w:t xml:space="preserve"> </w:t>
      </w:r>
      <w:r w:rsidRPr="00BD278C">
        <w:rPr>
          <w:rFonts w:ascii="Times New Roman" w:hAnsi="Times New Roman" w:cs="Times New Roman"/>
          <w:sz w:val="24"/>
          <w:szCs w:val="24"/>
        </w:rPr>
        <w:t>The corresponding author, on behalf of all authors, confirms that no funding was received for this research project and that there are no competing interests to report.</w:t>
      </w:r>
    </w:p>
    <w:p w14:paraId="6DCB8698" w14:textId="77777777" w:rsidR="00BD278C" w:rsidRDefault="00BD278C" w:rsidP="00BD278C">
      <w:pPr>
        <w:spacing w:after="0" w:line="360" w:lineRule="auto"/>
        <w:jc w:val="both"/>
        <w:rPr>
          <w:rFonts w:ascii="Times New Roman" w:hAnsi="Times New Roman" w:cs="Times New Roman"/>
          <w:sz w:val="24"/>
          <w:szCs w:val="24"/>
        </w:rPr>
      </w:pPr>
    </w:p>
    <w:p w14:paraId="645EF61C" w14:textId="6F9DADD5" w:rsidR="00BD278C" w:rsidRDefault="00BD278C" w:rsidP="00BD278C">
      <w:pPr>
        <w:spacing w:after="0" w:line="360" w:lineRule="auto"/>
        <w:jc w:val="both"/>
        <w:rPr>
          <w:rFonts w:ascii="Times New Roman" w:hAnsi="Times New Roman" w:cs="Times New Roman"/>
          <w:sz w:val="24"/>
          <w:szCs w:val="24"/>
        </w:rPr>
      </w:pPr>
    </w:p>
    <w:p w14:paraId="74FDC230" w14:textId="77777777" w:rsidR="00BD278C" w:rsidRDefault="00BD278C" w:rsidP="00BD278C">
      <w:pPr>
        <w:spacing w:after="0" w:line="360" w:lineRule="auto"/>
        <w:jc w:val="both"/>
        <w:rPr>
          <w:rFonts w:ascii="Times New Roman" w:hAnsi="Times New Roman" w:cs="Times New Roman"/>
          <w:sz w:val="24"/>
          <w:szCs w:val="24"/>
        </w:rPr>
      </w:pPr>
    </w:p>
    <w:p w14:paraId="60F9729A" w14:textId="77777777" w:rsidR="00BD278C" w:rsidRDefault="00BD278C" w:rsidP="00BD278C">
      <w:pPr>
        <w:spacing w:after="0" w:line="360" w:lineRule="auto"/>
        <w:jc w:val="both"/>
        <w:rPr>
          <w:rFonts w:ascii="Times New Roman" w:hAnsi="Times New Roman" w:cs="Times New Roman"/>
          <w:sz w:val="24"/>
          <w:szCs w:val="24"/>
        </w:rPr>
      </w:pPr>
    </w:p>
    <w:p w14:paraId="2CA8EF4C" w14:textId="77777777" w:rsidR="00BD278C" w:rsidRPr="00BD278C" w:rsidRDefault="00BD278C" w:rsidP="00BD278C">
      <w:pPr>
        <w:spacing w:after="0" w:line="360" w:lineRule="auto"/>
        <w:jc w:val="both"/>
        <w:rPr>
          <w:rFonts w:ascii="Times New Roman" w:hAnsi="Times New Roman" w:cs="Times New Roman"/>
          <w:sz w:val="24"/>
          <w:szCs w:val="24"/>
        </w:rPr>
      </w:pPr>
    </w:p>
    <w:p w14:paraId="23ABDD13" w14:textId="593C7A8F" w:rsidR="006F1380" w:rsidRPr="000009CF" w:rsidRDefault="00C77C54" w:rsidP="00C77C54">
      <w:pPr>
        <w:spacing w:after="0" w:line="360" w:lineRule="auto"/>
        <w:rPr>
          <w:rFonts w:ascii="Times New Roman" w:hAnsi="Times New Roman" w:cs="Times New Roman"/>
          <w:b/>
          <w:caps/>
          <w:color w:val="000000"/>
          <w:sz w:val="36"/>
          <w:szCs w:val="36"/>
        </w:rPr>
      </w:pPr>
      <w:r w:rsidRPr="00C77C54">
        <w:rPr>
          <w:rFonts w:ascii="Times New Roman" w:hAnsi="Times New Roman" w:cs="Times New Roman"/>
          <w:b/>
          <w:bCs/>
          <w:sz w:val="32"/>
          <w:szCs w:val="32"/>
          <w:lang w:val="en-IN"/>
        </w:rPr>
        <w:lastRenderedPageBreak/>
        <w:t>6</w:t>
      </w:r>
      <w:r>
        <w:rPr>
          <w:rFonts w:ascii="Times New Roman" w:hAnsi="Times New Roman" w:cs="Times New Roman"/>
          <w:b/>
          <w:bCs/>
          <w:sz w:val="36"/>
          <w:szCs w:val="36"/>
          <w:lang w:val="en-IN"/>
        </w:rPr>
        <w:tab/>
      </w:r>
      <w:r w:rsidRPr="00C77C54">
        <w:rPr>
          <w:rFonts w:ascii="Times New Roman" w:hAnsi="Times New Roman" w:cs="Times New Roman"/>
          <w:b/>
          <w:bCs/>
          <w:sz w:val="32"/>
          <w:szCs w:val="32"/>
          <w:lang w:val="en-IN"/>
        </w:rPr>
        <w:t>References</w:t>
      </w:r>
    </w:p>
    <w:p w14:paraId="134CDC46" w14:textId="77777777" w:rsidR="006F1380" w:rsidRPr="00A912BD" w:rsidRDefault="006F1380" w:rsidP="006F1380">
      <w:pPr>
        <w:spacing w:after="0" w:line="360" w:lineRule="auto"/>
        <w:jc w:val="both"/>
        <w:rPr>
          <w:rFonts w:ascii="Times New Roman" w:hAnsi="Times New Roman" w:cs="Times New Roman"/>
          <w:sz w:val="24"/>
          <w:szCs w:val="24"/>
        </w:rPr>
      </w:pPr>
    </w:p>
    <w:p w14:paraId="06AB3004" w14:textId="77777777" w:rsidR="006F1380" w:rsidRPr="00C77C54" w:rsidRDefault="006F1380" w:rsidP="006F1380">
      <w:pPr>
        <w:pStyle w:val="ListParagraph"/>
        <w:spacing w:beforeLines="120" w:before="288" w:afterLines="120" w:after="288" w:line="276" w:lineRule="auto"/>
        <w:ind w:left="1440" w:hanging="1080"/>
        <w:jc w:val="both"/>
        <w:rPr>
          <w:color w:val="000000"/>
          <w:sz w:val="22"/>
          <w:szCs w:val="22"/>
        </w:rPr>
      </w:pPr>
      <w:r w:rsidRPr="00C77C54">
        <w:rPr>
          <w:color w:val="000000"/>
          <w:sz w:val="22"/>
          <w:szCs w:val="22"/>
        </w:rPr>
        <w:t xml:space="preserve">Andrews, M., Brown, G., &amp; Taylor, S. (2008). Mechanisms of mercury induced cellular toxicity.  Toxicological Reviews, 27 (4), 412–421. https://doi.org/10.2165/00139709 200827040-00006.  </w:t>
      </w:r>
    </w:p>
    <w:p w14:paraId="705DC0F9" w14:textId="77777777" w:rsidR="006F1380" w:rsidRPr="00C77C54" w:rsidRDefault="006F1380" w:rsidP="00C77C54">
      <w:pPr>
        <w:pStyle w:val="ListParagraph"/>
        <w:spacing w:beforeLines="120" w:before="288" w:afterLines="120" w:after="288" w:line="276" w:lineRule="auto"/>
        <w:ind w:left="1440" w:hanging="1080"/>
        <w:jc w:val="both"/>
        <w:rPr>
          <w:color w:val="000000"/>
          <w:sz w:val="22"/>
          <w:szCs w:val="22"/>
        </w:rPr>
      </w:pPr>
      <w:r w:rsidRPr="00C77C54">
        <w:rPr>
          <w:color w:val="000000"/>
          <w:sz w:val="22"/>
          <w:szCs w:val="22"/>
        </w:rPr>
        <w:t>Brown, G., &amp; Taylor, S. (2007). Human exposure to mercury compounds: Health implications.  Public Health Reports, 122 (1), 65–71.</w:t>
      </w:r>
    </w:p>
    <w:p w14:paraId="57C10126" w14:textId="77777777" w:rsidR="006F1380" w:rsidRPr="00C77C54" w:rsidRDefault="006F1380" w:rsidP="006F1380">
      <w:pPr>
        <w:pStyle w:val="ListParagraph"/>
        <w:spacing w:beforeLines="120" w:before="288" w:afterLines="120" w:after="288" w:line="276" w:lineRule="auto"/>
        <w:ind w:left="1440" w:hanging="1080"/>
        <w:jc w:val="both"/>
        <w:rPr>
          <w:color w:val="000000"/>
          <w:sz w:val="22"/>
          <w:szCs w:val="22"/>
          <w:lang w:val="it-IT"/>
        </w:rPr>
      </w:pPr>
      <w:r w:rsidRPr="00340E8C">
        <w:rPr>
          <w:color w:val="000000"/>
          <w:sz w:val="22"/>
          <w:szCs w:val="22"/>
          <w:lang w:val="it-IT" w:eastAsia="x-none"/>
        </w:rPr>
        <w:t xml:space="preserve">Farina, M., Rocha, J. B., &amp; Aschner, M. (2011). </w:t>
      </w:r>
      <w:r w:rsidRPr="00C77C54">
        <w:rPr>
          <w:color w:val="000000"/>
          <w:sz w:val="22"/>
          <w:szCs w:val="22"/>
        </w:rPr>
        <w:t xml:space="preserve">Mechanisms of methylmercury induced neurotoxicity: Evidence from experimental studies.  </w:t>
      </w:r>
      <w:r w:rsidRPr="00C77C54">
        <w:rPr>
          <w:color w:val="000000"/>
          <w:sz w:val="22"/>
          <w:szCs w:val="22"/>
          <w:lang w:val="it-IT"/>
        </w:rPr>
        <w:t xml:space="preserve">Life Sciences, 89 (15–16), 555–563. </w:t>
      </w:r>
      <w:hyperlink r:id="rId8" w:history="1">
        <w:r w:rsidRPr="00C77C54">
          <w:rPr>
            <w:rStyle w:val="Hyperlink"/>
            <w:color w:val="000000"/>
            <w:sz w:val="22"/>
            <w:szCs w:val="22"/>
            <w:u w:val="none"/>
            <w:lang w:val="it-IT"/>
          </w:rPr>
          <w:t>https://doi.org/10.1016/j.lfs.2011.05.019</w:t>
        </w:r>
      </w:hyperlink>
      <w:r w:rsidRPr="00C77C54">
        <w:rPr>
          <w:color w:val="000000"/>
          <w:sz w:val="22"/>
          <w:szCs w:val="22"/>
          <w:lang w:val="it-IT"/>
        </w:rPr>
        <w:t xml:space="preserve">. </w:t>
      </w:r>
    </w:p>
    <w:p w14:paraId="2255EFD7" w14:textId="3F58E964" w:rsidR="006F1380" w:rsidRPr="00C77C54" w:rsidRDefault="006F1380" w:rsidP="006F1380">
      <w:pPr>
        <w:pStyle w:val="ListParagraph"/>
        <w:spacing w:beforeLines="120" w:before="288" w:afterLines="120" w:after="288" w:line="276" w:lineRule="auto"/>
        <w:ind w:left="1440" w:hanging="1080"/>
        <w:jc w:val="both"/>
        <w:rPr>
          <w:color w:val="000000"/>
          <w:sz w:val="22"/>
          <w:szCs w:val="22"/>
          <w:lang w:val="en-IN" w:eastAsia="x-none"/>
        </w:rPr>
      </w:pPr>
      <w:r w:rsidRPr="00C77C54">
        <w:rPr>
          <w:color w:val="000000"/>
          <w:sz w:val="22"/>
          <w:szCs w:val="22"/>
          <w:lang w:val="it-IT" w:eastAsia="x-none"/>
        </w:rPr>
        <w:t xml:space="preserve">Guzzi, G., &amp; La Porta, C. A. (2008). </w:t>
      </w:r>
      <w:r w:rsidRPr="00C77C54">
        <w:rPr>
          <w:color w:val="000000"/>
          <w:sz w:val="22"/>
          <w:szCs w:val="22"/>
        </w:rPr>
        <w:t xml:space="preserve">Molecular mechanisms triggered by mercury.  </w:t>
      </w:r>
      <w:r w:rsidRPr="00C77C54">
        <w:rPr>
          <w:color w:val="000000"/>
          <w:sz w:val="22"/>
          <w:szCs w:val="22"/>
          <w:lang w:val="en-IN" w:eastAsia="x-none"/>
        </w:rPr>
        <w:t xml:space="preserve">Toxicology, 244 (1), 1–12. </w:t>
      </w:r>
      <w:hyperlink r:id="rId9" w:history="1">
        <w:r w:rsidRPr="00C77C54">
          <w:rPr>
            <w:rStyle w:val="Hyperlink"/>
            <w:color w:val="000000"/>
            <w:sz w:val="22"/>
            <w:szCs w:val="22"/>
            <w:u w:val="none"/>
            <w:lang w:val="en-IN" w:eastAsia="x-none"/>
          </w:rPr>
          <w:t>https://doi.org/10.1016/j.tox.2007.11.002</w:t>
        </w:r>
      </w:hyperlink>
      <w:r w:rsidRPr="00C77C54">
        <w:rPr>
          <w:color w:val="000000"/>
          <w:sz w:val="22"/>
          <w:szCs w:val="22"/>
          <w:lang w:val="en-IN" w:eastAsia="x-none"/>
        </w:rPr>
        <w:t xml:space="preserve">. </w:t>
      </w:r>
    </w:p>
    <w:p w14:paraId="55DEC732" w14:textId="77777777" w:rsidR="006F1380" w:rsidRPr="00C77C54" w:rsidRDefault="006F1380" w:rsidP="006F1380">
      <w:pPr>
        <w:pStyle w:val="ListParagraph"/>
        <w:spacing w:beforeLines="120" w:before="288" w:afterLines="120" w:after="288" w:line="276" w:lineRule="auto"/>
        <w:ind w:left="1440" w:hanging="1080"/>
        <w:jc w:val="both"/>
        <w:rPr>
          <w:color w:val="000000"/>
          <w:sz w:val="22"/>
          <w:szCs w:val="22"/>
        </w:rPr>
      </w:pPr>
      <w:r w:rsidRPr="00C77C54">
        <w:rPr>
          <w:color w:val="000000"/>
          <w:sz w:val="22"/>
          <w:szCs w:val="22"/>
        </w:rPr>
        <w:t xml:space="preserve">Jones, P., Smith, A., &amp; Brown, T. (2010). Applications and toxicity of organomercurial compounds.  Environmental Toxicology, 25 (5), 541–552. </w:t>
      </w:r>
      <w:hyperlink r:id="rId10" w:history="1">
        <w:r w:rsidRPr="00C77C54">
          <w:rPr>
            <w:rStyle w:val="Hyperlink"/>
            <w:color w:val="000000"/>
            <w:sz w:val="22"/>
            <w:szCs w:val="22"/>
            <w:u w:val="none"/>
          </w:rPr>
          <w:t>https://doi.org/10.1002/tox.20589</w:t>
        </w:r>
      </w:hyperlink>
      <w:r w:rsidRPr="00C77C54">
        <w:rPr>
          <w:color w:val="000000"/>
          <w:sz w:val="22"/>
          <w:szCs w:val="22"/>
        </w:rPr>
        <w:t xml:space="preserve">. </w:t>
      </w:r>
    </w:p>
    <w:p w14:paraId="5E8CBCED" w14:textId="77777777" w:rsidR="006F1380" w:rsidRPr="00C77C54" w:rsidRDefault="006F1380" w:rsidP="006F1380">
      <w:pPr>
        <w:pStyle w:val="ListParagraph"/>
        <w:spacing w:beforeLines="120" w:before="288" w:afterLines="120" w:after="288" w:line="276" w:lineRule="auto"/>
        <w:ind w:left="1440" w:hanging="1080"/>
        <w:jc w:val="both"/>
        <w:rPr>
          <w:color w:val="000000"/>
          <w:sz w:val="22"/>
          <w:szCs w:val="22"/>
        </w:rPr>
      </w:pPr>
      <w:r w:rsidRPr="00C77C54">
        <w:rPr>
          <w:color w:val="000000"/>
          <w:sz w:val="22"/>
          <w:szCs w:val="22"/>
        </w:rPr>
        <w:t xml:space="preserve">Oishi, S. (2001). Effects of butylparaben on the male reproductive system in rats.  Toxicology and Industrial Health, 17 (1), 31–39. </w:t>
      </w:r>
      <w:hyperlink r:id="rId11" w:history="1">
        <w:r w:rsidRPr="00C77C54">
          <w:rPr>
            <w:rStyle w:val="Hyperlink"/>
            <w:color w:val="000000"/>
            <w:sz w:val="22"/>
            <w:szCs w:val="22"/>
            <w:u w:val="none"/>
          </w:rPr>
          <w:t>https://doi.org/10.1191/0748233701th093oa</w:t>
        </w:r>
      </w:hyperlink>
      <w:r w:rsidRPr="00C77C54">
        <w:rPr>
          <w:color w:val="000000"/>
          <w:sz w:val="22"/>
          <w:szCs w:val="22"/>
        </w:rPr>
        <w:t xml:space="preserve">. </w:t>
      </w:r>
    </w:p>
    <w:p w14:paraId="5838C24A" w14:textId="77777777" w:rsidR="006F1380" w:rsidRPr="00C77C54" w:rsidRDefault="006F1380" w:rsidP="006F1380">
      <w:pPr>
        <w:pStyle w:val="ListParagraph"/>
        <w:spacing w:beforeLines="120" w:before="288" w:afterLines="120" w:after="288" w:line="276" w:lineRule="auto"/>
        <w:ind w:left="1440" w:hanging="1080"/>
        <w:jc w:val="both"/>
        <w:rPr>
          <w:color w:val="000000"/>
          <w:sz w:val="22"/>
          <w:szCs w:val="22"/>
        </w:rPr>
      </w:pPr>
      <w:r w:rsidRPr="00C77C54">
        <w:rPr>
          <w:color w:val="000000"/>
          <w:sz w:val="22"/>
          <w:szCs w:val="22"/>
        </w:rPr>
        <w:t xml:space="preserve">Oishi, S. (2002). Effects of propyl paraben on the male reproductive system.  Food and Chemical Toxicology, 40 (12), 1807–1813. </w:t>
      </w:r>
      <w:hyperlink r:id="rId12" w:history="1">
        <w:r w:rsidRPr="00C77C54">
          <w:rPr>
            <w:rStyle w:val="Hyperlink"/>
            <w:color w:val="000000"/>
            <w:sz w:val="22"/>
            <w:szCs w:val="22"/>
            <w:u w:val="none"/>
          </w:rPr>
          <w:t>https://doi.org/10.1016/S0278-6915(02)00204-1</w:t>
        </w:r>
      </w:hyperlink>
      <w:r w:rsidRPr="00C77C54">
        <w:rPr>
          <w:color w:val="000000"/>
          <w:sz w:val="22"/>
          <w:szCs w:val="22"/>
        </w:rPr>
        <w:t xml:space="preserve">. </w:t>
      </w:r>
    </w:p>
    <w:p w14:paraId="148263D5" w14:textId="77777777" w:rsidR="006F1380" w:rsidRPr="00C77C54" w:rsidRDefault="006F1380" w:rsidP="006F1380">
      <w:pPr>
        <w:pStyle w:val="ListParagraph"/>
        <w:spacing w:beforeLines="120" w:before="288" w:afterLines="120" w:after="288" w:line="276" w:lineRule="auto"/>
        <w:ind w:left="1440" w:hanging="1080"/>
        <w:jc w:val="both"/>
        <w:rPr>
          <w:color w:val="000000"/>
          <w:sz w:val="22"/>
          <w:szCs w:val="22"/>
        </w:rPr>
      </w:pPr>
      <w:r w:rsidRPr="00C77C54">
        <w:rPr>
          <w:color w:val="000000"/>
          <w:sz w:val="22"/>
          <w:szCs w:val="22"/>
        </w:rPr>
        <w:t>Peterson, R., &amp; Clarke, A. (2015). Persistent organic pollutants: Phenyl mercuric acetate.  Environmental Health Perspectives, 119 (7), 901–910. https://doi.org/10.1289/ehp.1409234</w:t>
      </w:r>
    </w:p>
    <w:p w14:paraId="54BDDF30" w14:textId="77777777" w:rsidR="006F1380" w:rsidRPr="00C77C54" w:rsidRDefault="006F1380" w:rsidP="006F1380">
      <w:pPr>
        <w:pStyle w:val="ListParagraph"/>
        <w:spacing w:beforeLines="120" w:before="288" w:afterLines="120" w:after="288" w:line="276" w:lineRule="auto"/>
        <w:ind w:left="1440" w:hanging="1080"/>
        <w:jc w:val="both"/>
        <w:rPr>
          <w:color w:val="000000"/>
          <w:sz w:val="22"/>
          <w:szCs w:val="22"/>
        </w:rPr>
      </w:pPr>
      <w:r w:rsidRPr="00C77C54">
        <w:rPr>
          <w:color w:val="000000"/>
          <w:sz w:val="22"/>
          <w:szCs w:val="22"/>
        </w:rPr>
        <w:t xml:space="preserve">Robertson, K. M., Schuster, G. U., Steffensen, K. R., </w:t>
      </w:r>
      <w:proofErr w:type="spellStart"/>
      <w:r w:rsidRPr="00C77C54">
        <w:rPr>
          <w:color w:val="000000"/>
          <w:sz w:val="22"/>
          <w:szCs w:val="22"/>
        </w:rPr>
        <w:t>Hovatta</w:t>
      </w:r>
      <w:proofErr w:type="spellEnd"/>
      <w:r w:rsidRPr="00C77C54">
        <w:rPr>
          <w:color w:val="000000"/>
          <w:sz w:val="22"/>
          <w:szCs w:val="22"/>
        </w:rPr>
        <w:t xml:space="preserve">, O., Meaney, S., &amp; Gustafsson, J. A. (2005). The liver X receptor β is essential for maintaining cholesterol homeostasis in the testis.  Endocrinology, 146 (6), 2519–2530. https://doi.org/10.1210/en.2004 1393. </w:t>
      </w:r>
    </w:p>
    <w:p w14:paraId="13280690" w14:textId="77777777" w:rsidR="006F1380" w:rsidRPr="00C77C54" w:rsidRDefault="006F1380" w:rsidP="006F1380">
      <w:pPr>
        <w:pStyle w:val="ListParagraph"/>
        <w:spacing w:beforeLines="120" w:before="288" w:afterLines="120" w:after="288" w:line="276" w:lineRule="auto"/>
        <w:ind w:left="1440" w:hanging="1080"/>
        <w:jc w:val="both"/>
        <w:rPr>
          <w:color w:val="000000"/>
          <w:sz w:val="22"/>
          <w:szCs w:val="22"/>
        </w:rPr>
      </w:pPr>
      <w:r w:rsidRPr="00C77C54">
        <w:rPr>
          <w:color w:val="000000"/>
          <w:sz w:val="22"/>
          <w:szCs w:val="22"/>
        </w:rPr>
        <w:t xml:space="preserve">Wirth, J. J., &amp; Mijal, R. S. (2010). Adverse effects of low-level heavy metal exposure on male reproductive function.  Systems Biology in Reproductive Medicine, 56 (2), 147–167. </w:t>
      </w:r>
      <w:hyperlink r:id="rId13" w:history="1">
        <w:r w:rsidRPr="00C77C54">
          <w:rPr>
            <w:rStyle w:val="Hyperlink"/>
            <w:color w:val="000000"/>
            <w:sz w:val="22"/>
            <w:szCs w:val="22"/>
            <w:u w:val="none"/>
          </w:rPr>
          <w:t>https://doi.org/10.3109/19396360903582216</w:t>
        </w:r>
      </w:hyperlink>
      <w:r w:rsidRPr="00C77C54">
        <w:rPr>
          <w:color w:val="000000"/>
          <w:sz w:val="22"/>
          <w:szCs w:val="22"/>
        </w:rPr>
        <w:t xml:space="preserve">. </w:t>
      </w:r>
    </w:p>
    <w:p w14:paraId="019078CA" w14:textId="77777777" w:rsidR="006F1380" w:rsidRPr="00C77C54" w:rsidRDefault="006F1380" w:rsidP="006F1380">
      <w:pPr>
        <w:pStyle w:val="ListParagraph"/>
        <w:spacing w:beforeLines="120" w:before="288" w:afterLines="120" w:after="288" w:line="276" w:lineRule="auto"/>
        <w:ind w:left="1440" w:hanging="1080"/>
        <w:jc w:val="both"/>
        <w:rPr>
          <w:color w:val="000000"/>
          <w:sz w:val="22"/>
          <w:szCs w:val="22"/>
        </w:rPr>
      </w:pPr>
      <w:r w:rsidRPr="00C77C54">
        <w:rPr>
          <w:color w:val="000000"/>
          <w:sz w:val="22"/>
          <w:szCs w:val="22"/>
        </w:rPr>
        <w:t xml:space="preserve">Zhao, F., Zhao, Y., Liu, Y., Chang, X., Chen, C., &amp; Zhao, Y. (2011). Cellular uptake, intracellular trafficking, and cytotoxicity of nanomaterials.  Small, 7 (10), 1322–1337. </w:t>
      </w:r>
      <w:hyperlink r:id="rId14" w:history="1">
        <w:r w:rsidRPr="00C77C54">
          <w:rPr>
            <w:rStyle w:val="Hyperlink"/>
            <w:color w:val="000000"/>
            <w:sz w:val="22"/>
            <w:szCs w:val="22"/>
            <w:u w:val="none"/>
          </w:rPr>
          <w:t>https://doi.org/10.1002/smll.201100001</w:t>
        </w:r>
      </w:hyperlink>
      <w:r w:rsidRPr="00C77C54">
        <w:rPr>
          <w:color w:val="000000"/>
          <w:sz w:val="22"/>
          <w:szCs w:val="22"/>
        </w:rPr>
        <w:t xml:space="preserve">. </w:t>
      </w:r>
    </w:p>
    <w:p w14:paraId="1E7692E2" w14:textId="77777777" w:rsidR="006F1380" w:rsidRPr="006F1380" w:rsidRDefault="006F1380" w:rsidP="006F1380">
      <w:pPr>
        <w:pStyle w:val="ListParagraph"/>
        <w:spacing w:beforeLines="120" w:before="288" w:afterLines="120" w:after="288" w:line="276" w:lineRule="auto"/>
        <w:ind w:left="1440" w:hanging="1080"/>
        <w:jc w:val="both"/>
        <w:rPr>
          <w:color w:val="000000"/>
          <w:sz w:val="22"/>
          <w:szCs w:val="22"/>
        </w:rPr>
      </w:pPr>
      <w:r w:rsidRPr="00C77C54">
        <w:rPr>
          <w:color w:val="000000"/>
          <w:sz w:val="22"/>
          <w:szCs w:val="22"/>
          <w:lang w:val="de-DE" w:eastAsia="x-none"/>
        </w:rPr>
        <w:lastRenderedPageBreak/>
        <w:t xml:space="preserve">Zhu, X., Kusaka, Y., Sato, K., &amp; Zhang, Q. (2000). </w:t>
      </w:r>
      <w:r w:rsidRPr="00C77C54">
        <w:rPr>
          <w:color w:val="000000"/>
          <w:sz w:val="22"/>
          <w:szCs w:val="22"/>
        </w:rPr>
        <w:t xml:space="preserve">The endocrine disruptive effects of mercury.  Environmental Health and Preventive Medicine, 4 (4), 174–183. </w:t>
      </w:r>
      <w:hyperlink r:id="rId15" w:history="1">
        <w:r w:rsidRPr="00C77C54">
          <w:rPr>
            <w:rStyle w:val="Hyperlink"/>
            <w:color w:val="000000"/>
            <w:sz w:val="22"/>
            <w:szCs w:val="22"/>
            <w:u w:val="none"/>
          </w:rPr>
          <w:t>https://doi.org/10.1007/BF02931254</w:t>
        </w:r>
      </w:hyperlink>
      <w:r w:rsidRPr="00C77C54">
        <w:rPr>
          <w:color w:val="000000"/>
          <w:sz w:val="22"/>
          <w:szCs w:val="22"/>
        </w:rPr>
        <w:t>.</w:t>
      </w:r>
      <w:r w:rsidRPr="006F1380">
        <w:rPr>
          <w:color w:val="000000"/>
          <w:sz w:val="22"/>
          <w:szCs w:val="22"/>
        </w:rPr>
        <w:t xml:space="preserve"> </w:t>
      </w:r>
    </w:p>
    <w:p w14:paraId="45EDB61A" w14:textId="77777777" w:rsidR="007547C8" w:rsidRDefault="007547C8" w:rsidP="006F1380">
      <w:pPr>
        <w:spacing w:line="240" w:lineRule="auto"/>
        <w:rPr>
          <w:rFonts w:ascii="Times New Roman" w:hAnsi="Times New Roman" w:cs="Times New Roman"/>
          <w:b/>
          <w:bCs/>
        </w:rPr>
      </w:pPr>
    </w:p>
    <w:p w14:paraId="4B6FEC28" w14:textId="77777777" w:rsidR="00BD6CF6" w:rsidRDefault="00BD6CF6" w:rsidP="00F25843">
      <w:pPr>
        <w:spacing w:after="0" w:line="360" w:lineRule="auto"/>
        <w:jc w:val="center"/>
        <w:rPr>
          <w:rFonts w:ascii="Times New Roman Bold" w:hAnsi="Times New Roman Bold" w:cs="Times New Roman"/>
          <w:b/>
          <w:bCs/>
        </w:rPr>
      </w:pPr>
    </w:p>
    <w:p w14:paraId="1FC3A17C" w14:textId="77777777" w:rsidR="000009CF" w:rsidRPr="00A912BD" w:rsidRDefault="000009CF" w:rsidP="00346051">
      <w:pPr>
        <w:spacing w:after="0" w:line="360" w:lineRule="auto"/>
        <w:jc w:val="center"/>
        <w:rPr>
          <w:rFonts w:ascii="Times New Roman" w:hAnsi="Times New Roman" w:cs="Times New Roman"/>
          <w:b/>
          <w:bCs/>
          <w:sz w:val="24"/>
          <w:szCs w:val="24"/>
          <w:lang w:val="en-IN"/>
        </w:rPr>
      </w:pPr>
    </w:p>
    <w:sectPr w:rsidR="000009CF" w:rsidRPr="00A912BD" w:rsidSect="00C97748">
      <w:footerReference w:type="even" r:id="rId16"/>
      <w:footerReference w:type="default" r:id="rId17"/>
      <w:pgSz w:w="11909" w:h="16834" w:code="9"/>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6B5B" w14:textId="77777777" w:rsidR="0045777D" w:rsidRDefault="0045777D">
      <w:r>
        <w:separator/>
      </w:r>
    </w:p>
  </w:endnote>
  <w:endnote w:type="continuationSeparator" w:id="0">
    <w:p w14:paraId="5C0A5C5D" w14:textId="77777777" w:rsidR="0045777D" w:rsidRDefault="0045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CM R 17">
    <w:altName w:val="Calibri"/>
    <w:panose1 w:val="00000000000000000000"/>
    <w:charset w:val="00"/>
    <w:family w:val="swiss"/>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D3B9" w14:textId="77777777" w:rsidR="00244CCF" w:rsidRDefault="00244CCF" w:rsidP="00DF3D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74D">
      <w:rPr>
        <w:rStyle w:val="PageNumber"/>
        <w:noProof/>
      </w:rPr>
      <w:t>19</w:t>
    </w:r>
    <w:r>
      <w:rPr>
        <w:rStyle w:val="PageNumber"/>
      </w:rPr>
      <w:fldChar w:fldCharType="end"/>
    </w:r>
  </w:p>
  <w:p w14:paraId="4CD00C0A" w14:textId="77777777" w:rsidR="00244CCF" w:rsidRDefault="00244CCF" w:rsidP="001436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036D" w14:textId="77777777" w:rsidR="00244CCF" w:rsidRDefault="00244CCF" w:rsidP="00DF3D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6AE3">
      <w:rPr>
        <w:rStyle w:val="PageNumber"/>
        <w:noProof/>
      </w:rPr>
      <w:t>1</w:t>
    </w:r>
    <w:r>
      <w:rPr>
        <w:rStyle w:val="PageNumber"/>
      </w:rPr>
      <w:fldChar w:fldCharType="end"/>
    </w:r>
  </w:p>
  <w:p w14:paraId="02736157" w14:textId="77777777" w:rsidR="00244CCF" w:rsidRDefault="00244CCF" w:rsidP="001436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21EB" w14:textId="77777777" w:rsidR="0045777D" w:rsidRDefault="0045777D">
      <w:r>
        <w:separator/>
      </w:r>
    </w:p>
  </w:footnote>
  <w:footnote w:type="continuationSeparator" w:id="0">
    <w:p w14:paraId="297583F2" w14:textId="77777777" w:rsidR="0045777D" w:rsidRDefault="00457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94D"/>
    <w:multiLevelType w:val="multilevel"/>
    <w:tmpl w:val="97225F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9752F0"/>
    <w:multiLevelType w:val="multilevel"/>
    <w:tmpl w:val="FE4EA274"/>
    <w:styleLink w:val="CurrentList3"/>
    <w:lvl w:ilvl="0">
      <w:start w:val="1"/>
      <w:numFmt w:val="decimal"/>
      <w:lvlText w:val="%1."/>
      <w:lvlJc w:val="left"/>
      <w:pPr>
        <w:ind w:left="720" w:hanging="360"/>
      </w:pPr>
    </w:lvl>
    <w:lvl w:ilvl="1">
      <w:start w:val="2"/>
      <w:numFmt w:val="decimal"/>
      <w:isLgl/>
      <w:lvlText w:val="%1.%2."/>
      <w:lvlJc w:val="left"/>
      <w:pPr>
        <w:ind w:left="540" w:hanging="540"/>
      </w:pPr>
    </w:lvl>
    <w:lvl w:ilvl="2">
      <w:start w:val="2"/>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FB46210"/>
    <w:multiLevelType w:val="hybridMultilevel"/>
    <w:tmpl w:val="5978A202"/>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 w15:restartNumberingAfterBreak="0">
    <w:nsid w:val="6BC6686C"/>
    <w:multiLevelType w:val="multilevel"/>
    <w:tmpl w:val="F81E5290"/>
    <w:styleLink w:val="CurrentList1"/>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6CBA7986"/>
    <w:multiLevelType w:val="multilevel"/>
    <w:tmpl w:val="F81E5290"/>
    <w:styleLink w:val="CurrentList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236399339">
    <w:abstractNumId w:val="1"/>
  </w:num>
  <w:num w:numId="2" w16cid:durableId="694961007">
    <w:abstractNumId w:val="3"/>
  </w:num>
  <w:num w:numId="3" w16cid:durableId="947392556">
    <w:abstractNumId w:val="4"/>
  </w:num>
  <w:num w:numId="4" w16cid:durableId="19507017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85826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604"/>
    <w:rsid w:val="00000897"/>
    <w:rsid w:val="000009CF"/>
    <w:rsid w:val="000039BE"/>
    <w:rsid w:val="0001126B"/>
    <w:rsid w:val="00013BFA"/>
    <w:rsid w:val="00021990"/>
    <w:rsid w:val="00027530"/>
    <w:rsid w:val="00030D08"/>
    <w:rsid w:val="00031305"/>
    <w:rsid w:val="00037AB9"/>
    <w:rsid w:val="00040044"/>
    <w:rsid w:val="00042FF3"/>
    <w:rsid w:val="00045EF2"/>
    <w:rsid w:val="00053ECC"/>
    <w:rsid w:val="00060572"/>
    <w:rsid w:val="000664AF"/>
    <w:rsid w:val="0007438D"/>
    <w:rsid w:val="00074488"/>
    <w:rsid w:val="00080519"/>
    <w:rsid w:val="00081FD0"/>
    <w:rsid w:val="00082716"/>
    <w:rsid w:val="000841D1"/>
    <w:rsid w:val="000851C1"/>
    <w:rsid w:val="00085987"/>
    <w:rsid w:val="00085A7B"/>
    <w:rsid w:val="00087667"/>
    <w:rsid w:val="00091428"/>
    <w:rsid w:val="00094DB6"/>
    <w:rsid w:val="0009704F"/>
    <w:rsid w:val="000975FE"/>
    <w:rsid w:val="00097645"/>
    <w:rsid w:val="000A208D"/>
    <w:rsid w:val="000A20A7"/>
    <w:rsid w:val="000B6109"/>
    <w:rsid w:val="000C08BB"/>
    <w:rsid w:val="000C0EFF"/>
    <w:rsid w:val="000C1010"/>
    <w:rsid w:val="000C6BD2"/>
    <w:rsid w:val="000D2FF4"/>
    <w:rsid w:val="000D498A"/>
    <w:rsid w:val="000D4C70"/>
    <w:rsid w:val="000D62C1"/>
    <w:rsid w:val="000D7C7B"/>
    <w:rsid w:val="000E0D03"/>
    <w:rsid w:val="000E10F5"/>
    <w:rsid w:val="000E3971"/>
    <w:rsid w:val="000E55D4"/>
    <w:rsid w:val="000F080F"/>
    <w:rsid w:val="000F27F0"/>
    <w:rsid w:val="000F4764"/>
    <w:rsid w:val="000F4D5E"/>
    <w:rsid w:val="000F6DA3"/>
    <w:rsid w:val="00101354"/>
    <w:rsid w:val="00102E39"/>
    <w:rsid w:val="00107F4E"/>
    <w:rsid w:val="0011041B"/>
    <w:rsid w:val="00112DF0"/>
    <w:rsid w:val="0011741C"/>
    <w:rsid w:val="00117C0B"/>
    <w:rsid w:val="00122BC1"/>
    <w:rsid w:val="00126E74"/>
    <w:rsid w:val="0013433D"/>
    <w:rsid w:val="001352A6"/>
    <w:rsid w:val="001411FA"/>
    <w:rsid w:val="001436E3"/>
    <w:rsid w:val="00150A3D"/>
    <w:rsid w:val="00154BB4"/>
    <w:rsid w:val="00154CE9"/>
    <w:rsid w:val="00160A8D"/>
    <w:rsid w:val="00161DFC"/>
    <w:rsid w:val="001629D1"/>
    <w:rsid w:val="0016350A"/>
    <w:rsid w:val="00166788"/>
    <w:rsid w:val="0016760C"/>
    <w:rsid w:val="00171D45"/>
    <w:rsid w:val="00172DEF"/>
    <w:rsid w:val="00183F51"/>
    <w:rsid w:val="00184D20"/>
    <w:rsid w:val="00184F5A"/>
    <w:rsid w:val="00185FC6"/>
    <w:rsid w:val="00186258"/>
    <w:rsid w:val="001862AE"/>
    <w:rsid w:val="001869C3"/>
    <w:rsid w:val="00191FAC"/>
    <w:rsid w:val="00193EC6"/>
    <w:rsid w:val="00195BBE"/>
    <w:rsid w:val="001A1D74"/>
    <w:rsid w:val="001A5C5E"/>
    <w:rsid w:val="001B0695"/>
    <w:rsid w:val="001B4627"/>
    <w:rsid w:val="001B5A1F"/>
    <w:rsid w:val="001B7271"/>
    <w:rsid w:val="001C0F62"/>
    <w:rsid w:val="001C13B8"/>
    <w:rsid w:val="001C1568"/>
    <w:rsid w:val="001C3AAD"/>
    <w:rsid w:val="001C400E"/>
    <w:rsid w:val="001C44C5"/>
    <w:rsid w:val="001C5CDB"/>
    <w:rsid w:val="001C7915"/>
    <w:rsid w:val="001D1B6D"/>
    <w:rsid w:val="001D3256"/>
    <w:rsid w:val="001D3623"/>
    <w:rsid w:val="001D429E"/>
    <w:rsid w:val="001D4B41"/>
    <w:rsid w:val="001D629B"/>
    <w:rsid w:val="001E00A8"/>
    <w:rsid w:val="001E4118"/>
    <w:rsid w:val="001E46D9"/>
    <w:rsid w:val="001E4C36"/>
    <w:rsid w:val="001E6D69"/>
    <w:rsid w:val="001E798A"/>
    <w:rsid w:val="001F19DE"/>
    <w:rsid w:val="001F2051"/>
    <w:rsid w:val="001F214F"/>
    <w:rsid w:val="00211849"/>
    <w:rsid w:val="00213E8C"/>
    <w:rsid w:val="002145A7"/>
    <w:rsid w:val="00216B73"/>
    <w:rsid w:val="0021788C"/>
    <w:rsid w:val="00223BD1"/>
    <w:rsid w:val="00227742"/>
    <w:rsid w:val="00234D04"/>
    <w:rsid w:val="002378C8"/>
    <w:rsid w:val="002421D0"/>
    <w:rsid w:val="00244CCF"/>
    <w:rsid w:val="0024573E"/>
    <w:rsid w:val="00246228"/>
    <w:rsid w:val="002477C0"/>
    <w:rsid w:val="00252481"/>
    <w:rsid w:val="00254580"/>
    <w:rsid w:val="00256589"/>
    <w:rsid w:val="00256B94"/>
    <w:rsid w:val="00257166"/>
    <w:rsid w:val="00260836"/>
    <w:rsid w:val="0026373C"/>
    <w:rsid w:val="00263ABB"/>
    <w:rsid w:val="00263E10"/>
    <w:rsid w:val="00265183"/>
    <w:rsid w:val="0027044E"/>
    <w:rsid w:val="002729B8"/>
    <w:rsid w:val="00274408"/>
    <w:rsid w:val="002757DC"/>
    <w:rsid w:val="00276DD8"/>
    <w:rsid w:val="002821F9"/>
    <w:rsid w:val="00283562"/>
    <w:rsid w:val="002903B9"/>
    <w:rsid w:val="002A15AB"/>
    <w:rsid w:val="002B3F44"/>
    <w:rsid w:val="002B51BF"/>
    <w:rsid w:val="002C11EB"/>
    <w:rsid w:val="002C50D2"/>
    <w:rsid w:val="002C53A6"/>
    <w:rsid w:val="002C5473"/>
    <w:rsid w:val="002C5AFC"/>
    <w:rsid w:val="002C6A23"/>
    <w:rsid w:val="002C7B03"/>
    <w:rsid w:val="002D0FEE"/>
    <w:rsid w:val="002D1E4A"/>
    <w:rsid w:val="002D2604"/>
    <w:rsid w:val="002D5E86"/>
    <w:rsid w:val="002D60CD"/>
    <w:rsid w:val="002D66CF"/>
    <w:rsid w:val="002F376C"/>
    <w:rsid w:val="002F4CD7"/>
    <w:rsid w:val="002F7C87"/>
    <w:rsid w:val="00300BE2"/>
    <w:rsid w:val="003010C0"/>
    <w:rsid w:val="00310775"/>
    <w:rsid w:val="00310997"/>
    <w:rsid w:val="003111A8"/>
    <w:rsid w:val="00315202"/>
    <w:rsid w:val="00315922"/>
    <w:rsid w:val="00316AFB"/>
    <w:rsid w:val="00316F1E"/>
    <w:rsid w:val="00322836"/>
    <w:rsid w:val="00323C8D"/>
    <w:rsid w:val="003306AC"/>
    <w:rsid w:val="003310D9"/>
    <w:rsid w:val="00340DC6"/>
    <w:rsid w:val="00340E8C"/>
    <w:rsid w:val="00341CE7"/>
    <w:rsid w:val="00342034"/>
    <w:rsid w:val="003451A2"/>
    <w:rsid w:val="00346051"/>
    <w:rsid w:val="003500AA"/>
    <w:rsid w:val="0035170F"/>
    <w:rsid w:val="00352475"/>
    <w:rsid w:val="0035424F"/>
    <w:rsid w:val="00354BA8"/>
    <w:rsid w:val="003626CC"/>
    <w:rsid w:val="00363FEF"/>
    <w:rsid w:val="00367B23"/>
    <w:rsid w:val="003707AD"/>
    <w:rsid w:val="0037349C"/>
    <w:rsid w:val="00373F5A"/>
    <w:rsid w:val="00375908"/>
    <w:rsid w:val="00384437"/>
    <w:rsid w:val="0039235A"/>
    <w:rsid w:val="00395ADB"/>
    <w:rsid w:val="003A014E"/>
    <w:rsid w:val="003A2CC0"/>
    <w:rsid w:val="003A4047"/>
    <w:rsid w:val="003A43DC"/>
    <w:rsid w:val="003A5633"/>
    <w:rsid w:val="003A5DD2"/>
    <w:rsid w:val="003B05FD"/>
    <w:rsid w:val="003B3D82"/>
    <w:rsid w:val="003B76FA"/>
    <w:rsid w:val="003C5DEF"/>
    <w:rsid w:val="003C6234"/>
    <w:rsid w:val="003D6211"/>
    <w:rsid w:val="003D6B34"/>
    <w:rsid w:val="003E1C8E"/>
    <w:rsid w:val="003E4379"/>
    <w:rsid w:val="003E6B70"/>
    <w:rsid w:val="003F051D"/>
    <w:rsid w:val="003F1B46"/>
    <w:rsid w:val="003F262A"/>
    <w:rsid w:val="003F2BAF"/>
    <w:rsid w:val="003F5FEC"/>
    <w:rsid w:val="00404AFA"/>
    <w:rsid w:val="0041028C"/>
    <w:rsid w:val="004119D8"/>
    <w:rsid w:val="00412955"/>
    <w:rsid w:val="00412FDE"/>
    <w:rsid w:val="00413AF5"/>
    <w:rsid w:val="00427A78"/>
    <w:rsid w:val="00433D2D"/>
    <w:rsid w:val="00440FF0"/>
    <w:rsid w:val="0045777D"/>
    <w:rsid w:val="004675CB"/>
    <w:rsid w:val="00472B04"/>
    <w:rsid w:val="004748F1"/>
    <w:rsid w:val="00476D4F"/>
    <w:rsid w:val="00484828"/>
    <w:rsid w:val="00491781"/>
    <w:rsid w:val="00492AB8"/>
    <w:rsid w:val="004934AB"/>
    <w:rsid w:val="0049397E"/>
    <w:rsid w:val="00496883"/>
    <w:rsid w:val="004A044B"/>
    <w:rsid w:val="004A6366"/>
    <w:rsid w:val="004B13D6"/>
    <w:rsid w:val="004B5830"/>
    <w:rsid w:val="004B59F6"/>
    <w:rsid w:val="004B62C5"/>
    <w:rsid w:val="004C0BCE"/>
    <w:rsid w:val="004D149B"/>
    <w:rsid w:val="004D6206"/>
    <w:rsid w:val="004D6ADC"/>
    <w:rsid w:val="004E3192"/>
    <w:rsid w:val="004E5A69"/>
    <w:rsid w:val="004F068B"/>
    <w:rsid w:val="004F2B54"/>
    <w:rsid w:val="004F3F1F"/>
    <w:rsid w:val="004F43F5"/>
    <w:rsid w:val="004F751E"/>
    <w:rsid w:val="0050276C"/>
    <w:rsid w:val="00502D53"/>
    <w:rsid w:val="00502E53"/>
    <w:rsid w:val="00502F65"/>
    <w:rsid w:val="00503FFD"/>
    <w:rsid w:val="005137E7"/>
    <w:rsid w:val="00514328"/>
    <w:rsid w:val="00521F96"/>
    <w:rsid w:val="005222EF"/>
    <w:rsid w:val="005237D5"/>
    <w:rsid w:val="00530AA9"/>
    <w:rsid w:val="005330BA"/>
    <w:rsid w:val="00533A39"/>
    <w:rsid w:val="00533BED"/>
    <w:rsid w:val="00535D7F"/>
    <w:rsid w:val="00536863"/>
    <w:rsid w:val="005377A8"/>
    <w:rsid w:val="00543849"/>
    <w:rsid w:val="00544F3B"/>
    <w:rsid w:val="00546934"/>
    <w:rsid w:val="0055395E"/>
    <w:rsid w:val="005548FB"/>
    <w:rsid w:val="005551F2"/>
    <w:rsid w:val="00555B63"/>
    <w:rsid w:val="005603E9"/>
    <w:rsid w:val="005616D7"/>
    <w:rsid w:val="0057013D"/>
    <w:rsid w:val="00574167"/>
    <w:rsid w:val="00581ED1"/>
    <w:rsid w:val="00582DE3"/>
    <w:rsid w:val="00583F57"/>
    <w:rsid w:val="00586648"/>
    <w:rsid w:val="00586FC3"/>
    <w:rsid w:val="005873C0"/>
    <w:rsid w:val="005913ED"/>
    <w:rsid w:val="005931AB"/>
    <w:rsid w:val="00596FDD"/>
    <w:rsid w:val="005A27CB"/>
    <w:rsid w:val="005A44E2"/>
    <w:rsid w:val="005A74EF"/>
    <w:rsid w:val="005B086E"/>
    <w:rsid w:val="005B0B27"/>
    <w:rsid w:val="005B2657"/>
    <w:rsid w:val="005B7BE7"/>
    <w:rsid w:val="005C2552"/>
    <w:rsid w:val="005C28E5"/>
    <w:rsid w:val="005C7DA9"/>
    <w:rsid w:val="005D1FA2"/>
    <w:rsid w:val="005D6753"/>
    <w:rsid w:val="005E06DD"/>
    <w:rsid w:val="005E1EEB"/>
    <w:rsid w:val="005E7FE7"/>
    <w:rsid w:val="005F5C7D"/>
    <w:rsid w:val="005F5F08"/>
    <w:rsid w:val="00600331"/>
    <w:rsid w:val="006067F4"/>
    <w:rsid w:val="00610304"/>
    <w:rsid w:val="0061592A"/>
    <w:rsid w:val="0061729B"/>
    <w:rsid w:val="00617C9E"/>
    <w:rsid w:val="006268B5"/>
    <w:rsid w:val="006271D0"/>
    <w:rsid w:val="0063186A"/>
    <w:rsid w:val="00640494"/>
    <w:rsid w:val="00643C2F"/>
    <w:rsid w:val="0064627B"/>
    <w:rsid w:val="00653A7F"/>
    <w:rsid w:val="00655101"/>
    <w:rsid w:val="006568C4"/>
    <w:rsid w:val="006573F9"/>
    <w:rsid w:val="00662289"/>
    <w:rsid w:val="00671405"/>
    <w:rsid w:val="00672C5B"/>
    <w:rsid w:val="00675D8B"/>
    <w:rsid w:val="00676EF9"/>
    <w:rsid w:val="006772D2"/>
    <w:rsid w:val="006815FC"/>
    <w:rsid w:val="006855CA"/>
    <w:rsid w:val="00687A21"/>
    <w:rsid w:val="00690231"/>
    <w:rsid w:val="00691DB8"/>
    <w:rsid w:val="006930ED"/>
    <w:rsid w:val="00693905"/>
    <w:rsid w:val="00695CE7"/>
    <w:rsid w:val="006964B7"/>
    <w:rsid w:val="00697AD1"/>
    <w:rsid w:val="006A65CF"/>
    <w:rsid w:val="006B01A6"/>
    <w:rsid w:val="006B03F4"/>
    <w:rsid w:val="006B2B8C"/>
    <w:rsid w:val="006B4A3A"/>
    <w:rsid w:val="006C2AB9"/>
    <w:rsid w:val="006C53A3"/>
    <w:rsid w:val="006D6276"/>
    <w:rsid w:val="006D7DF7"/>
    <w:rsid w:val="006F1380"/>
    <w:rsid w:val="006F452A"/>
    <w:rsid w:val="006F56AA"/>
    <w:rsid w:val="006F7564"/>
    <w:rsid w:val="007032B2"/>
    <w:rsid w:val="0070471B"/>
    <w:rsid w:val="00706D2B"/>
    <w:rsid w:val="00707899"/>
    <w:rsid w:val="00707AB2"/>
    <w:rsid w:val="00712729"/>
    <w:rsid w:val="007143FB"/>
    <w:rsid w:val="00715C91"/>
    <w:rsid w:val="00720296"/>
    <w:rsid w:val="00720C9B"/>
    <w:rsid w:val="007229C2"/>
    <w:rsid w:val="00723040"/>
    <w:rsid w:val="00724400"/>
    <w:rsid w:val="007405B2"/>
    <w:rsid w:val="00745B3D"/>
    <w:rsid w:val="00745BCC"/>
    <w:rsid w:val="0074619F"/>
    <w:rsid w:val="007471AC"/>
    <w:rsid w:val="007532C5"/>
    <w:rsid w:val="007547C8"/>
    <w:rsid w:val="00755417"/>
    <w:rsid w:val="00761693"/>
    <w:rsid w:val="0076539A"/>
    <w:rsid w:val="007672A3"/>
    <w:rsid w:val="00774C0C"/>
    <w:rsid w:val="00782C43"/>
    <w:rsid w:val="00783DF4"/>
    <w:rsid w:val="00784635"/>
    <w:rsid w:val="00790C4D"/>
    <w:rsid w:val="00793D1C"/>
    <w:rsid w:val="0079480F"/>
    <w:rsid w:val="007A4B3F"/>
    <w:rsid w:val="007A6B4F"/>
    <w:rsid w:val="007B1933"/>
    <w:rsid w:val="007B7178"/>
    <w:rsid w:val="007C0092"/>
    <w:rsid w:val="007C2C87"/>
    <w:rsid w:val="007C3CA9"/>
    <w:rsid w:val="007C4470"/>
    <w:rsid w:val="007C4536"/>
    <w:rsid w:val="007C4F9F"/>
    <w:rsid w:val="007D0CA3"/>
    <w:rsid w:val="007D102D"/>
    <w:rsid w:val="007D2CAE"/>
    <w:rsid w:val="007D549F"/>
    <w:rsid w:val="007D591B"/>
    <w:rsid w:val="007D7330"/>
    <w:rsid w:val="007E4D0B"/>
    <w:rsid w:val="007E779B"/>
    <w:rsid w:val="00800712"/>
    <w:rsid w:val="00800F46"/>
    <w:rsid w:val="00804A30"/>
    <w:rsid w:val="00804B65"/>
    <w:rsid w:val="00813D7D"/>
    <w:rsid w:val="008170C0"/>
    <w:rsid w:val="0082016F"/>
    <w:rsid w:val="00822B4E"/>
    <w:rsid w:val="0082328A"/>
    <w:rsid w:val="0082486A"/>
    <w:rsid w:val="00827008"/>
    <w:rsid w:val="008334D1"/>
    <w:rsid w:val="00833D95"/>
    <w:rsid w:val="0084744C"/>
    <w:rsid w:val="00850AF5"/>
    <w:rsid w:val="00852DA6"/>
    <w:rsid w:val="00853766"/>
    <w:rsid w:val="0085688F"/>
    <w:rsid w:val="00862FF6"/>
    <w:rsid w:val="0086795C"/>
    <w:rsid w:val="00870B89"/>
    <w:rsid w:val="008734DA"/>
    <w:rsid w:val="00880AD2"/>
    <w:rsid w:val="00880AED"/>
    <w:rsid w:val="00887D29"/>
    <w:rsid w:val="008917A1"/>
    <w:rsid w:val="00891AAF"/>
    <w:rsid w:val="00892B8F"/>
    <w:rsid w:val="00892EC0"/>
    <w:rsid w:val="00896688"/>
    <w:rsid w:val="008A5F36"/>
    <w:rsid w:val="008A7D9C"/>
    <w:rsid w:val="008B2026"/>
    <w:rsid w:val="008B21AE"/>
    <w:rsid w:val="008B2C4F"/>
    <w:rsid w:val="008B7DD5"/>
    <w:rsid w:val="008C4F2F"/>
    <w:rsid w:val="008C659D"/>
    <w:rsid w:val="008D0F27"/>
    <w:rsid w:val="008D1F47"/>
    <w:rsid w:val="008D3391"/>
    <w:rsid w:val="008D3959"/>
    <w:rsid w:val="008D3AF7"/>
    <w:rsid w:val="008E5383"/>
    <w:rsid w:val="008E6AE3"/>
    <w:rsid w:val="008E79F1"/>
    <w:rsid w:val="008F1BCA"/>
    <w:rsid w:val="008F2746"/>
    <w:rsid w:val="008F34CD"/>
    <w:rsid w:val="008F3BCD"/>
    <w:rsid w:val="008F3ECE"/>
    <w:rsid w:val="00902896"/>
    <w:rsid w:val="0090578A"/>
    <w:rsid w:val="00906F05"/>
    <w:rsid w:val="00907E5A"/>
    <w:rsid w:val="00912415"/>
    <w:rsid w:val="00914B8D"/>
    <w:rsid w:val="009225F7"/>
    <w:rsid w:val="00923EF2"/>
    <w:rsid w:val="00930D17"/>
    <w:rsid w:val="00934947"/>
    <w:rsid w:val="009367CF"/>
    <w:rsid w:val="009432D1"/>
    <w:rsid w:val="00944E24"/>
    <w:rsid w:val="00945E66"/>
    <w:rsid w:val="009513F2"/>
    <w:rsid w:val="0095175E"/>
    <w:rsid w:val="0095197E"/>
    <w:rsid w:val="009525A6"/>
    <w:rsid w:val="00952C1B"/>
    <w:rsid w:val="009558DE"/>
    <w:rsid w:val="00956DF8"/>
    <w:rsid w:val="009618F5"/>
    <w:rsid w:val="009622EF"/>
    <w:rsid w:val="009658D7"/>
    <w:rsid w:val="00965E2D"/>
    <w:rsid w:val="00970032"/>
    <w:rsid w:val="009739C0"/>
    <w:rsid w:val="00984207"/>
    <w:rsid w:val="00984508"/>
    <w:rsid w:val="00984A30"/>
    <w:rsid w:val="009A1921"/>
    <w:rsid w:val="009A51B7"/>
    <w:rsid w:val="009B0299"/>
    <w:rsid w:val="009B1E06"/>
    <w:rsid w:val="009C038F"/>
    <w:rsid w:val="009C134A"/>
    <w:rsid w:val="009C20C2"/>
    <w:rsid w:val="009C2803"/>
    <w:rsid w:val="009C2E3E"/>
    <w:rsid w:val="009C3EF0"/>
    <w:rsid w:val="009C424E"/>
    <w:rsid w:val="009C63B9"/>
    <w:rsid w:val="009D0AC5"/>
    <w:rsid w:val="009D17B8"/>
    <w:rsid w:val="009D5630"/>
    <w:rsid w:val="009D7748"/>
    <w:rsid w:val="009E026B"/>
    <w:rsid w:val="009E164B"/>
    <w:rsid w:val="009E1C06"/>
    <w:rsid w:val="009E39AE"/>
    <w:rsid w:val="009F13EA"/>
    <w:rsid w:val="009F722A"/>
    <w:rsid w:val="00A03971"/>
    <w:rsid w:val="00A11064"/>
    <w:rsid w:val="00A12824"/>
    <w:rsid w:val="00A170B4"/>
    <w:rsid w:val="00A17912"/>
    <w:rsid w:val="00A20586"/>
    <w:rsid w:val="00A21686"/>
    <w:rsid w:val="00A2313C"/>
    <w:rsid w:val="00A250EB"/>
    <w:rsid w:val="00A30BC4"/>
    <w:rsid w:val="00A31E7C"/>
    <w:rsid w:val="00A325DB"/>
    <w:rsid w:val="00A45768"/>
    <w:rsid w:val="00A60F17"/>
    <w:rsid w:val="00A643C4"/>
    <w:rsid w:val="00A73DDA"/>
    <w:rsid w:val="00A74A2A"/>
    <w:rsid w:val="00A75F32"/>
    <w:rsid w:val="00A75F8E"/>
    <w:rsid w:val="00A86970"/>
    <w:rsid w:val="00A90BD8"/>
    <w:rsid w:val="00A912BD"/>
    <w:rsid w:val="00A92F80"/>
    <w:rsid w:val="00AA3B3F"/>
    <w:rsid w:val="00AA5A0B"/>
    <w:rsid w:val="00AA7AD3"/>
    <w:rsid w:val="00AA7E8E"/>
    <w:rsid w:val="00AB019C"/>
    <w:rsid w:val="00AB3CD4"/>
    <w:rsid w:val="00AB6159"/>
    <w:rsid w:val="00AC03C2"/>
    <w:rsid w:val="00AC1FD5"/>
    <w:rsid w:val="00AC3742"/>
    <w:rsid w:val="00AC3A81"/>
    <w:rsid w:val="00AC5017"/>
    <w:rsid w:val="00AD2CF7"/>
    <w:rsid w:val="00AD6849"/>
    <w:rsid w:val="00AD7772"/>
    <w:rsid w:val="00AE039B"/>
    <w:rsid w:val="00AE7E1E"/>
    <w:rsid w:val="00AF0919"/>
    <w:rsid w:val="00AF226E"/>
    <w:rsid w:val="00AF55D2"/>
    <w:rsid w:val="00B040A6"/>
    <w:rsid w:val="00B06059"/>
    <w:rsid w:val="00B07CF2"/>
    <w:rsid w:val="00B14C5D"/>
    <w:rsid w:val="00B16190"/>
    <w:rsid w:val="00B17B5C"/>
    <w:rsid w:val="00B230AD"/>
    <w:rsid w:val="00B23D0A"/>
    <w:rsid w:val="00B34ABF"/>
    <w:rsid w:val="00B37C30"/>
    <w:rsid w:val="00B4461D"/>
    <w:rsid w:val="00B47D11"/>
    <w:rsid w:val="00B51B17"/>
    <w:rsid w:val="00B5374D"/>
    <w:rsid w:val="00B55ADA"/>
    <w:rsid w:val="00B62187"/>
    <w:rsid w:val="00B64638"/>
    <w:rsid w:val="00B66932"/>
    <w:rsid w:val="00B708D1"/>
    <w:rsid w:val="00B72F07"/>
    <w:rsid w:val="00B765F9"/>
    <w:rsid w:val="00B77022"/>
    <w:rsid w:val="00B8002C"/>
    <w:rsid w:val="00B806FC"/>
    <w:rsid w:val="00B80C62"/>
    <w:rsid w:val="00B80F84"/>
    <w:rsid w:val="00B847D1"/>
    <w:rsid w:val="00B851E4"/>
    <w:rsid w:val="00B8598E"/>
    <w:rsid w:val="00B8776B"/>
    <w:rsid w:val="00B94EB8"/>
    <w:rsid w:val="00B94EDF"/>
    <w:rsid w:val="00BA0841"/>
    <w:rsid w:val="00BA3F8D"/>
    <w:rsid w:val="00BA4A2D"/>
    <w:rsid w:val="00BB0F63"/>
    <w:rsid w:val="00BB114A"/>
    <w:rsid w:val="00BB211F"/>
    <w:rsid w:val="00BB6DE3"/>
    <w:rsid w:val="00BB7B20"/>
    <w:rsid w:val="00BC0198"/>
    <w:rsid w:val="00BC22EF"/>
    <w:rsid w:val="00BC50E5"/>
    <w:rsid w:val="00BC5928"/>
    <w:rsid w:val="00BC652A"/>
    <w:rsid w:val="00BC7472"/>
    <w:rsid w:val="00BC77C1"/>
    <w:rsid w:val="00BD1CE1"/>
    <w:rsid w:val="00BD278C"/>
    <w:rsid w:val="00BD4488"/>
    <w:rsid w:val="00BD5496"/>
    <w:rsid w:val="00BD6CF6"/>
    <w:rsid w:val="00BD718D"/>
    <w:rsid w:val="00BE1091"/>
    <w:rsid w:val="00BE320E"/>
    <w:rsid w:val="00BE483A"/>
    <w:rsid w:val="00BE5695"/>
    <w:rsid w:val="00BE6C7A"/>
    <w:rsid w:val="00BF20AD"/>
    <w:rsid w:val="00BF7870"/>
    <w:rsid w:val="00C06F9E"/>
    <w:rsid w:val="00C071F8"/>
    <w:rsid w:val="00C10D5A"/>
    <w:rsid w:val="00C11B2E"/>
    <w:rsid w:val="00C134D5"/>
    <w:rsid w:val="00C15438"/>
    <w:rsid w:val="00C17A0A"/>
    <w:rsid w:val="00C211E2"/>
    <w:rsid w:val="00C24ABD"/>
    <w:rsid w:val="00C30202"/>
    <w:rsid w:val="00C30F8F"/>
    <w:rsid w:val="00C31B15"/>
    <w:rsid w:val="00C337F7"/>
    <w:rsid w:val="00C402EF"/>
    <w:rsid w:val="00C41F90"/>
    <w:rsid w:val="00C432A7"/>
    <w:rsid w:val="00C451D8"/>
    <w:rsid w:val="00C4565B"/>
    <w:rsid w:val="00C471D7"/>
    <w:rsid w:val="00C50635"/>
    <w:rsid w:val="00C50F4E"/>
    <w:rsid w:val="00C53249"/>
    <w:rsid w:val="00C600E8"/>
    <w:rsid w:val="00C618BB"/>
    <w:rsid w:val="00C6235F"/>
    <w:rsid w:val="00C655B5"/>
    <w:rsid w:val="00C67D31"/>
    <w:rsid w:val="00C733F2"/>
    <w:rsid w:val="00C74BF7"/>
    <w:rsid w:val="00C75830"/>
    <w:rsid w:val="00C761C0"/>
    <w:rsid w:val="00C77C48"/>
    <w:rsid w:val="00C77C54"/>
    <w:rsid w:val="00C80F02"/>
    <w:rsid w:val="00C81296"/>
    <w:rsid w:val="00C86CE9"/>
    <w:rsid w:val="00C87CA1"/>
    <w:rsid w:val="00C9305D"/>
    <w:rsid w:val="00C937A4"/>
    <w:rsid w:val="00C94F4B"/>
    <w:rsid w:val="00C9525E"/>
    <w:rsid w:val="00C95838"/>
    <w:rsid w:val="00C95E52"/>
    <w:rsid w:val="00C96DDD"/>
    <w:rsid w:val="00C97748"/>
    <w:rsid w:val="00CA075A"/>
    <w:rsid w:val="00CA264F"/>
    <w:rsid w:val="00CA26AB"/>
    <w:rsid w:val="00CA32C9"/>
    <w:rsid w:val="00CA743E"/>
    <w:rsid w:val="00CB2CF4"/>
    <w:rsid w:val="00CB32F6"/>
    <w:rsid w:val="00CC19AA"/>
    <w:rsid w:val="00CC324D"/>
    <w:rsid w:val="00CD1184"/>
    <w:rsid w:val="00CD4B59"/>
    <w:rsid w:val="00CD5BD1"/>
    <w:rsid w:val="00CE09AF"/>
    <w:rsid w:val="00CE55BC"/>
    <w:rsid w:val="00CE6263"/>
    <w:rsid w:val="00CE75CA"/>
    <w:rsid w:val="00CF081D"/>
    <w:rsid w:val="00CF42F0"/>
    <w:rsid w:val="00CF5F56"/>
    <w:rsid w:val="00D0235C"/>
    <w:rsid w:val="00D07927"/>
    <w:rsid w:val="00D10133"/>
    <w:rsid w:val="00D11A75"/>
    <w:rsid w:val="00D12E99"/>
    <w:rsid w:val="00D15959"/>
    <w:rsid w:val="00D22A9D"/>
    <w:rsid w:val="00D26489"/>
    <w:rsid w:val="00D26906"/>
    <w:rsid w:val="00D30358"/>
    <w:rsid w:val="00D3254D"/>
    <w:rsid w:val="00D34222"/>
    <w:rsid w:val="00D36520"/>
    <w:rsid w:val="00D517E6"/>
    <w:rsid w:val="00D549ED"/>
    <w:rsid w:val="00D5529A"/>
    <w:rsid w:val="00D60383"/>
    <w:rsid w:val="00D65AC1"/>
    <w:rsid w:val="00D70027"/>
    <w:rsid w:val="00D70AE8"/>
    <w:rsid w:val="00D71268"/>
    <w:rsid w:val="00D7135A"/>
    <w:rsid w:val="00D72992"/>
    <w:rsid w:val="00D75FF2"/>
    <w:rsid w:val="00D80446"/>
    <w:rsid w:val="00D8145B"/>
    <w:rsid w:val="00D83250"/>
    <w:rsid w:val="00D85ADF"/>
    <w:rsid w:val="00D93D14"/>
    <w:rsid w:val="00D95F7C"/>
    <w:rsid w:val="00DA2935"/>
    <w:rsid w:val="00DA3A07"/>
    <w:rsid w:val="00DB11EF"/>
    <w:rsid w:val="00DB3565"/>
    <w:rsid w:val="00DB44FB"/>
    <w:rsid w:val="00DB7A9A"/>
    <w:rsid w:val="00DC0C78"/>
    <w:rsid w:val="00DC1603"/>
    <w:rsid w:val="00DC2004"/>
    <w:rsid w:val="00DD6B63"/>
    <w:rsid w:val="00DE12E3"/>
    <w:rsid w:val="00DE340D"/>
    <w:rsid w:val="00DE4A5F"/>
    <w:rsid w:val="00DF19A1"/>
    <w:rsid w:val="00DF2759"/>
    <w:rsid w:val="00DF3D07"/>
    <w:rsid w:val="00E01FE0"/>
    <w:rsid w:val="00E03811"/>
    <w:rsid w:val="00E144F8"/>
    <w:rsid w:val="00E16107"/>
    <w:rsid w:val="00E16A2D"/>
    <w:rsid w:val="00E2081E"/>
    <w:rsid w:val="00E21962"/>
    <w:rsid w:val="00E268CD"/>
    <w:rsid w:val="00E26B74"/>
    <w:rsid w:val="00E2755D"/>
    <w:rsid w:val="00E30620"/>
    <w:rsid w:val="00E360EA"/>
    <w:rsid w:val="00E40A35"/>
    <w:rsid w:val="00E41883"/>
    <w:rsid w:val="00E41EFC"/>
    <w:rsid w:val="00E4578B"/>
    <w:rsid w:val="00E47C91"/>
    <w:rsid w:val="00E50495"/>
    <w:rsid w:val="00E50926"/>
    <w:rsid w:val="00E50F76"/>
    <w:rsid w:val="00E64304"/>
    <w:rsid w:val="00E65853"/>
    <w:rsid w:val="00E66691"/>
    <w:rsid w:val="00E70F7F"/>
    <w:rsid w:val="00E77B22"/>
    <w:rsid w:val="00E858B8"/>
    <w:rsid w:val="00E85C9A"/>
    <w:rsid w:val="00E910AD"/>
    <w:rsid w:val="00EA12FE"/>
    <w:rsid w:val="00EA163A"/>
    <w:rsid w:val="00EA2218"/>
    <w:rsid w:val="00EB0B7C"/>
    <w:rsid w:val="00EB55CB"/>
    <w:rsid w:val="00EB6C39"/>
    <w:rsid w:val="00EB7A13"/>
    <w:rsid w:val="00EC0DDA"/>
    <w:rsid w:val="00EC652C"/>
    <w:rsid w:val="00EC6A76"/>
    <w:rsid w:val="00EC7EA3"/>
    <w:rsid w:val="00ED0438"/>
    <w:rsid w:val="00ED190E"/>
    <w:rsid w:val="00EE2D9E"/>
    <w:rsid w:val="00EE50F7"/>
    <w:rsid w:val="00EE6931"/>
    <w:rsid w:val="00EE7DDD"/>
    <w:rsid w:val="00F02E82"/>
    <w:rsid w:val="00F03BF5"/>
    <w:rsid w:val="00F055F1"/>
    <w:rsid w:val="00F10597"/>
    <w:rsid w:val="00F117F2"/>
    <w:rsid w:val="00F11BEF"/>
    <w:rsid w:val="00F151D9"/>
    <w:rsid w:val="00F15478"/>
    <w:rsid w:val="00F1772F"/>
    <w:rsid w:val="00F20805"/>
    <w:rsid w:val="00F246AE"/>
    <w:rsid w:val="00F25843"/>
    <w:rsid w:val="00F26377"/>
    <w:rsid w:val="00F26888"/>
    <w:rsid w:val="00F271E1"/>
    <w:rsid w:val="00F27F62"/>
    <w:rsid w:val="00F346AA"/>
    <w:rsid w:val="00F40DF3"/>
    <w:rsid w:val="00F452FA"/>
    <w:rsid w:val="00F45594"/>
    <w:rsid w:val="00F457F5"/>
    <w:rsid w:val="00F45ABF"/>
    <w:rsid w:val="00F50897"/>
    <w:rsid w:val="00F511E5"/>
    <w:rsid w:val="00F52DDE"/>
    <w:rsid w:val="00F56806"/>
    <w:rsid w:val="00F56C2A"/>
    <w:rsid w:val="00F7228B"/>
    <w:rsid w:val="00F77B3E"/>
    <w:rsid w:val="00F77B5E"/>
    <w:rsid w:val="00F834B5"/>
    <w:rsid w:val="00F850D1"/>
    <w:rsid w:val="00F85A75"/>
    <w:rsid w:val="00F9098D"/>
    <w:rsid w:val="00FA01CD"/>
    <w:rsid w:val="00FA183D"/>
    <w:rsid w:val="00FA19B0"/>
    <w:rsid w:val="00FA567E"/>
    <w:rsid w:val="00FA7B59"/>
    <w:rsid w:val="00FB01BB"/>
    <w:rsid w:val="00FB0319"/>
    <w:rsid w:val="00FB3461"/>
    <w:rsid w:val="00FB3F11"/>
    <w:rsid w:val="00FB40A1"/>
    <w:rsid w:val="00FB4F9E"/>
    <w:rsid w:val="00FB65C1"/>
    <w:rsid w:val="00FC2337"/>
    <w:rsid w:val="00FC56CE"/>
    <w:rsid w:val="00FC638A"/>
    <w:rsid w:val="00FD0229"/>
    <w:rsid w:val="00FD3972"/>
    <w:rsid w:val="00FD4BA4"/>
    <w:rsid w:val="00FD7522"/>
    <w:rsid w:val="00FE18D4"/>
    <w:rsid w:val="00FF2413"/>
    <w:rsid w:val="00FF3922"/>
    <w:rsid w:val="00FF3A4C"/>
    <w:rsid w:val="00FF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89CF1"/>
  <w15:chartTrackingRefBased/>
  <w15:docId w15:val="{A1581776-D57C-425D-A24B-93A51CB5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604"/>
    <w:pPr>
      <w:spacing w:after="160" w:line="256" w:lineRule="auto"/>
    </w:pPr>
    <w:rPr>
      <w:rFonts w:ascii="Calibri" w:eastAsia="Calibri" w:hAnsi="Calibri" w:cs="Mangal"/>
      <w:kern w:val="2"/>
      <w:sz w:val="22"/>
      <w:szCs w:val="22"/>
      <w:lang w:val="en-US" w:eastAsia="en-US"/>
    </w:rPr>
  </w:style>
  <w:style w:type="paragraph" w:styleId="Heading1">
    <w:name w:val="heading 1"/>
    <w:basedOn w:val="Normal"/>
    <w:next w:val="Normal"/>
    <w:link w:val="Heading1Char"/>
    <w:qFormat/>
    <w:rsid w:val="002D2604"/>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qFormat/>
    <w:rsid w:val="002D2604"/>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qFormat/>
    <w:rsid w:val="002D2604"/>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qFormat/>
    <w:rsid w:val="002D2604"/>
    <w:pPr>
      <w:keepNext/>
      <w:keepLines/>
      <w:spacing w:before="80" w:after="40"/>
      <w:outlineLvl w:val="3"/>
    </w:pPr>
    <w:rPr>
      <w:rFonts w:eastAsia="Times New Roman"/>
      <w:i/>
      <w:iCs/>
      <w:color w:val="2F5496"/>
    </w:rPr>
  </w:style>
  <w:style w:type="paragraph" w:styleId="Heading5">
    <w:name w:val="heading 5"/>
    <w:basedOn w:val="Normal"/>
    <w:next w:val="Normal"/>
    <w:link w:val="Heading5Char"/>
    <w:qFormat/>
    <w:rsid w:val="002D2604"/>
    <w:pPr>
      <w:keepNext/>
      <w:keepLines/>
      <w:spacing w:before="80" w:after="40"/>
      <w:outlineLvl w:val="4"/>
    </w:pPr>
    <w:rPr>
      <w:rFonts w:eastAsia="Times New Roman"/>
      <w:color w:val="2F5496"/>
    </w:rPr>
  </w:style>
  <w:style w:type="paragraph" w:styleId="Heading6">
    <w:name w:val="heading 6"/>
    <w:basedOn w:val="Normal"/>
    <w:next w:val="Normal"/>
    <w:link w:val="Heading6Char"/>
    <w:qFormat/>
    <w:rsid w:val="002D2604"/>
    <w:pPr>
      <w:keepNext/>
      <w:keepLines/>
      <w:spacing w:before="40" w:after="0"/>
      <w:outlineLvl w:val="5"/>
    </w:pPr>
    <w:rPr>
      <w:rFonts w:eastAsia="Times New Roman"/>
      <w:i/>
      <w:iCs/>
      <w:color w:val="595959"/>
    </w:rPr>
  </w:style>
  <w:style w:type="paragraph" w:styleId="Heading7">
    <w:name w:val="heading 7"/>
    <w:basedOn w:val="Normal"/>
    <w:next w:val="Normal"/>
    <w:link w:val="Heading7Char"/>
    <w:qFormat/>
    <w:rsid w:val="002D2604"/>
    <w:pPr>
      <w:keepNext/>
      <w:keepLines/>
      <w:spacing w:before="40" w:after="0"/>
      <w:outlineLvl w:val="6"/>
    </w:pPr>
    <w:rPr>
      <w:rFonts w:eastAsia="Times New Roman"/>
      <w:color w:val="595959"/>
    </w:rPr>
  </w:style>
  <w:style w:type="paragraph" w:styleId="Heading8">
    <w:name w:val="heading 8"/>
    <w:basedOn w:val="Normal"/>
    <w:next w:val="Normal"/>
    <w:link w:val="Heading8Char"/>
    <w:qFormat/>
    <w:rsid w:val="002D2604"/>
    <w:pPr>
      <w:keepNext/>
      <w:keepLines/>
      <w:spacing w:after="0"/>
      <w:outlineLvl w:val="7"/>
    </w:pPr>
    <w:rPr>
      <w:rFonts w:eastAsia="Times New Roman"/>
      <w:i/>
      <w:iCs/>
      <w:color w:val="272727"/>
    </w:rPr>
  </w:style>
  <w:style w:type="paragraph" w:styleId="Heading9">
    <w:name w:val="heading 9"/>
    <w:basedOn w:val="Normal"/>
    <w:next w:val="Normal"/>
    <w:link w:val="Heading9Char"/>
    <w:qFormat/>
    <w:rsid w:val="002D2604"/>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2604"/>
    <w:rPr>
      <w:color w:val="0563C1"/>
      <w:u w:val="single"/>
    </w:rPr>
  </w:style>
  <w:style w:type="character" w:styleId="FollowedHyperlink">
    <w:name w:val="FollowedHyperlink"/>
    <w:semiHidden/>
    <w:rsid w:val="002D2604"/>
    <w:rPr>
      <w:color w:val="954F72"/>
      <w:u w:val="single"/>
    </w:rPr>
  </w:style>
  <w:style w:type="character" w:customStyle="1" w:styleId="Heading1Char">
    <w:name w:val="Heading 1 Char"/>
    <w:link w:val="Heading1"/>
    <w:locked/>
    <w:rsid w:val="002D2604"/>
    <w:rPr>
      <w:rFonts w:ascii="Calibri Light" w:hAnsi="Calibri Light" w:cs="Mangal"/>
      <w:color w:val="2F5496"/>
      <w:kern w:val="2"/>
      <w:sz w:val="40"/>
      <w:szCs w:val="40"/>
      <w:lang w:val="en-US" w:eastAsia="en-US" w:bidi="ar-SA"/>
    </w:rPr>
  </w:style>
  <w:style w:type="character" w:customStyle="1" w:styleId="Heading2Char">
    <w:name w:val="Heading 2 Char"/>
    <w:link w:val="Heading2"/>
    <w:locked/>
    <w:rsid w:val="002D2604"/>
    <w:rPr>
      <w:rFonts w:ascii="Calibri Light" w:hAnsi="Calibri Light" w:cs="Mangal"/>
      <w:color w:val="2F5496"/>
      <w:kern w:val="2"/>
      <w:sz w:val="32"/>
      <w:szCs w:val="32"/>
      <w:lang w:val="en-US" w:eastAsia="en-US" w:bidi="ar-SA"/>
    </w:rPr>
  </w:style>
  <w:style w:type="character" w:customStyle="1" w:styleId="Heading3Char">
    <w:name w:val="Heading 3 Char"/>
    <w:link w:val="Heading3"/>
    <w:locked/>
    <w:rsid w:val="002D2604"/>
    <w:rPr>
      <w:rFonts w:ascii="Calibri" w:hAnsi="Calibri" w:cs="Mangal"/>
      <w:color w:val="2F5496"/>
      <w:kern w:val="2"/>
      <w:sz w:val="28"/>
      <w:szCs w:val="28"/>
      <w:lang w:val="en-US" w:eastAsia="en-US" w:bidi="ar-SA"/>
    </w:rPr>
  </w:style>
  <w:style w:type="character" w:customStyle="1" w:styleId="Heading4Char">
    <w:name w:val="Heading 4 Char"/>
    <w:link w:val="Heading4"/>
    <w:semiHidden/>
    <w:locked/>
    <w:rsid w:val="002D2604"/>
    <w:rPr>
      <w:rFonts w:ascii="Calibri" w:hAnsi="Calibri" w:cs="Mangal"/>
      <w:i/>
      <w:iCs/>
      <w:color w:val="2F5496"/>
      <w:kern w:val="2"/>
      <w:sz w:val="22"/>
      <w:szCs w:val="22"/>
      <w:lang w:val="en-US" w:eastAsia="en-US" w:bidi="ar-SA"/>
    </w:rPr>
  </w:style>
  <w:style w:type="character" w:customStyle="1" w:styleId="Heading5Char">
    <w:name w:val="Heading 5 Char"/>
    <w:link w:val="Heading5"/>
    <w:semiHidden/>
    <w:locked/>
    <w:rsid w:val="002D2604"/>
    <w:rPr>
      <w:rFonts w:ascii="Calibri" w:hAnsi="Calibri" w:cs="Mangal"/>
      <w:color w:val="2F5496"/>
      <w:kern w:val="2"/>
      <w:sz w:val="22"/>
      <w:szCs w:val="22"/>
      <w:lang w:val="en-US" w:eastAsia="en-US" w:bidi="ar-SA"/>
    </w:rPr>
  </w:style>
  <w:style w:type="character" w:customStyle="1" w:styleId="Heading6Char">
    <w:name w:val="Heading 6 Char"/>
    <w:link w:val="Heading6"/>
    <w:semiHidden/>
    <w:locked/>
    <w:rsid w:val="002D2604"/>
    <w:rPr>
      <w:rFonts w:ascii="Calibri" w:hAnsi="Calibri" w:cs="Mangal"/>
      <w:i/>
      <w:iCs/>
      <w:color w:val="595959"/>
      <w:kern w:val="2"/>
      <w:sz w:val="22"/>
      <w:szCs w:val="22"/>
      <w:lang w:val="en-US" w:eastAsia="en-US" w:bidi="ar-SA"/>
    </w:rPr>
  </w:style>
  <w:style w:type="paragraph" w:styleId="NormalWeb">
    <w:name w:val="Normal (Web)"/>
    <w:basedOn w:val="Normal"/>
    <w:uiPriority w:val="99"/>
    <w:semiHidden/>
    <w:rsid w:val="002D2604"/>
    <w:pPr>
      <w:spacing w:before="100" w:beforeAutospacing="1" w:after="100" w:afterAutospacing="1" w:line="240" w:lineRule="auto"/>
    </w:pPr>
    <w:rPr>
      <w:rFonts w:ascii="Times New Roman" w:eastAsia="Times New Roman" w:hAnsi="Times New Roman" w:cs="Times New Roman"/>
      <w:kern w:val="0"/>
      <w:sz w:val="24"/>
      <w:szCs w:val="24"/>
      <w:lang w:val="en-IN" w:eastAsia="en-IN"/>
    </w:rPr>
  </w:style>
  <w:style w:type="character" w:customStyle="1" w:styleId="Heading7Char">
    <w:name w:val="Heading 7 Char"/>
    <w:link w:val="Heading7"/>
    <w:semiHidden/>
    <w:locked/>
    <w:rsid w:val="002D2604"/>
    <w:rPr>
      <w:rFonts w:ascii="Calibri" w:hAnsi="Calibri" w:cs="Mangal"/>
      <w:color w:val="595959"/>
      <w:kern w:val="2"/>
      <w:sz w:val="22"/>
      <w:szCs w:val="22"/>
      <w:lang w:val="en-US" w:eastAsia="en-US" w:bidi="ar-SA"/>
    </w:rPr>
  </w:style>
  <w:style w:type="character" w:customStyle="1" w:styleId="Heading8Char">
    <w:name w:val="Heading 8 Char"/>
    <w:link w:val="Heading8"/>
    <w:semiHidden/>
    <w:locked/>
    <w:rsid w:val="002D2604"/>
    <w:rPr>
      <w:rFonts w:ascii="Calibri" w:hAnsi="Calibri" w:cs="Mangal"/>
      <w:i/>
      <w:iCs/>
      <w:color w:val="272727"/>
      <w:kern w:val="2"/>
      <w:sz w:val="22"/>
      <w:szCs w:val="22"/>
      <w:lang w:val="en-US" w:eastAsia="en-US" w:bidi="ar-SA"/>
    </w:rPr>
  </w:style>
  <w:style w:type="character" w:customStyle="1" w:styleId="Heading9Char">
    <w:name w:val="Heading 9 Char"/>
    <w:link w:val="Heading9"/>
    <w:semiHidden/>
    <w:locked/>
    <w:rsid w:val="002D2604"/>
    <w:rPr>
      <w:rFonts w:ascii="Calibri" w:hAnsi="Calibri" w:cs="Mangal"/>
      <w:color w:val="272727"/>
      <w:kern w:val="2"/>
      <w:sz w:val="22"/>
      <w:szCs w:val="22"/>
      <w:lang w:val="en-US" w:eastAsia="en-US" w:bidi="ar-SA"/>
    </w:rPr>
  </w:style>
  <w:style w:type="character" w:customStyle="1" w:styleId="HeaderChar">
    <w:name w:val="Header Char"/>
    <w:link w:val="Header"/>
    <w:locked/>
    <w:rsid w:val="002D2604"/>
    <w:rPr>
      <w:lang w:val="en-US" w:bidi="ar-SA"/>
    </w:rPr>
  </w:style>
  <w:style w:type="paragraph" w:styleId="Header">
    <w:name w:val="header"/>
    <w:basedOn w:val="Normal"/>
    <w:link w:val="HeaderChar"/>
    <w:semiHidden/>
    <w:rsid w:val="002D2604"/>
    <w:pPr>
      <w:tabs>
        <w:tab w:val="center" w:pos="4513"/>
        <w:tab w:val="right" w:pos="9026"/>
      </w:tabs>
      <w:spacing w:after="0" w:line="240" w:lineRule="auto"/>
    </w:pPr>
    <w:rPr>
      <w:rFonts w:ascii="Times New Roman" w:eastAsia="Times New Roman" w:hAnsi="Times New Roman" w:cs="Times New Roman"/>
      <w:kern w:val="0"/>
      <w:sz w:val="20"/>
      <w:szCs w:val="20"/>
    </w:rPr>
  </w:style>
  <w:style w:type="character" w:customStyle="1" w:styleId="FooterChar">
    <w:name w:val="Footer Char"/>
    <w:link w:val="Footer"/>
    <w:locked/>
    <w:rsid w:val="002D2604"/>
    <w:rPr>
      <w:lang w:val="en-US" w:bidi="ar-SA"/>
    </w:rPr>
  </w:style>
  <w:style w:type="paragraph" w:styleId="Footer">
    <w:name w:val="footer"/>
    <w:basedOn w:val="Normal"/>
    <w:link w:val="FooterChar"/>
    <w:semiHidden/>
    <w:rsid w:val="002D2604"/>
    <w:pPr>
      <w:tabs>
        <w:tab w:val="center" w:pos="4513"/>
        <w:tab w:val="right" w:pos="9026"/>
      </w:tabs>
      <w:spacing w:after="0" w:line="240" w:lineRule="auto"/>
    </w:pPr>
    <w:rPr>
      <w:rFonts w:ascii="Times New Roman" w:eastAsia="Times New Roman" w:hAnsi="Times New Roman" w:cs="Times New Roman"/>
      <w:kern w:val="0"/>
      <w:sz w:val="20"/>
      <w:szCs w:val="20"/>
    </w:rPr>
  </w:style>
  <w:style w:type="character" w:customStyle="1" w:styleId="TitleChar">
    <w:name w:val="Title Char"/>
    <w:link w:val="Title"/>
    <w:locked/>
    <w:rsid w:val="002D2604"/>
    <w:rPr>
      <w:rFonts w:ascii="Calibri Light" w:hAnsi="Calibri Light"/>
      <w:spacing w:val="-10"/>
      <w:kern w:val="28"/>
      <w:sz w:val="56"/>
      <w:szCs w:val="56"/>
      <w:lang w:val="en-US" w:bidi="ar-SA"/>
    </w:rPr>
  </w:style>
  <w:style w:type="paragraph" w:styleId="Title">
    <w:name w:val="Title"/>
    <w:basedOn w:val="Normal"/>
    <w:next w:val="Normal"/>
    <w:link w:val="TitleChar"/>
    <w:qFormat/>
    <w:rsid w:val="002D2604"/>
    <w:pPr>
      <w:spacing w:after="80" w:line="240" w:lineRule="auto"/>
      <w:contextualSpacing/>
    </w:pPr>
    <w:rPr>
      <w:rFonts w:ascii="Calibri Light" w:eastAsia="Times New Roman" w:hAnsi="Calibri Light" w:cs="Times New Roman"/>
      <w:spacing w:val="-10"/>
      <w:kern w:val="28"/>
      <w:sz w:val="56"/>
      <w:szCs w:val="56"/>
    </w:rPr>
  </w:style>
  <w:style w:type="character" w:customStyle="1" w:styleId="BodyTextChar">
    <w:name w:val="Body Text Char"/>
    <w:link w:val="BodyText"/>
    <w:locked/>
    <w:rsid w:val="002D2604"/>
    <w:rPr>
      <w:sz w:val="25"/>
      <w:szCs w:val="25"/>
      <w:lang w:val="en-US" w:bidi="ar-SA"/>
    </w:rPr>
  </w:style>
  <w:style w:type="paragraph" w:styleId="BodyText">
    <w:name w:val="Body Text"/>
    <w:basedOn w:val="Normal"/>
    <w:link w:val="BodyTextChar"/>
    <w:semiHidden/>
    <w:rsid w:val="002D2604"/>
    <w:pPr>
      <w:widowControl w:val="0"/>
      <w:autoSpaceDE w:val="0"/>
      <w:autoSpaceDN w:val="0"/>
      <w:spacing w:after="0" w:line="240" w:lineRule="auto"/>
      <w:ind w:left="218"/>
      <w:jc w:val="both"/>
    </w:pPr>
    <w:rPr>
      <w:rFonts w:ascii="Times New Roman" w:eastAsia="Times New Roman" w:hAnsi="Times New Roman" w:cs="Times New Roman"/>
      <w:kern w:val="0"/>
      <w:sz w:val="25"/>
      <w:szCs w:val="25"/>
    </w:rPr>
  </w:style>
  <w:style w:type="character" w:customStyle="1" w:styleId="SubtitleChar">
    <w:name w:val="Subtitle Char"/>
    <w:link w:val="Subtitle"/>
    <w:locked/>
    <w:rsid w:val="002D2604"/>
    <w:rPr>
      <w:color w:val="595959"/>
      <w:spacing w:val="15"/>
      <w:sz w:val="28"/>
      <w:szCs w:val="28"/>
      <w:lang w:val="en-US" w:bidi="ar-SA"/>
    </w:rPr>
  </w:style>
  <w:style w:type="paragraph" w:styleId="Subtitle">
    <w:name w:val="Subtitle"/>
    <w:basedOn w:val="Normal"/>
    <w:next w:val="Normal"/>
    <w:link w:val="SubtitleChar"/>
    <w:qFormat/>
    <w:rsid w:val="002D2604"/>
    <w:rPr>
      <w:rFonts w:ascii="Times New Roman" w:eastAsia="Times New Roman" w:hAnsi="Times New Roman" w:cs="Times New Roman"/>
      <w:color w:val="595959"/>
      <w:spacing w:val="15"/>
      <w:kern w:val="0"/>
      <w:sz w:val="28"/>
      <w:szCs w:val="28"/>
    </w:rPr>
  </w:style>
  <w:style w:type="character" w:customStyle="1" w:styleId="BalloonTextChar">
    <w:name w:val="Balloon Text Char"/>
    <w:link w:val="BalloonText"/>
    <w:semiHidden/>
    <w:locked/>
    <w:rsid w:val="002D2604"/>
    <w:rPr>
      <w:rFonts w:ascii="Tahoma" w:hAnsi="Tahoma"/>
      <w:sz w:val="16"/>
      <w:szCs w:val="16"/>
      <w:lang w:val="en-US" w:bidi="ar-SA"/>
    </w:rPr>
  </w:style>
  <w:style w:type="paragraph" w:styleId="BalloonText">
    <w:name w:val="Balloon Text"/>
    <w:basedOn w:val="Normal"/>
    <w:link w:val="BalloonTextChar"/>
    <w:semiHidden/>
    <w:rsid w:val="002D2604"/>
    <w:pPr>
      <w:spacing w:after="0" w:line="240" w:lineRule="auto"/>
    </w:pPr>
    <w:rPr>
      <w:rFonts w:ascii="Tahoma" w:eastAsia="Times New Roman" w:hAnsi="Tahoma" w:cs="Times New Roman"/>
      <w:kern w:val="0"/>
      <w:sz w:val="16"/>
      <w:szCs w:val="16"/>
    </w:rPr>
  </w:style>
  <w:style w:type="character" w:customStyle="1" w:styleId="ListParagraphChar">
    <w:name w:val="List Paragraph Char"/>
    <w:link w:val="ListParagraph"/>
    <w:locked/>
    <w:rsid w:val="002D2604"/>
    <w:rPr>
      <w:lang w:val="en-US" w:bidi="ar-SA"/>
    </w:rPr>
  </w:style>
  <w:style w:type="paragraph" w:customStyle="1" w:styleId="msolistparagraph0">
    <w:name w:val="msolistparagraph"/>
    <w:basedOn w:val="Normal"/>
    <w:semiHidden/>
    <w:rsid w:val="002D2604"/>
    <w:pPr>
      <w:ind w:left="720"/>
      <w:contextualSpacing/>
    </w:pPr>
  </w:style>
  <w:style w:type="character" w:customStyle="1" w:styleId="QuoteChar">
    <w:name w:val="Quote Char"/>
    <w:link w:val="Quote"/>
    <w:locked/>
    <w:rsid w:val="002D2604"/>
    <w:rPr>
      <w:i/>
      <w:iCs/>
      <w:color w:val="404040"/>
      <w:lang w:val="en-US" w:bidi="ar-SA"/>
    </w:rPr>
  </w:style>
  <w:style w:type="paragraph" w:customStyle="1" w:styleId="msoquote0">
    <w:name w:val="msoquote"/>
    <w:basedOn w:val="Normal"/>
    <w:next w:val="Normal"/>
    <w:semiHidden/>
    <w:rsid w:val="002D2604"/>
    <w:pPr>
      <w:spacing w:before="160"/>
      <w:jc w:val="center"/>
    </w:pPr>
    <w:rPr>
      <w:i/>
      <w:iCs/>
      <w:color w:val="404040"/>
    </w:rPr>
  </w:style>
  <w:style w:type="character" w:customStyle="1" w:styleId="IntenseQuoteChar">
    <w:name w:val="Intense Quote Char"/>
    <w:link w:val="IntenseQuote"/>
    <w:locked/>
    <w:rsid w:val="002D2604"/>
    <w:rPr>
      <w:i/>
      <w:iCs/>
      <w:color w:val="2F5496"/>
      <w:lang w:val="en-US" w:bidi="ar-SA"/>
    </w:rPr>
  </w:style>
  <w:style w:type="paragraph" w:customStyle="1" w:styleId="msointensequote0">
    <w:name w:val="msointensequote"/>
    <w:basedOn w:val="Normal"/>
    <w:next w:val="Normal"/>
    <w:semiHidden/>
    <w:rsid w:val="002D2604"/>
    <w:pPr>
      <w:pBdr>
        <w:top w:val="single" w:sz="4" w:space="0" w:color="2F5496"/>
        <w:bottom w:val="single" w:sz="4" w:space="10" w:color="2F5496"/>
      </w:pBdr>
      <w:spacing w:before="360" w:after="360"/>
      <w:ind w:left="864" w:right="864"/>
      <w:jc w:val="center"/>
    </w:pPr>
    <w:rPr>
      <w:i/>
      <w:iCs/>
      <w:color w:val="2F5496"/>
    </w:rPr>
  </w:style>
  <w:style w:type="paragraph" w:customStyle="1" w:styleId="msonormal0">
    <w:name w:val="msonormal"/>
    <w:basedOn w:val="Normal"/>
    <w:semiHidden/>
    <w:rsid w:val="002D2604"/>
    <w:pPr>
      <w:spacing w:before="100" w:beforeAutospacing="1" w:after="100" w:afterAutospacing="1" w:line="240" w:lineRule="auto"/>
    </w:pPr>
    <w:rPr>
      <w:rFonts w:ascii="Times New Roman" w:eastAsia="Times New Roman" w:hAnsi="Times New Roman" w:cs="Times New Roman"/>
      <w:kern w:val="0"/>
      <w:sz w:val="24"/>
      <w:szCs w:val="24"/>
      <w:lang w:val="en-IN" w:eastAsia="zh-CN"/>
    </w:rPr>
  </w:style>
  <w:style w:type="character" w:customStyle="1" w:styleId="msointenseemphasis0">
    <w:name w:val="msointenseemphasis"/>
    <w:rsid w:val="002D2604"/>
    <w:rPr>
      <w:i/>
      <w:iCs/>
      <w:color w:val="2F5496"/>
    </w:rPr>
  </w:style>
  <w:style w:type="character" w:customStyle="1" w:styleId="msointensereference0">
    <w:name w:val="msointensereference"/>
    <w:rsid w:val="002D2604"/>
    <w:rPr>
      <w:b/>
      <w:bCs/>
      <w:smallCaps/>
      <w:color w:val="2F5496"/>
      <w:spacing w:val="5"/>
    </w:rPr>
  </w:style>
  <w:style w:type="paragraph" w:styleId="Quote">
    <w:name w:val="Quote"/>
    <w:basedOn w:val="Normal"/>
    <w:link w:val="QuoteChar"/>
    <w:qFormat/>
    <w:rsid w:val="002D2604"/>
    <w:rPr>
      <w:rFonts w:ascii="Times New Roman" w:eastAsia="Times New Roman" w:hAnsi="Times New Roman" w:cs="Times New Roman"/>
      <w:i/>
      <w:iCs/>
      <w:color w:val="404040"/>
      <w:kern w:val="0"/>
      <w:sz w:val="20"/>
      <w:szCs w:val="20"/>
    </w:rPr>
  </w:style>
  <w:style w:type="paragraph" w:styleId="IntenseQuote">
    <w:name w:val="Intense Quote"/>
    <w:basedOn w:val="Normal"/>
    <w:link w:val="IntenseQuoteChar"/>
    <w:qFormat/>
    <w:rsid w:val="002D2604"/>
    <w:rPr>
      <w:rFonts w:ascii="Times New Roman" w:eastAsia="Times New Roman" w:hAnsi="Times New Roman" w:cs="Times New Roman"/>
      <w:i/>
      <w:iCs/>
      <w:color w:val="2F5496"/>
      <w:kern w:val="0"/>
      <w:sz w:val="20"/>
      <w:szCs w:val="20"/>
    </w:rPr>
  </w:style>
  <w:style w:type="character" w:customStyle="1" w:styleId="UnresolvedMention1">
    <w:name w:val="Unresolved Mention1"/>
    <w:semiHidden/>
    <w:rsid w:val="002D2604"/>
    <w:rPr>
      <w:color w:val="605E5C"/>
      <w:shd w:val="clear" w:color="auto" w:fill="E1DFDD"/>
    </w:rPr>
  </w:style>
  <w:style w:type="paragraph" w:styleId="ListParagraph">
    <w:name w:val="List Paragraph"/>
    <w:basedOn w:val="Normal"/>
    <w:link w:val="ListParagraphChar"/>
    <w:qFormat/>
    <w:rsid w:val="002D2604"/>
    <w:rPr>
      <w:rFonts w:ascii="Times New Roman" w:eastAsia="Times New Roman" w:hAnsi="Times New Roman" w:cs="Times New Roman"/>
      <w:kern w:val="0"/>
      <w:sz w:val="20"/>
      <w:szCs w:val="20"/>
    </w:rPr>
  </w:style>
  <w:style w:type="character" w:customStyle="1" w:styleId="IntenseEmphasis1">
    <w:name w:val="Intense Emphasis1"/>
    <w:rsid w:val="002D2604"/>
    <w:rPr>
      <w:i/>
      <w:iCs/>
      <w:color w:val="2F5496"/>
    </w:rPr>
  </w:style>
  <w:style w:type="character" w:customStyle="1" w:styleId="IntenseReference1">
    <w:name w:val="Intense Reference1"/>
    <w:rsid w:val="002D2604"/>
    <w:rPr>
      <w:b/>
      <w:bCs/>
      <w:smallCaps/>
      <w:color w:val="2F5496"/>
      <w:spacing w:val="5"/>
    </w:rPr>
  </w:style>
  <w:style w:type="character" w:customStyle="1" w:styleId="UnresolvedMention2">
    <w:name w:val="Unresolved Mention2"/>
    <w:semiHidden/>
    <w:rsid w:val="002D2604"/>
    <w:rPr>
      <w:color w:val="605E5C"/>
      <w:shd w:val="clear" w:color="auto" w:fill="E1DFDD"/>
    </w:rPr>
  </w:style>
  <w:style w:type="table" w:styleId="TableGrid">
    <w:name w:val="Table Grid"/>
    <w:basedOn w:val="TableNormal"/>
    <w:rsid w:val="002D2604"/>
    <w:rPr>
      <w:rFonts w:ascii="Calibri" w:hAnsi="Calibri" w:cs="Mangal"/>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rsid w:val="002D2604"/>
    <w:rPr>
      <w:rFonts w:ascii="Calibri" w:hAnsi="Calibri" w:cs="Mangal"/>
      <w:sz w:val="22"/>
      <w:szCs w:val="22"/>
    </w:rPr>
    <w:tblPr>
      <w:tblStyleRowBandSize w:val="1"/>
      <w:tblStyleColBandSize w:val="1"/>
      <w:tblInd w:w="0" w:type="nil"/>
      <w:tblBorders>
        <w:top w:val="single" w:sz="8" w:space="0" w:color="4472C4"/>
        <w:left w:val="single" w:sz="8" w:space="0" w:color="4472C4"/>
        <w:bottom w:val="single" w:sz="8" w:space="0" w:color="4472C4"/>
        <w:right w:val="single" w:sz="8" w:space="0" w:color="4472C4"/>
      </w:tblBorders>
    </w:tblPr>
    <w:tblStylePr w:type="firstRow">
      <w:pPr>
        <w:spacing w:line="240" w:lineRule="auto"/>
      </w:pPr>
      <w:rPr>
        <w:b/>
        <w:bCs/>
        <w:color w:val="FFFFFF"/>
      </w:rPr>
      <w:tblPr/>
      <w:tcPr>
        <w:shd w:val="clear" w:color="auto" w:fill="4472C4"/>
      </w:tcPr>
    </w:tblStylePr>
    <w:tblStylePr w:type="lastRow">
      <w:pPr>
        <w:spacing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Style1">
    <w:name w:val="Style1"/>
    <w:basedOn w:val="TableNormal"/>
    <w:rsid w:val="002D2604"/>
    <w:rPr>
      <w:rFonts w:ascii="Calibri" w:hAnsi="Calibri" w:cs="Mangal"/>
      <w:kern w:val="2"/>
      <w:sz w:val="22"/>
      <w:szCs w:val="22"/>
    </w:rPr>
    <w:tblPr>
      <w:tblInd w:w="0" w:type="nil"/>
    </w:tblPr>
  </w:style>
  <w:style w:type="table" w:customStyle="1" w:styleId="PlainTable21">
    <w:name w:val="Plain Table 21"/>
    <w:basedOn w:val="TableNormal"/>
    <w:rsid w:val="002D2604"/>
    <w:rPr>
      <w:rFonts w:ascii="Calibri" w:hAnsi="Calibri" w:cs="Mangal"/>
      <w:kern w:val="2"/>
      <w:sz w:val="22"/>
      <w:szCs w:val="22"/>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21">
    <w:name w:val="Grid Table 4 - Accent 21"/>
    <w:basedOn w:val="TableNormal"/>
    <w:rsid w:val="002D2604"/>
    <w:rPr>
      <w:rFonts w:ascii="Calibri" w:hAnsi="Calibri" w:cs="Mangal"/>
      <w:kern w:val="2"/>
      <w:sz w:val="22"/>
      <w:szCs w:val="22"/>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61">
    <w:name w:val="List Table 4 - Accent 61"/>
    <w:basedOn w:val="TableNormal"/>
    <w:rsid w:val="002D2604"/>
    <w:rPr>
      <w:rFonts w:ascii="Calibri" w:hAnsi="Calibri" w:cs="Mangal"/>
      <w:kern w:val="2"/>
      <w:sz w:val="22"/>
      <w:szCs w:val="22"/>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Light1">
    <w:name w:val="Table Grid Light1"/>
    <w:basedOn w:val="TableNormal"/>
    <w:rsid w:val="002D2604"/>
    <w:rPr>
      <w:rFonts w:ascii="Calibri" w:hAnsi="Calibri" w:cs="Mangal"/>
      <w:kern w:val="2"/>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CurrentList3">
    <w:name w:val="Current List3"/>
    <w:rsid w:val="002D2604"/>
    <w:pPr>
      <w:numPr>
        <w:numId w:val="1"/>
      </w:numPr>
    </w:pPr>
  </w:style>
  <w:style w:type="numbering" w:customStyle="1" w:styleId="CurrentList1">
    <w:name w:val="Current List1"/>
    <w:rsid w:val="002D2604"/>
    <w:pPr>
      <w:numPr>
        <w:numId w:val="2"/>
      </w:numPr>
    </w:pPr>
  </w:style>
  <w:style w:type="numbering" w:customStyle="1" w:styleId="CurrentList2">
    <w:name w:val="Current List2"/>
    <w:rsid w:val="002D2604"/>
    <w:pPr>
      <w:numPr>
        <w:numId w:val="3"/>
      </w:numPr>
    </w:pPr>
  </w:style>
  <w:style w:type="paragraph" w:customStyle="1" w:styleId="pdiv">
    <w:name w:val="pdiv"/>
    <w:basedOn w:val="Normal"/>
    <w:rsid w:val="00E70F7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ableParagraph">
    <w:name w:val="Table Paragraph"/>
    <w:basedOn w:val="Normal"/>
    <w:rsid w:val="00E70F7F"/>
    <w:pPr>
      <w:widowControl w:val="0"/>
      <w:autoSpaceDE w:val="0"/>
      <w:autoSpaceDN w:val="0"/>
      <w:spacing w:after="0" w:line="240" w:lineRule="auto"/>
      <w:ind w:left="101"/>
    </w:pPr>
    <w:rPr>
      <w:rFonts w:ascii="Times New Roman" w:eastAsia="Times New Roman" w:hAnsi="Times New Roman" w:cs="Times New Roman"/>
      <w:kern w:val="0"/>
    </w:rPr>
  </w:style>
  <w:style w:type="character" w:customStyle="1" w:styleId="mw-headline">
    <w:name w:val="mw-headline"/>
    <w:basedOn w:val="DefaultParagraphFont"/>
    <w:rsid w:val="00E70F7F"/>
  </w:style>
  <w:style w:type="character" w:customStyle="1" w:styleId="plainlinks">
    <w:name w:val="plainlinks"/>
    <w:basedOn w:val="DefaultParagraphFont"/>
    <w:rsid w:val="00E70F7F"/>
  </w:style>
  <w:style w:type="character" w:customStyle="1" w:styleId="geo-dec">
    <w:name w:val="geo-dec"/>
    <w:basedOn w:val="DefaultParagraphFont"/>
    <w:rsid w:val="00E70F7F"/>
  </w:style>
  <w:style w:type="character" w:customStyle="1" w:styleId="mw-editsection">
    <w:name w:val="mw-editsection"/>
    <w:basedOn w:val="DefaultParagraphFont"/>
    <w:rsid w:val="00E70F7F"/>
  </w:style>
  <w:style w:type="character" w:customStyle="1" w:styleId="mw-editsection-bracket">
    <w:name w:val="mw-editsection-bracket"/>
    <w:basedOn w:val="DefaultParagraphFont"/>
    <w:rsid w:val="00E70F7F"/>
  </w:style>
  <w:style w:type="character" w:customStyle="1" w:styleId="bt-content">
    <w:name w:val="bt-content"/>
    <w:basedOn w:val="DefaultParagraphFont"/>
    <w:rsid w:val="00E70F7F"/>
  </w:style>
  <w:style w:type="character" w:customStyle="1" w:styleId="ls8a">
    <w:name w:val="ls8a"/>
    <w:basedOn w:val="DefaultParagraphFont"/>
    <w:rsid w:val="00E70F7F"/>
  </w:style>
  <w:style w:type="character" w:styleId="Strong">
    <w:name w:val="Strong"/>
    <w:qFormat/>
    <w:rsid w:val="00E70F7F"/>
    <w:rPr>
      <w:b/>
      <w:bCs/>
    </w:rPr>
  </w:style>
  <w:style w:type="character" w:customStyle="1" w:styleId="FontStyle11">
    <w:name w:val="Font Style11"/>
    <w:rsid w:val="00E70F7F"/>
    <w:rPr>
      <w:rFonts w:ascii="Times New Roman" w:hAnsi="Times New Roman" w:cs="Times New Roman" w:hint="default"/>
      <w:sz w:val="50"/>
      <w:szCs w:val="50"/>
    </w:rPr>
  </w:style>
  <w:style w:type="character" w:styleId="PageNumber">
    <w:name w:val="page number"/>
    <w:basedOn w:val="DefaultParagraphFont"/>
    <w:rsid w:val="00E70F7F"/>
  </w:style>
  <w:style w:type="paragraph" w:customStyle="1" w:styleId="Default">
    <w:name w:val="Default"/>
    <w:rsid w:val="00E70F7F"/>
    <w:pPr>
      <w:autoSpaceDE w:val="0"/>
      <w:autoSpaceDN w:val="0"/>
      <w:adjustRightInd w:val="0"/>
    </w:pPr>
    <w:rPr>
      <w:color w:val="000000"/>
      <w:sz w:val="24"/>
      <w:szCs w:val="24"/>
      <w:lang w:eastAsia="en-US"/>
    </w:rPr>
  </w:style>
  <w:style w:type="character" w:styleId="Emphasis">
    <w:name w:val="Emphasis"/>
    <w:qFormat/>
    <w:rsid w:val="00E70F7F"/>
    <w:rPr>
      <w:i/>
    </w:rPr>
  </w:style>
  <w:style w:type="character" w:customStyle="1" w:styleId="ff4">
    <w:name w:val="ff4"/>
    <w:rsid w:val="00E70F7F"/>
    <w:rPr>
      <w:rFonts w:cs="Times New Roman"/>
    </w:rPr>
  </w:style>
  <w:style w:type="character" w:customStyle="1" w:styleId="a">
    <w:name w:val="_"/>
    <w:rsid w:val="00E70F7F"/>
    <w:rPr>
      <w:rFonts w:cs="Times New Roman"/>
    </w:rPr>
  </w:style>
  <w:style w:type="character" w:customStyle="1" w:styleId="ff2">
    <w:name w:val="ff2"/>
    <w:rsid w:val="00E70F7F"/>
    <w:rPr>
      <w:rFonts w:cs="Times New Roman"/>
    </w:rPr>
  </w:style>
  <w:style w:type="character" w:customStyle="1" w:styleId="ls47">
    <w:name w:val="ls47"/>
    <w:rsid w:val="00E70F7F"/>
    <w:rPr>
      <w:rFonts w:cs="Times New Roman"/>
    </w:rPr>
  </w:style>
  <w:style w:type="character" w:customStyle="1" w:styleId="ws1">
    <w:name w:val="ws1"/>
    <w:rsid w:val="00E70F7F"/>
    <w:rPr>
      <w:rFonts w:cs="Times New Roman"/>
    </w:rPr>
  </w:style>
  <w:style w:type="character" w:customStyle="1" w:styleId="FontStyle12">
    <w:name w:val="Font Style12"/>
    <w:rsid w:val="00E70F7F"/>
    <w:rPr>
      <w:rFonts w:ascii="Angsana New" w:hAnsi="Angsana New" w:cs="Angsana New"/>
      <w:b/>
      <w:bCs/>
      <w:sz w:val="44"/>
      <w:szCs w:val="44"/>
    </w:rPr>
  </w:style>
  <w:style w:type="character" w:customStyle="1" w:styleId="CharChar">
    <w:name w:val="Char Char"/>
    <w:rsid w:val="00E70F7F"/>
    <w:rPr>
      <w:rFonts w:ascii="Times New Roman" w:eastAsia="Times New Roman" w:hAnsi="Times New Roman" w:cs="Times New Roman"/>
      <w:b/>
      <w:bCs/>
      <w:sz w:val="30"/>
      <w:szCs w:val="30"/>
      <w:lang w:val="en-US"/>
    </w:rPr>
  </w:style>
  <w:style w:type="paragraph" w:customStyle="1" w:styleId="CharCharCharCharCharCharCharCharCharChar">
    <w:name w:val="Char Char Char Char Char Char Char Char Char Char"/>
    <w:basedOn w:val="Normal"/>
    <w:rsid w:val="00880AED"/>
    <w:pPr>
      <w:spacing w:line="240" w:lineRule="exact"/>
    </w:pPr>
    <w:rPr>
      <w:rFonts w:ascii="Book Antiqua" w:eastAsia="Times New Roman" w:hAnsi="Book Antiqua" w:cs="Book Antiqua"/>
      <w:kern w:val="0"/>
      <w:sz w:val="24"/>
      <w:szCs w:val="24"/>
      <w:lang w:val="en-GB" w:bidi="kn-IN"/>
    </w:rPr>
  </w:style>
  <w:style w:type="paragraph" w:customStyle="1" w:styleId="CM13">
    <w:name w:val="CM13"/>
    <w:basedOn w:val="Default"/>
    <w:next w:val="Default"/>
    <w:rsid w:val="00880AED"/>
    <w:pPr>
      <w:widowControl w:val="0"/>
      <w:spacing w:after="195"/>
    </w:pPr>
    <w:rPr>
      <w:rFonts w:ascii="CM R 17" w:eastAsia="Calibri" w:hAnsi="CM R 17"/>
      <w:color w:val="auto"/>
      <w:lang w:val="en-US"/>
    </w:rPr>
  </w:style>
  <w:style w:type="character" w:customStyle="1" w:styleId="EndNoteBibliographyTitleChar">
    <w:name w:val="EndNote Bibliography Title Char"/>
    <w:link w:val="EndNoteBibliographyTitle"/>
    <w:locked/>
    <w:rsid w:val="00880AED"/>
    <w:rPr>
      <w:rFonts w:ascii="Calibri" w:hAnsi="Calibri" w:cs="Calibri"/>
      <w:noProof/>
      <w:lang w:val="en-US" w:bidi="ar-SA"/>
    </w:rPr>
  </w:style>
  <w:style w:type="paragraph" w:customStyle="1" w:styleId="EndNoteBibliographyTitle">
    <w:name w:val="EndNote Bibliography Title"/>
    <w:basedOn w:val="Normal"/>
    <w:link w:val="EndNoteBibliographyTitleChar"/>
    <w:rsid w:val="00880AED"/>
    <w:pPr>
      <w:spacing w:after="0" w:line="276" w:lineRule="auto"/>
      <w:jc w:val="center"/>
    </w:pPr>
    <w:rPr>
      <w:rFonts w:eastAsia="Times New Roman" w:cs="Calibri"/>
      <w:noProof/>
      <w:kern w:val="0"/>
      <w:sz w:val="20"/>
      <w:szCs w:val="20"/>
    </w:rPr>
  </w:style>
  <w:style w:type="character" w:customStyle="1" w:styleId="EndNoteBibliographyChar">
    <w:name w:val="EndNote Bibliography Char"/>
    <w:link w:val="EndNoteBibliography"/>
    <w:locked/>
    <w:rsid w:val="00880AED"/>
    <w:rPr>
      <w:rFonts w:ascii="Calibri" w:hAnsi="Calibri" w:cs="Calibri"/>
      <w:noProof/>
      <w:lang w:val="en-US" w:bidi="ar-SA"/>
    </w:rPr>
  </w:style>
  <w:style w:type="paragraph" w:customStyle="1" w:styleId="EndNoteBibliography">
    <w:name w:val="EndNote Bibliography"/>
    <w:basedOn w:val="Normal"/>
    <w:link w:val="EndNoteBibliographyChar"/>
    <w:rsid w:val="00880AED"/>
    <w:pPr>
      <w:spacing w:line="240" w:lineRule="auto"/>
    </w:pPr>
    <w:rPr>
      <w:rFonts w:eastAsia="Times New Roman" w:cs="Calibri"/>
      <w:noProof/>
      <w:kern w:val="0"/>
      <w:sz w:val="20"/>
      <w:szCs w:val="20"/>
    </w:rPr>
  </w:style>
  <w:style w:type="character" w:customStyle="1" w:styleId="UnresolvedMention3">
    <w:name w:val="Unresolved Mention3"/>
    <w:semiHidden/>
    <w:rsid w:val="00880AED"/>
    <w:rPr>
      <w:color w:val="605E5C"/>
      <w:shd w:val="clear" w:color="auto" w:fill="E1DFDD"/>
    </w:rPr>
  </w:style>
  <w:style w:type="character" w:customStyle="1" w:styleId="CharChar3">
    <w:name w:val="Char Char3"/>
    <w:rsid w:val="00880AED"/>
    <w:rPr>
      <w:b/>
      <w:bCs w:val="0"/>
      <w:caps/>
      <w:sz w:val="28"/>
      <w:szCs w:val="24"/>
      <w:lang w:val="en-GB" w:eastAsia="en-US" w:bidi="ar-SA"/>
    </w:rPr>
  </w:style>
  <w:style w:type="character" w:customStyle="1" w:styleId="author">
    <w:name w:val="author"/>
    <w:basedOn w:val="DefaultParagraphFont"/>
    <w:rsid w:val="00880AED"/>
  </w:style>
  <w:style w:type="table" w:customStyle="1" w:styleId="ListTable6Colorful-Accent41">
    <w:name w:val="List Table 6 Colorful - Accent 41"/>
    <w:basedOn w:val="TableNormal"/>
    <w:rsid w:val="00880AED"/>
    <w:rPr>
      <w:rFonts w:ascii="Calibri" w:hAnsi="Calibri" w:cs="Tunga"/>
      <w:color w:val="BF8F00"/>
      <w:kern w:val="2"/>
      <w:sz w:val="24"/>
      <w:szCs w:val="24"/>
      <w:lang w:bidi="kn-IN"/>
    </w:rPr>
    <w:tblPr>
      <w:tblStyleRowBandSize w:val="1"/>
      <w:tblStyleColBandSize w:val="1"/>
      <w:tblInd w:w="0" w:type="nil"/>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rsid w:val="00880AED"/>
    <w:rPr>
      <w:rFonts w:ascii="Calibri" w:hAnsi="Calibri" w:cs="Tunga"/>
      <w:color w:val="2E74B5"/>
      <w:kern w:val="2"/>
      <w:sz w:val="24"/>
      <w:szCs w:val="24"/>
      <w:lang w:bidi="kn-IN"/>
    </w:rPr>
    <w:tblPr>
      <w:tblStyleRowBandSize w:val="1"/>
      <w:tblStyleColBandSize w:val="1"/>
      <w:tblInd w:w="0" w:type="nil"/>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31">
    <w:name w:val="List Table 6 Colorful - Accent 31"/>
    <w:basedOn w:val="TableNormal"/>
    <w:rsid w:val="00880AED"/>
    <w:rPr>
      <w:rFonts w:ascii="Calibri" w:hAnsi="Calibri" w:cs="Tunga"/>
      <w:color w:val="7B7B7B"/>
      <w:kern w:val="2"/>
      <w:sz w:val="24"/>
      <w:szCs w:val="24"/>
      <w:lang w:bidi="kn-IN"/>
    </w:rPr>
    <w:tblPr>
      <w:tblStyleRowBandSize w:val="1"/>
      <w:tblStyleColBandSize w:val="1"/>
      <w:tblInd w:w="0" w:type="nil"/>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41">
    <w:name w:val="Grid Table 1 Light - Accent 41"/>
    <w:basedOn w:val="TableNormal"/>
    <w:rsid w:val="00880AED"/>
    <w:rPr>
      <w:rFonts w:ascii="Calibri" w:hAnsi="Calibri" w:cs="Tunga"/>
      <w:kern w:val="2"/>
      <w:sz w:val="24"/>
      <w:szCs w:val="24"/>
      <w:lang w:bidi="kn-IN"/>
    </w:rPr>
    <w:tblPr>
      <w:tblStyleRowBandSize w:val="1"/>
      <w:tblStyleColBandSize w:val="1"/>
      <w:tblInd w:w="0" w:type="nil"/>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5Dark-Accent41">
    <w:name w:val="Grid Table 5 Dark - Accent 41"/>
    <w:basedOn w:val="TableNormal"/>
    <w:rsid w:val="00880AED"/>
    <w:rPr>
      <w:rFonts w:ascii="Calibri" w:hAnsi="Calibri" w:cs="Tunga"/>
      <w:kern w:val="2"/>
      <w:sz w:val="24"/>
      <w:szCs w:val="24"/>
      <w:lang w:bidi="kn-I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character" w:customStyle="1" w:styleId="CharChar30">
    <w:name w:val="Char Char3"/>
    <w:locked/>
    <w:rsid w:val="00346051"/>
    <w:rPr>
      <w:sz w:val="25"/>
      <w:szCs w:val="25"/>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5601">
      <w:bodyDiv w:val="1"/>
      <w:marLeft w:val="0"/>
      <w:marRight w:val="0"/>
      <w:marTop w:val="0"/>
      <w:marBottom w:val="0"/>
      <w:divBdr>
        <w:top w:val="none" w:sz="0" w:space="0" w:color="auto"/>
        <w:left w:val="none" w:sz="0" w:space="0" w:color="auto"/>
        <w:bottom w:val="none" w:sz="0" w:space="0" w:color="auto"/>
        <w:right w:val="none" w:sz="0" w:space="0" w:color="auto"/>
      </w:divBdr>
    </w:div>
    <w:div w:id="138423049">
      <w:bodyDiv w:val="1"/>
      <w:marLeft w:val="0"/>
      <w:marRight w:val="0"/>
      <w:marTop w:val="0"/>
      <w:marBottom w:val="0"/>
      <w:divBdr>
        <w:top w:val="none" w:sz="0" w:space="0" w:color="auto"/>
        <w:left w:val="none" w:sz="0" w:space="0" w:color="auto"/>
        <w:bottom w:val="none" w:sz="0" w:space="0" w:color="auto"/>
        <w:right w:val="none" w:sz="0" w:space="0" w:color="auto"/>
      </w:divBdr>
    </w:div>
    <w:div w:id="152071068">
      <w:bodyDiv w:val="1"/>
      <w:marLeft w:val="0"/>
      <w:marRight w:val="0"/>
      <w:marTop w:val="0"/>
      <w:marBottom w:val="0"/>
      <w:divBdr>
        <w:top w:val="none" w:sz="0" w:space="0" w:color="auto"/>
        <w:left w:val="none" w:sz="0" w:space="0" w:color="auto"/>
        <w:bottom w:val="none" w:sz="0" w:space="0" w:color="auto"/>
        <w:right w:val="none" w:sz="0" w:space="0" w:color="auto"/>
      </w:divBdr>
    </w:div>
    <w:div w:id="260340056">
      <w:bodyDiv w:val="1"/>
      <w:marLeft w:val="0"/>
      <w:marRight w:val="0"/>
      <w:marTop w:val="0"/>
      <w:marBottom w:val="0"/>
      <w:divBdr>
        <w:top w:val="none" w:sz="0" w:space="0" w:color="auto"/>
        <w:left w:val="none" w:sz="0" w:space="0" w:color="auto"/>
        <w:bottom w:val="none" w:sz="0" w:space="0" w:color="auto"/>
        <w:right w:val="none" w:sz="0" w:space="0" w:color="auto"/>
      </w:divBdr>
    </w:div>
    <w:div w:id="525682646">
      <w:bodyDiv w:val="1"/>
      <w:marLeft w:val="0"/>
      <w:marRight w:val="0"/>
      <w:marTop w:val="0"/>
      <w:marBottom w:val="0"/>
      <w:divBdr>
        <w:top w:val="none" w:sz="0" w:space="0" w:color="auto"/>
        <w:left w:val="none" w:sz="0" w:space="0" w:color="auto"/>
        <w:bottom w:val="none" w:sz="0" w:space="0" w:color="auto"/>
        <w:right w:val="none" w:sz="0" w:space="0" w:color="auto"/>
      </w:divBdr>
    </w:div>
    <w:div w:id="608703369">
      <w:bodyDiv w:val="1"/>
      <w:marLeft w:val="0"/>
      <w:marRight w:val="0"/>
      <w:marTop w:val="0"/>
      <w:marBottom w:val="0"/>
      <w:divBdr>
        <w:top w:val="none" w:sz="0" w:space="0" w:color="auto"/>
        <w:left w:val="none" w:sz="0" w:space="0" w:color="auto"/>
        <w:bottom w:val="none" w:sz="0" w:space="0" w:color="auto"/>
        <w:right w:val="none" w:sz="0" w:space="0" w:color="auto"/>
      </w:divBdr>
    </w:div>
    <w:div w:id="718170178">
      <w:bodyDiv w:val="1"/>
      <w:marLeft w:val="0"/>
      <w:marRight w:val="0"/>
      <w:marTop w:val="0"/>
      <w:marBottom w:val="0"/>
      <w:divBdr>
        <w:top w:val="none" w:sz="0" w:space="0" w:color="auto"/>
        <w:left w:val="none" w:sz="0" w:space="0" w:color="auto"/>
        <w:bottom w:val="none" w:sz="0" w:space="0" w:color="auto"/>
        <w:right w:val="none" w:sz="0" w:space="0" w:color="auto"/>
      </w:divBdr>
    </w:div>
    <w:div w:id="1039866218">
      <w:bodyDiv w:val="1"/>
      <w:marLeft w:val="0"/>
      <w:marRight w:val="0"/>
      <w:marTop w:val="0"/>
      <w:marBottom w:val="0"/>
      <w:divBdr>
        <w:top w:val="none" w:sz="0" w:space="0" w:color="auto"/>
        <w:left w:val="none" w:sz="0" w:space="0" w:color="auto"/>
        <w:bottom w:val="none" w:sz="0" w:space="0" w:color="auto"/>
        <w:right w:val="none" w:sz="0" w:space="0" w:color="auto"/>
      </w:divBdr>
    </w:div>
    <w:div w:id="1160583478">
      <w:bodyDiv w:val="1"/>
      <w:marLeft w:val="0"/>
      <w:marRight w:val="0"/>
      <w:marTop w:val="0"/>
      <w:marBottom w:val="0"/>
      <w:divBdr>
        <w:top w:val="none" w:sz="0" w:space="0" w:color="auto"/>
        <w:left w:val="none" w:sz="0" w:space="0" w:color="auto"/>
        <w:bottom w:val="none" w:sz="0" w:space="0" w:color="auto"/>
        <w:right w:val="none" w:sz="0" w:space="0" w:color="auto"/>
      </w:divBdr>
    </w:div>
    <w:div w:id="20127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fs.2011.05.019" TargetMode="External"/><Relationship Id="rId13" Type="http://schemas.openxmlformats.org/officeDocument/2006/relationships/hyperlink" Target="https://doi.org/10.3109/1939636090358221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heshtanwade1997@gmail.com" TargetMode="External"/><Relationship Id="rId12" Type="http://schemas.openxmlformats.org/officeDocument/2006/relationships/hyperlink" Target="https://doi.org/10.1016/S0278-6915(02)00204-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91/0748233701th093oa" TargetMode="External"/><Relationship Id="rId5" Type="http://schemas.openxmlformats.org/officeDocument/2006/relationships/footnotes" Target="footnotes.xml"/><Relationship Id="rId15" Type="http://schemas.openxmlformats.org/officeDocument/2006/relationships/hyperlink" Target="https://doi.org/10.1007/BF02931254" TargetMode="External"/><Relationship Id="rId10" Type="http://schemas.openxmlformats.org/officeDocument/2006/relationships/hyperlink" Target="https://doi.org/10.1002/tox.205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tox.2007.11.002" TargetMode="External"/><Relationship Id="rId14" Type="http://schemas.openxmlformats.org/officeDocument/2006/relationships/hyperlink" Target="https://doi.org/10.1002/smll.20110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4098</Words>
  <Characters>23363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CHAPTER – I</vt:lpstr>
    </vt:vector>
  </TitlesOfParts>
  <Company/>
  <LinksUpToDate>false</LinksUpToDate>
  <CharactersWithSpaces>27407</CharactersWithSpaces>
  <SharedDoc>false</SharedDoc>
  <HLinks>
    <vt:vector size="60" baseType="variant">
      <vt:variant>
        <vt:i4>7471154</vt:i4>
      </vt:variant>
      <vt:variant>
        <vt:i4>45</vt:i4>
      </vt:variant>
      <vt:variant>
        <vt:i4>0</vt:i4>
      </vt:variant>
      <vt:variant>
        <vt:i4>5</vt:i4>
      </vt:variant>
      <vt:variant>
        <vt:lpwstr>https://doi.org/10.1007/BF02931254</vt:lpwstr>
      </vt:variant>
      <vt:variant>
        <vt:lpwstr/>
      </vt:variant>
      <vt:variant>
        <vt:i4>2097256</vt:i4>
      </vt:variant>
      <vt:variant>
        <vt:i4>42</vt:i4>
      </vt:variant>
      <vt:variant>
        <vt:i4>0</vt:i4>
      </vt:variant>
      <vt:variant>
        <vt:i4>5</vt:i4>
      </vt:variant>
      <vt:variant>
        <vt:lpwstr>https://doi.org/10.1002/smll.201100001</vt:lpwstr>
      </vt:variant>
      <vt:variant>
        <vt:lpwstr/>
      </vt:variant>
      <vt:variant>
        <vt:i4>1310800</vt:i4>
      </vt:variant>
      <vt:variant>
        <vt:i4>39</vt:i4>
      </vt:variant>
      <vt:variant>
        <vt:i4>0</vt:i4>
      </vt:variant>
      <vt:variant>
        <vt:i4>5</vt:i4>
      </vt:variant>
      <vt:variant>
        <vt:lpwstr>https://doi.org/10.3109/19396360903582216</vt:lpwstr>
      </vt:variant>
      <vt:variant>
        <vt:lpwstr/>
      </vt:variant>
      <vt:variant>
        <vt:i4>3932280</vt:i4>
      </vt:variant>
      <vt:variant>
        <vt:i4>36</vt:i4>
      </vt:variant>
      <vt:variant>
        <vt:i4>0</vt:i4>
      </vt:variant>
      <vt:variant>
        <vt:i4>5</vt:i4>
      </vt:variant>
      <vt:variant>
        <vt:lpwstr>https://doi.org/10.12968/npre.2017.15.7.356</vt:lpwstr>
      </vt:variant>
      <vt:variant>
        <vt:lpwstr/>
      </vt:variant>
      <vt:variant>
        <vt:i4>14</vt:i4>
      </vt:variant>
      <vt:variant>
        <vt:i4>33</vt:i4>
      </vt:variant>
      <vt:variant>
        <vt:i4>0</vt:i4>
      </vt:variant>
      <vt:variant>
        <vt:i4>5</vt:i4>
      </vt:variant>
      <vt:variant>
        <vt:lpwstr>https://doi.org/10.1016/S0278-6915(02)00204-1</vt:lpwstr>
      </vt:variant>
      <vt:variant>
        <vt:lpwstr/>
      </vt:variant>
      <vt:variant>
        <vt:i4>1966104</vt:i4>
      </vt:variant>
      <vt:variant>
        <vt:i4>30</vt:i4>
      </vt:variant>
      <vt:variant>
        <vt:i4>0</vt:i4>
      </vt:variant>
      <vt:variant>
        <vt:i4>5</vt:i4>
      </vt:variant>
      <vt:variant>
        <vt:lpwstr>https://doi.org/10.1191/0748233701th093oa</vt:lpwstr>
      </vt:variant>
      <vt:variant>
        <vt:lpwstr/>
      </vt:variant>
      <vt:variant>
        <vt:i4>5898323</vt:i4>
      </vt:variant>
      <vt:variant>
        <vt:i4>27</vt:i4>
      </vt:variant>
      <vt:variant>
        <vt:i4>0</vt:i4>
      </vt:variant>
      <vt:variant>
        <vt:i4>5</vt:i4>
      </vt:variant>
      <vt:variant>
        <vt:lpwstr>https://doi.org/10.1002/tox.20589</vt:lpwstr>
      </vt:variant>
      <vt:variant>
        <vt:lpwstr/>
      </vt:variant>
      <vt:variant>
        <vt:i4>5570583</vt:i4>
      </vt:variant>
      <vt:variant>
        <vt:i4>24</vt:i4>
      </vt:variant>
      <vt:variant>
        <vt:i4>0</vt:i4>
      </vt:variant>
      <vt:variant>
        <vt:i4>5</vt:i4>
      </vt:variant>
      <vt:variant>
        <vt:lpwstr>https://doi.org/10.1016/j.tox.2007.11.002</vt:lpwstr>
      </vt:variant>
      <vt:variant>
        <vt:lpwstr/>
      </vt:variant>
      <vt:variant>
        <vt:i4>5898241</vt:i4>
      </vt:variant>
      <vt:variant>
        <vt:i4>21</vt:i4>
      </vt:variant>
      <vt:variant>
        <vt:i4>0</vt:i4>
      </vt:variant>
      <vt:variant>
        <vt:i4>5</vt:i4>
      </vt:variant>
      <vt:variant>
        <vt:lpwstr>https://doi.org/10.1016/j.lfs.2011.05.019</vt:lpwstr>
      </vt:variant>
      <vt:variant>
        <vt:lpwstr/>
      </vt:variant>
      <vt:variant>
        <vt:i4>6291545</vt:i4>
      </vt:variant>
      <vt:variant>
        <vt:i4>0</vt:i4>
      </vt:variant>
      <vt:variant>
        <vt:i4>0</vt:i4>
      </vt:variant>
      <vt:variant>
        <vt:i4>5</vt:i4>
      </vt:variant>
      <vt:variant>
        <vt:lpwstr>mailto:maheshtanwade1997@gmail.com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 I</dc:title>
  <dc:subject/>
  <dc:creator>Super</dc:creator>
  <cp:keywords/>
  <dc:description/>
  <cp:lastModifiedBy>s b zoology</cp:lastModifiedBy>
  <cp:revision>9</cp:revision>
  <cp:lastPrinted>2025-12-06T06:52:00Z</cp:lastPrinted>
  <dcterms:created xsi:type="dcterms:W3CDTF">2026-04-02T07:02:00Z</dcterms:created>
  <dcterms:modified xsi:type="dcterms:W3CDTF">2026-06-05T18:04:00Z</dcterms:modified>
</cp:coreProperties>
</file>