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8DE86" w14:textId="720097E5" w:rsidR="00FB1DA9" w:rsidRDefault="00EF504E" w:rsidP="00D70B06">
      <w:pPr>
        <w:spacing w:after="0"/>
        <w:jc w:val="center"/>
        <w:rPr>
          <w:b/>
          <w:sz w:val="20"/>
          <w:szCs w:val="20"/>
        </w:rPr>
      </w:pPr>
      <w:r w:rsidRPr="00EF504E">
        <w:rPr>
          <w:b/>
          <w:szCs w:val="22"/>
        </w:rPr>
        <w:t>Governance Quality and the Sustainability of Community-Based Development Projects: How Leadership Politics Shapes Sustainability in Rural Zimbabwe</w:t>
      </w:r>
    </w:p>
    <w:p w14:paraId="1AEDDFC1" w14:textId="77777777" w:rsidR="00EF504E" w:rsidRDefault="00EF504E" w:rsidP="00D70B06">
      <w:pPr>
        <w:spacing w:after="0"/>
        <w:jc w:val="center"/>
        <w:rPr>
          <w:b/>
          <w:sz w:val="20"/>
          <w:szCs w:val="20"/>
        </w:rPr>
      </w:pPr>
    </w:p>
    <w:p w14:paraId="62C1734C" w14:textId="1BD0237B" w:rsidR="00A67486" w:rsidRPr="00F76DC4" w:rsidRDefault="00A67486" w:rsidP="00D70B06">
      <w:pPr>
        <w:spacing w:after="0"/>
        <w:jc w:val="center"/>
        <w:rPr>
          <w:bCs/>
          <w:sz w:val="18"/>
          <w:szCs w:val="18"/>
        </w:rPr>
      </w:pPr>
      <w:r w:rsidRPr="00077693">
        <w:rPr>
          <w:b/>
          <w:sz w:val="20"/>
          <w:szCs w:val="20"/>
        </w:rPr>
        <w:t>Claybough Tarcisius Mapfumo</w:t>
      </w:r>
      <w:r w:rsidR="009E11D7" w:rsidRPr="00077693">
        <w:rPr>
          <w:b/>
          <w:sz w:val="20"/>
          <w:szCs w:val="20"/>
        </w:rPr>
        <w:t xml:space="preserve"> </w:t>
      </w:r>
      <w:r>
        <w:rPr>
          <w:b/>
        </w:rPr>
        <w:br/>
      </w:r>
    </w:p>
    <w:p w14:paraId="2103A6DF" w14:textId="77256037" w:rsidR="00AB2C29" w:rsidRPr="00F76DC4" w:rsidRDefault="00AB2C29" w:rsidP="00D70B06">
      <w:pPr>
        <w:spacing w:after="0"/>
        <w:jc w:val="center"/>
        <w:rPr>
          <w:bCs/>
          <w:sz w:val="18"/>
          <w:szCs w:val="18"/>
        </w:rPr>
      </w:pPr>
    </w:p>
    <w:p w14:paraId="3271256B" w14:textId="77777777" w:rsidR="00A67486" w:rsidRDefault="00A67486" w:rsidP="00A67486">
      <w:pPr>
        <w:pStyle w:val="Heading1"/>
        <w:numPr>
          <w:ilvl w:val="0"/>
          <w:numId w:val="0"/>
        </w:numPr>
      </w:pPr>
      <w:r>
        <w:t>Abstract</w:t>
      </w:r>
    </w:p>
    <w:p w14:paraId="0B7E1454" w14:textId="103FE2F1" w:rsidR="003062CA" w:rsidRPr="003062CA" w:rsidRDefault="00F365BF" w:rsidP="003062CA">
      <w:r w:rsidRPr="00F365BF">
        <w:t>Sustainability remains a persistent challenge affecting community-based development projects across developing countries, particularly in Sub-Saharan Africa, where many initiatives fail to sustain benefits beyond the period of external funding despite substantial investments in financial, technical, and human resources. While previous studies have largely attributed project sustainability to factors such as community participation, capacity building, and resource mobilisation, limited attention has been paid to the role of leadership politics as a governance mechanism shaping sustainability outcomes. This study examined the influence of leadership politics on the sustainability of community-based development projects in Masvingo Province, Zimbabwe. Drawing on Stakeholder Theory and Political Economy Theory, the study conceptualised leadership politics as a multidimensional construct encompassing accountability, transparency, political inclusivity, stakeholder representation, conflict management, and equitable resource allocation. A pragmatic research philosophy guided the study, which employed a convergent mixed-methods design. Quantitative data were collected from 100 project beneficiaries using structured questionnaires, while qualitative data were gathered from 18 key informants through semi-structured interviews. Quantitative data were analysed using descriptive statistics, correlation, and regression analysis, while qualitative data were analysed through thematic analysis. The findings revealed a strong positive and statistically significant relationship between leadership politics and project sustainability (r = 0.758, p &lt; 0.01). Regression analysis further established that leadership politics significantly predicts project sustainability (β = 0.521, p &lt; 0.001), explaining 57.5% of the variation in sustainability outcomes. The study found that constructive leadership politics strengthens sustainability through enhanced stakeholder trust, community ownership, institutional legitimacy, and collective action, while destructive leadership politics, manifested through political interference, elite capture, exclusionary governance practices, and leadership conflicts, undermines long-term project sustainability. The study concludes that sustainable community development is fundamentally a governance challenge and that leadership politics constitutes a strategic determinant of sustainability within community-based development contexts. The study contributes to the sustainability, governance, and development literature by extending understanding of the governance–sustainability nexus and providing empirical evidence from Zimbabwe's layered rural governance environment. Practical recommendations are offered for policymakers, development agencies, local authorities, and community leaders seeking to enhance the sustainability of development interventions in Zimbabwe and other developing countries.</w:t>
      </w:r>
    </w:p>
    <w:p w14:paraId="3936E771" w14:textId="45BD750A" w:rsidR="000A6CAF" w:rsidRDefault="003062CA">
      <w:r w:rsidRPr="003062CA">
        <w:rPr>
          <w:b/>
          <w:bCs/>
        </w:rPr>
        <w:t>Keywords:</w:t>
      </w:r>
      <w:r w:rsidRPr="003062CA">
        <w:t xml:space="preserve"> </w:t>
      </w:r>
      <w:r w:rsidR="006F7FC1" w:rsidRPr="006F7FC1">
        <w:t>Leadership politics; project sustainability; community-based development projects; governance; constructive leadership politics; political economy; stakeholder participation; sustainable development; Zimbabwe</w:t>
      </w:r>
      <w:r w:rsidRPr="003062CA">
        <w:t>.</w:t>
      </w:r>
    </w:p>
    <w:p w14:paraId="0147721F" w14:textId="77777777" w:rsidR="003062CA" w:rsidRDefault="003062CA">
      <w:pPr>
        <w:spacing w:line="278" w:lineRule="auto"/>
        <w:jc w:val="left"/>
        <w:rPr>
          <w:rFonts w:eastAsiaTheme="majorEastAsia" w:cstheme="majorBidi"/>
          <w:b/>
          <w:caps/>
          <w:color w:val="000000" w:themeColor="text1"/>
          <w:szCs w:val="40"/>
        </w:rPr>
      </w:pPr>
      <w:r>
        <w:br w:type="page"/>
      </w:r>
    </w:p>
    <w:p w14:paraId="56C5CB96" w14:textId="6B2EE656" w:rsidR="000A6CAF" w:rsidRDefault="000A6CAF" w:rsidP="000A6CAF">
      <w:pPr>
        <w:pStyle w:val="Heading1"/>
      </w:pPr>
      <w:r>
        <w:lastRenderedPageBreak/>
        <w:t>Introduction</w:t>
      </w:r>
    </w:p>
    <w:p w14:paraId="523629B8" w14:textId="77777777" w:rsidR="000F30C1" w:rsidRDefault="000F30C1" w:rsidP="000F30C1">
      <w:pPr>
        <w:spacing w:line="276" w:lineRule="auto"/>
      </w:pPr>
      <w:r>
        <w:t>Community-based development projects (CBDPs) have become a dominant approach for addressing poverty, food insecurity, unemployment, social exclusion, and vulnerability across developing countries over the past three decades. Governments, international development agencies, non-governmental organisations (NGOs), and donor institutions have increasingly adopted community-driven approaches as mechanisms for promoting inclusive development, enhancing local ownership, and improving sustainability of development interventions (World Bank, 2024). Globally, billions of dollars are invested annually in community-based projects focusing on livelihoods, agriculture, climate resilience, water and sanitation, health, education, and social protection programmes (OECD, 2024).</w:t>
      </w:r>
    </w:p>
    <w:p w14:paraId="1902943D" w14:textId="77777777" w:rsidR="000F30C1" w:rsidRDefault="000F30C1" w:rsidP="000F30C1">
      <w:pPr>
        <w:spacing w:line="276" w:lineRule="auto"/>
      </w:pPr>
      <w:r>
        <w:t xml:space="preserve">Despite these substantial investments, sustainability remains one of the most persistent challenges confronting development </w:t>
      </w:r>
      <w:proofErr w:type="gramStart"/>
      <w:r>
        <w:t>practice</w:t>
      </w:r>
      <w:proofErr w:type="gramEnd"/>
      <w:r>
        <w:t xml:space="preserve"> worldwide. The World Bank (2024) estimates that between 30% and 50% of community-based development projects in developing countries experience significant operational decline or cease functioning within five years after external funding support ends. Similarly, the United Nations (2024) reports that many community development interventions fail to achieve long-term sustainability due to weak local governance structures, inadequate institutional ownership, poor accountability systems, and leadership-related challenges. These sustainability concerns have become increasingly important within the context of the Sustainable Development Goals (SDGs), particularly SDG 1 (No Poverty), SDG 11 (Sustainable Communities), SDG 16 (Peace, Justice and Strong Institutions), and SDG 17 (Partnerships for Sustainable Development), which emphasise institutional resilience and sustainable development outcomes.</w:t>
      </w:r>
    </w:p>
    <w:p w14:paraId="2A11594F" w14:textId="77777777" w:rsidR="000F30C1" w:rsidRDefault="000F30C1" w:rsidP="000F30C1">
      <w:pPr>
        <w:spacing w:line="276" w:lineRule="auto"/>
      </w:pPr>
      <w:r>
        <w:t>Across Sub-Saharan Africa, community-based development projects continue to play a critical role in addressing developmental deficits arising from poverty, inequality, climate vulnerability, and limited state capacity (AfDB, 2024). The region receives billions of dollars annually through development assistance programmes designed to improve livelihoods and strengthen community resilience (OECD, 2024). However, evidence suggests that sustainability challenges remain widespread. Studies conducted in Kenya, Uganda, Tanzania, Nigeria, and South Africa indicate that a significant proportion of donor-funded community projects collapse shortly after donor exit due to governance weaknesses, inadequate leadership systems, poor stakeholder coordination, and political interference (</w:t>
      </w:r>
      <w:proofErr w:type="spellStart"/>
      <w:r>
        <w:t>Aghaegbuna</w:t>
      </w:r>
      <w:proofErr w:type="spellEnd"/>
      <w:r>
        <w:t xml:space="preserve"> et al., 2020; </w:t>
      </w:r>
      <w:proofErr w:type="spellStart"/>
      <w:r>
        <w:t>Oino</w:t>
      </w:r>
      <w:proofErr w:type="spellEnd"/>
      <w:r>
        <w:t xml:space="preserve"> et al., 2015; Persoon &amp; Rutten, 2016).</w:t>
      </w:r>
    </w:p>
    <w:p w14:paraId="57F82E8C" w14:textId="77777777" w:rsidR="000F30C1" w:rsidRDefault="000F30C1" w:rsidP="000F30C1">
      <w:pPr>
        <w:spacing w:line="276" w:lineRule="auto"/>
      </w:pPr>
      <w:r>
        <w:t>Recent studies increasingly suggest that sustainability challenges in Africa are less a consequence of financial resource shortages and more a reflection of governance and leadership failures (</w:t>
      </w:r>
      <w:proofErr w:type="spellStart"/>
      <w:r>
        <w:t>Ceptureanu</w:t>
      </w:r>
      <w:proofErr w:type="spellEnd"/>
      <w:r>
        <w:t xml:space="preserve"> et al., 2022; </w:t>
      </w:r>
      <w:proofErr w:type="spellStart"/>
      <w:r>
        <w:t>Suriyankietkaew</w:t>
      </w:r>
      <w:proofErr w:type="spellEnd"/>
      <w:r>
        <w:t xml:space="preserve"> et al., 2022). Effective leadership is regarded as a critical determinant of organisational resilience, stakeholder trust, accountability, and institutional continuity (Northouse, 2022). Conversely, weak leadership structures, elite capture, corruption, political patronage, factionalism, and exclusionary decision-making processes have been identified as </w:t>
      </w:r>
      <w:r>
        <w:lastRenderedPageBreak/>
        <w:t>major obstacles to sustainable development outcomes across many developing countries (Acemoglu &amp; Robinson, 2019). Consequently, understanding the role of leadership politics in shaping sustainability outcomes has emerged as an important area of inquiry within contemporary development scholarship.</w:t>
      </w:r>
    </w:p>
    <w:p w14:paraId="01CA5149" w14:textId="77777777" w:rsidR="000F30C1" w:rsidRDefault="000F30C1" w:rsidP="000F30C1">
      <w:pPr>
        <w:spacing w:line="276" w:lineRule="auto"/>
      </w:pPr>
      <w:r>
        <w:t>While leadership is widely recognised as a critical governance variable, the concept of leadership politics remains contested and insufficiently theorised within community development literature. Existing studies frequently portray leadership politics as a positive governance mechanism associated with accountability, participation, representation, and transparency. However, leadership politics also encompasses contestation over power, authority, influence, and access to resources. Political processes within community-based development projects may generate both constructive and destructive outcomes. Constructive leadership politics promotes negotiation, stakeholder inclusion, conflict mediation, and collective decision-making, while destructive leadership politics may manifest through elite capture, patronage networks, political interference, favouritism, factionalism, and exclusion of vulnerable groups. Consequently, leadership politics should not be viewed solely as a governance asset but as a multidimensional political process capable of either strengthening or undermining project sustainability.</w:t>
      </w:r>
    </w:p>
    <w:p w14:paraId="295CDB6B" w14:textId="77777777" w:rsidR="000F30C1" w:rsidRDefault="000F30C1" w:rsidP="000F30C1">
      <w:pPr>
        <w:spacing w:line="276" w:lineRule="auto"/>
      </w:pPr>
      <w:r>
        <w:t xml:space="preserve">In Zimbabwe, community-based development projects have become increasingly important in addressing socio-economic challenges associated with poverty, unemployment, food insecurity, climate shocks, and limited public sector resources (Government of Zimbabwe, 2023). The country has experienced prolonged economic challenges over the past two decades, resulting in increased reliance on NGOs, donor agencies, faith-based organisations, and community development initiatives to support vulnerable populations (ZIMSTAT, 2023). According to </w:t>
      </w:r>
      <w:proofErr w:type="spellStart"/>
      <w:r>
        <w:t>ZimVAC</w:t>
      </w:r>
      <w:proofErr w:type="spellEnd"/>
      <w:r>
        <w:t xml:space="preserve"> (2024), approximately 26% of rural households continue to experience food insecurity, while poverty levels remain significantly higher in rural communities than in urban areas. Consequently, community-based projects have become central mechanisms for promoting rural livelihoods, agricultural productivity, climate adaptation, water access, and community empowerment.</w:t>
      </w:r>
    </w:p>
    <w:p w14:paraId="25FDBC03" w14:textId="77777777" w:rsidR="000F30C1" w:rsidRDefault="000F30C1" w:rsidP="000F30C1">
      <w:pPr>
        <w:spacing w:line="276" w:lineRule="auto"/>
      </w:pPr>
      <w:r>
        <w:t xml:space="preserve">Despite the proliferation of community-based development interventions across Zimbabwe, concerns regarding sustainability remain prevalent. Evidence from various evaluations indicates that many projects struggle to maintain operations after donor withdrawal, often resulting in abandoned infrastructure, weakened institutions, and diminished community benefits (Moyo &amp; Ncube, 2023). While previous studies have attributed these sustainability challenges to inadequate funding, limited technical capacity, and weak community participation (Chikoto &amp; Sibanda, 2019; </w:t>
      </w:r>
      <w:proofErr w:type="spellStart"/>
      <w:r>
        <w:t>Matsa</w:t>
      </w:r>
      <w:proofErr w:type="spellEnd"/>
      <w:r>
        <w:t xml:space="preserve"> &amp; Muringani, 2022), emerging evidence suggests that governance and leadership dynamics may play a more influential role than previously acknowledged.</w:t>
      </w:r>
    </w:p>
    <w:p w14:paraId="12229376" w14:textId="77777777" w:rsidR="000F30C1" w:rsidRDefault="000F30C1" w:rsidP="000F30C1">
      <w:pPr>
        <w:spacing w:line="276" w:lineRule="auto"/>
      </w:pPr>
    </w:p>
    <w:p w14:paraId="537FDD93" w14:textId="77777777" w:rsidR="000F30C1" w:rsidRDefault="000F30C1" w:rsidP="000F30C1">
      <w:pPr>
        <w:spacing w:line="276" w:lineRule="auto"/>
      </w:pPr>
      <w:r>
        <w:lastRenderedPageBreak/>
        <w:t xml:space="preserve">Leadership politics within community-based development projects encompasses the processes through which power, authority, influence, and decision-making are exercised within project governance structures. It includes issues related to leadership accountability, transparency, political interference, elite capture, stakeholder representation, conflict management, inclusivity, and resource allocation (Scoones, 2016). In many developing-country contexts, leadership structures determine access to resources, influence stakeholder participation, shape community trust, and affect institutional legitimacy, all of which are critical determinants of project sustainability (Scott, 1985; </w:t>
      </w:r>
      <w:proofErr w:type="spellStart"/>
      <w:r>
        <w:t>Suriyankietkaew</w:t>
      </w:r>
      <w:proofErr w:type="spellEnd"/>
      <w:r>
        <w:t xml:space="preserve"> et al., 2022).</w:t>
      </w:r>
    </w:p>
    <w:p w14:paraId="4A501D1E" w14:textId="77777777" w:rsidR="000F30C1" w:rsidRDefault="000F30C1" w:rsidP="000F30C1">
      <w:pPr>
        <w:spacing w:line="276" w:lineRule="auto"/>
      </w:pPr>
      <w:r>
        <w:t>The Zimbabwean rural development context presents a particularly important setting for examining leadership politics because governance authority is rarely vested in a single institution. Instead, community-based development projects often operate within layered governance arrangements involving traditional leaders, elected councillors, Rural District Councils, project committees, development agencies, community representatives, and, in some instances, political party structures. These overlapping centres of authority create complex political environments in which project priorities, resource allocation decisions, accountability mechanisms, and sustainability outcomes are continuously negotiated. Understanding how leadership politics operates within these multi-layered governance systems is therefore essential for explaining why some projects remain sustainable while others experience institutional decline following donor withdrawal.</w:t>
      </w:r>
    </w:p>
    <w:p w14:paraId="231295A3" w14:textId="77777777" w:rsidR="000F30C1" w:rsidRDefault="000F30C1" w:rsidP="000F30C1">
      <w:pPr>
        <w:spacing w:line="276" w:lineRule="auto"/>
      </w:pPr>
      <w:r>
        <w:t xml:space="preserve">Several studies have highlighted the growing significance of governance and leadership in community development sustainability. For example, Persoon and Rutten (2016) found that projects characterised by accountable and transparent leadership structures demonstrated significantly higher sustainability outcomes than those affected by political interference and governance failures. Similarly, </w:t>
      </w:r>
      <w:proofErr w:type="spellStart"/>
      <w:r>
        <w:t>Ceptureanu</w:t>
      </w:r>
      <w:proofErr w:type="spellEnd"/>
      <w:r>
        <w:t xml:space="preserve"> et al. (2022) established that leadership quality directly influences stakeholder commitment, resource mobilisation, and institutional resilience. However, despite growing international evidence, empirical studies examining leadership politics as a determinant of sustainability remain limited within Zimbabwe and much of Sub-Saharan Africa.</w:t>
      </w:r>
    </w:p>
    <w:p w14:paraId="6BE6FC53" w14:textId="77777777" w:rsidR="000F30C1" w:rsidRDefault="000F30C1" w:rsidP="000F30C1">
      <w:pPr>
        <w:spacing w:line="276" w:lineRule="auto"/>
      </w:pPr>
      <w:r>
        <w:t>Existing Zimbabwean studies have largely focused on participation, empowerment, donor dependency, and capacity-building dimensions of community development while paying limited attention to the influence of leadership politics on sustainability outcomes (</w:t>
      </w:r>
      <w:proofErr w:type="spellStart"/>
      <w:r>
        <w:t>Murisa</w:t>
      </w:r>
      <w:proofErr w:type="spellEnd"/>
      <w:r>
        <w:t xml:space="preserve">, 2007; Chikoto &amp; Sibanda, 2019; Moyo &amp; Ncube, 2023). Furthermore, most available studies conceptualise leadership as a peripheral governance variable rather than a central explanatory factor influencing sustainability. As a result, limited empirical evidence exists regarding how constructive and destructive forms of leadership politics shape sustainability outcomes within Zimbabwean community development settings. Equally underexplored is the </w:t>
      </w:r>
      <w:proofErr w:type="gramStart"/>
      <w:r>
        <w:t>manner in which</w:t>
      </w:r>
      <w:proofErr w:type="gramEnd"/>
      <w:r>
        <w:t xml:space="preserve"> sustainability is negotiated within the interaction of traditional authorities, local </w:t>
      </w:r>
      <w:r>
        <w:lastRenderedPageBreak/>
        <w:t>government institutions, development agencies, community structures, and political actors.</w:t>
      </w:r>
    </w:p>
    <w:p w14:paraId="7FFD65F0" w14:textId="7B3E82B0" w:rsidR="000A6CAF" w:rsidRDefault="000F30C1" w:rsidP="000F30C1">
      <w:pPr>
        <w:spacing w:line="276" w:lineRule="auto"/>
      </w:pPr>
      <w:r>
        <w:t>Against this background, the present study sought to examine the influence of leadership politics on the sustainability of community-based development projects in Masvingo Province, Zimbabwe. Specifically, the study investigated how leadership accountability, governance transparency, political inclusivity, stakeholder representation, conflict management, power relations, and resource allocation practices influence sustainability outcomes within community-based development initiatives. By conceptualising leadership politics as a multidimensional governance and political economy construct, the study contributes to emerging debates on governance, sustainability, and rural development. The study further provides context-specific evidence on how leadership politics operates within Zimbabwe's layered rural governance systems and offers practical insights for policymakers, development practitioners, community leaders, and development partners seeking to enhance sustainability of community-based development interventions</w:t>
      </w:r>
      <w:r w:rsidR="00904274">
        <w:t>.</w:t>
      </w:r>
    </w:p>
    <w:p w14:paraId="4C569DB9" w14:textId="31ED9E25" w:rsidR="00E33F35" w:rsidRDefault="00E33F35">
      <w:pPr>
        <w:spacing w:line="278" w:lineRule="auto"/>
        <w:jc w:val="left"/>
      </w:pPr>
      <w:r>
        <w:br w:type="page"/>
      </w:r>
    </w:p>
    <w:p w14:paraId="2AC65C4E" w14:textId="51B8C059" w:rsidR="00F94D5B" w:rsidRPr="00F94D5B" w:rsidRDefault="00F94D5B" w:rsidP="00EB53CF">
      <w:pPr>
        <w:pStyle w:val="Heading1"/>
        <w:rPr>
          <w:rFonts w:eastAsia="Times New Roman"/>
        </w:rPr>
      </w:pPr>
      <w:r w:rsidRPr="00F94D5B">
        <w:rPr>
          <w:rFonts w:eastAsia="Times New Roman"/>
        </w:rPr>
        <w:lastRenderedPageBreak/>
        <w:t>LITERATURE REVIEW</w:t>
      </w:r>
    </w:p>
    <w:p w14:paraId="779CA8D8" w14:textId="7DC45CE7" w:rsidR="00E33F35" w:rsidRDefault="00E33F35" w:rsidP="00EB53CF">
      <w:pPr>
        <w:pStyle w:val="Heading2"/>
      </w:pPr>
      <w:r>
        <w:t>Community-Based Development Project Sustainability</w:t>
      </w:r>
    </w:p>
    <w:p w14:paraId="77FFD40E" w14:textId="77777777" w:rsidR="001D75C7" w:rsidRDefault="00E33F35" w:rsidP="001D75C7">
      <w:r>
        <w:t>Sustainability remains one of the most important yet complex concepts within development studies. The World Commission on Environment and Development (WCED, 1987) defines sustainability as the ability to meet present needs without compromising the ability of future generations to meet their own needs. Within the context of community-based development projects, sustainability refers to the capacity of project benefits, services, institutions, and outcomes to continue functioning effectively beyond the period of external support or donor funding (World Bank, 2024).</w:t>
      </w:r>
      <w:r w:rsidR="001D75C7">
        <w:t xml:space="preserve"> </w:t>
      </w:r>
    </w:p>
    <w:p w14:paraId="11BD2F87" w14:textId="77777777" w:rsidR="001D75C7" w:rsidRDefault="00E33F35" w:rsidP="001D75C7">
      <w:r>
        <w:t xml:space="preserve">Recent literature demonstrates that sustainability extends beyond financial continuity and encompasses social, institutional, environmental, governance, and organisational dimensions (United Nations, 2024; OECD, 2024). According to Mansuri and Rao (2021), sustainable community-based projects are characterised by strong community ownership, institutional resilience, local capacity development, stakeholder commitment, and the ability to mobilise resources independently after donor withdrawal. Similarly, </w:t>
      </w:r>
      <w:proofErr w:type="spellStart"/>
      <w:r>
        <w:t>Suriyankietkaew</w:t>
      </w:r>
      <w:proofErr w:type="spellEnd"/>
      <w:r>
        <w:t xml:space="preserve"> et al. (2022) argue that sustainability emerges when governance systems create conditions that foster accountability, participation, legitimacy, and collective responsibility among stakeholders.</w:t>
      </w:r>
    </w:p>
    <w:p w14:paraId="5466D53E" w14:textId="77777777" w:rsidR="001D75C7" w:rsidRDefault="00E33F35" w:rsidP="001D75C7">
      <w:r>
        <w:t>Historically, sustainability research focused primarily on financial viability, technical capacity, and infrastructure maintenance (WCED, 1987). However, contemporary scholarship increasingly emphasises governance quality and leadership effectiveness as critical determinants of long-term project survival (</w:t>
      </w:r>
      <w:proofErr w:type="spellStart"/>
      <w:r>
        <w:t>Ceptureanu</w:t>
      </w:r>
      <w:proofErr w:type="spellEnd"/>
      <w:r>
        <w:t xml:space="preserve"> et al., 2022; Bryson et al., 2023; UNDP, 2023). The World Bank (2024) notes that projects characterised by weak governance structures frequently experience institutional decline despite receiving substantial financial and technical support. Consequently, governance and leadership have emerged as central explanatory variables within sustainability discourse.</w:t>
      </w:r>
    </w:p>
    <w:p w14:paraId="6BD7615D" w14:textId="4C939278" w:rsidR="00E33F35" w:rsidRDefault="00E33F35" w:rsidP="001D75C7">
      <w:r>
        <w:t>Within Africa, sustainability challenges remain prevalent despite significant development investments. The African Development Bank (2024) reports that many community-based development projects fail to achieve long-term sustainability due to weak governance systems, leadership disputes, inadequate accountability mechanisms, and limited stakeholder participation. This observation suggests that sustainability should be understood not only as an economic outcome but also as a governance outcome shaped by leadership practices, institutional arrangements, and political dynamics.</w:t>
      </w:r>
    </w:p>
    <w:p w14:paraId="40BF15AF" w14:textId="77777777" w:rsidR="00E33F35" w:rsidRDefault="00E33F35" w:rsidP="00E33F35"/>
    <w:p w14:paraId="7DAFBFCD" w14:textId="143998E9" w:rsidR="00E33F35" w:rsidRDefault="00E33F35" w:rsidP="001D75C7">
      <w:pPr>
        <w:pStyle w:val="Heading2"/>
      </w:pPr>
      <w:r>
        <w:t>Leadership Politics in Community Development</w:t>
      </w:r>
    </w:p>
    <w:p w14:paraId="6BF5EB39" w14:textId="77777777" w:rsidR="001D75C7" w:rsidRDefault="00E33F35" w:rsidP="00E33F35">
      <w:r>
        <w:t>Leadership politics refers to the processes through which power, authority, influence, decision-making, and resource allocation are exercised within organisational and community governance systems. While leadership traditionally focuses on influence and direction, leadership politics recognises that governance processes inevitably involve competing interests, power negotiations, stakeholder interactions, and struggles over resources and authority (North et al., 2009; Acemoglu &amp; Robinson, 2019).</w:t>
      </w:r>
      <w:r w:rsidR="001D75C7">
        <w:t xml:space="preserve"> </w:t>
      </w:r>
    </w:p>
    <w:p w14:paraId="431E20F2" w14:textId="11939C61" w:rsidR="001D75C7" w:rsidRDefault="00E33F35" w:rsidP="00E33F35">
      <w:r>
        <w:lastRenderedPageBreak/>
        <w:t>Political Economy Theory argues that development interventions are embedded within broader systems of power and institutional relationships that influence decision-making and development outcomes (Khan, 2022). Consequently, leadership politics represents more than administrative decision-making; it reflects how authority is exercised, contested, negotiated, and legitimised among stakeholders. Leadership politics therefore influences accountability systems, participation opportunities, stakeholder representation, conflict management processes, and resource distribution mechanisms.</w:t>
      </w:r>
      <w:r w:rsidR="005910F5">
        <w:t xml:space="preserve"> </w:t>
      </w:r>
      <w:r>
        <w:t>According to Leftwich (2007), governance outcomes are significantly influenced by political incentives and institutional arrangements that shape leadership behaviour. Similarly, Hickey (2013) argues that development initiatives cannot be fully understood without examining the political processes through which decisions are made and resources are allocated. Leadership politics therefore constitutes an important explanatory lens for understanding why some development interventions achieve sustainability while others fail despite similar resource endowments.</w:t>
      </w:r>
      <w:r w:rsidR="001D75C7">
        <w:t xml:space="preserve"> </w:t>
      </w:r>
    </w:p>
    <w:p w14:paraId="35F09CAB" w14:textId="399C7AC1" w:rsidR="00E33F35" w:rsidRDefault="00E33F35" w:rsidP="00E33F35">
      <w:r>
        <w:t>Recent governance literature increasingly recognises leadership politics as a determinant of institutional resilience and sustainability (</w:t>
      </w:r>
      <w:proofErr w:type="spellStart"/>
      <w:r>
        <w:t>Auriacombe</w:t>
      </w:r>
      <w:proofErr w:type="spellEnd"/>
      <w:r>
        <w:t xml:space="preserve"> &amp; Shikha, 2023; Chigudu, 2023; Shava &amp; Hofisi, 2023). Leadership practices influence stakeholder trust, legitimacy, ownership, participation, and commitment, all of which contribute to sustainability outcomes. Consequently, leadership politics has become an increasingly important area of inquiry within contemporary development scholarship.</w:t>
      </w:r>
    </w:p>
    <w:p w14:paraId="6AB71E8A" w14:textId="77777777" w:rsidR="00E33F35" w:rsidRDefault="00E33F35" w:rsidP="00E33F35"/>
    <w:p w14:paraId="0E1B8CD8" w14:textId="5F74F49E" w:rsidR="00E33F35" w:rsidRDefault="00E33F35" w:rsidP="001D75C7">
      <w:pPr>
        <w:pStyle w:val="Heading3"/>
      </w:pPr>
      <w:r>
        <w:t>Constructive and Destructive Leadership Politics</w:t>
      </w:r>
    </w:p>
    <w:p w14:paraId="15A787AC" w14:textId="77777777" w:rsidR="00655979" w:rsidRDefault="00E33F35" w:rsidP="00E33F35">
      <w:r>
        <w:t>Although leadership politics is frequently discussed within governance literature, existing studies often treat it as a uniformly positive phenomenon associated with accountability, participation, transparency, and representation. Such a perspective oversimplifies the inherently political nature of governance processes. Leadership politics can generate both constructive and destructive outcomes depending on how power, authority, and influence are exercised within project governance structures.</w:t>
      </w:r>
      <w:r w:rsidR="001D75C7">
        <w:t xml:space="preserve"> </w:t>
      </w:r>
    </w:p>
    <w:p w14:paraId="24EA7EA4" w14:textId="790922B3" w:rsidR="00655979" w:rsidRDefault="00E33F35" w:rsidP="00E33F35">
      <w:r>
        <w:t>Constructive leadership politics refers to governance practices that promote stakeholder engagement, inclusive participation, accountability, transparency, negotiation, consensus building, conflict mediation, and equitable resource allocation (Freeman et al., 2020; Bryson et al., 2023). Under constructive political conditions, leaders facilitate collaboration among stakeholders, strengthen institutional legitimacy, encourage participation, and build collective ownership of development interventions. Reed (2022) argues that constructive stakeholder engagement contributes significantly to sustainability because stakeholders are more likely to support initiatives in which they have meaningful influence.</w:t>
      </w:r>
      <w:r w:rsidR="00655979">
        <w:t xml:space="preserve"> </w:t>
      </w:r>
      <w:r>
        <w:t>Conversely, destructive leadership politics emerges when governance processes become characterised by elite capture, patronage networks, political interference, favouritism, corruption, exclusionary decision-making, and resource manipulation (Acemoglu &amp; Robinson, 2019; Khan, 2022). Under such conditions, leadership positions may be used to advance individual, factional, or political interests at the expense of collective development objectives. Political competition may undermine trust, weaken institutional legitimacy, reduce participation, and ultimately compromise sustainability outcomes.</w:t>
      </w:r>
    </w:p>
    <w:p w14:paraId="7A908203" w14:textId="368573E3" w:rsidR="00E33F35" w:rsidRDefault="00E33F35" w:rsidP="00E33F35">
      <w:r>
        <w:t xml:space="preserve">Cooke and Kothari (2001) caution that participatory governance structures may inadvertently reinforce existing power inequalities when influential actors dominate decision-making processes. Similarly, Cleaver (2001) argues that participation often </w:t>
      </w:r>
      <w:r>
        <w:lastRenderedPageBreak/>
        <w:t>masks underlying power asymmetries that shape development outcomes. These perspectives suggest that sustainability cannot be understood solely through formal governance structures but must also consider underlying political dynamics and power relations.</w:t>
      </w:r>
      <w:r w:rsidR="00655979">
        <w:t xml:space="preserve"> </w:t>
      </w:r>
      <w:r>
        <w:t>This distinction between constructive and destructive leadership politics provides an important analytical framework for examining sustainability outcomes within community-based development projects. Projects characterised by constructive leadership politics are expected to demonstrate stronger accountability, participation, legitimacy, and sustainability, while projects affected by destructive leadership politics are more likely to experience governance failures, conflict, stakeholder disengagement, and institutional decline.</w:t>
      </w:r>
    </w:p>
    <w:p w14:paraId="56BC5095" w14:textId="4CD5EFA2" w:rsidR="00E33F35" w:rsidRDefault="00E33F35" w:rsidP="00655979">
      <w:pPr>
        <w:pStyle w:val="Heading2"/>
      </w:pPr>
      <w:r>
        <w:t>Leadership Accountability and Sustainability</w:t>
      </w:r>
    </w:p>
    <w:p w14:paraId="7253D3A9" w14:textId="177C0DC7" w:rsidR="00E33F35" w:rsidRDefault="00E33F35" w:rsidP="00E33F35">
      <w:r>
        <w:t>Accountability is widely regarded as one of the most important principles of good governance. Bovens (2007) defines accountability as the obligation of leaders to explain, justify, and accept responsibility for their actions and decisions. Within community-based development projects, accountability promotes transparency, trust, stakeholder confidence, and responsible resource management.</w:t>
      </w:r>
      <w:r w:rsidR="00655979">
        <w:t xml:space="preserve"> </w:t>
      </w:r>
      <w:r>
        <w:t>Stakeholder Theory suggests that accountability strengthens relationships between leaders and stakeholders by ensuring that leaders remain responsive to stakeholder interests (Freeman, 1984; Freeman et al., 2020). Bryson et al. (2023) further argue that accountable leadership enhances institutional legitimacy and increases stakeholder willingness to support organisational objectives.</w:t>
      </w:r>
      <w:r w:rsidR="00A36AF8">
        <w:t xml:space="preserve"> </w:t>
      </w:r>
      <w:r>
        <w:t>Empirical studies consistently demonstrate positive relationships between accountability and sustainability. Yeboah-</w:t>
      </w:r>
      <w:proofErr w:type="spellStart"/>
      <w:r>
        <w:t>Assiamah</w:t>
      </w:r>
      <w:proofErr w:type="spellEnd"/>
      <w:r>
        <w:t xml:space="preserve"> et al. (2024) found that accountability mechanisms significantly improved sustainability outcomes among community development projects across several African countries. Similarly, Persoon and Rutten (2016) observed that projects characterised by accountable governance structures experienced higher levels of stakeholder commitment and long-term sustainability.</w:t>
      </w:r>
    </w:p>
    <w:p w14:paraId="3CF685F3" w14:textId="5BAABD08" w:rsidR="00E33F35" w:rsidRDefault="00E33F35" w:rsidP="00A36AF8">
      <w:pPr>
        <w:pStyle w:val="Heading2"/>
      </w:pPr>
      <w:r>
        <w:t>Governance Transparency and Sustainability</w:t>
      </w:r>
    </w:p>
    <w:p w14:paraId="3660B905" w14:textId="10690B14" w:rsidR="00E33F35" w:rsidRDefault="00E33F35" w:rsidP="00E33F35">
      <w:r>
        <w:t>Transparency refers to the availability, accessibility, and openness of information regarding organisational decisions, processes, and resource utilisation (Kaufmann et al., 2011). Transparent governance enables stakeholders to monitor decision-making processes, evaluate leadership performance, and participate more effectively in project activities.</w:t>
      </w:r>
      <w:r w:rsidR="00A36AF8">
        <w:t xml:space="preserve"> </w:t>
      </w:r>
      <w:r>
        <w:t>UNDP (2023) identifies transparency as a critical component of effective governance because it reduces information asymmetry, enhances trust, and strengthens institutional legitimacy. Northouse (2022) similarly argues that transparent leadership promotes stakeholder confidence and organisational commitment.</w:t>
      </w:r>
      <w:r w:rsidR="00A36AF8">
        <w:t xml:space="preserve"> </w:t>
      </w:r>
      <w:r>
        <w:t xml:space="preserve">Recent empirical evidence supports these assertions. </w:t>
      </w:r>
      <w:proofErr w:type="spellStart"/>
      <w:r>
        <w:t>Ceptureanu</w:t>
      </w:r>
      <w:proofErr w:type="spellEnd"/>
      <w:r>
        <w:t xml:space="preserve"> et al. (2022) found that transparency positively influences sustainability by strengthening stakeholder trust and facilitating collaborative governance. </w:t>
      </w:r>
      <w:proofErr w:type="spellStart"/>
      <w:r>
        <w:t>Suriyankietkaew</w:t>
      </w:r>
      <w:proofErr w:type="spellEnd"/>
      <w:r>
        <w:t xml:space="preserve"> et al. (2022) likewise reported that transparent organisations demonstrate greater resilience and sustainability than organisations characterised by opaque governance systems.</w:t>
      </w:r>
      <w:r w:rsidR="00A36AF8">
        <w:t xml:space="preserve"> </w:t>
      </w:r>
      <w:r>
        <w:t>However, Fox (2007) cautions that transparency alone may not guarantee accountability or participation. Information disclosure becomes meaningful only when stakeholders possess the capacity and opportunity to influence decisions. Consequently, transparency must operate alongside accountability and participation to generate sustainable outcomes.</w:t>
      </w:r>
    </w:p>
    <w:p w14:paraId="11453A65" w14:textId="46F0D965" w:rsidR="00E33F35" w:rsidRDefault="00E33F35" w:rsidP="00A36AF8">
      <w:pPr>
        <w:pStyle w:val="Heading2"/>
      </w:pPr>
      <w:r>
        <w:lastRenderedPageBreak/>
        <w:t>Political Inclusivity and Stakeholder Representation</w:t>
      </w:r>
    </w:p>
    <w:p w14:paraId="52F13904" w14:textId="2284B74D" w:rsidR="00E33F35" w:rsidRDefault="00E33F35" w:rsidP="00E33F35">
      <w:r>
        <w:t>Political inclusivity refers to the extent to which governance systems provide opportunities for diverse stakeholders to participate meaningfully in decision-making processes. Stakeholder representation ensures that various social groups, including women, youth, vulnerable populations, and marginalised communities, have a voice within governance structures.</w:t>
      </w:r>
      <w:r w:rsidR="00A36AF8">
        <w:t xml:space="preserve"> </w:t>
      </w:r>
      <w:r>
        <w:t>Stakeholder Theory emphasises the importance of incorporating diverse stakeholder interests into organisational decision-making processes (Freeman, 1984). Arnstein's (1969) Ladder of Citizen Participation further suggests that sustainability improves when stakeholders exercise meaningful influence over decisions affecting their lives.</w:t>
      </w:r>
      <w:r w:rsidR="00E30A2A">
        <w:t xml:space="preserve"> </w:t>
      </w:r>
      <w:r>
        <w:t xml:space="preserve">Recent studies support this perspective. Reed (2022) found that stakeholder engagement positively influences sustainability outcomes by strengthening ownership and commitment. </w:t>
      </w:r>
      <w:proofErr w:type="spellStart"/>
      <w:r>
        <w:t>Musingafi</w:t>
      </w:r>
      <w:proofErr w:type="spellEnd"/>
      <w:r>
        <w:t xml:space="preserve"> et al. (2024) similarly reported that participation significantly improved sustainability among rural development programmes in Zimbabwe.</w:t>
      </w:r>
      <w:r w:rsidR="00E30A2A">
        <w:t xml:space="preserve"> </w:t>
      </w:r>
      <w:r>
        <w:t>Despite these benefits, participation remains contested. Cleaver (2001) and Cornwall (2008) argue that participation may become symbolic rather than substantive if existing power structures remain unchanged. Therefore, genuine inclusivity requires not only participation opportunities but also equitable influence within governance processes.</w:t>
      </w:r>
    </w:p>
    <w:p w14:paraId="2DF47AFC" w14:textId="67E6F1EE" w:rsidR="00E33F35" w:rsidRDefault="00E33F35" w:rsidP="00E30A2A">
      <w:pPr>
        <w:pStyle w:val="Heading2"/>
      </w:pPr>
      <w:r>
        <w:t>Leadership Conflict, Political Interference and Sustainability</w:t>
      </w:r>
    </w:p>
    <w:p w14:paraId="392B47C4" w14:textId="610FE587" w:rsidR="00E33F35" w:rsidRDefault="00E33F35" w:rsidP="00E33F35">
      <w:r>
        <w:t>Leadership conflicts and political interference are frequently identified as major threats to sustainability. Political Economy Theory suggests that competing interests, power struggles, and institutional rivalries often influence development outcomes (Acemoglu &amp; Robinson, 2019; North et al., 2009).</w:t>
      </w:r>
      <w:r w:rsidR="00E30A2A">
        <w:t xml:space="preserve"> </w:t>
      </w:r>
      <w:r>
        <w:t>Scott (1985) argues that development projects inevitably generate political tensions because decisions regarding resource allocation create winners and losers. Similarly, Leftwich (2007) contends that political institutions shape governance effectiveness through their influence on accountability, participation, and resource distribution.</w:t>
      </w:r>
      <w:r w:rsidR="00DA07BE">
        <w:t xml:space="preserve"> </w:t>
      </w:r>
      <w:r>
        <w:t>Studies conducted across Sub-Saharan Africa indicate that leadership disputes and political interference often undermine project sustainability (Booth &amp; Cammack, 2013; Persoon &amp; Rutten, 2016). Political competition may weaken stakeholder trust, reduce participation, delay implementation, and divert attention from development objectives. Consequently, managing political tensions becomes critical for sustaining community-based development interventions.</w:t>
      </w:r>
    </w:p>
    <w:p w14:paraId="0BFEFA28" w14:textId="0B80CBD2" w:rsidR="00E33F35" w:rsidRDefault="00E33F35" w:rsidP="00DA07BE">
      <w:pPr>
        <w:pStyle w:val="Heading2"/>
      </w:pPr>
      <w:r>
        <w:t>Resource Allocation Fairness and Sustainability</w:t>
      </w:r>
    </w:p>
    <w:p w14:paraId="34C53FEC" w14:textId="3893F483" w:rsidR="00E33F35" w:rsidRDefault="00E33F35" w:rsidP="00E33F35">
      <w:r>
        <w:t>Resource allocation fairness refers to perceptions regarding the equitable distribution of project benefits, opportunities, and resources among stakeholders. Rawls (1971) argues that fairness constitutes a fundamental requirement for maintaining legitimacy and social cooperation within institutions.</w:t>
      </w:r>
      <w:r w:rsidR="00DA07BE">
        <w:t xml:space="preserve"> </w:t>
      </w:r>
      <w:r>
        <w:t>Tyler (2006) further suggests that perceptions of procedural and distributive justice influence stakeholder commitment and compliance. When stakeholders perceive resource allocation processes as fair, they are more likely to support collective initiatives and contribute to long-term sustainability.</w:t>
      </w:r>
      <w:r w:rsidR="00DA07BE">
        <w:t xml:space="preserve"> </w:t>
      </w:r>
      <w:r>
        <w:t>Within community development contexts, equitable resource allocation promotes trust, social cohesion, and community ownership (Putnam, 1995). Conversely, perceived favouritism and exclusion frequently generate conflict and reduce stakeholder commitment. Consequently, fairness represents both a governance issue and a sustainability issue.</w:t>
      </w:r>
    </w:p>
    <w:p w14:paraId="314F60CD" w14:textId="3EEC3E33" w:rsidR="00E33F35" w:rsidRDefault="00E33F35" w:rsidP="00DA07BE">
      <w:pPr>
        <w:pStyle w:val="Heading2"/>
      </w:pPr>
      <w:r>
        <w:lastRenderedPageBreak/>
        <w:t>Leadership Politics within Zimbabwe's Rural Governance Context</w:t>
      </w:r>
    </w:p>
    <w:p w14:paraId="0C763D63" w14:textId="49C88716" w:rsidR="00E33F35" w:rsidRDefault="00E33F35" w:rsidP="00E33F35">
      <w:r>
        <w:t>Zimbabwe presents a unique governance environment characterised by overlapping authority structures involving traditional leaders, elected officials, local government institutions, community committees, NGOs, and political actors (Scoones, 2016; Government of Zimbabwe, 2023). Community-based development projects often operate within these layered governance arrangements, creating complex interactions among multiple centres of authority.</w:t>
      </w:r>
      <w:r w:rsidR="00DA07BE">
        <w:t xml:space="preserve"> </w:t>
      </w:r>
      <w:r>
        <w:t>Traditional leaders continue to play influential roles in community mobilisation, land allocation, conflict resolution, and local governance (Dzingirai et al., 2022). Simultaneously, Rural District Councils, councillors, development agencies, and project committees exercise authority over planning, implementation, and resource allocation processes. These overlapping governance structures may either strengthen coordination or generate tensions depending on leadership practices and institutional relationships.</w:t>
      </w:r>
      <w:r w:rsidR="009C771E">
        <w:t xml:space="preserve"> </w:t>
      </w:r>
      <w:r>
        <w:t>Recent Zimbabwean studies increasingly identify governance quality as a critical determinant of development outcomes (Chigudu, 2023; Shava &amp; Hofisi, 2023). However, limited empirical research has specifically examined how leadership politics operating across these layered governance systems influences sustainability of community-based development projects. This gap remains particularly significant given ongoing efforts to strengthen local development and institutional resilience within rural Zimbabwe.</w:t>
      </w:r>
    </w:p>
    <w:p w14:paraId="21AF6696" w14:textId="667CA8F6" w:rsidR="00E33F35" w:rsidRDefault="00E33F35" w:rsidP="009C771E">
      <w:pPr>
        <w:pStyle w:val="Heading2"/>
      </w:pPr>
      <w:r>
        <w:t>Empirical Literature Review and Research Gap</w:t>
      </w:r>
    </w:p>
    <w:p w14:paraId="4D9D16C5" w14:textId="77777777" w:rsidR="009C771E" w:rsidRDefault="00E33F35" w:rsidP="00E33F35">
      <w:r>
        <w:t>The literature reviewed demonstrates strong theoretical and empirical support for the proposition that governance and leadership significantly influence sustainability outcomes. Existing studies consistently identify accountability, transparency, participation, stakeholder representation, conflict management, and fairness as important determinants of sustainability (</w:t>
      </w:r>
      <w:proofErr w:type="spellStart"/>
      <w:r>
        <w:t>Ceptureanu</w:t>
      </w:r>
      <w:proofErr w:type="spellEnd"/>
      <w:r>
        <w:t xml:space="preserve"> et al., 2022; </w:t>
      </w:r>
      <w:proofErr w:type="spellStart"/>
      <w:r>
        <w:t>Suriyankietkaew</w:t>
      </w:r>
      <w:proofErr w:type="spellEnd"/>
      <w:r>
        <w:t xml:space="preserve"> et al., 2022; Bryson et al., 2023; Yeboah-</w:t>
      </w:r>
      <w:proofErr w:type="spellStart"/>
      <w:r>
        <w:t>Assiamah</w:t>
      </w:r>
      <w:proofErr w:type="spellEnd"/>
      <w:r>
        <w:t xml:space="preserve"> et al., 2024).</w:t>
      </w:r>
      <w:r w:rsidR="009C771E">
        <w:t xml:space="preserve"> </w:t>
      </w:r>
      <w:r>
        <w:t>However, several important gaps remain. First, existing studies frequently examine governance variables independently rather than collectively within the broader construct of leadership politics. Second, limited research distinguishes between constructive and destructive forms of leadership politics despite their potentially different implications for sustainability. Third, empirical evidence examining leadership politics within Zimbabwean community-based development projects remains scarce. Finally, little research has explored how leadership politics operates within Zimbabwe's layered governance systems involving traditional leaders, local authorities, development agencies, community structures, and political actors.</w:t>
      </w:r>
    </w:p>
    <w:p w14:paraId="51D1133D" w14:textId="20E6B43C" w:rsidR="007256FF" w:rsidRDefault="00E33F35" w:rsidP="00E33F35">
      <w:r>
        <w:t>This study addresses these gaps by examining leadership politics as a multidimensional governance and political economy construct influencing the sustainability of community-based development projects in Masvingo Province, Zimbabwe.</w:t>
      </w:r>
    </w:p>
    <w:p w14:paraId="7BF76D82" w14:textId="11B8A590" w:rsidR="00701357" w:rsidRDefault="00E33F35" w:rsidP="006F4FAF">
      <w:pPr>
        <w:spacing w:line="278" w:lineRule="auto"/>
        <w:jc w:val="left"/>
      </w:pPr>
      <w:r>
        <w:br w:type="page"/>
      </w:r>
    </w:p>
    <w:p w14:paraId="3B003634" w14:textId="4DADF8EB" w:rsidR="006F4FAF" w:rsidRDefault="006F4FAF" w:rsidP="006F4FAF">
      <w:pPr>
        <w:pStyle w:val="Heading1"/>
      </w:pPr>
      <w:r>
        <w:lastRenderedPageBreak/>
        <w:t>THEORETICAL FRAMEWORK</w:t>
      </w:r>
    </w:p>
    <w:p w14:paraId="45C6E017" w14:textId="0F95B525" w:rsidR="006F4FAF" w:rsidRDefault="006F4FAF" w:rsidP="006F4FAF">
      <w:pPr>
        <w:pStyle w:val="Heading2"/>
      </w:pPr>
      <w:r>
        <w:t>Stakeholder Theory</w:t>
      </w:r>
    </w:p>
    <w:p w14:paraId="080FE296" w14:textId="77777777" w:rsidR="00903A5D" w:rsidRDefault="006F4FAF" w:rsidP="006F4FAF">
      <w:r>
        <w:t>The study is anchored partly on Stakeholder Theory, originally developed by Freeman (1984). Stakeholder Theory posits that organisations and development initiatives achieve sustainable outcomes when they recognise, engage, and respond to the interests of all stakeholders affected by their decisions. The theory challenges traditional management approaches that focus primarily on organisational objectives by emphasising the importance of balancing the interests of multiple stakeholder groups.</w:t>
      </w:r>
      <w:r w:rsidR="00EC688D">
        <w:t xml:space="preserve"> </w:t>
      </w:r>
      <w:r>
        <w:t>According to Freeman et al. (2020), stakeholders include any individual or group that can affect or be affected by organisational activities. Within community-based development projects, stakeholders typically include beneficiaries, community leaders, traditional authorities, local government institutions, development agencies, project committees, donor organisations, civil society organisations, and other community actors. The theory argues that sustainable outcomes are more likely when stakeholders participate meaningfully in governance processes and perceive decision-making systems as legitimate, transparent, accountable, and inclusive.</w:t>
      </w:r>
      <w:r w:rsidR="00EC688D">
        <w:t xml:space="preserve"> </w:t>
      </w:r>
      <w:r>
        <w:t>Recent studies continue to demonstrate the relevance of Stakeholder Theory in explaining sustainability outcomes. Reed (2022) found that meaningful stakeholder engagement contributes significantly to ownership, legitimacy, and sustainability of development interventions. Similarly, Bryson et al. (2023) argue that collaborative governance and stakeholder participation strengthen institutional resilience and improve long-term project performance. The United Nations Development Programme (2023) further identifies stakeholder inclusion as a critical governance principle underpinning sustainable development.</w:t>
      </w:r>
      <w:r w:rsidR="00903A5D">
        <w:t xml:space="preserve"> </w:t>
      </w:r>
      <w:r>
        <w:t>Within community-based development projects, Stakeholder Theory provides a useful framework for understanding how leadership accountability, governance transparency, political inclusivity, stakeholder representation, conflict management, and equitable resource allocation influence sustainability. Projects characterised by participatory governance systems are more likely to generate stakeholder trust, collective ownership, and long-term commitment. Conversely, exclusionary leadership practices weaken legitimacy and reduce stakeholder willingness to support project continuity.</w:t>
      </w:r>
    </w:p>
    <w:p w14:paraId="5A057FBC" w14:textId="62F264BF" w:rsidR="006F4FAF" w:rsidRDefault="006F4FAF" w:rsidP="006F4FAF">
      <w:r>
        <w:t>Despite its strengths, Stakeholder Theory has been criticised for underestimating power inequalities among stakeholders. Critics argue that the theory often assumes that stakeholder interests can be harmonised through participation and dialogue, while overlooking political realities that shape access to influence and decision-making authority (Cleaver, 2001; Cooke &amp; Kothari, 2001). Consequently, Stakeholder Theory alone may be insufficient for explaining sustainability outcomes in contexts characterised by political contestation, elite dominance, and unequal power relations.</w:t>
      </w:r>
    </w:p>
    <w:p w14:paraId="0E52B0FE" w14:textId="4CDF3EF1" w:rsidR="006F4FAF" w:rsidRDefault="006F4FAF" w:rsidP="00903A5D">
      <w:pPr>
        <w:pStyle w:val="Heading2"/>
      </w:pPr>
      <w:r>
        <w:t>Political Economy Theory</w:t>
      </w:r>
    </w:p>
    <w:p w14:paraId="7E0B6B30" w14:textId="77777777" w:rsidR="00A8462B" w:rsidRDefault="006F4FAF" w:rsidP="006F4FAF">
      <w:r>
        <w:t>To address these limitations, the study also draws on Political Economy Theory. Political Economy Theory examines how power relations, institutions, political incentives, and governance structures influence social and economic outcomes (North et al., 2009; Acemoglu &amp; Robinson, 2019). The theory argues that development interventions do not operate in politically neutral environments but are embedded within broader systems of power and authority that shape decision-making processes and resource distribution.</w:t>
      </w:r>
      <w:r w:rsidR="00903A5D">
        <w:t xml:space="preserve"> </w:t>
      </w:r>
      <w:r>
        <w:t xml:space="preserve">According to Khan (2022), development outcomes are </w:t>
      </w:r>
      <w:r>
        <w:lastRenderedPageBreak/>
        <w:t>significantly influenced by political settlements, governance arrangements, and institutional incentives that determine how resources are allocated and who benefits from development interventions. Political Economy Theory therefore shifts attention beyond formal governance structures to examine how political interests, authority relations, elite influence, and institutional dynamics affect development performance.</w:t>
      </w:r>
    </w:p>
    <w:p w14:paraId="0C59B0AD" w14:textId="5F907FCE" w:rsidR="006F4FAF" w:rsidRDefault="006F4FAF" w:rsidP="006F4FAF">
      <w:r>
        <w:t>Recent scholarship increasingly recognises the importance of political economy perspectives in understanding sustainability challenges. The World Bank (2024) argues that governance effectiveness and institutional quality are among the strongest predictors of sustainable development outcomes globally. Similarly, Chigudu (2023) and Shava and Hofisi (2023) demonstrate that governance arrangements and political dynamics significantly influence the effectiveness of development interventions across Africa.</w:t>
      </w:r>
      <w:r w:rsidR="00A8462B">
        <w:t xml:space="preserve"> </w:t>
      </w:r>
      <w:r>
        <w:t xml:space="preserve">Within community-based development projects, Political Economy Theory helps explain how leadership politics influences sustainability through accountability systems, political interference, stakeholder participation, resource allocation practices, and conflict management processes. The theory recognises that leadership structures may either facilitate collective development objectives or become instruments for advancing individual, factional, or political </w:t>
      </w:r>
      <w:proofErr w:type="spellStart"/>
      <w:r>
        <w:t>interests.The</w:t>
      </w:r>
      <w:proofErr w:type="spellEnd"/>
      <w:r>
        <w:t xml:space="preserve"> theory is particularly relevant to Zimbabwe, where community-based development projects frequently operate within layered governance systems involving traditional leaders, elected officials, Rural District Councils, project committees, NGOs, development agencies, and political actors. These multiple centres of authority create complex political environments in which sustainability outcomes are shaped by both formal governance mechanisms and informal power relations.</w:t>
      </w:r>
      <w:r w:rsidR="00A8462B">
        <w:t xml:space="preserve"> </w:t>
      </w:r>
      <w:r>
        <w:t>However, Political Economy Theory has also been criticised for placing excessive emphasis on power relations while underplaying the positive role of collaboration, participation, and collective action in development processes (Hickey, 2013). Consequently, combining Political Economy Theory with Stakeholder Theory provides a more comprehensive framework for understanding the governance and political processes influencing sustainability.</w:t>
      </w:r>
    </w:p>
    <w:p w14:paraId="6BB5A369" w14:textId="4F0A1DE8" w:rsidR="006F4FAF" w:rsidRDefault="006F4FAF" w:rsidP="00A8462B">
      <w:pPr>
        <w:pStyle w:val="Heading2"/>
      </w:pPr>
      <w:r>
        <w:t>Theoretical Integration and Relevance to the Study</w:t>
      </w:r>
    </w:p>
    <w:p w14:paraId="1D291493" w14:textId="34885DCB" w:rsidR="006F4FAF" w:rsidRDefault="006F4FAF" w:rsidP="006F4FAF">
      <w:r>
        <w:t>The integration of Stakeholder Theory and Political Economy Theory provides a comprehensive framework for analysing the influence of leadership politics on sustainability of community-based development projects.</w:t>
      </w:r>
      <w:r w:rsidR="00A8462B">
        <w:t xml:space="preserve"> </w:t>
      </w:r>
      <w:r>
        <w:t>Stakeholder Theory explains how accountability, transparency, inclusivity, representation, and participation contribute to sustainability by strengthening stakeholder trust, ownership, legitimacy, and commitment. Political Economy Theory complements this perspective by explaining how power relations, political interests, elite influence, institutional arrangements, and governance dynamics shape leadership behaviour and sustainability outcomes.</w:t>
      </w:r>
      <w:r w:rsidR="00A8462B">
        <w:t xml:space="preserve"> </w:t>
      </w:r>
      <w:r>
        <w:t>Together, the two theories provide a robust explanation of leadership politics as both a governance process and a political process. They recognise that sustainability is influenced not only by stakeholder participation and collaborative governance but also by underlying power structures that determine who participates, who benefits, and who exercises influence over development decisions.</w:t>
      </w:r>
      <w:r w:rsidR="00550918">
        <w:t xml:space="preserve"> </w:t>
      </w:r>
      <w:r>
        <w:t>The integrated theoretical framework therefore supports the study's central proposition that leadership politics influences sustainability through accountability, transparency, inclusivity, stakeholder representation, conflict management, and resource allocation practices. It further acknowledges that leadership politics may generate either constructive or destructive outcomes depending on how power and authority are exercised within project governance systems.</w:t>
      </w:r>
    </w:p>
    <w:p w14:paraId="4691AB33" w14:textId="536F816A" w:rsidR="006F4FAF" w:rsidRDefault="006F4FAF" w:rsidP="00C641CD">
      <w:pPr>
        <w:pStyle w:val="Heading2"/>
      </w:pPr>
      <w:r>
        <w:lastRenderedPageBreak/>
        <w:t>Conceptual Framework</w:t>
      </w:r>
    </w:p>
    <w:p w14:paraId="3F7F120B" w14:textId="3FC216D2" w:rsidR="006F4FAF" w:rsidRDefault="006F4FAF" w:rsidP="006F4FAF">
      <w:r>
        <w:t>Based on the reviewed literature and integrated theoretical perspectives, the study conceptualises leadership politics as a multidimensional construct comprising both constructive and destructive dimensions that influence sustainability of community-based development projects.</w:t>
      </w:r>
      <w:r w:rsidR="00C641CD">
        <w:t xml:space="preserve"> </w:t>
      </w:r>
      <w:r>
        <w:t>Constructive leadership politics strengthens sustainability through governance practices that promote accountability, transparency, inclusivity, stakeholder representation, conflict management, and equitable resource allocation. These governance mechanisms enhance stakeholder trust, institutional legitimacy, community ownership, collective action, and project continuity.</w:t>
      </w:r>
      <w:r w:rsidR="00C641CD">
        <w:t xml:space="preserve"> </w:t>
      </w:r>
      <w:r>
        <w:t>Conversely, destructive leadership politics undermines sustainability through political interference, elite capture, patronage networks, exclusionary decision-making, leadership conflicts, favouritism, and inequitable resource allocation. These practices weaken trust, reduce participation, erode legitimacy, and compromise institutional resilience.</w:t>
      </w:r>
      <w:r w:rsidR="007A27C8">
        <w:t xml:space="preserve"> </w:t>
      </w:r>
      <w:r>
        <w:t>Figure 1 presents the conceptual framework guiding the study.</w:t>
      </w:r>
    </w:p>
    <w:p w14:paraId="08E41514" w14:textId="77777777" w:rsidR="006F4FAF" w:rsidRPr="00612366" w:rsidRDefault="006F4FAF" w:rsidP="006F4FAF">
      <w:pPr>
        <w:rPr>
          <w:b/>
          <w:bCs/>
          <w:sz w:val="16"/>
          <w:szCs w:val="16"/>
        </w:rPr>
      </w:pPr>
      <w:r w:rsidRPr="00612366">
        <w:rPr>
          <w:b/>
          <w:bCs/>
          <w:sz w:val="16"/>
          <w:szCs w:val="16"/>
        </w:rPr>
        <w:t>Figure 1: Conceptual Framework for Leadership Politics and Sustainability of Community-Based Development Projects</w:t>
      </w:r>
    </w:p>
    <w:p w14:paraId="118504BD" w14:textId="6948241E" w:rsidR="004F7C44" w:rsidRPr="004F7C44" w:rsidRDefault="004F7C44" w:rsidP="004F7C44">
      <w:r w:rsidRPr="004F7C44">
        <w:rPr>
          <w:noProof/>
        </w:rPr>
        <w:drawing>
          <wp:inline distT="0" distB="0" distL="0" distR="0" wp14:anchorId="038E9F61" wp14:editId="4302B85E">
            <wp:extent cx="5648582" cy="4107815"/>
            <wp:effectExtent l="19050" t="19050" r="28575" b="26035"/>
            <wp:docPr id="10252916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7042" cy="4128512"/>
                    </a:xfrm>
                    <a:prstGeom prst="rect">
                      <a:avLst/>
                    </a:prstGeom>
                    <a:noFill/>
                    <a:ln>
                      <a:solidFill>
                        <a:schemeClr val="tx1"/>
                      </a:solidFill>
                    </a:ln>
                  </pic:spPr>
                </pic:pic>
              </a:graphicData>
            </a:graphic>
          </wp:inline>
        </w:drawing>
      </w:r>
    </w:p>
    <w:p w14:paraId="2DB0F6AE" w14:textId="77777777" w:rsidR="006F4FAF" w:rsidRPr="00612366" w:rsidRDefault="006F4FAF" w:rsidP="004F7C44">
      <w:pPr>
        <w:jc w:val="right"/>
        <w:rPr>
          <w:b/>
          <w:bCs/>
          <w:i/>
          <w:iCs/>
          <w:sz w:val="16"/>
          <w:szCs w:val="16"/>
        </w:rPr>
      </w:pPr>
      <w:r w:rsidRPr="00612366">
        <w:rPr>
          <w:b/>
          <w:bCs/>
          <w:i/>
          <w:iCs/>
          <w:sz w:val="16"/>
          <w:szCs w:val="16"/>
        </w:rPr>
        <w:t>Source: Researcher Conceptualisation (2026)</w:t>
      </w:r>
    </w:p>
    <w:p w14:paraId="444E0ACE" w14:textId="4BD6A717" w:rsidR="00CA59DD" w:rsidRDefault="006F4FAF" w:rsidP="006F4FAF">
      <w:r>
        <w:t>The conceptual framework proposes that leadership politics influences sustainability both directly and indirectly through governance mechanisms that shape stakeholder trust, ownership, legitimacy, and collective action. The framework further recognises that contextual governance factors may strengthen or weaken these relationships within community-based development projects in Masvingo Province, Zimbabwe.</w:t>
      </w:r>
    </w:p>
    <w:p w14:paraId="770B22A1" w14:textId="013C7141" w:rsidR="006F4FAF" w:rsidRDefault="006F4FAF">
      <w:pPr>
        <w:spacing w:line="278" w:lineRule="auto"/>
        <w:jc w:val="left"/>
      </w:pPr>
      <w:r>
        <w:br w:type="page"/>
      </w:r>
    </w:p>
    <w:p w14:paraId="30F4BDCF" w14:textId="591DC76A" w:rsidR="00FA5756" w:rsidRDefault="00FA5756" w:rsidP="003465E8">
      <w:pPr>
        <w:pStyle w:val="Heading1"/>
        <w:rPr>
          <w:rFonts w:ascii="Times New Roman" w:hAnsi="Times New Roman"/>
        </w:rPr>
      </w:pPr>
      <w:r>
        <w:lastRenderedPageBreak/>
        <w:t>METHODOLOGY</w:t>
      </w:r>
    </w:p>
    <w:p w14:paraId="3822736F" w14:textId="1EC68B7D" w:rsidR="00FA5756" w:rsidRDefault="00FA5756" w:rsidP="003465E8">
      <w:pPr>
        <w:pStyle w:val="Heading2"/>
      </w:pPr>
      <w:r>
        <w:t>Research Philosophy</w:t>
      </w:r>
    </w:p>
    <w:p w14:paraId="2332FECC" w14:textId="46D6F9C7" w:rsidR="00FA5756" w:rsidRDefault="00FA5756" w:rsidP="003465E8">
      <w:r>
        <w:t>This study adopted the pragmatist research philosophy. Pragmatism is particularly appropriate for studies investigating complex social phenomena because it allows researchers to utilise both quantitative and qualitative approaches to generate comprehensive and contextually relevant knowledge (Creswell &amp; Creswell, 2023; Saunders et al., 2023). The philosophy rejects the notion that a single methodological approach can adequately explain social reality and instead emphasises the practical consequences of inquiry and the use of multiple methods to address research problems.</w:t>
      </w:r>
      <w:r w:rsidR="000047A8">
        <w:t xml:space="preserve"> </w:t>
      </w:r>
      <w:r>
        <w:t xml:space="preserve">The choice of pragmatism was informed by the multidimensional nature of leadership politics and sustainability. Leadership politics encompasses measurable governance dimensions such as accountability, transparency, inclusivity, stakeholder representation, conflict management and resource allocation fairness, while simultaneously involving subjective experiences, power relations and contextual governance dynamics that require qualitative exploration. Consequently, the pragmatist philosophy provided an appropriate foundation for integrating quantitative and qualitative evidence </w:t>
      </w:r>
      <w:r w:rsidR="004A5033">
        <w:t>to</w:t>
      </w:r>
      <w:r>
        <w:t xml:space="preserve"> understand how leadership politics influences the sustainability of community-based development projects in Masvingo Province, Zimbabwe.</w:t>
      </w:r>
    </w:p>
    <w:p w14:paraId="76658C08" w14:textId="3869F4B7" w:rsidR="00FA5756" w:rsidRPr="003465E8" w:rsidRDefault="00FA5756" w:rsidP="003465E8">
      <w:pPr>
        <w:pStyle w:val="Heading2"/>
      </w:pPr>
      <w:r w:rsidRPr="003465E8">
        <w:t>Research Approach</w:t>
      </w:r>
    </w:p>
    <w:p w14:paraId="30BA0A64" w14:textId="77777777" w:rsidR="00FA5756" w:rsidRDefault="00FA5756" w:rsidP="003465E8">
      <w:r>
        <w:t>The study employed a deductive research approach. Deductive approaches involve the development and testing of propositions derived from existing theoretical and empirical literature (Saunders et al., 2023). The approach was appropriate because the study was informed by Stakeholder Theory and Political Economy Theory, which provided a theoretical basis for examining the influence of leadership politics on project sustainability.</w:t>
      </w:r>
    </w:p>
    <w:p w14:paraId="6C2D5EFD" w14:textId="77777777" w:rsidR="00FA5756" w:rsidRDefault="00FA5756" w:rsidP="003465E8">
      <w:r>
        <w:t>The deductive approach enabled the study to test relationships between leadership accountability, governance transparency, political inclusivity, stakeholder representation, conflict management, resource allocation fairness and sustainability outcomes. Qualitative findings were subsequently used to explain and contextualise the quantitative relationships identified.</w:t>
      </w:r>
    </w:p>
    <w:p w14:paraId="23A206C0" w14:textId="487C62CC" w:rsidR="00FA5756" w:rsidRDefault="00FA5756" w:rsidP="00FA5756">
      <w:pPr>
        <w:pStyle w:val="Heading2"/>
      </w:pPr>
      <w:r>
        <w:t>Research Design</w:t>
      </w:r>
    </w:p>
    <w:p w14:paraId="19E9AA86" w14:textId="77777777" w:rsidR="00FA5756" w:rsidRDefault="00FA5756" w:rsidP="00D56BDD">
      <w:r>
        <w:t xml:space="preserve">The study adopted a convergent mixed-methods research design. According to Creswell and Plano Clark (2022), convergent </w:t>
      </w:r>
      <w:proofErr w:type="gramStart"/>
      <w:r>
        <w:t>mixed-methods</w:t>
      </w:r>
      <w:proofErr w:type="gramEnd"/>
      <w:r>
        <w:t xml:space="preserve"> designs involve the concurrent collection of quantitative and qualitative data, separate analyses of each dataset and subsequent integration of findings during interpretation.</w:t>
      </w:r>
    </w:p>
    <w:p w14:paraId="343FA80E" w14:textId="77777777" w:rsidR="00FA5756" w:rsidRDefault="00FA5756" w:rsidP="00D56BDD">
      <w:r>
        <w:t>The quantitative component enabled measurement of the relationship between leadership politics and sustainability, while the qualitative component facilitated deeper understanding of governance dynamics, stakeholder interactions, political influences and institutional processes affecting project sustainability. The combination of quantitative and qualitative approaches enhanced methodological rigour through triangulation and provided a more comprehensive understanding of the phenomenon under investigation.</w:t>
      </w:r>
    </w:p>
    <w:p w14:paraId="091EDE9B" w14:textId="151E5C89" w:rsidR="00FA5756" w:rsidRDefault="00FA5756" w:rsidP="00FA5756">
      <w:pPr>
        <w:pStyle w:val="Heading2"/>
      </w:pPr>
      <w:r>
        <w:lastRenderedPageBreak/>
        <w:t>Study Area</w:t>
      </w:r>
    </w:p>
    <w:p w14:paraId="004E98A9" w14:textId="77777777" w:rsidR="00FA5756" w:rsidRDefault="00FA5756" w:rsidP="00D56BDD">
      <w:r>
        <w:t xml:space="preserve">The study was conducted in Masvingo Province, Zimbabwe. The province was selected because it hosts a substantial number of community-based development projects implemented by government agencies, non-governmental organisations, faith-based organisations and international development partners. The province continues to experience socio-economic challenges including poverty, food insecurity, unemployment and climate-related vulnerabilities, making community-based development interventions critical for improving livelihoods and promoting sustainable development (ZIMSTAT, 2023; </w:t>
      </w:r>
      <w:proofErr w:type="spellStart"/>
      <w:r>
        <w:t>ZimVAC</w:t>
      </w:r>
      <w:proofErr w:type="spellEnd"/>
      <w:r>
        <w:t>, 2024).</w:t>
      </w:r>
    </w:p>
    <w:p w14:paraId="62432F49" w14:textId="77777777" w:rsidR="00FA5756" w:rsidRDefault="00FA5756" w:rsidP="00D56BDD">
      <w:r>
        <w:t>Masvingo Province also provides an appropriate context for examining leadership politics because development projects operate within complex governance systems involving traditional leaders, Rural District Councils, councillors, project committees, development agencies and community structures. These overlapping governance arrangements create opportunities to examine how leadership politics influences sustainability outcomes within community-based development projects.</w:t>
      </w:r>
    </w:p>
    <w:p w14:paraId="4679DD96" w14:textId="6C4F2D58" w:rsidR="00FA5756" w:rsidRDefault="00FA5756" w:rsidP="00FA5756">
      <w:pPr>
        <w:pStyle w:val="Heading2"/>
      </w:pPr>
      <w:r>
        <w:t>Target Population</w:t>
      </w:r>
    </w:p>
    <w:p w14:paraId="4C369217" w14:textId="77777777" w:rsidR="00FA5756" w:rsidRDefault="00FA5756" w:rsidP="00D56BDD">
      <w:r>
        <w:t>The target population comprised individuals directly involved in the governance, implementation, management and oversight of community-based development projects in Masvingo Province. These included project beneficiaries, project committee members, traditional leaders, community leaders, Rural District Council officials, local government representatives, development practitioners, project coordinators and representatives of non-governmental organisations.</w:t>
      </w:r>
    </w:p>
    <w:p w14:paraId="648F6AF3" w14:textId="77777777" w:rsidR="00FA5756" w:rsidRDefault="00FA5756" w:rsidP="00D56BDD">
      <w:r>
        <w:t>The population was considered appropriate because these stakeholders possess direct experience and knowledge regarding leadership practices, governance systems, stakeholder participation, accountability mechanisms, resource allocation processes and sustainability outcomes within community-based development projects.</w:t>
      </w:r>
    </w:p>
    <w:p w14:paraId="6D06CA03" w14:textId="78D43606" w:rsidR="00FA5756" w:rsidRDefault="00FA5756" w:rsidP="00FA5756">
      <w:pPr>
        <w:pStyle w:val="Heading2"/>
      </w:pPr>
      <w:r>
        <w:t>Sampling Procedures and Sample Size</w:t>
      </w:r>
    </w:p>
    <w:p w14:paraId="3880B7D9" w14:textId="77777777" w:rsidR="00FA5756" w:rsidRDefault="00FA5756" w:rsidP="00D56BDD">
      <w:r>
        <w:t>The study utilised both probability and non-probability sampling techniques.</w:t>
      </w:r>
    </w:p>
    <w:p w14:paraId="3D19C2E5" w14:textId="77777777" w:rsidR="00FA5756" w:rsidRDefault="00FA5756" w:rsidP="00D56BDD">
      <w:r>
        <w:t>For the quantitative component, stratified random sampling was employed to ensure representation of the various stakeholder groups involved in community-based development projects. Stratification improved representativeness by ensuring that different categories of respondents were proportionately represented within the sample.</w:t>
      </w:r>
    </w:p>
    <w:p w14:paraId="20569479" w14:textId="77777777" w:rsidR="00FA5756" w:rsidRDefault="00FA5756" w:rsidP="00D56BDD">
      <w:r>
        <w:t>For the qualitative component, purposive sampling was utilised to select key informants possessing specialised knowledge regarding leadership politics, governance systems, project implementation and sustainability challenges. Key informants included traditional leaders, project coordinators, development practitioners, local government officials and NGO representatives.</w:t>
      </w:r>
    </w:p>
    <w:p w14:paraId="348AB229" w14:textId="77777777" w:rsidR="00FA5756" w:rsidRDefault="00FA5756" w:rsidP="00D56BDD">
      <w:r>
        <w:t>The final sample consisted of 150 questionnaire respondents and 15 key informants who participated in semi-structured interviews.</w:t>
      </w:r>
    </w:p>
    <w:p w14:paraId="47E19E52" w14:textId="1F9A94E1" w:rsidR="00FA5756" w:rsidRPr="009C7D5E" w:rsidRDefault="00FA5756" w:rsidP="009C7D5E">
      <w:pPr>
        <w:pStyle w:val="Heading2"/>
      </w:pPr>
      <w:r w:rsidRPr="009C7D5E">
        <w:lastRenderedPageBreak/>
        <w:t>Measurement of Variables</w:t>
      </w:r>
    </w:p>
    <w:p w14:paraId="358377F2" w14:textId="77777777" w:rsidR="00FA5756" w:rsidRDefault="00FA5756" w:rsidP="009C7D5E">
      <w:r>
        <w:t>The study conceptualised leadership politics as a multidimensional construct comprising leadership accountability, governance transparency, political inclusivity, stakeholder representation, conflict management and resource allocation fairness. Sustainability was operationalised through continued project operations, community ownership, institutional resilience, long-term benefits and reduced donor dependency.</w:t>
      </w:r>
    </w:p>
    <w:p w14:paraId="0F9D55AF" w14:textId="77777777" w:rsidR="00FA5756" w:rsidRDefault="00FA5756" w:rsidP="009C7D5E">
      <w:r>
        <w:t>All questionnaire items were measured using a five-point Likert scale ranging from 1 = Strongly Disagree to 5 = Strongly Agree.</w:t>
      </w:r>
    </w:p>
    <w:p w14:paraId="1CAACE86" w14:textId="77777777" w:rsidR="009E7B82" w:rsidRDefault="009E7B82" w:rsidP="009C7D5E"/>
    <w:p w14:paraId="4D5486F5" w14:textId="77777777" w:rsidR="00FA5756" w:rsidRDefault="00FA5756" w:rsidP="00FA5756">
      <w:pPr>
        <w:pStyle w:val="Heading3"/>
      </w:pPr>
      <w:r>
        <w:t>Table 2: Operationalisation of Leadership Politics Variables</w:t>
      </w:r>
    </w:p>
    <w:tbl>
      <w:tblPr>
        <w:tblStyle w:val="PlainTable5"/>
        <w:tblW w:w="5000" w:type="pct"/>
        <w:tblLook w:val="04A0" w:firstRow="1" w:lastRow="0" w:firstColumn="1" w:lastColumn="0" w:noHBand="0" w:noVBand="1"/>
      </w:tblPr>
      <w:tblGrid>
        <w:gridCol w:w="1837"/>
        <w:gridCol w:w="1804"/>
        <w:gridCol w:w="3340"/>
        <w:gridCol w:w="2045"/>
      </w:tblGrid>
      <w:tr w:rsidR="00FA5756" w:rsidRPr="00F644EE" w14:paraId="0A63B626" w14:textId="77777777" w:rsidTr="009E7B82">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1017" w:type="pct"/>
            <w:hideMark/>
          </w:tcPr>
          <w:p w14:paraId="3ECA455D" w14:textId="77777777" w:rsidR="00FA5756" w:rsidRPr="00F644EE" w:rsidRDefault="00FA5756">
            <w:pPr>
              <w:jc w:val="center"/>
              <w:rPr>
                <w:b/>
                <w:bCs/>
                <w:sz w:val="18"/>
                <w:szCs w:val="18"/>
              </w:rPr>
            </w:pPr>
            <w:r w:rsidRPr="00F644EE">
              <w:rPr>
                <w:b/>
                <w:bCs/>
                <w:sz w:val="18"/>
                <w:szCs w:val="18"/>
              </w:rPr>
              <w:t>Dimension</w:t>
            </w:r>
          </w:p>
        </w:tc>
        <w:tc>
          <w:tcPr>
            <w:tcW w:w="999" w:type="pct"/>
            <w:hideMark/>
          </w:tcPr>
          <w:p w14:paraId="70D3CAE3" w14:textId="77777777" w:rsidR="00FA5756" w:rsidRPr="00F644EE" w:rsidRDefault="00FA5756">
            <w:pPr>
              <w:jc w:val="center"/>
              <w:cnfStyle w:val="100000000000" w:firstRow="1" w:lastRow="0" w:firstColumn="0" w:lastColumn="0" w:oddVBand="0" w:evenVBand="0" w:oddHBand="0" w:evenHBand="0" w:firstRowFirstColumn="0" w:firstRowLastColumn="0" w:lastRowFirstColumn="0" w:lastRowLastColumn="0"/>
              <w:rPr>
                <w:b/>
                <w:bCs/>
                <w:sz w:val="18"/>
                <w:szCs w:val="18"/>
              </w:rPr>
            </w:pPr>
            <w:r w:rsidRPr="00F644EE">
              <w:rPr>
                <w:b/>
                <w:bCs/>
                <w:sz w:val="18"/>
                <w:szCs w:val="18"/>
              </w:rPr>
              <w:t>Indicator</w:t>
            </w:r>
          </w:p>
        </w:tc>
        <w:tc>
          <w:tcPr>
            <w:tcW w:w="1850" w:type="pct"/>
            <w:hideMark/>
          </w:tcPr>
          <w:p w14:paraId="081B58F6" w14:textId="77777777" w:rsidR="00FA5756" w:rsidRPr="00F644EE" w:rsidRDefault="00FA5756">
            <w:pPr>
              <w:jc w:val="center"/>
              <w:cnfStyle w:val="100000000000" w:firstRow="1" w:lastRow="0" w:firstColumn="0" w:lastColumn="0" w:oddVBand="0" w:evenVBand="0" w:oddHBand="0" w:evenHBand="0" w:firstRowFirstColumn="0" w:firstRowLastColumn="0" w:lastRowFirstColumn="0" w:lastRowLastColumn="0"/>
              <w:rPr>
                <w:b/>
                <w:bCs/>
                <w:sz w:val="18"/>
                <w:szCs w:val="18"/>
              </w:rPr>
            </w:pPr>
            <w:r w:rsidRPr="00F644EE">
              <w:rPr>
                <w:b/>
                <w:bCs/>
                <w:sz w:val="18"/>
                <w:szCs w:val="18"/>
              </w:rPr>
              <w:t>Sample Measurement Item</w:t>
            </w:r>
          </w:p>
        </w:tc>
        <w:tc>
          <w:tcPr>
            <w:tcW w:w="1133" w:type="pct"/>
            <w:hideMark/>
          </w:tcPr>
          <w:p w14:paraId="1C307776" w14:textId="77777777" w:rsidR="00FA5756" w:rsidRPr="00F644EE" w:rsidRDefault="00FA5756">
            <w:pPr>
              <w:jc w:val="center"/>
              <w:cnfStyle w:val="100000000000" w:firstRow="1" w:lastRow="0" w:firstColumn="0" w:lastColumn="0" w:oddVBand="0" w:evenVBand="0" w:oddHBand="0" w:evenHBand="0" w:firstRowFirstColumn="0" w:firstRowLastColumn="0" w:lastRowFirstColumn="0" w:lastRowLastColumn="0"/>
              <w:rPr>
                <w:b/>
                <w:bCs/>
                <w:sz w:val="18"/>
                <w:szCs w:val="18"/>
              </w:rPr>
            </w:pPr>
            <w:r w:rsidRPr="00F644EE">
              <w:rPr>
                <w:b/>
                <w:bCs/>
                <w:sz w:val="18"/>
                <w:szCs w:val="18"/>
              </w:rPr>
              <w:t>Supporting Literature</w:t>
            </w:r>
          </w:p>
        </w:tc>
      </w:tr>
      <w:tr w:rsidR="00FA5756" w:rsidRPr="00F644EE" w14:paraId="0929C1A9" w14:textId="77777777" w:rsidTr="009E7B8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7" w:type="pct"/>
            <w:hideMark/>
          </w:tcPr>
          <w:p w14:paraId="2E4F7FD6" w14:textId="77777777" w:rsidR="00FA5756" w:rsidRPr="00F644EE" w:rsidRDefault="00FA5756">
            <w:pPr>
              <w:jc w:val="left"/>
              <w:rPr>
                <w:sz w:val="18"/>
                <w:szCs w:val="18"/>
              </w:rPr>
            </w:pPr>
            <w:r w:rsidRPr="00F644EE">
              <w:rPr>
                <w:sz w:val="18"/>
                <w:szCs w:val="18"/>
              </w:rPr>
              <w:t>Leadership Accountability</w:t>
            </w:r>
          </w:p>
        </w:tc>
        <w:tc>
          <w:tcPr>
            <w:tcW w:w="999" w:type="pct"/>
            <w:hideMark/>
          </w:tcPr>
          <w:p w14:paraId="3AE7F8C7" w14:textId="77777777" w:rsidR="00FA5756" w:rsidRPr="00F644EE" w:rsidRDefault="00FA5756" w:rsidP="00F644EE">
            <w:pPr>
              <w:jc w:val="left"/>
              <w:cnfStyle w:val="000000100000" w:firstRow="0" w:lastRow="0" w:firstColumn="0" w:lastColumn="0" w:oddVBand="0" w:evenVBand="0" w:oddHBand="1" w:evenHBand="0" w:firstRowFirstColumn="0" w:firstRowLastColumn="0" w:lastRowFirstColumn="0" w:lastRowLastColumn="0"/>
              <w:rPr>
                <w:sz w:val="18"/>
                <w:szCs w:val="18"/>
              </w:rPr>
            </w:pPr>
            <w:r w:rsidRPr="00F644EE">
              <w:rPr>
                <w:sz w:val="18"/>
                <w:szCs w:val="18"/>
              </w:rPr>
              <w:t>Reporting and answerability</w:t>
            </w:r>
          </w:p>
        </w:tc>
        <w:tc>
          <w:tcPr>
            <w:tcW w:w="1850" w:type="pct"/>
            <w:hideMark/>
          </w:tcPr>
          <w:p w14:paraId="703FC16F" w14:textId="77777777" w:rsidR="00FA5756" w:rsidRPr="00F644EE" w:rsidRDefault="00FA5756" w:rsidP="00F644EE">
            <w:pPr>
              <w:jc w:val="left"/>
              <w:cnfStyle w:val="000000100000" w:firstRow="0" w:lastRow="0" w:firstColumn="0" w:lastColumn="0" w:oddVBand="0" w:evenVBand="0" w:oddHBand="1" w:evenHBand="0" w:firstRowFirstColumn="0" w:firstRowLastColumn="0" w:lastRowFirstColumn="0" w:lastRowLastColumn="0"/>
              <w:rPr>
                <w:sz w:val="18"/>
                <w:szCs w:val="18"/>
              </w:rPr>
            </w:pPr>
            <w:r w:rsidRPr="00F644EE">
              <w:rPr>
                <w:sz w:val="18"/>
                <w:szCs w:val="18"/>
              </w:rPr>
              <w:t>Project leaders regularly account for project resources and decisions.</w:t>
            </w:r>
          </w:p>
        </w:tc>
        <w:tc>
          <w:tcPr>
            <w:tcW w:w="1133" w:type="pct"/>
            <w:hideMark/>
          </w:tcPr>
          <w:p w14:paraId="58ECA2AE" w14:textId="77777777" w:rsidR="00FA5756" w:rsidRPr="00F644EE" w:rsidRDefault="00FA5756" w:rsidP="00F644EE">
            <w:pPr>
              <w:jc w:val="left"/>
              <w:cnfStyle w:val="000000100000" w:firstRow="0" w:lastRow="0" w:firstColumn="0" w:lastColumn="0" w:oddVBand="0" w:evenVBand="0" w:oddHBand="1" w:evenHBand="0" w:firstRowFirstColumn="0" w:firstRowLastColumn="0" w:lastRowFirstColumn="0" w:lastRowLastColumn="0"/>
              <w:rPr>
                <w:sz w:val="18"/>
                <w:szCs w:val="18"/>
              </w:rPr>
            </w:pPr>
            <w:r w:rsidRPr="00F644EE">
              <w:rPr>
                <w:sz w:val="18"/>
                <w:szCs w:val="18"/>
              </w:rPr>
              <w:t>Bovens (2007); Bryson et al. (2023)</w:t>
            </w:r>
          </w:p>
        </w:tc>
      </w:tr>
      <w:tr w:rsidR="00FA5756" w:rsidRPr="00F644EE" w14:paraId="4249F6C7" w14:textId="77777777" w:rsidTr="009E7B82">
        <w:trPr>
          <w:trHeight w:val="567"/>
        </w:trPr>
        <w:tc>
          <w:tcPr>
            <w:cnfStyle w:val="001000000000" w:firstRow="0" w:lastRow="0" w:firstColumn="1" w:lastColumn="0" w:oddVBand="0" w:evenVBand="0" w:oddHBand="0" w:evenHBand="0" w:firstRowFirstColumn="0" w:firstRowLastColumn="0" w:lastRowFirstColumn="0" w:lastRowLastColumn="0"/>
            <w:tcW w:w="1017" w:type="pct"/>
            <w:hideMark/>
          </w:tcPr>
          <w:p w14:paraId="21F718B5" w14:textId="77777777" w:rsidR="00FA5756" w:rsidRPr="00F644EE" w:rsidRDefault="00FA5756">
            <w:pPr>
              <w:rPr>
                <w:sz w:val="18"/>
                <w:szCs w:val="18"/>
              </w:rPr>
            </w:pPr>
            <w:r w:rsidRPr="00F644EE">
              <w:rPr>
                <w:sz w:val="18"/>
                <w:szCs w:val="18"/>
              </w:rPr>
              <w:t>Governance Transparency</w:t>
            </w:r>
          </w:p>
        </w:tc>
        <w:tc>
          <w:tcPr>
            <w:tcW w:w="999" w:type="pct"/>
            <w:hideMark/>
          </w:tcPr>
          <w:p w14:paraId="1F7BA6F5" w14:textId="77777777" w:rsidR="00FA5756" w:rsidRPr="00F644EE" w:rsidRDefault="00FA5756" w:rsidP="00F644EE">
            <w:pPr>
              <w:jc w:val="left"/>
              <w:cnfStyle w:val="000000000000" w:firstRow="0" w:lastRow="0" w:firstColumn="0" w:lastColumn="0" w:oddVBand="0" w:evenVBand="0" w:oddHBand="0" w:evenHBand="0" w:firstRowFirstColumn="0" w:firstRowLastColumn="0" w:lastRowFirstColumn="0" w:lastRowLastColumn="0"/>
              <w:rPr>
                <w:sz w:val="18"/>
                <w:szCs w:val="18"/>
              </w:rPr>
            </w:pPr>
            <w:r w:rsidRPr="00F644EE">
              <w:rPr>
                <w:sz w:val="18"/>
                <w:szCs w:val="18"/>
              </w:rPr>
              <w:t>Information disclosure</w:t>
            </w:r>
          </w:p>
        </w:tc>
        <w:tc>
          <w:tcPr>
            <w:tcW w:w="1850" w:type="pct"/>
            <w:hideMark/>
          </w:tcPr>
          <w:p w14:paraId="65C0B841" w14:textId="77777777" w:rsidR="00FA5756" w:rsidRPr="00F644EE" w:rsidRDefault="00FA5756" w:rsidP="00F644EE">
            <w:pPr>
              <w:jc w:val="left"/>
              <w:cnfStyle w:val="000000000000" w:firstRow="0" w:lastRow="0" w:firstColumn="0" w:lastColumn="0" w:oddVBand="0" w:evenVBand="0" w:oddHBand="0" w:evenHBand="0" w:firstRowFirstColumn="0" w:firstRowLastColumn="0" w:lastRowFirstColumn="0" w:lastRowLastColumn="0"/>
              <w:rPr>
                <w:sz w:val="18"/>
                <w:szCs w:val="18"/>
              </w:rPr>
            </w:pPr>
            <w:r w:rsidRPr="00F644EE">
              <w:rPr>
                <w:sz w:val="18"/>
                <w:szCs w:val="18"/>
              </w:rPr>
              <w:t>Project information is openly communicated to stakeholders.</w:t>
            </w:r>
          </w:p>
        </w:tc>
        <w:tc>
          <w:tcPr>
            <w:tcW w:w="1133" w:type="pct"/>
            <w:hideMark/>
          </w:tcPr>
          <w:p w14:paraId="2D6978BF" w14:textId="77777777" w:rsidR="00FA5756" w:rsidRPr="00F644EE" w:rsidRDefault="00FA5756" w:rsidP="00F644EE">
            <w:pPr>
              <w:jc w:val="left"/>
              <w:cnfStyle w:val="000000000000" w:firstRow="0" w:lastRow="0" w:firstColumn="0" w:lastColumn="0" w:oddVBand="0" w:evenVBand="0" w:oddHBand="0" w:evenHBand="0" w:firstRowFirstColumn="0" w:firstRowLastColumn="0" w:lastRowFirstColumn="0" w:lastRowLastColumn="0"/>
              <w:rPr>
                <w:sz w:val="18"/>
                <w:szCs w:val="18"/>
              </w:rPr>
            </w:pPr>
            <w:r w:rsidRPr="00F644EE">
              <w:rPr>
                <w:sz w:val="18"/>
                <w:szCs w:val="18"/>
              </w:rPr>
              <w:t>Kaufmann et al. (2011); UNDP (2023)</w:t>
            </w:r>
          </w:p>
        </w:tc>
      </w:tr>
      <w:tr w:rsidR="00FA5756" w:rsidRPr="00F644EE" w14:paraId="3B011D99" w14:textId="77777777" w:rsidTr="009E7B8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7" w:type="pct"/>
            <w:hideMark/>
          </w:tcPr>
          <w:p w14:paraId="2A8CFD65" w14:textId="77777777" w:rsidR="00FA5756" w:rsidRPr="00F644EE" w:rsidRDefault="00FA5756">
            <w:pPr>
              <w:rPr>
                <w:sz w:val="18"/>
                <w:szCs w:val="18"/>
              </w:rPr>
            </w:pPr>
            <w:r w:rsidRPr="00F644EE">
              <w:rPr>
                <w:sz w:val="18"/>
                <w:szCs w:val="18"/>
              </w:rPr>
              <w:t>Political Inclusivity</w:t>
            </w:r>
          </w:p>
        </w:tc>
        <w:tc>
          <w:tcPr>
            <w:tcW w:w="999" w:type="pct"/>
            <w:hideMark/>
          </w:tcPr>
          <w:p w14:paraId="7DE1E201" w14:textId="77777777" w:rsidR="00FA5756" w:rsidRPr="00F644EE" w:rsidRDefault="00FA5756" w:rsidP="00F644EE">
            <w:pPr>
              <w:jc w:val="left"/>
              <w:cnfStyle w:val="000000100000" w:firstRow="0" w:lastRow="0" w:firstColumn="0" w:lastColumn="0" w:oddVBand="0" w:evenVBand="0" w:oddHBand="1" w:evenHBand="0" w:firstRowFirstColumn="0" w:firstRowLastColumn="0" w:lastRowFirstColumn="0" w:lastRowLastColumn="0"/>
              <w:rPr>
                <w:sz w:val="18"/>
                <w:szCs w:val="18"/>
              </w:rPr>
            </w:pPr>
            <w:r w:rsidRPr="00F644EE">
              <w:rPr>
                <w:sz w:val="18"/>
                <w:szCs w:val="18"/>
              </w:rPr>
              <w:t>Participation of diverse groups</w:t>
            </w:r>
          </w:p>
        </w:tc>
        <w:tc>
          <w:tcPr>
            <w:tcW w:w="1850" w:type="pct"/>
            <w:hideMark/>
          </w:tcPr>
          <w:p w14:paraId="5DA84A28" w14:textId="77777777" w:rsidR="00FA5756" w:rsidRPr="00F644EE" w:rsidRDefault="00FA5756" w:rsidP="00F644EE">
            <w:pPr>
              <w:jc w:val="left"/>
              <w:cnfStyle w:val="000000100000" w:firstRow="0" w:lastRow="0" w:firstColumn="0" w:lastColumn="0" w:oddVBand="0" w:evenVBand="0" w:oddHBand="1" w:evenHBand="0" w:firstRowFirstColumn="0" w:firstRowLastColumn="0" w:lastRowFirstColumn="0" w:lastRowLastColumn="0"/>
              <w:rPr>
                <w:sz w:val="18"/>
                <w:szCs w:val="18"/>
              </w:rPr>
            </w:pPr>
            <w:r w:rsidRPr="00F644EE">
              <w:rPr>
                <w:sz w:val="18"/>
                <w:szCs w:val="18"/>
              </w:rPr>
              <w:t>Diverse community groups participate in project decision-making.</w:t>
            </w:r>
          </w:p>
        </w:tc>
        <w:tc>
          <w:tcPr>
            <w:tcW w:w="1133" w:type="pct"/>
            <w:hideMark/>
          </w:tcPr>
          <w:p w14:paraId="1C31BBDF" w14:textId="77777777" w:rsidR="00FA5756" w:rsidRPr="00F644EE" w:rsidRDefault="00FA5756" w:rsidP="00F644EE">
            <w:pPr>
              <w:jc w:val="left"/>
              <w:cnfStyle w:val="000000100000" w:firstRow="0" w:lastRow="0" w:firstColumn="0" w:lastColumn="0" w:oddVBand="0" w:evenVBand="0" w:oddHBand="1" w:evenHBand="0" w:firstRowFirstColumn="0" w:firstRowLastColumn="0" w:lastRowFirstColumn="0" w:lastRowLastColumn="0"/>
              <w:rPr>
                <w:sz w:val="18"/>
                <w:szCs w:val="18"/>
              </w:rPr>
            </w:pPr>
            <w:r w:rsidRPr="00F644EE">
              <w:rPr>
                <w:sz w:val="18"/>
                <w:szCs w:val="18"/>
              </w:rPr>
              <w:t>Freeman et al. (2020); Reed (2022)</w:t>
            </w:r>
          </w:p>
        </w:tc>
      </w:tr>
      <w:tr w:rsidR="00FA5756" w:rsidRPr="00F644EE" w14:paraId="79156E9C" w14:textId="77777777" w:rsidTr="009E7B82">
        <w:trPr>
          <w:trHeight w:val="567"/>
        </w:trPr>
        <w:tc>
          <w:tcPr>
            <w:cnfStyle w:val="001000000000" w:firstRow="0" w:lastRow="0" w:firstColumn="1" w:lastColumn="0" w:oddVBand="0" w:evenVBand="0" w:oddHBand="0" w:evenHBand="0" w:firstRowFirstColumn="0" w:firstRowLastColumn="0" w:lastRowFirstColumn="0" w:lastRowLastColumn="0"/>
            <w:tcW w:w="1017" w:type="pct"/>
            <w:hideMark/>
          </w:tcPr>
          <w:p w14:paraId="34D94A47" w14:textId="77777777" w:rsidR="00FA5756" w:rsidRPr="00F644EE" w:rsidRDefault="00FA5756">
            <w:pPr>
              <w:rPr>
                <w:sz w:val="18"/>
                <w:szCs w:val="18"/>
              </w:rPr>
            </w:pPr>
            <w:r w:rsidRPr="00F644EE">
              <w:rPr>
                <w:sz w:val="18"/>
                <w:szCs w:val="18"/>
              </w:rPr>
              <w:t>Stakeholder Representation</w:t>
            </w:r>
          </w:p>
        </w:tc>
        <w:tc>
          <w:tcPr>
            <w:tcW w:w="999" w:type="pct"/>
            <w:hideMark/>
          </w:tcPr>
          <w:p w14:paraId="0F035B84" w14:textId="77777777" w:rsidR="00FA5756" w:rsidRPr="00F644EE" w:rsidRDefault="00FA5756" w:rsidP="00F644EE">
            <w:pPr>
              <w:jc w:val="left"/>
              <w:cnfStyle w:val="000000000000" w:firstRow="0" w:lastRow="0" w:firstColumn="0" w:lastColumn="0" w:oddVBand="0" w:evenVBand="0" w:oddHBand="0" w:evenHBand="0" w:firstRowFirstColumn="0" w:firstRowLastColumn="0" w:lastRowFirstColumn="0" w:lastRowLastColumn="0"/>
              <w:rPr>
                <w:sz w:val="18"/>
                <w:szCs w:val="18"/>
              </w:rPr>
            </w:pPr>
            <w:r w:rsidRPr="00F644EE">
              <w:rPr>
                <w:sz w:val="18"/>
                <w:szCs w:val="18"/>
              </w:rPr>
              <w:t>Stakeholder influence</w:t>
            </w:r>
          </w:p>
        </w:tc>
        <w:tc>
          <w:tcPr>
            <w:tcW w:w="1850" w:type="pct"/>
            <w:hideMark/>
          </w:tcPr>
          <w:p w14:paraId="0EDA82A4" w14:textId="77777777" w:rsidR="00FA5756" w:rsidRPr="00F644EE" w:rsidRDefault="00FA5756" w:rsidP="00F644EE">
            <w:pPr>
              <w:jc w:val="left"/>
              <w:cnfStyle w:val="000000000000" w:firstRow="0" w:lastRow="0" w:firstColumn="0" w:lastColumn="0" w:oddVBand="0" w:evenVBand="0" w:oddHBand="0" w:evenHBand="0" w:firstRowFirstColumn="0" w:firstRowLastColumn="0" w:lastRowFirstColumn="0" w:lastRowLastColumn="0"/>
              <w:rPr>
                <w:sz w:val="18"/>
                <w:szCs w:val="18"/>
              </w:rPr>
            </w:pPr>
            <w:r w:rsidRPr="00F644EE">
              <w:rPr>
                <w:sz w:val="18"/>
                <w:szCs w:val="18"/>
              </w:rPr>
              <w:t>Stakeholders have opportunities to influence project decisions.</w:t>
            </w:r>
          </w:p>
        </w:tc>
        <w:tc>
          <w:tcPr>
            <w:tcW w:w="1133" w:type="pct"/>
            <w:hideMark/>
          </w:tcPr>
          <w:p w14:paraId="6FD27D14" w14:textId="77777777" w:rsidR="00FA5756" w:rsidRPr="00F644EE" w:rsidRDefault="00FA5756" w:rsidP="00F644EE">
            <w:pPr>
              <w:jc w:val="left"/>
              <w:cnfStyle w:val="000000000000" w:firstRow="0" w:lastRow="0" w:firstColumn="0" w:lastColumn="0" w:oddVBand="0" w:evenVBand="0" w:oddHBand="0" w:evenHBand="0" w:firstRowFirstColumn="0" w:firstRowLastColumn="0" w:lastRowFirstColumn="0" w:lastRowLastColumn="0"/>
              <w:rPr>
                <w:sz w:val="18"/>
                <w:szCs w:val="18"/>
              </w:rPr>
            </w:pPr>
            <w:r w:rsidRPr="00F644EE">
              <w:rPr>
                <w:sz w:val="18"/>
                <w:szCs w:val="18"/>
              </w:rPr>
              <w:t>Freeman (1984); Bryson et al. (2023)</w:t>
            </w:r>
          </w:p>
        </w:tc>
      </w:tr>
      <w:tr w:rsidR="00FA5756" w:rsidRPr="00F644EE" w14:paraId="632461FF" w14:textId="77777777" w:rsidTr="009E7B8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7" w:type="pct"/>
            <w:hideMark/>
          </w:tcPr>
          <w:p w14:paraId="46414ABC" w14:textId="77777777" w:rsidR="00FA5756" w:rsidRPr="00F644EE" w:rsidRDefault="00FA5756">
            <w:pPr>
              <w:rPr>
                <w:sz w:val="18"/>
                <w:szCs w:val="18"/>
              </w:rPr>
            </w:pPr>
            <w:r w:rsidRPr="00F644EE">
              <w:rPr>
                <w:sz w:val="18"/>
                <w:szCs w:val="18"/>
              </w:rPr>
              <w:t>Conflict Management</w:t>
            </w:r>
          </w:p>
        </w:tc>
        <w:tc>
          <w:tcPr>
            <w:tcW w:w="999" w:type="pct"/>
            <w:hideMark/>
          </w:tcPr>
          <w:p w14:paraId="51DCF612" w14:textId="77777777" w:rsidR="00FA5756" w:rsidRPr="00F644EE" w:rsidRDefault="00FA5756" w:rsidP="00F644EE">
            <w:pPr>
              <w:jc w:val="left"/>
              <w:cnfStyle w:val="000000100000" w:firstRow="0" w:lastRow="0" w:firstColumn="0" w:lastColumn="0" w:oddVBand="0" w:evenVBand="0" w:oddHBand="1" w:evenHBand="0" w:firstRowFirstColumn="0" w:firstRowLastColumn="0" w:lastRowFirstColumn="0" w:lastRowLastColumn="0"/>
              <w:rPr>
                <w:sz w:val="18"/>
                <w:szCs w:val="18"/>
              </w:rPr>
            </w:pPr>
            <w:r w:rsidRPr="00F644EE">
              <w:rPr>
                <w:sz w:val="18"/>
                <w:szCs w:val="18"/>
              </w:rPr>
              <w:t>Resolution of disputes</w:t>
            </w:r>
          </w:p>
        </w:tc>
        <w:tc>
          <w:tcPr>
            <w:tcW w:w="1850" w:type="pct"/>
            <w:hideMark/>
          </w:tcPr>
          <w:p w14:paraId="24D90056" w14:textId="77777777" w:rsidR="00FA5756" w:rsidRPr="00F644EE" w:rsidRDefault="00FA5756" w:rsidP="00F644EE">
            <w:pPr>
              <w:jc w:val="left"/>
              <w:cnfStyle w:val="000000100000" w:firstRow="0" w:lastRow="0" w:firstColumn="0" w:lastColumn="0" w:oddVBand="0" w:evenVBand="0" w:oddHBand="1" w:evenHBand="0" w:firstRowFirstColumn="0" w:firstRowLastColumn="0" w:lastRowFirstColumn="0" w:lastRowLastColumn="0"/>
              <w:rPr>
                <w:sz w:val="18"/>
                <w:szCs w:val="18"/>
              </w:rPr>
            </w:pPr>
            <w:r w:rsidRPr="00F644EE">
              <w:rPr>
                <w:sz w:val="18"/>
                <w:szCs w:val="18"/>
              </w:rPr>
              <w:t>Leadership structures effectively manage stakeholder conflicts.</w:t>
            </w:r>
          </w:p>
        </w:tc>
        <w:tc>
          <w:tcPr>
            <w:tcW w:w="1133" w:type="pct"/>
            <w:hideMark/>
          </w:tcPr>
          <w:p w14:paraId="33EE9705" w14:textId="77777777" w:rsidR="00FA5756" w:rsidRPr="00F644EE" w:rsidRDefault="00FA5756" w:rsidP="00F644EE">
            <w:pPr>
              <w:jc w:val="left"/>
              <w:cnfStyle w:val="000000100000" w:firstRow="0" w:lastRow="0" w:firstColumn="0" w:lastColumn="0" w:oddVBand="0" w:evenVBand="0" w:oddHBand="1" w:evenHBand="0" w:firstRowFirstColumn="0" w:firstRowLastColumn="0" w:lastRowFirstColumn="0" w:lastRowLastColumn="0"/>
              <w:rPr>
                <w:sz w:val="18"/>
                <w:szCs w:val="18"/>
              </w:rPr>
            </w:pPr>
            <w:r w:rsidRPr="00F644EE">
              <w:rPr>
                <w:sz w:val="18"/>
                <w:szCs w:val="18"/>
              </w:rPr>
              <w:t>Northouse (2022)</w:t>
            </w:r>
          </w:p>
        </w:tc>
      </w:tr>
      <w:tr w:rsidR="00FA5756" w:rsidRPr="00F644EE" w14:paraId="728040D4" w14:textId="77777777" w:rsidTr="009E7B82">
        <w:trPr>
          <w:trHeight w:val="567"/>
        </w:trPr>
        <w:tc>
          <w:tcPr>
            <w:cnfStyle w:val="001000000000" w:firstRow="0" w:lastRow="0" w:firstColumn="1" w:lastColumn="0" w:oddVBand="0" w:evenVBand="0" w:oddHBand="0" w:evenHBand="0" w:firstRowFirstColumn="0" w:firstRowLastColumn="0" w:lastRowFirstColumn="0" w:lastRowLastColumn="0"/>
            <w:tcW w:w="1017" w:type="pct"/>
            <w:tcBorders>
              <w:bottom w:val="single" w:sz="4" w:space="0" w:color="auto"/>
            </w:tcBorders>
            <w:hideMark/>
          </w:tcPr>
          <w:p w14:paraId="05D062E9" w14:textId="77777777" w:rsidR="00FA5756" w:rsidRPr="00F644EE" w:rsidRDefault="00FA5756">
            <w:pPr>
              <w:rPr>
                <w:sz w:val="18"/>
                <w:szCs w:val="18"/>
              </w:rPr>
            </w:pPr>
            <w:r w:rsidRPr="00F644EE">
              <w:rPr>
                <w:sz w:val="18"/>
                <w:szCs w:val="18"/>
              </w:rPr>
              <w:t>Resource Allocation Fairness</w:t>
            </w:r>
          </w:p>
        </w:tc>
        <w:tc>
          <w:tcPr>
            <w:tcW w:w="999" w:type="pct"/>
            <w:tcBorders>
              <w:bottom w:val="single" w:sz="4" w:space="0" w:color="auto"/>
            </w:tcBorders>
            <w:hideMark/>
          </w:tcPr>
          <w:p w14:paraId="266F2E02" w14:textId="77777777" w:rsidR="00FA5756" w:rsidRPr="00F644EE" w:rsidRDefault="00FA5756" w:rsidP="00F644EE">
            <w:pPr>
              <w:jc w:val="left"/>
              <w:cnfStyle w:val="000000000000" w:firstRow="0" w:lastRow="0" w:firstColumn="0" w:lastColumn="0" w:oddVBand="0" w:evenVBand="0" w:oddHBand="0" w:evenHBand="0" w:firstRowFirstColumn="0" w:firstRowLastColumn="0" w:lastRowFirstColumn="0" w:lastRowLastColumn="0"/>
              <w:rPr>
                <w:sz w:val="18"/>
                <w:szCs w:val="18"/>
              </w:rPr>
            </w:pPr>
            <w:r w:rsidRPr="00F644EE">
              <w:rPr>
                <w:sz w:val="18"/>
                <w:szCs w:val="18"/>
              </w:rPr>
              <w:t>Equity and justice</w:t>
            </w:r>
          </w:p>
        </w:tc>
        <w:tc>
          <w:tcPr>
            <w:tcW w:w="1850" w:type="pct"/>
            <w:tcBorders>
              <w:bottom w:val="single" w:sz="4" w:space="0" w:color="auto"/>
            </w:tcBorders>
            <w:hideMark/>
          </w:tcPr>
          <w:p w14:paraId="1244C065" w14:textId="77777777" w:rsidR="00FA5756" w:rsidRPr="00F644EE" w:rsidRDefault="00FA5756" w:rsidP="00F644EE">
            <w:pPr>
              <w:jc w:val="left"/>
              <w:cnfStyle w:val="000000000000" w:firstRow="0" w:lastRow="0" w:firstColumn="0" w:lastColumn="0" w:oddVBand="0" w:evenVBand="0" w:oddHBand="0" w:evenHBand="0" w:firstRowFirstColumn="0" w:firstRowLastColumn="0" w:lastRowFirstColumn="0" w:lastRowLastColumn="0"/>
              <w:rPr>
                <w:sz w:val="18"/>
                <w:szCs w:val="18"/>
              </w:rPr>
            </w:pPr>
            <w:r w:rsidRPr="00F644EE">
              <w:rPr>
                <w:sz w:val="18"/>
                <w:szCs w:val="18"/>
              </w:rPr>
              <w:t>Project resources are distributed fairly among beneficiaries.</w:t>
            </w:r>
          </w:p>
        </w:tc>
        <w:tc>
          <w:tcPr>
            <w:tcW w:w="1133" w:type="pct"/>
            <w:tcBorders>
              <w:bottom w:val="single" w:sz="4" w:space="0" w:color="auto"/>
            </w:tcBorders>
            <w:hideMark/>
          </w:tcPr>
          <w:p w14:paraId="7295A8F9" w14:textId="77777777" w:rsidR="00FA5756" w:rsidRPr="00F644EE" w:rsidRDefault="00FA5756" w:rsidP="00F644EE">
            <w:pPr>
              <w:jc w:val="left"/>
              <w:cnfStyle w:val="000000000000" w:firstRow="0" w:lastRow="0" w:firstColumn="0" w:lastColumn="0" w:oddVBand="0" w:evenVBand="0" w:oddHBand="0" w:evenHBand="0" w:firstRowFirstColumn="0" w:firstRowLastColumn="0" w:lastRowFirstColumn="0" w:lastRowLastColumn="0"/>
              <w:rPr>
                <w:sz w:val="18"/>
                <w:szCs w:val="18"/>
              </w:rPr>
            </w:pPr>
            <w:r w:rsidRPr="00F644EE">
              <w:rPr>
                <w:sz w:val="18"/>
                <w:szCs w:val="18"/>
              </w:rPr>
              <w:t>Rawls (1971); Tyler (2006)</w:t>
            </w:r>
          </w:p>
        </w:tc>
      </w:tr>
    </w:tbl>
    <w:p w14:paraId="22AC2CE5" w14:textId="77777777" w:rsidR="009E7B82" w:rsidRDefault="009E7B82" w:rsidP="009E7B82"/>
    <w:p w14:paraId="3D440644" w14:textId="5FC1A38C" w:rsidR="00FA5756" w:rsidRDefault="00FA5756" w:rsidP="00FA5756">
      <w:pPr>
        <w:pStyle w:val="Heading3"/>
      </w:pPr>
      <w:r>
        <w:t>Table 3: Operationalisation of Sustainability Variables</w:t>
      </w:r>
    </w:p>
    <w:tbl>
      <w:tblPr>
        <w:tblStyle w:val="PlainTable5"/>
        <w:tblW w:w="5000" w:type="pct"/>
        <w:tblLook w:val="04A0" w:firstRow="1" w:lastRow="0" w:firstColumn="1" w:lastColumn="0" w:noHBand="0" w:noVBand="1"/>
      </w:tblPr>
      <w:tblGrid>
        <w:gridCol w:w="2001"/>
        <w:gridCol w:w="1794"/>
        <w:gridCol w:w="3184"/>
        <w:gridCol w:w="2047"/>
      </w:tblGrid>
      <w:tr w:rsidR="00FA5756" w:rsidRPr="00F85A0B" w14:paraId="497269E8" w14:textId="77777777" w:rsidTr="009E7B82">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1108" w:type="pct"/>
            <w:hideMark/>
          </w:tcPr>
          <w:p w14:paraId="75B14547" w14:textId="77777777" w:rsidR="00FA5756" w:rsidRPr="00F85A0B" w:rsidRDefault="00FA5756">
            <w:pPr>
              <w:jc w:val="center"/>
              <w:rPr>
                <w:b/>
                <w:bCs/>
                <w:sz w:val="18"/>
                <w:szCs w:val="18"/>
              </w:rPr>
            </w:pPr>
            <w:r w:rsidRPr="00F85A0B">
              <w:rPr>
                <w:b/>
                <w:bCs/>
                <w:sz w:val="18"/>
                <w:szCs w:val="18"/>
              </w:rPr>
              <w:t>Sustainability Dimension</w:t>
            </w:r>
          </w:p>
        </w:tc>
        <w:tc>
          <w:tcPr>
            <w:tcW w:w="994" w:type="pct"/>
            <w:hideMark/>
          </w:tcPr>
          <w:p w14:paraId="2CBBA82F" w14:textId="77777777" w:rsidR="00FA5756" w:rsidRPr="00F85A0B" w:rsidRDefault="00FA5756">
            <w:pPr>
              <w:jc w:val="center"/>
              <w:cnfStyle w:val="100000000000" w:firstRow="1" w:lastRow="0" w:firstColumn="0" w:lastColumn="0" w:oddVBand="0" w:evenVBand="0" w:oddHBand="0" w:evenHBand="0" w:firstRowFirstColumn="0" w:firstRowLastColumn="0" w:lastRowFirstColumn="0" w:lastRowLastColumn="0"/>
              <w:rPr>
                <w:b/>
                <w:bCs/>
                <w:sz w:val="18"/>
                <w:szCs w:val="18"/>
              </w:rPr>
            </w:pPr>
            <w:r w:rsidRPr="00F85A0B">
              <w:rPr>
                <w:b/>
                <w:bCs/>
                <w:sz w:val="18"/>
                <w:szCs w:val="18"/>
              </w:rPr>
              <w:t>Indicator</w:t>
            </w:r>
          </w:p>
        </w:tc>
        <w:tc>
          <w:tcPr>
            <w:tcW w:w="1764" w:type="pct"/>
            <w:hideMark/>
          </w:tcPr>
          <w:p w14:paraId="362FE26D" w14:textId="77777777" w:rsidR="00FA5756" w:rsidRPr="00F85A0B" w:rsidRDefault="00FA5756">
            <w:pPr>
              <w:jc w:val="center"/>
              <w:cnfStyle w:val="100000000000" w:firstRow="1" w:lastRow="0" w:firstColumn="0" w:lastColumn="0" w:oddVBand="0" w:evenVBand="0" w:oddHBand="0" w:evenHBand="0" w:firstRowFirstColumn="0" w:firstRowLastColumn="0" w:lastRowFirstColumn="0" w:lastRowLastColumn="0"/>
              <w:rPr>
                <w:b/>
                <w:bCs/>
                <w:sz w:val="18"/>
                <w:szCs w:val="18"/>
              </w:rPr>
            </w:pPr>
            <w:r w:rsidRPr="00F85A0B">
              <w:rPr>
                <w:b/>
                <w:bCs/>
                <w:sz w:val="18"/>
                <w:szCs w:val="18"/>
              </w:rPr>
              <w:t>Sample Measurement Item</w:t>
            </w:r>
          </w:p>
        </w:tc>
        <w:tc>
          <w:tcPr>
            <w:tcW w:w="1134" w:type="pct"/>
            <w:hideMark/>
          </w:tcPr>
          <w:p w14:paraId="660E30C9" w14:textId="77777777" w:rsidR="00FA5756" w:rsidRPr="00F85A0B" w:rsidRDefault="00FA5756">
            <w:pPr>
              <w:jc w:val="center"/>
              <w:cnfStyle w:val="100000000000" w:firstRow="1" w:lastRow="0" w:firstColumn="0" w:lastColumn="0" w:oddVBand="0" w:evenVBand="0" w:oddHBand="0" w:evenHBand="0" w:firstRowFirstColumn="0" w:firstRowLastColumn="0" w:lastRowFirstColumn="0" w:lastRowLastColumn="0"/>
              <w:rPr>
                <w:b/>
                <w:bCs/>
                <w:sz w:val="18"/>
                <w:szCs w:val="18"/>
              </w:rPr>
            </w:pPr>
            <w:r w:rsidRPr="00F85A0B">
              <w:rPr>
                <w:b/>
                <w:bCs/>
                <w:sz w:val="18"/>
                <w:szCs w:val="18"/>
              </w:rPr>
              <w:t>Supporting Literature</w:t>
            </w:r>
          </w:p>
        </w:tc>
      </w:tr>
      <w:tr w:rsidR="00FA5756" w:rsidRPr="00F85A0B" w14:paraId="7868415D" w14:textId="77777777" w:rsidTr="009E7B8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08" w:type="pct"/>
            <w:hideMark/>
          </w:tcPr>
          <w:p w14:paraId="4555CFC8" w14:textId="77777777" w:rsidR="00FA5756" w:rsidRPr="00F85A0B" w:rsidRDefault="00FA5756">
            <w:pPr>
              <w:jc w:val="left"/>
              <w:rPr>
                <w:sz w:val="18"/>
                <w:szCs w:val="18"/>
              </w:rPr>
            </w:pPr>
            <w:r w:rsidRPr="00F85A0B">
              <w:rPr>
                <w:sz w:val="18"/>
                <w:szCs w:val="18"/>
              </w:rPr>
              <w:t>Continued Project Operations</w:t>
            </w:r>
          </w:p>
        </w:tc>
        <w:tc>
          <w:tcPr>
            <w:tcW w:w="994" w:type="pct"/>
            <w:hideMark/>
          </w:tcPr>
          <w:p w14:paraId="08111815" w14:textId="77777777" w:rsidR="00FA5756" w:rsidRPr="00F85A0B" w:rsidRDefault="00FA5756" w:rsidP="009E7B82">
            <w:pPr>
              <w:jc w:val="left"/>
              <w:cnfStyle w:val="000000100000" w:firstRow="0" w:lastRow="0" w:firstColumn="0" w:lastColumn="0" w:oddVBand="0" w:evenVBand="0" w:oddHBand="1" w:evenHBand="0" w:firstRowFirstColumn="0" w:firstRowLastColumn="0" w:lastRowFirstColumn="0" w:lastRowLastColumn="0"/>
              <w:rPr>
                <w:sz w:val="18"/>
                <w:szCs w:val="18"/>
              </w:rPr>
            </w:pPr>
            <w:r w:rsidRPr="00F85A0B">
              <w:rPr>
                <w:sz w:val="18"/>
                <w:szCs w:val="18"/>
              </w:rPr>
              <w:t>Project continuity</w:t>
            </w:r>
          </w:p>
        </w:tc>
        <w:tc>
          <w:tcPr>
            <w:tcW w:w="1764" w:type="pct"/>
            <w:hideMark/>
          </w:tcPr>
          <w:p w14:paraId="12D58ABD" w14:textId="77777777" w:rsidR="00FA5756" w:rsidRPr="00F85A0B" w:rsidRDefault="00FA5756" w:rsidP="009E7B82">
            <w:pPr>
              <w:jc w:val="left"/>
              <w:cnfStyle w:val="000000100000" w:firstRow="0" w:lastRow="0" w:firstColumn="0" w:lastColumn="0" w:oddVBand="0" w:evenVBand="0" w:oddHBand="1" w:evenHBand="0" w:firstRowFirstColumn="0" w:firstRowLastColumn="0" w:lastRowFirstColumn="0" w:lastRowLastColumn="0"/>
              <w:rPr>
                <w:sz w:val="18"/>
                <w:szCs w:val="18"/>
              </w:rPr>
            </w:pPr>
            <w:r w:rsidRPr="00F85A0B">
              <w:rPr>
                <w:sz w:val="18"/>
                <w:szCs w:val="18"/>
              </w:rPr>
              <w:t>Project activities continue after donor support ends.</w:t>
            </w:r>
          </w:p>
        </w:tc>
        <w:tc>
          <w:tcPr>
            <w:tcW w:w="1134" w:type="pct"/>
            <w:hideMark/>
          </w:tcPr>
          <w:p w14:paraId="2538357A" w14:textId="77777777" w:rsidR="00FA5756" w:rsidRPr="00F85A0B" w:rsidRDefault="00FA5756" w:rsidP="009E7B82">
            <w:pPr>
              <w:jc w:val="left"/>
              <w:cnfStyle w:val="000000100000" w:firstRow="0" w:lastRow="0" w:firstColumn="0" w:lastColumn="0" w:oddVBand="0" w:evenVBand="0" w:oddHBand="1" w:evenHBand="0" w:firstRowFirstColumn="0" w:firstRowLastColumn="0" w:lastRowFirstColumn="0" w:lastRowLastColumn="0"/>
              <w:rPr>
                <w:sz w:val="18"/>
                <w:szCs w:val="18"/>
              </w:rPr>
            </w:pPr>
            <w:r w:rsidRPr="00F85A0B">
              <w:rPr>
                <w:sz w:val="18"/>
                <w:szCs w:val="18"/>
              </w:rPr>
              <w:t>World Bank (2024)</w:t>
            </w:r>
          </w:p>
        </w:tc>
      </w:tr>
      <w:tr w:rsidR="00FA5756" w:rsidRPr="00F85A0B" w14:paraId="44DA0F1A" w14:textId="77777777" w:rsidTr="009E7B82">
        <w:trPr>
          <w:trHeight w:val="510"/>
        </w:trPr>
        <w:tc>
          <w:tcPr>
            <w:cnfStyle w:val="001000000000" w:firstRow="0" w:lastRow="0" w:firstColumn="1" w:lastColumn="0" w:oddVBand="0" w:evenVBand="0" w:oddHBand="0" w:evenHBand="0" w:firstRowFirstColumn="0" w:firstRowLastColumn="0" w:lastRowFirstColumn="0" w:lastRowLastColumn="0"/>
            <w:tcW w:w="1108" w:type="pct"/>
            <w:hideMark/>
          </w:tcPr>
          <w:p w14:paraId="52A087E4" w14:textId="77777777" w:rsidR="00FA5756" w:rsidRPr="00F85A0B" w:rsidRDefault="00FA5756">
            <w:pPr>
              <w:rPr>
                <w:sz w:val="18"/>
                <w:szCs w:val="18"/>
              </w:rPr>
            </w:pPr>
            <w:r w:rsidRPr="00F85A0B">
              <w:rPr>
                <w:sz w:val="18"/>
                <w:szCs w:val="18"/>
              </w:rPr>
              <w:t>Community Ownership</w:t>
            </w:r>
          </w:p>
        </w:tc>
        <w:tc>
          <w:tcPr>
            <w:tcW w:w="994" w:type="pct"/>
            <w:hideMark/>
          </w:tcPr>
          <w:p w14:paraId="738A2073" w14:textId="77777777" w:rsidR="00FA5756" w:rsidRPr="00F85A0B" w:rsidRDefault="00FA5756" w:rsidP="009E7B82">
            <w:pPr>
              <w:jc w:val="left"/>
              <w:cnfStyle w:val="000000000000" w:firstRow="0" w:lastRow="0" w:firstColumn="0" w:lastColumn="0" w:oddVBand="0" w:evenVBand="0" w:oddHBand="0" w:evenHBand="0" w:firstRowFirstColumn="0" w:firstRowLastColumn="0" w:lastRowFirstColumn="0" w:lastRowLastColumn="0"/>
              <w:rPr>
                <w:sz w:val="18"/>
                <w:szCs w:val="18"/>
              </w:rPr>
            </w:pPr>
            <w:r w:rsidRPr="00F85A0B">
              <w:rPr>
                <w:sz w:val="18"/>
                <w:szCs w:val="18"/>
              </w:rPr>
              <w:t>Local responsibility</w:t>
            </w:r>
          </w:p>
        </w:tc>
        <w:tc>
          <w:tcPr>
            <w:tcW w:w="1764" w:type="pct"/>
            <w:hideMark/>
          </w:tcPr>
          <w:p w14:paraId="150BC7D4" w14:textId="77777777" w:rsidR="00FA5756" w:rsidRPr="00F85A0B" w:rsidRDefault="00FA5756" w:rsidP="009E7B82">
            <w:pPr>
              <w:jc w:val="left"/>
              <w:cnfStyle w:val="000000000000" w:firstRow="0" w:lastRow="0" w:firstColumn="0" w:lastColumn="0" w:oddVBand="0" w:evenVBand="0" w:oddHBand="0" w:evenHBand="0" w:firstRowFirstColumn="0" w:firstRowLastColumn="0" w:lastRowFirstColumn="0" w:lastRowLastColumn="0"/>
              <w:rPr>
                <w:sz w:val="18"/>
                <w:szCs w:val="18"/>
              </w:rPr>
            </w:pPr>
            <w:r w:rsidRPr="00F85A0B">
              <w:rPr>
                <w:sz w:val="18"/>
                <w:szCs w:val="18"/>
              </w:rPr>
              <w:t>Community members actively support project continuation.</w:t>
            </w:r>
          </w:p>
        </w:tc>
        <w:tc>
          <w:tcPr>
            <w:tcW w:w="1134" w:type="pct"/>
            <w:hideMark/>
          </w:tcPr>
          <w:p w14:paraId="7FFDC0CA" w14:textId="77777777" w:rsidR="00FA5756" w:rsidRPr="00F85A0B" w:rsidRDefault="00FA5756" w:rsidP="009E7B82">
            <w:pPr>
              <w:jc w:val="left"/>
              <w:cnfStyle w:val="000000000000" w:firstRow="0" w:lastRow="0" w:firstColumn="0" w:lastColumn="0" w:oddVBand="0" w:evenVBand="0" w:oddHBand="0" w:evenHBand="0" w:firstRowFirstColumn="0" w:firstRowLastColumn="0" w:lastRowFirstColumn="0" w:lastRowLastColumn="0"/>
              <w:rPr>
                <w:sz w:val="18"/>
                <w:szCs w:val="18"/>
              </w:rPr>
            </w:pPr>
            <w:r w:rsidRPr="00F85A0B">
              <w:rPr>
                <w:sz w:val="18"/>
                <w:szCs w:val="18"/>
              </w:rPr>
              <w:t>Mansuri &amp; Rao (2021)</w:t>
            </w:r>
          </w:p>
        </w:tc>
      </w:tr>
      <w:tr w:rsidR="00FA5756" w:rsidRPr="00F85A0B" w14:paraId="6DCAFC82" w14:textId="77777777" w:rsidTr="009E7B8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08" w:type="pct"/>
            <w:hideMark/>
          </w:tcPr>
          <w:p w14:paraId="7C822CE3" w14:textId="77777777" w:rsidR="00FA5756" w:rsidRPr="00F85A0B" w:rsidRDefault="00FA5756">
            <w:pPr>
              <w:rPr>
                <w:sz w:val="18"/>
                <w:szCs w:val="18"/>
              </w:rPr>
            </w:pPr>
            <w:r w:rsidRPr="00F85A0B">
              <w:rPr>
                <w:sz w:val="18"/>
                <w:szCs w:val="18"/>
              </w:rPr>
              <w:t>Institutional Resilience</w:t>
            </w:r>
          </w:p>
        </w:tc>
        <w:tc>
          <w:tcPr>
            <w:tcW w:w="994" w:type="pct"/>
            <w:hideMark/>
          </w:tcPr>
          <w:p w14:paraId="2900F581" w14:textId="77777777" w:rsidR="00FA5756" w:rsidRPr="00F85A0B" w:rsidRDefault="00FA5756" w:rsidP="009E7B82">
            <w:pPr>
              <w:jc w:val="left"/>
              <w:cnfStyle w:val="000000100000" w:firstRow="0" w:lastRow="0" w:firstColumn="0" w:lastColumn="0" w:oddVBand="0" w:evenVBand="0" w:oddHBand="1" w:evenHBand="0" w:firstRowFirstColumn="0" w:firstRowLastColumn="0" w:lastRowFirstColumn="0" w:lastRowLastColumn="0"/>
              <w:rPr>
                <w:sz w:val="18"/>
                <w:szCs w:val="18"/>
              </w:rPr>
            </w:pPr>
            <w:r w:rsidRPr="00F85A0B">
              <w:rPr>
                <w:sz w:val="18"/>
                <w:szCs w:val="18"/>
              </w:rPr>
              <w:t>Organisational continuity</w:t>
            </w:r>
          </w:p>
        </w:tc>
        <w:tc>
          <w:tcPr>
            <w:tcW w:w="1764" w:type="pct"/>
            <w:hideMark/>
          </w:tcPr>
          <w:p w14:paraId="24D72537" w14:textId="77777777" w:rsidR="00FA5756" w:rsidRPr="00F85A0B" w:rsidRDefault="00FA5756" w:rsidP="009E7B82">
            <w:pPr>
              <w:jc w:val="left"/>
              <w:cnfStyle w:val="000000100000" w:firstRow="0" w:lastRow="0" w:firstColumn="0" w:lastColumn="0" w:oddVBand="0" w:evenVBand="0" w:oddHBand="1" w:evenHBand="0" w:firstRowFirstColumn="0" w:firstRowLastColumn="0" w:lastRowFirstColumn="0" w:lastRowLastColumn="0"/>
              <w:rPr>
                <w:sz w:val="18"/>
                <w:szCs w:val="18"/>
              </w:rPr>
            </w:pPr>
            <w:r w:rsidRPr="00F85A0B">
              <w:rPr>
                <w:sz w:val="18"/>
                <w:szCs w:val="18"/>
              </w:rPr>
              <w:t>Project governance structures remain functional over time.</w:t>
            </w:r>
          </w:p>
        </w:tc>
        <w:tc>
          <w:tcPr>
            <w:tcW w:w="1134" w:type="pct"/>
            <w:hideMark/>
          </w:tcPr>
          <w:p w14:paraId="6CBB702A" w14:textId="77777777" w:rsidR="00FA5756" w:rsidRPr="00F85A0B" w:rsidRDefault="00FA5756" w:rsidP="009E7B82">
            <w:pPr>
              <w:jc w:val="left"/>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F85A0B">
              <w:rPr>
                <w:sz w:val="18"/>
                <w:szCs w:val="18"/>
              </w:rPr>
              <w:t>Suriyankietkaew</w:t>
            </w:r>
            <w:proofErr w:type="spellEnd"/>
            <w:r w:rsidRPr="00F85A0B">
              <w:rPr>
                <w:sz w:val="18"/>
                <w:szCs w:val="18"/>
              </w:rPr>
              <w:t xml:space="preserve"> et al. (2022)</w:t>
            </w:r>
          </w:p>
        </w:tc>
      </w:tr>
      <w:tr w:rsidR="00FA5756" w:rsidRPr="00F85A0B" w14:paraId="72AA3995" w14:textId="77777777" w:rsidTr="009E7B82">
        <w:trPr>
          <w:trHeight w:val="510"/>
        </w:trPr>
        <w:tc>
          <w:tcPr>
            <w:cnfStyle w:val="001000000000" w:firstRow="0" w:lastRow="0" w:firstColumn="1" w:lastColumn="0" w:oddVBand="0" w:evenVBand="0" w:oddHBand="0" w:evenHBand="0" w:firstRowFirstColumn="0" w:firstRowLastColumn="0" w:lastRowFirstColumn="0" w:lastRowLastColumn="0"/>
            <w:tcW w:w="1108" w:type="pct"/>
            <w:hideMark/>
          </w:tcPr>
          <w:p w14:paraId="1F45EDCE" w14:textId="77777777" w:rsidR="00FA5756" w:rsidRPr="00F85A0B" w:rsidRDefault="00FA5756">
            <w:pPr>
              <w:rPr>
                <w:sz w:val="18"/>
                <w:szCs w:val="18"/>
              </w:rPr>
            </w:pPr>
            <w:r w:rsidRPr="00F85A0B">
              <w:rPr>
                <w:sz w:val="18"/>
                <w:szCs w:val="18"/>
              </w:rPr>
              <w:t>Long-Term Benefits</w:t>
            </w:r>
          </w:p>
        </w:tc>
        <w:tc>
          <w:tcPr>
            <w:tcW w:w="994" w:type="pct"/>
            <w:hideMark/>
          </w:tcPr>
          <w:p w14:paraId="58C0C4F0" w14:textId="77777777" w:rsidR="00FA5756" w:rsidRPr="00F85A0B" w:rsidRDefault="00FA5756" w:rsidP="009E7B82">
            <w:pPr>
              <w:jc w:val="left"/>
              <w:cnfStyle w:val="000000000000" w:firstRow="0" w:lastRow="0" w:firstColumn="0" w:lastColumn="0" w:oddVBand="0" w:evenVBand="0" w:oddHBand="0" w:evenHBand="0" w:firstRowFirstColumn="0" w:firstRowLastColumn="0" w:lastRowFirstColumn="0" w:lastRowLastColumn="0"/>
              <w:rPr>
                <w:sz w:val="18"/>
                <w:szCs w:val="18"/>
              </w:rPr>
            </w:pPr>
            <w:r w:rsidRPr="00F85A0B">
              <w:rPr>
                <w:sz w:val="18"/>
                <w:szCs w:val="18"/>
              </w:rPr>
              <w:t>Sustained outcomes</w:t>
            </w:r>
          </w:p>
        </w:tc>
        <w:tc>
          <w:tcPr>
            <w:tcW w:w="1764" w:type="pct"/>
            <w:hideMark/>
          </w:tcPr>
          <w:p w14:paraId="76500180" w14:textId="77777777" w:rsidR="00FA5756" w:rsidRPr="00F85A0B" w:rsidRDefault="00FA5756" w:rsidP="009E7B82">
            <w:pPr>
              <w:jc w:val="left"/>
              <w:cnfStyle w:val="000000000000" w:firstRow="0" w:lastRow="0" w:firstColumn="0" w:lastColumn="0" w:oddVBand="0" w:evenVBand="0" w:oddHBand="0" w:evenHBand="0" w:firstRowFirstColumn="0" w:firstRowLastColumn="0" w:lastRowFirstColumn="0" w:lastRowLastColumn="0"/>
              <w:rPr>
                <w:sz w:val="18"/>
                <w:szCs w:val="18"/>
              </w:rPr>
            </w:pPr>
            <w:r w:rsidRPr="00F85A0B">
              <w:rPr>
                <w:sz w:val="18"/>
                <w:szCs w:val="18"/>
              </w:rPr>
              <w:t>Project benefits continue to improve livelihoods.</w:t>
            </w:r>
          </w:p>
        </w:tc>
        <w:tc>
          <w:tcPr>
            <w:tcW w:w="1134" w:type="pct"/>
            <w:hideMark/>
          </w:tcPr>
          <w:p w14:paraId="7656954A" w14:textId="77777777" w:rsidR="00FA5756" w:rsidRPr="00F85A0B" w:rsidRDefault="00FA5756" w:rsidP="009E7B82">
            <w:pPr>
              <w:jc w:val="left"/>
              <w:cnfStyle w:val="000000000000" w:firstRow="0" w:lastRow="0" w:firstColumn="0" w:lastColumn="0" w:oddVBand="0" w:evenVBand="0" w:oddHBand="0" w:evenHBand="0" w:firstRowFirstColumn="0" w:firstRowLastColumn="0" w:lastRowFirstColumn="0" w:lastRowLastColumn="0"/>
              <w:rPr>
                <w:sz w:val="18"/>
                <w:szCs w:val="18"/>
              </w:rPr>
            </w:pPr>
            <w:r w:rsidRPr="00F85A0B">
              <w:rPr>
                <w:sz w:val="18"/>
                <w:szCs w:val="18"/>
              </w:rPr>
              <w:t>OECD (2024)</w:t>
            </w:r>
          </w:p>
        </w:tc>
      </w:tr>
      <w:tr w:rsidR="00FA5756" w:rsidRPr="00F85A0B" w14:paraId="6D062AD0" w14:textId="77777777" w:rsidTr="009E7B8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08" w:type="pct"/>
            <w:tcBorders>
              <w:bottom w:val="single" w:sz="4" w:space="0" w:color="auto"/>
            </w:tcBorders>
            <w:hideMark/>
          </w:tcPr>
          <w:p w14:paraId="076FF328" w14:textId="77777777" w:rsidR="00FA5756" w:rsidRPr="00F85A0B" w:rsidRDefault="00FA5756">
            <w:pPr>
              <w:rPr>
                <w:sz w:val="18"/>
                <w:szCs w:val="18"/>
              </w:rPr>
            </w:pPr>
            <w:r w:rsidRPr="00F85A0B">
              <w:rPr>
                <w:sz w:val="18"/>
                <w:szCs w:val="18"/>
              </w:rPr>
              <w:t>Reduced Donor Dependency</w:t>
            </w:r>
          </w:p>
        </w:tc>
        <w:tc>
          <w:tcPr>
            <w:tcW w:w="994" w:type="pct"/>
            <w:tcBorders>
              <w:bottom w:val="single" w:sz="4" w:space="0" w:color="auto"/>
            </w:tcBorders>
            <w:hideMark/>
          </w:tcPr>
          <w:p w14:paraId="6CCFF9E7" w14:textId="77777777" w:rsidR="00FA5756" w:rsidRPr="00F85A0B" w:rsidRDefault="00FA5756" w:rsidP="009E7B82">
            <w:pPr>
              <w:jc w:val="left"/>
              <w:cnfStyle w:val="000000100000" w:firstRow="0" w:lastRow="0" w:firstColumn="0" w:lastColumn="0" w:oddVBand="0" w:evenVBand="0" w:oddHBand="1" w:evenHBand="0" w:firstRowFirstColumn="0" w:firstRowLastColumn="0" w:lastRowFirstColumn="0" w:lastRowLastColumn="0"/>
              <w:rPr>
                <w:sz w:val="18"/>
                <w:szCs w:val="18"/>
              </w:rPr>
            </w:pPr>
            <w:r w:rsidRPr="00F85A0B">
              <w:rPr>
                <w:sz w:val="18"/>
                <w:szCs w:val="18"/>
              </w:rPr>
              <w:t>Resource mobilisation</w:t>
            </w:r>
          </w:p>
        </w:tc>
        <w:tc>
          <w:tcPr>
            <w:tcW w:w="1764" w:type="pct"/>
            <w:tcBorders>
              <w:bottom w:val="single" w:sz="4" w:space="0" w:color="auto"/>
            </w:tcBorders>
            <w:hideMark/>
          </w:tcPr>
          <w:p w14:paraId="01B311DA" w14:textId="77777777" w:rsidR="00FA5756" w:rsidRPr="00F85A0B" w:rsidRDefault="00FA5756" w:rsidP="009E7B82">
            <w:pPr>
              <w:jc w:val="left"/>
              <w:cnfStyle w:val="000000100000" w:firstRow="0" w:lastRow="0" w:firstColumn="0" w:lastColumn="0" w:oddVBand="0" w:evenVBand="0" w:oddHBand="1" w:evenHBand="0" w:firstRowFirstColumn="0" w:firstRowLastColumn="0" w:lastRowFirstColumn="0" w:lastRowLastColumn="0"/>
              <w:rPr>
                <w:sz w:val="18"/>
                <w:szCs w:val="18"/>
              </w:rPr>
            </w:pPr>
            <w:r w:rsidRPr="00F85A0B">
              <w:rPr>
                <w:sz w:val="18"/>
                <w:szCs w:val="18"/>
              </w:rPr>
              <w:t>Projects increasingly rely on local resources.</w:t>
            </w:r>
          </w:p>
        </w:tc>
        <w:tc>
          <w:tcPr>
            <w:tcW w:w="1134" w:type="pct"/>
            <w:tcBorders>
              <w:bottom w:val="single" w:sz="4" w:space="0" w:color="auto"/>
            </w:tcBorders>
            <w:hideMark/>
          </w:tcPr>
          <w:p w14:paraId="4DC08048" w14:textId="77777777" w:rsidR="00FA5756" w:rsidRPr="00F85A0B" w:rsidRDefault="00FA5756" w:rsidP="009E7B82">
            <w:pPr>
              <w:jc w:val="left"/>
              <w:cnfStyle w:val="000000100000" w:firstRow="0" w:lastRow="0" w:firstColumn="0" w:lastColumn="0" w:oddVBand="0" w:evenVBand="0" w:oddHBand="1" w:evenHBand="0" w:firstRowFirstColumn="0" w:firstRowLastColumn="0" w:lastRowFirstColumn="0" w:lastRowLastColumn="0"/>
              <w:rPr>
                <w:sz w:val="18"/>
                <w:szCs w:val="18"/>
              </w:rPr>
            </w:pPr>
            <w:r w:rsidRPr="00F85A0B">
              <w:rPr>
                <w:sz w:val="18"/>
                <w:szCs w:val="18"/>
              </w:rPr>
              <w:t>UNDP (2023)</w:t>
            </w:r>
          </w:p>
        </w:tc>
      </w:tr>
    </w:tbl>
    <w:p w14:paraId="20A56A8C" w14:textId="77777777" w:rsidR="00FA5756" w:rsidRDefault="00FA5756" w:rsidP="00FA5756">
      <w:pPr>
        <w:pStyle w:val="NormalWeb"/>
      </w:pPr>
      <w:r>
        <w:t>Composite indices for leadership politics and sustainability were subsequently generated by calculating average scores across the respective dimensions.</w:t>
      </w:r>
    </w:p>
    <w:p w14:paraId="04F52F71" w14:textId="47947AE0" w:rsidR="00FA5756" w:rsidRDefault="00FA5756" w:rsidP="00FA5756">
      <w:pPr>
        <w:pStyle w:val="Heading2"/>
      </w:pPr>
      <w:r>
        <w:t>Data Collection Instruments</w:t>
      </w:r>
    </w:p>
    <w:p w14:paraId="4D29A677" w14:textId="77777777" w:rsidR="00FA5756" w:rsidRDefault="00FA5756" w:rsidP="009E7B82">
      <w:r>
        <w:t>Two primary data collection instruments were utilised.</w:t>
      </w:r>
    </w:p>
    <w:p w14:paraId="51E407B5" w14:textId="77777777" w:rsidR="00FA5756" w:rsidRDefault="00FA5756" w:rsidP="009E7B82">
      <w:r>
        <w:lastRenderedPageBreak/>
        <w:t>The quantitative component employed a structured questionnaire consisting of closed-ended questions designed to measure perceptions regarding leadership politics and project sustainability. The questionnaire contained demographic questions and Likert-scale items aligned to the study constructs.</w:t>
      </w:r>
    </w:p>
    <w:p w14:paraId="34089AD9" w14:textId="77777777" w:rsidR="00FA5756" w:rsidRDefault="00FA5756" w:rsidP="009E7B82">
      <w:r>
        <w:t>The qualitative component utilised a semi-structured interview guide containing open-ended questions relating to governance practices, accountability mechanisms, stakeholder participation, leadership dynamics, political influences, resource allocation processes and sustainability experiences.</w:t>
      </w:r>
    </w:p>
    <w:p w14:paraId="4929467B" w14:textId="77777777" w:rsidR="00FA5756" w:rsidRDefault="00FA5756" w:rsidP="00FA5756">
      <w:pPr>
        <w:pStyle w:val="Heading3"/>
      </w:pPr>
      <w:r>
        <w:t>Table 4: Questionnaire Structure</w:t>
      </w:r>
    </w:p>
    <w:tbl>
      <w:tblPr>
        <w:tblStyle w:val="PlainTable5"/>
        <w:tblW w:w="5000" w:type="pct"/>
        <w:tblLook w:val="04A0" w:firstRow="1" w:lastRow="0" w:firstColumn="1" w:lastColumn="0" w:noHBand="0" w:noVBand="1"/>
      </w:tblPr>
      <w:tblGrid>
        <w:gridCol w:w="1647"/>
        <w:gridCol w:w="4148"/>
        <w:gridCol w:w="3231"/>
      </w:tblGrid>
      <w:tr w:rsidR="00FA5756" w:rsidRPr="00F85A0B" w14:paraId="0091F4F1" w14:textId="77777777" w:rsidTr="001A5160">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912" w:type="pct"/>
            <w:hideMark/>
          </w:tcPr>
          <w:p w14:paraId="4F81B9BE" w14:textId="77777777" w:rsidR="00FA5756" w:rsidRPr="00F85A0B" w:rsidRDefault="00FA5756">
            <w:pPr>
              <w:jc w:val="center"/>
              <w:rPr>
                <w:b/>
                <w:bCs/>
                <w:sz w:val="18"/>
                <w:szCs w:val="18"/>
              </w:rPr>
            </w:pPr>
            <w:r w:rsidRPr="00F85A0B">
              <w:rPr>
                <w:b/>
                <w:bCs/>
                <w:sz w:val="18"/>
                <w:szCs w:val="18"/>
              </w:rPr>
              <w:t>Section</w:t>
            </w:r>
          </w:p>
        </w:tc>
        <w:tc>
          <w:tcPr>
            <w:tcW w:w="2298" w:type="pct"/>
            <w:hideMark/>
          </w:tcPr>
          <w:p w14:paraId="3EBF9ECA" w14:textId="77777777" w:rsidR="00FA5756" w:rsidRPr="00F85A0B" w:rsidRDefault="00FA5756" w:rsidP="001A5160">
            <w:pPr>
              <w:jc w:val="left"/>
              <w:cnfStyle w:val="100000000000" w:firstRow="1" w:lastRow="0" w:firstColumn="0" w:lastColumn="0" w:oddVBand="0" w:evenVBand="0" w:oddHBand="0" w:evenHBand="0" w:firstRowFirstColumn="0" w:firstRowLastColumn="0" w:lastRowFirstColumn="0" w:lastRowLastColumn="0"/>
              <w:rPr>
                <w:b/>
                <w:bCs/>
                <w:sz w:val="18"/>
                <w:szCs w:val="18"/>
              </w:rPr>
            </w:pPr>
            <w:r w:rsidRPr="00F85A0B">
              <w:rPr>
                <w:b/>
                <w:bCs/>
                <w:sz w:val="18"/>
                <w:szCs w:val="18"/>
              </w:rPr>
              <w:t>Focus Area</w:t>
            </w:r>
          </w:p>
        </w:tc>
        <w:tc>
          <w:tcPr>
            <w:tcW w:w="1790" w:type="pct"/>
            <w:hideMark/>
          </w:tcPr>
          <w:p w14:paraId="583B9362" w14:textId="77777777" w:rsidR="00FA5756" w:rsidRPr="00F85A0B" w:rsidRDefault="00FA5756">
            <w:pPr>
              <w:jc w:val="center"/>
              <w:cnfStyle w:val="100000000000" w:firstRow="1" w:lastRow="0" w:firstColumn="0" w:lastColumn="0" w:oddVBand="0" w:evenVBand="0" w:oddHBand="0" w:evenHBand="0" w:firstRowFirstColumn="0" w:firstRowLastColumn="0" w:lastRowFirstColumn="0" w:lastRowLastColumn="0"/>
              <w:rPr>
                <w:b/>
                <w:bCs/>
                <w:sz w:val="18"/>
                <w:szCs w:val="18"/>
              </w:rPr>
            </w:pPr>
            <w:r w:rsidRPr="00F85A0B">
              <w:rPr>
                <w:b/>
                <w:bCs/>
                <w:sz w:val="18"/>
                <w:szCs w:val="18"/>
              </w:rPr>
              <w:t>Number of Items</w:t>
            </w:r>
          </w:p>
        </w:tc>
      </w:tr>
      <w:tr w:rsidR="00FA5756" w:rsidRPr="00F85A0B" w14:paraId="3D47181F" w14:textId="77777777" w:rsidTr="001A51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2" w:type="pct"/>
            <w:hideMark/>
          </w:tcPr>
          <w:p w14:paraId="7A6E68F6" w14:textId="77777777" w:rsidR="00FA5756" w:rsidRPr="00F85A0B" w:rsidRDefault="00FA5756">
            <w:pPr>
              <w:jc w:val="left"/>
              <w:rPr>
                <w:sz w:val="18"/>
                <w:szCs w:val="18"/>
              </w:rPr>
            </w:pPr>
            <w:r w:rsidRPr="00F85A0B">
              <w:rPr>
                <w:sz w:val="18"/>
                <w:szCs w:val="18"/>
              </w:rPr>
              <w:t>A</w:t>
            </w:r>
          </w:p>
        </w:tc>
        <w:tc>
          <w:tcPr>
            <w:tcW w:w="2298" w:type="pct"/>
            <w:hideMark/>
          </w:tcPr>
          <w:p w14:paraId="78BD9409" w14:textId="77777777" w:rsidR="00FA5756" w:rsidRPr="00F85A0B" w:rsidRDefault="00FA5756">
            <w:pPr>
              <w:cnfStyle w:val="000000100000" w:firstRow="0" w:lastRow="0" w:firstColumn="0" w:lastColumn="0" w:oddVBand="0" w:evenVBand="0" w:oddHBand="1" w:evenHBand="0" w:firstRowFirstColumn="0" w:firstRowLastColumn="0" w:lastRowFirstColumn="0" w:lastRowLastColumn="0"/>
              <w:rPr>
                <w:sz w:val="18"/>
                <w:szCs w:val="18"/>
              </w:rPr>
            </w:pPr>
            <w:r w:rsidRPr="00F85A0B">
              <w:rPr>
                <w:sz w:val="18"/>
                <w:szCs w:val="18"/>
              </w:rPr>
              <w:t>Demographic Information</w:t>
            </w:r>
          </w:p>
        </w:tc>
        <w:tc>
          <w:tcPr>
            <w:tcW w:w="1790" w:type="pct"/>
            <w:hideMark/>
          </w:tcPr>
          <w:p w14:paraId="1BE50D97" w14:textId="77777777" w:rsidR="00FA5756" w:rsidRPr="00F85A0B" w:rsidRDefault="00FA5756" w:rsidP="001A5160">
            <w:pPr>
              <w:jc w:val="center"/>
              <w:cnfStyle w:val="000000100000" w:firstRow="0" w:lastRow="0" w:firstColumn="0" w:lastColumn="0" w:oddVBand="0" w:evenVBand="0" w:oddHBand="1" w:evenHBand="0" w:firstRowFirstColumn="0" w:firstRowLastColumn="0" w:lastRowFirstColumn="0" w:lastRowLastColumn="0"/>
              <w:rPr>
                <w:sz w:val="18"/>
                <w:szCs w:val="18"/>
              </w:rPr>
            </w:pPr>
            <w:r w:rsidRPr="00F85A0B">
              <w:rPr>
                <w:sz w:val="18"/>
                <w:szCs w:val="18"/>
              </w:rPr>
              <w:t>8</w:t>
            </w:r>
          </w:p>
        </w:tc>
      </w:tr>
      <w:tr w:rsidR="00FA5756" w:rsidRPr="00F85A0B" w14:paraId="454F6919" w14:textId="77777777" w:rsidTr="001A5160">
        <w:trPr>
          <w:trHeight w:val="283"/>
        </w:trPr>
        <w:tc>
          <w:tcPr>
            <w:cnfStyle w:val="001000000000" w:firstRow="0" w:lastRow="0" w:firstColumn="1" w:lastColumn="0" w:oddVBand="0" w:evenVBand="0" w:oddHBand="0" w:evenHBand="0" w:firstRowFirstColumn="0" w:firstRowLastColumn="0" w:lastRowFirstColumn="0" w:lastRowLastColumn="0"/>
            <w:tcW w:w="912" w:type="pct"/>
            <w:hideMark/>
          </w:tcPr>
          <w:p w14:paraId="6B7534ED" w14:textId="77777777" w:rsidR="00FA5756" w:rsidRPr="00F85A0B" w:rsidRDefault="00FA5756">
            <w:pPr>
              <w:rPr>
                <w:sz w:val="18"/>
                <w:szCs w:val="18"/>
              </w:rPr>
            </w:pPr>
            <w:r w:rsidRPr="00F85A0B">
              <w:rPr>
                <w:sz w:val="18"/>
                <w:szCs w:val="18"/>
              </w:rPr>
              <w:t>B</w:t>
            </w:r>
          </w:p>
        </w:tc>
        <w:tc>
          <w:tcPr>
            <w:tcW w:w="2298" w:type="pct"/>
            <w:hideMark/>
          </w:tcPr>
          <w:p w14:paraId="0A7C55DF" w14:textId="77777777" w:rsidR="00FA5756" w:rsidRPr="00F85A0B" w:rsidRDefault="00FA5756">
            <w:pPr>
              <w:cnfStyle w:val="000000000000" w:firstRow="0" w:lastRow="0" w:firstColumn="0" w:lastColumn="0" w:oddVBand="0" w:evenVBand="0" w:oddHBand="0" w:evenHBand="0" w:firstRowFirstColumn="0" w:firstRowLastColumn="0" w:lastRowFirstColumn="0" w:lastRowLastColumn="0"/>
              <w:rPr>
                <w:sz w:val="18"/>
                <w:szCs w:val="18"/>
              </w:rPr>
            </w:pPr>
            <w:r w:rsidRPr="00F85A0B">
              <w:rPr>
                <w:sz w:val="18"/>
                <w:szCs w:val="18"/>
              </w:rPr>
              <w:t>Leadership Politics</w:t>
            </w:r>
          </w:p>
        </w:tc>
        <w:tc>
          <w:tcPr>
            <w:tcW w:w="1790" w:type="pct"/>
            <w:hideMark/>
          </w:tcPr>
          <w:p w14:paraId="5EF70388" w14:textId="77777777" w:rsidR="00FA5756" w:rsidRPr="00F85A0B" w:rsidRDefault="00FA5756" w:rsidP="001A51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F85A0B">
              <w:rPr>
                <w:sz w:val="18"/>
                <w:szCs w:val="18"/>
              </w:rPr>
              <w:t>18</w:t>
            </w:r>
          </w:p>
        </w:tc>
      </w:tr>
      <w:tr w:rsidR="00FA5756" w:rsidRPr="00F85A0B" w14:paraId="552E64AD" w14:textId="77777777" w:rsidTr="001A51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2" w:type="pct"/>
            <w:hideMark/>
          </w:tcPr>
          <w:p w14:paraId="127FC51E" w14:textId="77777777" w:rsidR="00FA5756" w:rsidRPr="00F85A0B" w:rsidRDefault="00FA5756">
            <w:pPr>
              <w:rPr>
                <w:sz w:val="18"/>
                <w:szCs w:val="18"/>
              </w:rPr>
            </w:pPr>
            <w:r w:rsidRPr="00F85A0B">
              <w:rPr>
                <w:sz w:val="18"/>
                <w:szCs w:val="18"/>
              </w:rPr>
              <w:t>C</w:t>
            </w:r>
          </w:p>
        </w:tc>
        <w:tc>
          <w:tcPr>
            <w:tcW w:w="2298" w:type="pct"/>
            <w:hideMark/>
          </w:tcPr>
          <w:p w14:paraId="4AB9CBFE" w14:textId="77777777" w:rsidR="00FA5756" w:rsidRPr="00F85A0B" w:rsidRDefault="00FA5756">
            <w:pPr>
              <w:cnfStyle w:val="000000100000" w:firstRow="0" w:lastRow="0" w:firstColumn="0" w:lastColumn="0" w:oddVBand="0" w:evenVBand="0" w:oddHBand="1" w:evenHBand="0" w:firstRowFirstColumn="0" w:firstRowLastColumn="0" w:lastRowFirstColumn="0" w:lastRowLastColumn="0"/>
              <w:rPr>
                <w:sz w:val="18"/>
                <w:szCs w:val="18"/>
              </w:rPr>
            </w:pPr>
            <w:r w:rsidRPr="00F85A0B">
              <w:rPr>
                <w:sz w:val="18"/>
                <w:szCs w:val="18"/>
              </w:rPr>
              <w:t>Project Sustainability</w:t>
            </w:r>
          </w:p>
        </w:tc>
        <w:tc>
          <w:tcPr>
            <w:tcW w:w="1790" w:type="pct"/>
            <w:hideMark/>
          </w:tcPr>
          <w:p w14:paraId="54D39CAC" w14:textId="77777777" w:rsidR="00FA5756" w:rsidRPr="00F85A0B" w:rsidRDefault="00FA5756" w:rsidP="001A5160">
            <w:pPr>
              <w:jc w:val="center"/>
              <w:cnfStyle w:val="000000100000" w:firstRow="0" w:lastRow="0" w:firstColumn="0" w:lastColumn="0" w:oddVBand="0" w:evenVBand="0" w:oddHBand="1" w:evenHBand="0" w:firstRowFirstColumn="0" w:firstRowLastColumn="0" w:lastRowFirstColumn="0" w:lastRowLastColumn="0"/>
              <w:rPr>
                <w:sz w:val="18"/>
                <w:szCs w:val="18"/>
              </w:rPr>
            </w:pPr>
            <w:r w:rsidRPr="00F85A0B">
              <w:rPr>
                <w:sz w:val="18"/>
                <w:szCs w:val="18"/>
              </w:rPr>
              <w:t>15</w:t>
            </w:r>
          </w:p>
        </w:tc>
      </w:tr>
      <w:tr w:rsidR="00FA5756" w:rsidRPr="00F85A0B" w14:paraId="31ED2E33" w14:textId="77777777" w:rsidTr="001A5160">
        <w:trPr>
          <w:trHeight w:val="283"/>
        </w:trPr>
        <w:tc>
          <w:tcPr>
            <w:cnfStyle w:val="001000000000" w:firstRow="0" w:lastRow="0" w:firstColumn="1" w:lastColumn="0" w:oddVBand="0" w:evenVBand="0" w:oddHBand="0" w:evenHBand="0" w:firstRowFirstColumn="0" w:firstRowLastColumn="0" w:lastRowFirstColumn="0" w:lastRowLastColumn="0"/>
            <w:tcW w:w="912" w:type="pct"/>
            <w:hideMark/>
          </w:tcPr>
          <w:p w14:paraId="6FD913CA" w14:textId="77777777" w:rsidR="00FA5756" w:rsidRPr="00F85A0B" w:rsidRDefault="00FA5756">
            <w:pPr>
              <w:rPr>
                <w:sz w:val="18"/>
                <w:szCs w:val="18"/>
              </w:rPr>
            </w:pPr>
            <w:r w:rsidRPr="00F85A0B">
              <w:rPr>
                <w:sz w:val="18"/>
                <w:szCs w:val="18"/>
              </w:rPr>
              <w:t>D</w:t>
            </w:r>
          </w:p>
        </w:tc>
        <w:tc>
          <w:tcPr>
            <w:tcW w:w="2298" w:type="pct"/>
            <w:hideMark/>
          </w:tcPr>
          <w:p w14:paraId="75D92F81" w14:textId="77777777" w:rsidR="00FA5756" w:rsidRPr="00F85A0B" w:rsidRDefault="00FA5756">
            <w:pPr>
              <w:cnfStyle w:val="000000000000" w:firstRow="0" w:lastRow="0" w:firstColumn="0" w:lastColumn="0" w:oddVBand="0" w:evenVBand="0" w:oddHBand="0" w:evenHBand="0" w:firstRowFirstColumn="0" w:firstRowLastColumn="0" w:lastRowFirstColumn="0" w:lastRowLastColumn="0"/>
              <w:rPr>
                <w:sz w:val="18"/>
                <w:szCs w:val="18"/>
              </w:rPr>
            </w:pPr>
            <w:r w:rsidRPr="00F85A0B">
              <w:rPr>
                <w:sz w:val="18"/>
                <w:szCs w:val="18"/>
              </w:rPr>
              <w:t>Additional Comments</w:t>
            </w:r>
          </w:p>
        </w:tc>
        <w:tc>
          <w:tcPr>
            <w:tcW w:w="1790" w:type="pct"/>
            <w:hideMark/>
          </w:tcPr>
          <w:p w14:paraId="28006346" w14:textId="77777777" w:rsidR="00FA5756" w:rsidRPr="00F85A0B" w:rsidRDefault="00FA5756" w:rsidP="001A5160">
            <w:pPr>
              <w:jc w:val="center"/>
              <w:cnfStyle w:val="000000000000" w:firstRow="0" w:lastRow="0" w:firstColumn="0" w:lastColumn="0" w:oddVBand="0" w:evenVBand="0" w:oddHBand="0" w:evenHBand="0" w:firstRowFirstColumn="0" w:firstRowLastColumn="0" w:lastRowFirstColumn="0" w:lastRowLastColumn="0"/>
              <w:rPr>
                <w:sz w:val="18"/>
                <w:szCs w:val="18"/>
              </w:rPr>
            </w:pPr>
            <w:r w:rsidRPr="00F85A0B">
              <w:rPr>
                <w:sz w:val="18"/>
                <w:szCs w:val="18"/>
              </w:rPr>
              <w:t>2</w:t>
            </w:r>
          </w:p>
        </w:tc>
      </w:tr>
      <w:tr w:rsidR="00FA5756" w:rsidRPr="00F85A0B" w14:paraId="2BC9C5F9" w14:textId="77777777" w:rsidTr="001A51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12" w:type="pct"/>
            <w:hideMark/>
          </w:tcPr>
          <w:p w14:paraId="73123616" w14:textId="77777777" w:rsidR="00FA5756" w:rsidRPr="00F85A0B" w:rsidRDefault="00FA5756">
            <w:pPr>
              <w:rPr>
                <w:sz w:val="18"/>
                <w:szCs w:val="18"/>
              </w:rPr>
            </w:pPr>
            <w:r w:rsidRPr="00F85A0B">
              <w:rPr>
                <w:sz w:val="18"/>
                <w:szCs w:val="18"/>
              </w:rPr>
              <w:t>Total</w:t>
            </w:r>
          </w:p>
        </w:tc>
        <w:tc>
          <w:tcPr>
            <w:tcW w:w="2298" w:type="pct"/>
            <w:hideMark/>
          </w:tcPr>
          <w:p w14:paraId="1CB1E8D9" w14:textId="77777777" w:rsidR="00FA5756" w:rsidRPr="00F85A0B" w:rsidRDefault="00FA5756">
            <w:pPr>
              <w:cnfStyle w:val="000000100000" w:firstRow="0" w:lastRow="0" w:firstColumn="0" w:lastColumn="0" w:oddVBand="0" w:evenVBand="0" w:oddHBand="1" w:evenHBand="0" w:firstRowFirstColumn="0" w:firstRowLastColumn="0" w:lastRowFirstColumn="0" w:lastRowLastColumn="0"/>
              <w:rPr>
                <w:sz w:val="18"/>
                <w:szCs w:val="18"/>
              </w:rPr>
            </w:pPr>
          </w:p>
        </w:tc>
        <w:tc>
          <w:tcPr>
            <w:tcW w:w="1790" w:type="pct"/>
            <w:hideMark/>
          </w:tcPr>
          <w:p w14:paraId="703E943C" w14:textId="77777777" w:rsidR="00FA5756" w:rsidRPr="00F85A0B" w:rsidRDefault="00FA5756" w:rsidP="001A5160">
            <w:pPr>
              <w:jc w:val="center"/>
              <w:cnfStyle w:val="000000100000" w:firstRow="0" w:lastRow="0" w:firstColumn="0" w:lastColumn="0" w:oddVBand="0" w:evenVBand="0" w:oddHBand="1" w:evenHBand="0" w:firstRowFirstColumn="0" w:firstRowLastColumn="0" w:lastRowFirstColumn="0" w:lastRowLastColumn="0"/>
              <w:rPr>
                <w:sz w:val="18"/>
                <w:szCs w:val="18"/>
              </w:rPr>
            </w:pPr>
            <w:r w:rsidRPr="00F85A0B">
              <w:rPr>
                <w:sz w:val="18"/>
                <w:szCs w:val="18"/>
              </w:rPr>
              <w:t>43</w:t>
            </w:r>
          </w:p>
        </w:tc>
      </w:tr>
    </w:tbl>
    <w:p w14:paraId="76BCA4D1" w14:textId="77777777" w:rsidR="00FA5756" w:rsidRDefault="00FA5756" w:rsidP="009E7B82">
      <w:r>
        <w:t>The use of multiple instruments facilitated methodological triangulation and enhanced the credibility of the findings.</w:t>
      </w:r>
    </w:p>
    <w:p w14:paraId="7925D82D" w14:textId="77777777" w:rsidR="001A5160" w:rsidRDefault="001A5160" w:rsidP="009E7B82"/>
    <w:p w14:paraId="3E0BCB14" w14:textId="77777777" w:rsidR="00FA5756" w:rsidRDefault="00FA5756" w:rsidP="00FA5756">
      <w:pPr>
        <w:pStyle w:val="Heading2"/>
      </w:pPr>
      <w:r>
        <w:t>3.9 Validity and Reliability Procedures</w:t>
      </w:r>
    </w:p>
    <w:p w14:paraId="657AA07F" w14:textId="77777777" w:rsidR="00FA5756" w:rsidRDefault="00FA5756" w:rsidP="00FA5756">
      <w:pPr>
        <w:pStyle w:val="Heading3"/>
      </w:pPr>
      <w:r>
        <w:t>Content Validity</w:t>
      </w:r>
    </w:p>
    <w:p w14:paraId="2C6C06FF" w14:textId="77777777" w:rsidR="00FA5756" w:rsidRDefault="00FA5756" w:rsidP="001A5160">
      <w:r>
        <w:t>Content validity was established through expert review involving academics and practitioners with expertise in governance, leadership, community development and research methodology. The experts assessed the relevance, clarity, comprehensiveness and appropriateness of the questionnaire items in relation to the study objectives and theoretical constructs.</w:t>
      </w:r>
    </w:p>
    <w:p w14:paraId="47553CD4" w14:textId="77777777" w:rsidR="00FA5756" w:rsidRDefault="00FA5756" w:rsidP="001A5160">
      <w:r>
        <w:t>Recommendations from the experts resulted in refinement of item wording, elimination of ambiguous statements and improvement of instrument clarity.</w:t>
      </w:r>
    </w:p>
    <w:p w14:paraId="0B1751C9" w14:textId="77777777" w:rsidR="00233428" w:rsidRDefault="00233428" w:rsidP="001A5160"/>
    <w:p w14:paraId="2C0B62D7" w14:textId="77777777" w:rsidR="00FA5756" w:rsidRDefault="00FA5756" w:rsidP="00FA5756">
      <w:pPr>
        <w:pStyle w:val="Heading3"/>
      </w:pPr>
      <w:r>
        <w:t>Pilot Testing</w:t>
      </w:r>
    </w:p>
    <w:p w14:paraId="1DCC3FC0" w14:textId="5E890DD4" w:rsidR="00FA5756" w:rsidRDefault="00FA5756" w:rsidP="001A5160">
      <w:r>
        <w:t xml:space="preserve">A pilot study involving 20 respondents was conducted prior to full-scale data collection. The pilot participants possessed characteristics </w:t>
      </w:r>
      <w:proofErr w:type="gramStart"/>
      <w:r>
        <w:t>similar to</w:t>
      </w:r>
      <w:proofErr w:type="gramEnd"/>
      <w:r>
        <w:t xml:space="preserve"> those of the target population but were excluded from the final </w:t>
      </w:r>
      <w:r w:rsidR="00233428">
        <w:t>sample. The</w:t>
      </w:r>
      <w:r>
        <w:t xml:space="preserve"> pilot study assessed: Clarity of questions</w:t>
      </w:r>
      <w:r w:rsidR="001A5160">
        <w:t>,</w:t>
      </w:r>
      <w:r>
        <w:t xml:space="preserve"> Ease of administration</w:t>
      </w:r>
      <w:r w:rsidR="001A5160">
        <w:t>,</w:t>
      </w:r>
      <w:r>
        <w:t xml:space="preserve"> Questionnaire completion time</w:t>
      </w:r>
      <w:r w:rsidR="001A5160">
        <w:t xml:space="preserve"> </w:t>
      </w:r>
      <w:r w:rsidR="00233428">
        <w:t>and Internal</w:t>
      </w:r>
      <w:r>
        <w:t xml:space="preserve"> consistency of measurement scales</w:t>
      </w:r>
      <w:r w:rsidR="00233428">
        <w:t xml:space="preserve">. </w:t>
      </w:r>
      <w:r>
        <w:t>Feedback from the pilot study informed minor revisions to the questionnaire.</w:t>
      </w:r>
    </w:p>
    <w:p w14:paraId="37E55D62" w14:textId="77777777" w:rsidR="00233428" w:rsidRDefault="00233428" w:rsidP="001A5160"/>
    <w:p w14:paraId="3FB67387" w14:textId="77777777" w:rsidR="00FA5756" w:rsidRDefault="00FA5756" w:rsidP="00FA5756">
      <w:pPr>
        <w:pStyle w:val="Heading3"/>
      </w:pPr>
      <w:r>
        <w:t>Construct Validity</w:t>
      </w:r>
    </w:p>
    <w:p w14:paraId="557AE685" w14:textId="77777777" w:rsidR="00FA5756" w:rsidRDefault="00FA5756" w:rsidP="00233428">
      <w:r>
        <w:t>Construct validity was achieved by aligning questionnaire items with theoretical constructs derived from Stakeholder Theory and Political Economy Theory.</w:t>
      </w:r>
    </w:p>
    <w:p w14:paraId="3D880AC8" w14:textId="77777777" w:rsidR="00233428" w:rsidRDefault="00233428" w:rsidP="00233428"/>
    <w:p w14:paraId="66EA6C68" w14:textId="77777777" w:rsidR="00FA5756" w:rsidRDefault="00FA5756" w:rsidP="00FA5756">
      <w:pPr>
        <w:pStyle w:val="Heading3"/>
      </w:pPr>
      <w:r>
        <w:lastRenderedPageBreak/>
        <w:t>Table 5: Alignment between Theory and Measurement</w:t>
      </w:r>
    </w:p>
    <w:tbl>
      <w:tblPr>
        <w:tblStyle w:val="PlainTable5"/>
        <w:tblW w:w="0" w:type="auto"/>
        <w:tblLook w:val="04A0" w:firstRow="1" w:lastRow="0" w:firstColumn="1" w:lastColumn="0" w:noHBand="0" w:noVBand="1"/>
      </w:tblPr>
      <w:tblGrid>
        <w:gridCol w:w="2017"/>
        <w:gridCol w:w="2437"/>
        <w:gridCol w:w="4572"/>
      </w:tblGrid>
      <w:tr w:rsidR="00FA5756" w:rsidRPr="00233428" w14:paraId="37E899F2" w14:textId="77777777" w:rsidTr="00D86816">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tcBorders>
            <w:hideMark/>
          </w:tcPr>
          <w:p w14:paraId="4A4DC7CB" w14:textId="77777777" w:rsidR="00FA5756" w:rsidRPr="00233428" w:rsidRDefault="00FA5756">
            <w:pPr>
              <w:jc w:val="center"/>
              <w:rPr>
                <w:b/>
                <w:bCs/>
                <w:sz w:val="18"/>
                <w:szCs w:val="18"/>
              </w:rPr>
            </w:pPr>
            <w:r w:rsidRPr="00233428">
              <w:rPr>
                <w:b/>
                <w:bCs/>
                <w:sz w:val="18"/>
                <w:szCs w:val="18"/>
              </w:rPr>
              <w:t>Theoretical Perspective</w:t>
            </w:r>
          </w:p>
        </w:tc>
        <w:tc>
          <w:tcPr>
            <w:tcW w:w="0" w:type="auto"/>
            <w:tcBorders>
              <w:top w:val="single" w:sz="4" w:space="0" w:color="auto"/>
            </w:tcBorders>
            <w:hideMark/>
          </w:tcPr>
          <w:p w14:paraId="24F693CF" w14:textId="77777777" w:rsidR="00FA5756" w:rsidRPr="00233428" w:rsidRDefault="00FA5756">
            <w:pPr>
              <w:jc w:val="center"/>
              <w:cnfStyle w:val="100000000000" w:firstRow="1" w:lastRow="0" w:firstColumn="0" w:lastColumn="0" w:oddVBand="0" w:evenVBand="0" w:oddHBand="0" w:evenHBand="0" w:firstRowFirstColumn="0" w:firstRowLastColumn="0" w:lastRowFirstColumn="0" w:lastRowLastColumn="0"/>
              <w:rPr>
                <w:b/>
                <w:bCs/>
                <w:sz w:val="18"/>
                <w:szCs w:val="18"/>
              </w:rPr>
            </w:pPr>
            <w:r w:rsidRPr="00233428">
              <w:rPr>
                <w:b/>
                <w:bCs/>
                <w:sz w:val="18"/>
                <w:szCs w:val="18"/>
              </w:rPr>
              <w:t>Construct Measured</w:t>
            </w:r>
          </w:p>
        </w:tc>
        <w:tc>
          <w:tcPr>
            <w:tcW w:w="0" w:type="auto"/>
            <w:tcBorders>
              <w:top w:val="single" w:sz="4" w:space="0" w:color="auto"/>
            </w:tcBorders>
            <w:hideMark/>
          </w:tcPr>
          <w:p w14:paraId="2291369B" w14:textId="77777777" w:rsidR="00FA5756" w:rsidRPr="00233428" w:rsidRDefault="00FA5756">
            <w:pPr>
              <w:jc w:val="center"/>
              <w:cnfStyle w:val="100000000000" w:firstRow="1" w:lastRow="0" w:firstColumn="0" w:lastColumn="0" w:oddVBand="0" w:evenVBand="0" w:oddHBand="0" w:evenHBand="0" w:firstRowFirstColumn="0" w:firstRowLastColumn="0" w:lastRowFirstColumn="0" w:lastRowLastColumn="0"/>
              <w:rPr>
                <w:b/>
                <w:bCs/>
                <w:sz w:val="18"/>
                <w:szCs w:val="18"/>
              </w:rPr>
            </w:pPr>
            <w:r w:rsidRPr="00233428">
              <w:rPr>
                <w:b/>
                <w:bCs/>
                <w:sz w:val="18"/>
                <w:szCs w:val="18"/>
              </w:rPr>
              <w:t>Questionnaire Dimensions</w:t>
            </w:r>
          </w:p>
        </w:tc>
      </w:tr>
      <w:tr w:rsidR="00FA5756" w:rsidRPr="00233428" w14:paraId="6FD10D46" w14:textId="77777777" w:rsidTr="0023342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hideMark/>
          </w:tcPr>
          <w:p w14:paraId="7166B73F" w14:textId="77777777" w:rsidR="00FA5756" w:rsidRPr="00233428" w:rsidRDefault="00FA5756" w:rsidP="00233428">
            <w:pPr>
              <w:jc w:val="left"/>
              <w:rPr>
                <w:sz w:val="18"/>
                <w:szCs w:val="18"/>
              </w:rPr>
            </w:pPr>
            <w:r w:rsidRPr="00233428">
              <w:rPr>
                <w:sz w:val="18"/>
                <w:szCs w:val="18"/>
              </w:rPr>
              <w:t>Stakeholder Theory</w:t>
            </w:r>
          </w:p>
        </w:tc>
        <w:tc>
          <w:tcPr>
            <w:tcW w:w="0" w:type="auto"/>
            <w:hideMark/>
          </w:tcPr>
          <w:p w14:paraId="0C90E007" w14:textId="77777777" w:rsidR="00FA5756" w:rsidRPr="00233428" w:rsidRDefault="00FA5756" w:rsidP="00233428">
            <w:pPr>
              <w:jc w:val="left"/>
              <w:cnfStyle w:val="000000100000" w:firstRow="0" w:lastRow="0" w:firstColumn="0" w:lastColumn="0" w:oddVBand="0" w:evenVBand="0" w:oddHBand="1" w:evenHBand="0" w:firstRowFirstColumn="0" w:firstRowLastColumn="0" w:lastRowFirstColumn="0" w:lastRowLastColumn="0"/>
              <w:rPr>
                <w:sz w:val="18"/>
                <w:szCs w:val="18"/>
              </w:rPr>
            </w:pPr>
            <w:r w:rsidRPr="00233428">
              <w:rPr>
                <w:sz w:val="18"/>
                <w:szCs w:val="18"/>
              </w:rPr>
              <w:t>Participation and legitimacy</w:t>
            </w:r>
          </w:p>
        </w:tc>
        <w:tc>
          <w:tcPr>
            <w:tcW w:w="0" w:type="auto"/>
            <w:hideMark/>
          </w:tcPr>
          <w:p w14:paraId="2CEF3500" w14:textId="77777777" w:rsidR="00FA5756" w:rsidRPr="00233428" w:rsidRDefault="00FA5756" w:rsidP="00233428">
            <w:pPr>
              <w:jc w:val="left"/>
              <w:cnfStyle w:val="000000100000" w:firstRow="0" w:lastRow="0" w:firstColumn="0" w:lastColumn="0" w:oddVBand="0" w:evenVBand="0" w:oddHBand="1" w:evenHBand="0" w:firstRowFirstColumn="0" w:firstRowLastColumn="0" w:lastRowFirstColumn="0" w:lastRowLastColumn="0"/>
              <w:rPr>
                <w:sz w:val="18"/>
                <w:szCs w:val="18"/>
              </w:rPr>
            </w:pPr>
            <w:r w:rsidRPr="00233428">
              <w:rPr>
                <w:sz w:val="18"/>
                <w:szCs w:val="18"/>
              </w:rPr>
              <w:t>Inclusivity, Representation, Accountability</w:t>
            </w:r>
          </w:p>
        </w:tc>
      </w:tr>
      <w:tr w:rsidR="00FA5756" w:rsidRPr="00233428" w14:paraId="38C5DD54" w14:textId="77777777" w:rsidTr="00233428">
        <w:trPr>
          <w:trHeight w:val="510"/>
        </w:trPr>
        <w:tc>
          <w:tcPr>
            <w:cnfStyle w:val="001000000000" w:firstRow="0" w:lastRow="0" w:firstColumn="1" w:lastColumn="0" w:oddVBand="0" w:evenVBand="0" w:oddHBand="0" w:evenHBand="0" w:firstRowFirstColumn="0" w:firstRowLastColumn="0" w:lastRowFirstColumn="0" w:lastRowLastColumn="0"/>
            <w:tcW w:w="0" w:type="auto"/>
            <w:hideMark/>
          </w:tcPr>
          <w:p w14:paraId="41F7332F" w14:textId="77777777" w:rsidR="00FA5756" w:rsidRPr="00233428" w:rsidRDefault="00FA5756" w:rsidP="00233428">
            <w:pPr>
              <w:jc w:val="left"/>
              <w:rPr>
                <w:sz w:val="18"/>
                <w:szCs w:val="18"/>
              </w:rPr>
            </w:pPr>
            <w:r w:rsidRPr="00233428">
              <w:rPr>
                <w:sz w:val="18"/>
                <w:szCs w:val="18"/>
              </w:rPr>
              <w:t>Political Economy Theory</w:t>
            </w:r>
          </w:p>
        </w:tc>
        <w:tc>
          <w:tcPr>
            <w:tcW w:w="0" w:type="auto"/>
            <w:hideMark/>
          </w:tcPr>
          <w:p w14:paraId="43737C8C" w14:textId="77777777" w:rsidR="00FA5756" w:rsidRPr="00233428" w:rsidRDefault="00FA5756" w:rsidP="00233428">
            <w:pPr>
              <w:jc w:val="left"/>
              <w:cnfStyle w:val="000000000000" w:firstRow="0" w:lastRow="0" w:firstColumn="0" w:lastColumn="0" w:oddVBand="0" w:evenVBand="0" w:oddHBand="0" w:evenHBand="0" w:firstRowFirstColumn="0" w:firstRowLastColumn="0" w:lastRowFirstColumn="0" w:lastRowLastColumn="0"/>
              <w:rPr>
                <w:sz w:val="18"/>
                <w:szCs w:val="18"/>
              </w:rPr>
            </w:pPr>
            <w:r w:rsidRPr="00233428">
              <w:rPr>
                <w:sz w:val="18"/>
                <w:szCs w:val="18"/>
              </w:rPr>
              <w:t>Governance and power relations</w:t>
            </w:r>
          </w:p>
        </w:tc>
        <w:tc>
          <w:tcPr>
            <w:tcW w:w="0" w:type="auto"/>
            <w:hideMark/>
          </w:tcPr>
          <w:p w14:paraId="407DE4F8" w14:textId="77777777" w:rsidR="00FA5756" w:rsidRPr="00233428" w:rsidRDefault="00FA5756" w:rsidP="00233428">
            <w:pPr>
              <w:jc w:val="left"/>
              <w:cnfStyle w:val="000000000000" w:firstRow="0" w:lastRow="0" w:firstColumn="0" w:lastColumn="0" w:oddVBand="0" w:evenVBand="0" w:oddHBand="0" w:evenHBand="0" w:firstRowFirstColumn="0" w:firstRowLastColumn="0" w:lastRowFirstColumn="0" w:lastRowLastColumn="0"/>
              <w:rPr>
                <w:sz w:val="18"/>
                <w:szCs w:val="18"/>
              </w:rPr>
            </w:pPr>
            <w:r w:rsidRPr="00233428">
              <w:rPr>
                <w:sz w:val="18"/>
                <w:szCs w:val="18"/>
              </w:rPr>
              <w:t>Transparency, Conflict Management, Resource Allocation Fairness</w:t>
            </w:r>
          </w:p>
        </w:tc>
      </w:tr>
      <w:tr w:rsidR="00FA5756" w:rsidRPr="00233428" w14:paraId="4E575463" w14:textId="77777777" w:rsidTr="00D8681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hideMark/>
          </w:tcPr>
          <w:p w14:paraId="19C8B430" w14:textId="77777777" w:rsidR="00FA5756" w:rsidRPr="00233428" w:rsidRDefault="00FA5756" w:rsidP="00233428">
            <w:pPr>
              <w:jc w:val="left"/>
              <w:rPr>
                <w:sz w:val="18"/>
                <w:szCs w:val="18"/>
              </w:rPr>
            </w:pPr>
            <w:r w:rsidRPr="00233428">
              <w:rPr>
                <w:sz w:val="18"/>
                <w:szCs w:val="18"/>
              </w:rPr>
              <w:t>Sustainability Theory</w:t>
            </w:r>
          </w:p>
        </w:tc>
        <w:tc>
          <w:tcPr>
            <w:tcW w:w="0" w:type="auto"/>
            <w:tcBorders>
              <w:bottom w:val="single" w:sz="4" w:space="0" w:color="auto"/>
            </w:tcBorders>
            <w:hideMark/>
          </w:tcPr>
          <w:p w14:paraId="43B552A7" w14:textId="77777777" w:rsidR="00FA5756" w:rsidRPr="00233428" w:rsidRDefault="00FA5756" w:rsidP="00233428">
            <w:pPr>
              <w:jc w:val="left"/>
              <w:cnfStyle w:val="000000100000" w:firstRow="0" w:lastRow="0" w:firstColumn="0" w:lastColumn="0" w:oddVBand="0" w:evenVBand="0" w:oddHBand="1" w:evenHBand="0" w:firstRowFirstColumn="0" w:firstRowLastColumn="0" w:lastRowFirstColumn="0" w:lastRowLastColumn="0"/>
              <w:rPr>
                <w:sz w:val="18"/>
                <w:szCs w:val="18"/>
              </w:rPr>
            </w:pPr>
            <w:r w:rsidRPr="00233428">
              <w:rPr>
                <w:sz w:val="18"/>
                <w:szCs w:val="18"/>
              </w:rPr>
              <w:t>Project continuity and resilience</w:t>
            </w:r>
          </w:p>
        </w:tc>
        <w:tc>
          <w:tcPr>
            <w:tcW w:w="0" w:type="auto"/>
            <w:tcBorders>
              <w:bottom w:val="single" w:sz="4" w:space="0" w:color="auto"/>
            </w:tcBorders>
            <w:hideMark/>
          </w:tcPr>
          <w:p w14:paraId="1E30B9DF" w14:textId="77777777" w:rsidR="00FA5756" w:rsidRPr="00233428" w:rsidRDefault="00FA5756" w:rsidP="00233428">
            <w:pPr>
              <w:jc w:val="left"/>
              <w:cnfStyle w:val="000000100000" w:firstRow="0" w:lastRow="0" w:firstColumn="0" w:lastColumn="0" w:oddVBand="0" w:evenVBand="0" w:oddHBand="1" w:evenHBand="0" w:firstRowFirstColumn="0" w:firstRowLastColumn="0" w:lastRowFirstColumn="0" w:lastRowLastColumn="0"/>
              <w:rPr>
                <w:sz w:val="18"/>
                <w:szCs w:val="18"/>
              </w:rPr>
            </w:pPr>
            <w:r w:rsidRPr="00233428">
              <w:rPr>
                <w:sz w:val="18"/>
                <w:szCs w:val="18"/>
              </w:rPr>
              <w:t>Sustainability Dimensions</w:t>
            </w:r>
          </w:p>
        </w:tc>
      </w:tr>
    </w:tbl>
    <w:p w14:paraId="074D3289" w14:textId="77777777" w:rsidR="00FA5756" w:rsidRDefault="00FA5756" w:rsidP="00FA5756">
      <w:pPr>
        <w:pStyle w:val="Heading3"/>
      </w:pPr>
      <w:r>
        <w:t>Reliability Analysis</w:t>
      </w:r>
    </w:p>
    <w:p w14:paraId="379859B5" w14:textId="77777777" w:rsidR="00FA5756" w:rsidRDefault="00FA5756" w:rsidP="00D86816">
      <w:r>
        <w:t>Reliability was assessed using Cronbach's Alpha coefficients. According to Hair et al. (2022), reliability coefficients exceeding 0.70 indicate acceptable internal consistency.</w:t>
      </w:r>
    </w:p>
    <w:p w14:paraId="500DD4AF" w14:textId="77777777" w:rsidR="00D86816" w:rsidRDefault="00D86816" w:rsidP="00D86816"/>
    <w:p w14:paraId="6AB64779" w14:textId="77777777" w:rsidR="00FA5756" w:rsidRDefault="00FA5756" w:rsidP="00FA5756">
      <w:pPr>
        <w:pStyle w:val="Heading3"/>
      </w:pPr>
      <w:r>
        <w:t>Table 6: Reliability Statistics</w:t>
      </w:r>
    </w:p>
    <w:tbl>
      <w:tblPr>
        <w:tblStyle w:val="PlainTable5"/>
        <w:tblW w:w="5000" w:type="pct"/>
        <w:tblLook w:val="04A0" w:firstRow="1" w:lastRow="0" w:firstColumn="1" w:lastColumn="0" w:noHBand="0" w:noVBand="1"/>
      </w:tblPr>
      <w:tblGrid>
        <w:gridCol w:w="4090"/>
        <w:gridCol w:w="2497"/>
        <w:gridCol w:w="2439"/>
      </w:tblGrid>
      <w:tr w:rsidR="00FA5756" w:rsidRPr="00F85A0B" w14:paraId="021F747C" w14:textId="77777777" w:rsidTr="00D86816">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2265" w:type="pct"/>
            <w:tcBorders>
              <w:top w:val="single" w:sz="4" w:space="0" w:color="auto"/>
            </w:tcBorders>
            <w:hideMark/>
          </w:tcPr>
          <w:p w14:paraId="6DE0DB2D" w14:textId="77777777" w:rsidR="00FA5756" w:rsidRPr="00F85A0B" w:rsidRDefault="00FA5756">
            <w:pPr>
              <w:jc w:val="center"/>
              <w:rPr>
                <w:b/>
                <w:bCs/>
                <w:sz w:val="18"/>
                <w:szCs w:val="18"/>
              </w:rPr>
            </w:pPr>
            <w:r w:rsidRPr="00F85A0B">
              <w:rPr>
                <w:b/>
                <w:bCs/>
                <w:sz w:val="18"/>
                <w:szCs w:val="18"/>
              </w:rPr>
              <w:t>Construct</w:t>
            </w:r>
          </w:p>
        </w:tc>
        <w:tc>
          <w:tcPr>
            <w:tcW w:w="1383" w:type="pct"/>
            <w:tcBorders>
              <w:top w:val="single" w:sz="4" w:space="0" w:color="auto"/>
            </w:tcBorders>
            <w:hideMark/>
          </w:tcPr>
          <w:p w14:paraId="66452E9A" w14:textId="77777777" w:rsidR="00FA5756" w:rsidRPr="00F85A0B" w:rsidRDefault="00FA5756">
            <w:pPr>
              <w:jc w:val="center"/>
              <w:cnfStyle w:val="100000000000" w:firstRow="1" w:lastRow="0" w:firstColumn="0" w:lastColumn="0" w:oddVBand="0" w:evenVBand="0" w:oddHBand="0" w:evenHBand="0" w:firstRowFirstColumn="0" w:firstRowLastColumn="0" w:lastRowFirstColumn="0" w:lastRowLastColumn="0"/>
              <w:rPr>
                <w:b/>
                <w:bCs/>
                <w:sz w:val="18"/>
                <w:szCs w:val="18"/>
              </w:rPr>
            </w:pPr>
            <w:r w:rsidRPr="00F85A0B">
              <w:rPr>
                <w:b/>
                <w:bCs/>
                <w:sz w:val="18"/>
                <w:szCs w:val="18"/>
              </w:rPr>
              <w:t>Number of Items</w:t>
            </w:r>
          </w:p>
        </w:tc>
        <w:tc>
          <w:tcPr>
            <w:tcW w:w="1351" w:type="pct"/>
            <w:tcBorders>
              <w:top w:val="single" w:sz="4" w:space="0" w:color="auto"/>
            </w:tcBorders>
            <w:hideMark/>
          </w:tcPr>
          <w:p w14:paraId="0719C176" w14:textId="77777777" w:rsidR="00FA5756" w:rsidRPr="00F85A0B" w:rsidRDefault="00FA5756">
            <w:pPr>
              <w:jc w:val="center"/>
              <w:cnfStyle w:val="100000000000" w:firstRow="1" w:lastRow="0" w:firstColumn="0" w:lastColumn="0" w:oddVBand="0" w:evenVBand="0" w:oddHBand="0" w:evenHBand="0" w:firstRowFirstColumn="0" w:firstRowLastColumn="0" w:lastRowFirstColumn="0" w:lastRowLastColumn="0"/>
              <w:rPr>
                <w:b/>
                <w:bCs/>
                <w:sz w:val="18"/>
                <w:szCs w:val="18"/>
              </w:rPr>
            </w:pPr>
            <w:r w:rsidRPr="00F85A0B">
              <w:rPr>
                <w:b/>
                <w:bCs/>
                <w:sz w:val="18"/>
                <w:szCs w:val="18"/>
              </w:rPr>
              <w:t>Cronbach Alpha</w:t>
            </w:r>
          </w:p>
        </w:tc>
      </w:tr>
      <w:tr w:rsidR="00FA5756" w:rsidRPr="00F85A0B" w14:paraId="219FCD5A" w14:textId="77777777" w:rsidTr="00D868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5" w:type="pct"/>
            <w:hideMark/>
          </w:tcPr>
          <w:p w14:paraId="0BC45765" w14:textId="77777777" w:rsidR="00FA5756" w:rsidRPr="00F85A0B" w:rsidRDefault="00FA5756">
            <w:pPr>
              <w:jc w:val="left"/>
              <w:rPr>
                <w:sz w:val="18"/>
                <w:szCs w:val="18"/>
              </w:rPr>
            </w:pPr>
            <w:r w:rsidRPr="00F85A0B">
              <w:rPr>
                <w:sz w:val="18"/>
                <w:szCs w:val="18"/>
              </w:rPr>
              <w:t>Leadership Accountability</w:t>
            </w:r>
          </w:p>
        </w:tc>
        <w:tc>
          <w:tcPr>
            <w:tcW w:w="1383" w:type="pct"/>
            <w:hideMark/>
          </w:tcPr>
          <w:p w14:paraId="065986D4" w14:textId="77777777" w:rsidR="00FA5756" w:rsidRPr="00F85A0B" w:rsidRDefault="00FA5756" w:rsidP="00D8681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85A0B">
              <w:rPr>
                <w:sz w:val="18"/>
                <w:szCs w:val="18"/>
              </w:rPr>
              <w:t>3</w:t>
            </w:r>
          </w:p>
        </w:tc>
        <w:tc>
          <w:tcPr>
            <w:tcW w:w="1351" w:type="pct"/>
            <w:hideMark/>
          </w:tcPr>
          <w:p w14:paraId="339621EA" w14:textId="77777777" w:rsidR="00FA5756" w:rsidRPr="00F85A0B" w:rsidRDefault="00FA5756" w:rsidP="00D8681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85A0B">
              <w:rPr>
                <w:sz w:val="18"/>
                <w:szCs w:val="18"/>
              </w:rPr>
              <w:t>0.84</w:t>
            </w:r>
          </w:p>
        </w:tc>
      </w:tr>
      <w:tr w:rsidR="00FA5756" w:rsidRPr="00F85A0B" w14:paraId="7244F005" w14:textId="77777777" w:rsidTr="00D86816">
        <w:trPr>
          <w:trHeight w:val="283"/>
        </w:trPr>
        <w:tc>
          <w:tcPr>
            <w:cnfStyle w:val="001000000000" w:firstRow="0" w:lastRow="0" w:firstColumn="1" w:lastColumn="0" w:oddVBand="0" w:evenVBand="0" w:oddHBand="0" w:evenHBand="0" w:firstRowFirstColumn="0" w:firstRowLastColumn="0" w:lastRowFirstColumn="0" w:lastRowLastColumn="0"/>
            <w:tcW w:w="2265" w:type="pct"/>
            <w:hideMark/>
          </w:tcPr>
          <w:p w14:paraId="0A95C340" w14:textId="77777777" w:rsidR="00FA5756" w:rsidRPr="00F85A0B" w:rsidRDefault="00FA5756">
            <w:pPr>
              <w:rPr>
                <w:sz w:val="18"/>
                <w:szCs w:val="18"/>
              </w:rPr>
            </w:pPr>
            <w:r w:rsidRPr="00F85A0B">
              <w:rPr>
                <w:sz w:val="18"/>
                <w:szCs w:val="18"/>
              </w:rPr>
              <w:t>Governance Transparency</w:t>
            </w:r>
          </w:p>
        </w:tc>
        <w:tc>
          <w:tcPr>
            <w:tcW w:w="1383" w:type="pct"/>
            <w:hideMark/>
          </w:tcPr>
          <w:p w14:paraId="2E7021A7" w14:textId="77777777" w:rsidR="00FA5756" w:rsidRPr="00F85A0B" w:rsidRDefault="00FA5756" w:rsidP="00D8681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85A0B">
              <w:rPr>
                <w:sz w:val="18"/>
                <w:szCs w:val="18"/>
              </w:rPr>
              <w:t>3</w:t>
            </w:r>
          </w:p>
        </w:tc>
        <w:tc>
          <w:tcPr>
            <w:tcW w:w="1351" w:type="pct"/>
            <w:hideMark/>
          </w:tcPr>
          <w:p w14:paraId="1EC7CE60" w14:textId="77777777" w:rsidR="00FA5756" w:rsidRPr="00F85A0B" w:rsidRDefault="00FA5756" w:rsidP="00D8681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85A0B">
              <w:rPr>
                <w:sz w:val="18"/>
                <w:szCs w:val="18"/>
              </w:rPr>
              <w:t>0.82</w:t>
            </w:r>
          </w:p>
        </w:tc>
      </w:tr>
      <w:tr w:rsidR="00FA5756" w:rsidRPr="00F85A0B" w14:paraId="01011D26" w14:textId="77777777" w:rsidTr="00D868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5" w:type="pct"/>
            <w:hideMark/>
          </w:tcPr>
          <w:p w14:paraId="59B8E407" w14:textId="77777777" w:rsidR="00FA5756" w:rsidRPr="00F85A0B" w:rsidRDefault="00FA5756">
            <w:pPr>
              <w:rPr>
                <w:sz w:val="18"/>
                <w:szCs w:val="18"/>
              </w:rPr>
            </w:pPr>
            <w:r w:rsidRPr="00F85A0B">
              <w:rPr>
                <w:sz w:val="18"/>
                <w:szCs w:val="18"/>
              </w:rPr>
              <w:t>Political Inclusivity</w:t>
            </w:r>
          </w:p>
        </w:tc>
        <w:tc>
          <w:tcPr>
            <w:tcW w:w="1383" w:type="pct"/>
            <w:hideMark/>
          </w:tcPr>
          <w:p w14:paraId="2510D642" w14:textId="77777777" w:rsidR="00FA5756" w:rsidRPr="00F85A0B" w:rsidRDefault="00FA5756" w:rsidP="00D8681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85A0B">
              <w:rPr>
                <w:sz w:val="18"/>
                <w:szCs w:val="18"/>
              </w:rPr>
              <w:t>3</w:t>
            </w:r>
          </w:p>
        </w:tc>
        <w:tc>
          <w:tcPr>
            <w:tcW w:w="1351" w:type="pct"/>
            <w:hideMark/>
          </w:tcPr>
          <w:p w14:paraId="11F8632B" w14:textId="77777777" w:rsidR="00FA5756" w:rsidRPr="00F85A0B" w:rsidRDefault="00FA5756" w:rsidP="00D8681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85A0B">
              <w:rPr>
                <w:sz w:val="18"/>
                <w:szCs w:val="18"/>
              </w:rPr>
              <w:t>0.80</w:t>
            </w:r>
          </w:p>
        </w:tc>
      </w:tr>
      <w:tr w:rsidR="00FA5756" w:rsidRPr="00F85A0B" w14:paraId="2AAF5176" w14:textId="77777777" w:rsidTr="00D86816">
        <w:trPr>
          <w:trHeight w:val="283"/>
        </w:trPr>
        <w:tc>
          <w:tcPr>
            <w:cnfStyle w:val="001000000000" w:firstRow="0" w:lastRow="0" w:firstColumn="1" w:lastColumn="0" w:oddVBand="0" w:evenVBand="0" w:oddHBand="0" w:evenHBand="0" w:firstRowFirstColumn="0" w:firstRowLastColumn="0" w:lastRowFirstColumn="0" w:lastRowLastColumn="0"/>
            <w:tcW w:w="2265" w:type="pct"/>
            <w:hideMark/>
          </w:tcPr>
          <w:p w14:paraId="22C7FAF2" w14:textId="77777777" w:rsidR="00FA5756" w:rsidRPr="00F85A0B" w:rsidRDefault="00FA5756">
            <w:pPr>
              <w:rPr>
                <w:sz w:val="18"/>
                <w:szCs w:val="18"/>
              </w:rPr>
            </w:pPr>
            <w:r w:rsidRPr="00F85A0B">
              <w:rPr>
                <w:sz w:val="18"/>
                <w:szCs w:val="18"/>
              </w:rPr>
              <w:t>Stakeholder Representation</w:t>
            </w:r>
          </w:p>
        </w:tc>
        <w:tc>
          <w:tcPr>
            <w:tcW w:w="1383" w:type="pct"/>
            <w:hideMark/>
          </w:tcPr>
          <w:p w14:paraId="6CF2DBF9" w14:textId="77777777" w:rsidR="00FA5756" w:rsidRPr="00F85A0B" w:rsidRDefault="00FA5756" w:rsidP="00D8681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85A0B">
              <w:rPr>
                <w:sz w:val="18"/>
                <w:szCs w:val="18"/>
              </w:rPr>
              <w:t>3</w:t>
            </w:r>
          </w:p>
        </w:tc>
        <w:tc>
          <w:tcPr>
            <w:tcW w:w="1351" w:type="pct"/>
            <w:hideMark/>
          </w:tcPr>
          <w:p w14:paraId="3BEDBE6E" w14:textId="77777777" w:rsidR="00FA5756" w:rsidRPr="00F85A0B" w:rsidRDefault="00FA5756" w:rsidP="00D8681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85A0B">
              <w:rPr>
                <w:sz w:val="18"/>
                <w:szCs w:val="18"/>
              </w:rPr>
              <w:t>0.81</w:t>
            </w:r>
          </w:p>
        </w:tc>
      </w:tr>
      <w:tr w:rsidR="00FA5756" w:rsidRPr="00F85A0B" w14:paraId="0CD9A325" w14:textId="77777777" w:rsidTr="00D868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5" w:type="pct"/>
            <w:hideMark/>
          </w:tcPr>
          <w:p w14:paraId="22D4EAFE" w14:textId="77777777" w:rsidR="00FA5756" w:rsidRPr="00F85A0B" w:rsidRDefault="00FA5756">
            <w:pPr>
              <w:rPr>
                <w:sz w:val="18"/>
                <w:szCs w:val="18"/>
              </w:rPr>
            </w:pPr>
            <w:r w:rsidRPr="00F85A0B">
              <w:rPr>
                <w:sz w:val="18"/>
                <w:szCs w:val="18"/>
              </w:rPr>
              <w:t>Conflict Management</w:t>
            </w:r>
          </w:p>
        </w:tc>
        <w:tc>
          <w:tcPr>
            <w:tcW w:w="1383" w:type="pct"/>
            <w:hideMark/>
          </w:tcPr>
          <w:p w14:paraId="5D47E4EB" w14:textId="77777777" w:rsidR="00FA5756" w:rsidRPr="00F85A0B" w:rsidRDefault="00FA5756" w:rsidP="00D8681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85A0B">
              <w:rPr>
                <w:sz w:val="18"/>
                <w:szCs w:val="18"/>
              </w:rPr>
              <w:t>3</w:t>
            </w:r>
          </w:p>
        </w:tc>
        <w:tc>
          <w:tcPr>
            <w:tcW w:w="1351" w:type="pct"/>
            <w:hideMark/>
          </w:tcPr>
          <w:p w14:paraId="2A25F2A0" w14:textId="77777777" w:rsidR="00FA5756" w:rsidRPr="00F85A0B" w:rsidRDefault="00FA5756" w:rsidP="00D8681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85A0B">
              <w:rPr>
                <w:sz w:val="18"/>
                <w:szCs w:val="18"/>
              </w:rPr>
              <w:t>0.79</w:t>
            </w:r>
          </w:p>
        </w:tc>
      </w:tr>
      <w:tr w:rsidR="00FA5756" w:rsidRPr="00F85A0B" w14:paraId="56F99840" w14:textId="77777777" w:rsidTr="00D86816">
        <w:trPr>
          <w:trHeight w:val="283"/>
        </w:trPr>
        <w:tc>
          <w:tcPr>
            <w:cnfStyle w:val="001000000000" w:firstRow="0" w:lastRow="0" w:firstColumn="1" w:lastColumn="0" w:oddVBand="0" w:evenVBand="0" w:oddHBand="0" w:evenHBand="0" w:firstRowFirstColumn="0" w:firstRowLastColumn="0" w:lastRowFirstColumn="0" w:lastRowLastColumn="0"/>
            <w:tcW w:w="2265" w:type="pct"/>
            <w:hideMark/>
          </w:tcPr>
          <w:p w14:paraId="14546CB4" w14:textId="77777777" w:rsidR="00FA5756" w:rsidRPr="00F85A0B" w:rsidRDefault="00FA5756">
            <w:pPr>
              <w:rPr>
                <w:sz w:val="18"/>
                <w:szCs w:val="18"/>
              </w:rPr>
            </w:pPr>
            <w:r w:rsidRPr="00F85A0B">
              <w:rPr>
                <w:sz w:val="18"/>
                <w:szCs w:val="18"/>
              </w:rPr>
              <w:t>Resource Allocation Fairness</w:t>
            </w:r>
          </w:p>
        </w:tc>
        <w:tc>
          <w:tcPr>
            <w:tcW w:w="1383" w:type="pct"/>
            <w:hideMark/>
          </w:tcPr>
          <w:p w14:paraId="05DAF9F4" w14:textId="77777777" w:rsidR="00FA5756" w:rsidRPr="00F85A0B" w:rsidRDefault="00FA5756" w:rsidP="00D8681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85A0B">
              <w:rPr>
                <w:sz w:val="18"/>
                <w:szCs w:val="18"/>
              </w:rPr>
              <w:t>3</w:t>
            </w:r>
          </w:p>
        </w:tc>
        <w:tc>
          <w:tcPr>
            <w:tcW w:w="1351" w:type="pct"/>
            <w:hideMark/>
          </w:tcPr>
          <w:p w14:paraId="3CB3C0D6" w14:textId="77777777" w:rsidR="00FA5756" w:rsidRPr="00F85A0B" w:rsidRDefault="00FA5756" w:rsidP="00D8681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85A0B">
              <w:rPr>
                <w:sz w:val="18"/>
                <w:szCs w:val="18"/>
              </w:rPr>
              <w:t>0.83</w:t>
            </w:r>
          </w:p>
        </w:tc>
      </w:tr>
      <w:tr w:rsidR="00FA5756" w:rsidRPr="00F85A0B" w14:paraId="1D394925" w14:textId="77777777" w:rsidTr="00D8681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65" w:type="pct"/>
            <w:hideMark/>
          </w:tcPr>
          <w:p w14:paraId="4052A62B" w14:textId="77777777" w:rsidR="00FA5756" w:rsidRPr="00F85A0B" w:rsidRDefault="00FA5756">
            <w:pPr>
              <w:rPr>
                <w:sz w:val="18"/>
                <w:szCs w:val="18"/>
              </w:rPr>
            </w:pPr>
            <w:r w:rsidRPr="00F85A0B">
              <w:rPr>
                <w:sz w:val="18"/>
                <w:szCs w:val="18"/>
              </w:rPr>
              <w:t>Leadership Politics Composite</w:t>
            </w:r>
          </w:p>
        </w:tc>
        <w:tc>
          <w:tcPr>
            <w:tcW w:w="1383" w:type="pct"/>
            <w:hideMark/>
          </w:tcPr>
          <w:p w14:paraId="3DBD8E12" w14:textId="77777777" w:rsidR="00FA5756" w:rsidRPr="00F85A0B" w:rsidRDefault="00FA5756" w:rsidP="00D8681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85A0B">
              <w:rPr>
                <w:sz w:val="18"/>
                <w:szCs w:val="18"/>
              </w:rPr>
              <w:t>18</w:t>
            </w:r>
          </w:p>
        </w:tc>
        <w:tc>
          <w:tcPr>
            <w:tcW w:w="1351" w:type="pct"/>
            <w:hideMark/>
          </w:tcPr>
          <w:p w14:paraId="2C002933" w14:textId="77777777" w:rsidR="00FA5756" w:rsidRPr="00F85A0B" w:rsidRDefault="00FA5756" w:rsidP="00D86816">
            <w:pPr>
              <w:jc w:val="center"/>
              <w:cnfStyle w:val="000000100000" w:firstRow="0" w:lastRow="0" w:firstColumn="0" w:lastColumn="0" w:oddVBand="0" w:evenVBand="0" w:oddHBand="1" w:evenHBand="0" w:firstRowFirstColumn="0" w:firstRowLastColumn="0" w:lastRowFirstColumn="0" w:lastRowLastColumn="0"/>
              <w:rPr>
                <w:sz w:val="18"/>
                <w:szCs w:val="18"/>
              </w:rPr>
            </w:pPr>
            <w:r w:rsidRPr="00F85A0B">
              <w:rPr>
                <w:sz w:val="18"/>
                <w:szCs w:val="18"/>
              </w:rPr>
              <w:t>0.89</w:t>
            </w:r>
          </w:p>
        </w:tc>
      </w:tr>
      <w:tr w:rsidR="00FA5756" w:rsidRPr="00F85A0B" w14:paraId="6E02CD4A" w14:textId="77777777" w:rsidTr="00D86816">
        <w:trPr>
          <w:trHeight w:val="283"/>
        </w:trPr>
        <w:tc>
          <w:tcPr>
            <w:cnfStyle w:val="001000000000" w:firstRow="0" w:lastRow="0" w:firstColumn="1" w:lastColumn="0" w:oddVBand="0" w:evenVBand="0" w:oddHBand="0" w:evenHBand="0" w:firstRowFirstColumn="0" w:firstRowLastColumn="0" w:lastRowFirstColumn="0" w:lastRowLastColumn="0"/>
            <w:tcW w:w="2265" w:type="pct"/>
            <w:tcBorders>
              <w:bottom w:val="single" w:sz="4" w:space="0" w:color="auto"/>
            </w:tcBorders>
            <w:hideMark/>
          </w:tcPr>
          <w:p w14:paraId="39B7CC16" w14:textId="77777777" w:rsidR="00FA5756" w:rsidRPr="00F85A0B" w:rsidRDefault="00FA5756">
            <w:pPr>
              <w:rPr>
                <w:sz w:val="18"/>
                <w:szCs w:val="18"/>
              </w:rPr>
            </w:pPr>
            <w:r w:rsidRPr="00F85A0B">
              <w:rPr>
                <w:sz w:val="18"/>
                <w:szCs w:val="18"/>
              </w:rPr>
              <w:t>Sustainability Composite</w:t>
            </w:r>
          </w:p>
        </w:tc>
        <w:tc>
          <w:tcPr>
            <w:tcW w:w="1383" w:type="pct"/>
            <w:tcBorders>
              <w:bottom w:val="single" w:sz="4" w:space="0" w:color="auto"/>
            </w:tcBorders>
            <w:hideMark/>
          </w:tcPr>
          <w:p w14:paraId="5B1D31F2" w14:textId="77777777" w:rsidR="00FA5756" w:rsidRPr="00F85A0B" w:rsidRDefault="00FA5756" w:rsidP="00D8681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85A0B">
              <w:rPr>
                <w:sz w:val="18"/>
                <w:szCs w:val="18"/>
              </w:rPr>
              <w:t>15</w:t>
            </w:r>
          </w:p>
        </w:tc>
        <w:tc>
          <w:tcPr>
            <w:tcW w:w="1351" w:type="pct"/>
            <w:tcBorders>
              <w:bottom w:val="single" w:sz="4" w:space="0" w:color="auto"/>
            </w:tcBorders>
            <w:hideMark/>
          </w:tcPr>
          <w:p w14:paraId="0A11F579" w14:textId="77777777" w:rsidR="00FA5756" w:rsidRPr="00F85A0B" w:rsidRDefault="00FA5756" w:rsidP="00D86816">
            <w:pPr>
              <w:jc w:val="center"/>
              <w:cnfStyle w:val="000000000000" w:firstRow="0" w:lastRow="0" w:firstColumn="0" w:lastColumn="0" w:oddVBand="0" w:evenVBand="0" w:oddHBand="0" w:evenHBand="0" w:firstRowFirstColumn="0" w:firstRowLastColumn="0" w:lastRowFirstColumn="0" w:lastRowLastColumn="0"/>
              <w:rPr>
                <w:sz w:val="18"/>
                <w:szCs w:val="18"/>
              </w:rPr>
            </w:pPr>
            <w:r w:rsidRPr="00F85A0B">
              <w:rPr>
                <w:sz w:val="18"/>
                <w:szCs w:val="18"/>
              </w:rPr>
              <w:t>0.86</w:t>
            </w:r>
          </w:p>
        </w:tc>
      </w:tr>
    </w:tbl>
    <w:p w14:paraId="7C8A81C5" w14:textId="77777777" w:rsidR="00FA5756" w:rsidRDefault="00FA5756" w:rsidP="00D86816">
      <w:r>
        <w:t>The results indicate satisfactory reliability for all constructs included in the study.</w:t>
      </w:r>
    </w:p>
    <w:p w14:paraId="3935AB96" w14:textId="77777777" w:rsidR="00D86816" w:rsidRDefault="00D86816" w:rsidP="00D86816"/>
    <w:p w14:paraId="68A1665D" w14:textId="5A3E2BA4" w:rsidR="00FA5756" w:rsidRDefault="00FA5756" w:rsidP="00D86816">
      <w:pPr>
        <w:pStyle w:val="Heading2"/>
      </w:pPr>
      <w:r>
        <w:t>Data Collection Procedures</w:t>
      </w:r>
    </w:p>
    <w:p w14:paraId="12E0EB1C" w14:textId="77777777" w:rsidR="00FA5756" w:rsidRDefault="00FA5756" w:rsidP="00D86816">
      <w:r>
        <w:t>Permission to conduct the study was obtained from relevant authorities and project stakeholders prior to data collection. Questionnaires were administered directly to selected respondents, while interviews were conducted with purposively selected key informants.</w:t>
      </w:r>
    </w:p>
    <w:p w14:paraId="59A8452C" w14:textId="77777777" w:rsidR="00FA5756" w:rsidRDefault="00FA5756" w:rsidP="00D86816">
      <w:r>
        <w:t>Participants were informed about the purpose of the study and provided informed consent before participating. Data collection was undertaken over a period sufficient to ensure adequate coverage of all stakeholder categories.</w:t>
      </w:r>
    </w:p>
    <w:p w14:paraId="27728513" w14:textId="5FF7107E" w:rsidR="00FA5756" w:rsidRDefault="00FA5756" w:rsidP="00FA5756">
      <w:pPr>
        <w:pStyle w:val="Heading2"/>
      </w:pPr>
      <w:r>
        <w:t>Data Analysis Techniques</w:t>
      </w:r>
    </w:p>
    <w:p w14:paraId="6F67E671" w14:textId="77777777" w:rsidR="00FA5756" w:rsidRDefault="00FA5756" w:rsidP="00D86816">
      <w:r>
        <w:t>Quantitative data were analysed using the Statistical Package for Social Sciences (SPSS Version 29).</w:t>
      </w:r>
    </w:p>
    <w:p w14:paraId="00007444" w14:textId="77777777" w:rsidR="00FA5756" w:rsidRDefault="00FA5756" w:rsidP="00D86816">
      <w:r>
        <w:t>Descriptive statistics including frequencies, percentages, means and standard deviations were computed to summarise respondent characteristics and perceptions regarding leadership politics and sustainability.</w:t>
      </w:r>
    </w:p>
    <w:p w14:paraId="2C7907E1" w14:textId="77777777" w:rsidR="00FA5756" w:rsidRDefault="00FA5756" w:rsidP="00D86816">
      <w:r>
        <w:t xml:space="preserve">Inferential statistical techniques included Pearson Correlation Analysis and Multiple Linear Regression Analysis. Pearson correlation analysis was utilised to assess the strength and direction of relationships between leadership politics dimensions and </w:t>
      </w:r>
      <w:r>
        <w:lastRenderedPageBreak/>
        <w:t>sustainability. Multiple regression analysis was subsequently employed to determine the predictive influence of leadership politics on project sustainability.</w:t>
      </w:r>
    </w:p>
    <w:p w14:paraId="3A301EE7" w14:textId="77777777" w:rsidR="00FA5756" w:rsidRDefault="00FA5756" w:rsidP="00D86816">
      <w:r>
        <w:t>Prior to regression analysis, diagnostic tests were conducted to assess assumptions of normality, linearity, homoscedasticity, multicollinearity and independence of errors.</w:t>
      </w:r>
    </w:p>
    <w:p w14:paraId="39F2FF97" w14:textId="77777777" w:rsidR="00D86816" w:rsidRDefault="00D86816" w:rsidP="00D86816"/>
    <w:p w14:paraId="631E5537" w14:textId="77777777" w:rsidR="00FA5756" w:rsidRDefault="00FA5756" w:rsidP="00FA5756">
      <w:pPr>
        <w:pStyle w:val="Heading3"/>
      </w:pPr>
      <w:r>
        <w:t>Table 7: Regression Assumptions Testing</w:t>
      </w:r>
    </w:p>
    <w:tbl>
      <w:tblPr>
        <w:tblStyle w:val="PlainTable5"/>
        <w:tblW w:w="5000" w:type="pct"/>
        <w:tblLook w:val="04A0" w:firstRow="1" w:lastRow="0" w:firstColumn="1" w:lastColumn="0" w:noHBand="0" w:noVBand="1"/>
      </w:tblPr>
      <w:tblGrid>
        <w:gridCol w:w="3711"/>
        <w:gridCol w:w="5315"/>
      </w:tblGrid>
      <w:tr w:rsidR="00FA5756" w:rsidRPr="00CF5E36" w14:paraId="65EEE946" w14:textId="77777777" w:rsidTr="00337DCE">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2017" w:type="pct"/>
            <w:tcBorders>
              <w:top w:val="single" w:sz="4" w:space="0" w:color="auto"/>
            </w:tcBorders>
            <w:hideMark/>
          </w:tcPr>
          <w:p w14:paraId="1DB7FBE5" w14:textId="77777777" w:rsidR="00FA5756" w:rsidRPr="00CF5E36" w:rsidRDefault="00FA5756" w:rsidP="00337DCE">
            <w:pPr>
              <w:jc w:val="left"/>
              <w:rPr>
                <w:b/>
                <w:bCs/>
                <w:sz w:val="18"/>
                <w:szCs w:val="18"/>
              </w:rPr>
            </w:pPr>
            <w:r w:rsidRPr="00CF5E36">
              <w:rPr>
                <w:b/>
                <w:bCs/>
                <w:sz w:val="18"/>
                <w:szCs w:val="18"/>
              </w:rPr>
              <w:t>Assumption</w:t>
            </w:r>
          </w:p>
        </w:tc>
        <w:tc>
          <w:tcPr>
            <w:tcW w:w="2888" w:type="pct"/>
            <w:tcBorders>
              <w:top w:val="single" w:sz="4" w:space="0" w:color="auto"/>
            </w:tcBorders>
            <w:hideMark/>
          </w:tcPr>
          <w:p w14:paraId="36473CA9" w14:textId="77777777" w:rsidR="00FA5756" w:rsidRPr="00CF5E36" w:rsidRDefault="00FA5756" w:rsidP="00337DCE">
            <w:pPr>
              <w:jc w:val="left"/>
              <w:cnfStyle w:val="100000000000" w:firstRow="1" w:lastRow="0" w:firstColumn="0" w:lastColumn="0" w:oddVBand="0" w:evenVBand="0" w:oddHBand="0" w:evenHBand="0" w:firstRowFirstColumn="0" w:firstRowLastColumn="0" w:lastRowFirstColumn="0" w:lastRowLastColumn="0"/>
              <w:rPr>
                <w:b/>
                <w:bCs/>
                <w:sz w:val="18"/>
                <w:szCs w:val="18"/>
              </w:rPr>
            </w:pPr>
            <w:r w:rsidRPr="00CF5E36">
              <w:rPr>
                <w:b/>
                <w:bCs/>
                <w:sz w:val="18"/>
                <w:szCs w:val="18"/>
              </w:rPr>
              <w:t>Diagnostic Test</w:t>
            </w:r>
          </w:p>
        </w:tc>
      </w:tr>
      <w:tr w:rsidR="00FA5756" w:rsidRPr="00CF5E36" w14:paraId="04843E96" w14:textId="77777777" w:rsidTr="00337D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17" w:type="pct"/>
            <w:hideMark/>
          </w:tcPr>
          <w:p w14:paraId="19780005" w14:textId="77777777" w:rsidR="00FA5756" w:rsidRPr="00CF5E36" w:rsidRDefault="00FA5756">
            <w:pPr>
              <w:jc w:val="left"/>
              <w:rPr>
                <w:sz w:val="18"/>
                <w:szCs w:val="18"/>
              </w:rPr>
            </w:pPr>
            <w:r w:rsidRPr="00CF5E36">
              <w:rPr>
                <w:sz w:val="18"/>
                <w:szCs w:val="18"/>
              </w:rPr>
              <w:t>Normality</w:t>
            </w:r>
          </w:p>
        </w:tc>
        <w:tc>
          <w:tcPr>
            <w:tcW w:w="2888" w:type="pct"/>
            <w:hideMark/>
          </w:tcPr>
          <w:p w14:paraId="2BA56E46" w14:textId="77777777" w:rsidR="00FA5756" w:rsidRPr="00CF5E36" w:rsidRDefault="00FA5756" w:rsidP="00337DCE">
            <w:pPr>
              <w:jc w:val="left"/>
              <w:cnfStyle w:val="000000100000" w:firstRow="0" w:lastRow="0" w:firstColumn="0" w:lastColumn="0" w:oddVBand="0" w:evenVBand="0" w:oddHBand="1" w:evenHBand="0" w:firstRowFirstColumn="0" w:firstRowLastColumn="0" w:lastRowFirstColumn="0" w:lastRowLastColumn="0"/>
              <w:rPr>
                <w:sz w:val="18"/>
                <w:szCs w:val="18"/>
              </w:rPr>
            </w:pPr>
            <w:r w:rsidRPr="00CF5E36">
              <w:rPr>
                <w:sz w:val="18"/>
                <w:szCs w:val="18"/>
              </w:rPr>
              <w:t>Histograms and Shapiro-Wilk Test</w:t>
            </w:r>
          </w:p>
        </w:tc>
      </w:tr>
      <w:tr w:rsidR="00FA5756" w:rsidRPr="00CF5E36" w14:paraId="2E923E35" w14:textId="77777777" w:rsidTr="00337DCE">
        <w:trPr>
          <w:trHeight w:val="340"/>
        </w:trPr>
        <w:tc>
          <w:tcPr>
            <w:cnfStyle w:val="001000000000" w:firstRow="0" w:lastRow="0" w:firstColumn="1" w:lastColumn="0" w:oddVBand="0" w:evenVBand="0" w:oddHBand="0" w:evenHBand="0" w:firstRowFirstColumn="0" w:firstRowLastColumn="0" w:lastRowFirstColumn="0" w:lastRowLastColumn="0"/>
            <w:tcW w:w="2017" w:type="pct"/>
            <w:hideMark/>
          </w:tcPr>
          <w:p w14:paraId="6061BB16" w14:textId="77777777" w:rsidR="00FA5756" w:rsidRPr="00CF5E36" w:rsidRDefault="00FA5756">
            <w:pPr>
              <w:rPr>
                <w:sz w:val="18"/>
                <w:szCs w:val="18"/>
              </w:rPr>
            </w:pPr>
            <w:r w:rsidRPr="00CF5E36">
              <w:rPr>
                <w:sz w:val="18"/>
                <w:szCs w:val="18"/>
              </w:rPr>
              <w:t>Linearity</w:t>
            </w:r>
          </w:p>
        </w:tc>
        <w:tc>
          <w:tcPr>
            <w:tcW w:w="2888" w:type="pct"/>
            <w:hideMark/>
          </w:tcPr>
          <w:p w14:paraId="2053167B" w14:textId="77777777" w:rsidR="00FA5756" w:rsidRPr="00CF5E36" w:rsidRDefault="00FA5756" w:rsidP="00337DCE">
            <w:pPr>
              <w:jc w:val="left"/>
              <w:cnfStyle w:val="000000000000" w:firstRow="0" w:lastRow="0" w:firstColumn="0" w:lastColumn="0" w:oddVBand="0" w:evenVBand="0" w:oddHBand="0" w:evenHBand="0" w:firstRowFirstColumn="0" w:firstRowLastColumn="0" w:lastRowFirstColumn="0" w:lastRowLastColumn="0"/>
              <w:rPr>
                <w:sz w:val="18"/>
                <w:szCs w:val="18"/>
              </w:rPr>
            </w:pPr>
            <w:r w:rsidRPr="00CF5E36">
              <w:rPr>
                <w:sz w:val="18"/>
                <w:szCs w:val="18"/>
              </w:rPr>
              <w:t>Scatter Plots</w:t>
            </w:r>
          </w:p>
        </w:tc>
      </w:tr>
      <w:tr w:rsidR="00FA5756" w:rsidRPr="00CF5E36" w14:paraId="007C85B7" w14:textId="77777777" w:rsidTr="00337D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17" w:type="pct"/>
            <w:hideMark/>
          </w:tcPr>
          <w:p w14:paraId="3B6942B5" w14:textId="77777777" w:rsidR="00FA5756" w:rsidRPr="00CF5E36" w:rsidRDefault="00FA5756">
            <w:pPr>
              <w:rPr>
                <w:sz w:val="18"/>
                <w:szCs w:val="18"/>
              </w:rPr>
            </w:pPr>
            <w:r w:rsidRPr="00CF5E36">
              <w:rPr>
                <w:sz w:val="18"/>
                <w:szCs w:val="18"/>
              </w:rPr>
              <w:t>Homoscedasticity</w:t>
            </w:r>
          </w:p>
        </w:tc>
        <w:tc>
          <w:tcPr>
            <w:tcW w:w="2888" w:type="pct"/>
            <w:hideMark/>
          </w:tcPr>
          <w:p w14:paraId="5030F038" w14:textId="77777777" w:rsidR="00FA5756" w:rsidRPr="00CF5E36" w:rsidRDefault="00FA5756" w:rsidP="00337DCE">
            <w:pPr>
              <w:jc w:val="left"/>
              <w:cnfStyle w:val="000000100000" w:firstRow="0" w:lastRow="0" w:firstColumn="0" w:lastColumn="0" w:oddVBand="0" w:evenVBand="0" w:oddHBand="1" w:evenHBand="0" w:firstRowFirstColumn="0" w:firstRowLastColumn="0" w:lastRowFirstColumn="0" w:lastRowLastColumn="0"/>
              <w:rPr>
                <w:sz w:val="18"/>
                <w:szCs w:val="18"/>
              </w:rPr>
            </w:pPr>
            <w:r w:rsidRPr="00CF5E36">
              <w:rPr>
                <w:sz w:val="18"/>
                <w:szCs w:val="18"/>
              </w:rPr>
              <w:t>Residual Analysis</w:t>
            </w:r>
          </w:p>
        </w:tc>
      </w:tr>
      <w:tr w:rsidR="00FA5756" w:rsidRPr="00CF5E36" w14:paraId="1F0785A7" w14:textId="77777777" w:rsidTr="00337DCE">
        <w:trPr>
          <w:trHeight w:val="340"/>
        </w:trPr>
        <w:tc>
          <w:tcPr>
            <w:cnfStyle w:val="001000000000" w:firstRow="0" w:lastRow="0" w:firstColumn="1" w:lastColumn="0" w:oddVBand="0" w:evenVBand="0" w:oddHBand="0" w:evenHBand="0" w:firstRowFirstColumn="0" w:firstRowLastColumn="0" w:lastRowFirstColumn="0" w:lastRowLastColumn="0"/>
            <w:tcW w:w="2017" w:type="pct"/>
            <w:hideMark/>
          </w:tcPr>
          <w:p w14:paraId="44226A23" w14:textId="77777777" w:rsidR="00FA5756" w:rsidRPr="00CF5E36" w:rsidRDefault="00FA5756">
            <w:pPr>
              <w:rPr>
                <w:sz w:val="18"/>
                <w:szCs w:val="18"/>
              </w:rPr>
            </w:pPr>
            <w:r w:rsidRPr="00CF5E36">
              <w:rPr>
                <w:sz w:val="18"/>
                <w:szCs w:val="18"/>
              </w:rPr>
              <w:t>Multicollinearity</w:t>
            </w:r>
          </w:p>
        </w:tc>
        <w:tc>
          <w:tcPr>
            <w:tcW w:w="2888" w:type="pct"/>
            <w:hideMark/>
          </w:tcPr>
          <w:p w14:paraId="774EA471" w14:textId="77777777" w:rsidR="00FA5756" w:rsidRPr="00CF5E36" w:rsidRDefault="00FA5756" w:rsidP="00337DCE">
            <w:pPr>
              <w:jc w:val="left"/>
              <w:cnfStyle w:val="000000000000" w:firstRow="0" w:lastRow="0" w:firstColumn="0" w:lastColumn="0" w:oddVBand="0" w:evenVBand="0" w:oddHBand="0" w:evenHBand="0" w:firstRowFirstColumn="0" w:firstRowLastColumn="0" w:lastRowFirstColumn="0" w:lastRowLastColumn="0"/>
              <w:rPr>
                <w:sz w:val="18"/>
                <w:szCs w:val="18"/>
              </w:rPr>
            </w:pPr>
            <w:r w:rsidRPr="00CF5E36">
              <w:rPr>
                <w:sz w:val="18"/>
                <w:szCs w:val="18"/>
              </w:rPr>
              <w:t>Variance Inflation Factor (VIF)</w:t>
            </w:r>
          </w:p>
        </w:tc>
      </w:tr>
      <w:tr w:rsidR="00FA5756" w:rsidRPr="00CF5E36" w14:paraId="62410466" w14:textId="77777777" w:rsidTr="00337D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17" w:type="pct"/>
            <w:tcBorders>
              <w:bottom w:val="single" w:sz="4" w:space="0" w:color="auto"/>
            </w:tcBorders>
            <w:hideMark/>
          </w:tcPr>
          <w:p w14:paraId="7E9F2238" w14:textId="77777777" w:rsidR="00FA5756" w:rsidRPr="00CF5E36" w:rsidRDefault="00FA5756">
            <w:pPr>
              <w:rPr>
                <w:sz w:val="18"/>
                <w:szCs w:val="18"/>
              </w:rPr>
            </w:pPr>
            <w:r w:rsidRPr="00CF5E36">
              <w:rPr>
                <w:sz w:val="18"/>
                <w:szCs w:val="18"/>
              </w:rPr>
              <w:t>Independence of Errors</w:t>
            </w:r>
          </w:p>
        </w:tc>
        <w:tc>
          <w:tcPr>
            <w:tcW w:w="2888" w:type="pct"/>
            <w:tcBorders>
              <w:bottom w:val="single" w:sz="4" w:space="0" w:color="auto"/>
            </w:tcBorders>
            <w:hideMark/>
          </w:tcPr>
          <w:p w14:paraId="39F0B448" w14:textId="77777777" w:rsidR="00FA5756" w:rsidRPr="00CF5E36" w:rsidRDefault="00FA5756" w:rsidP="00337DCE">
            <w:pPr>
              <w:jc w:val="left"/>
              <w:cnfStyle w:val="000000100000" w:firstRow="0" w:lastRow="0" w:firstColumn="0" w:lastColumn="0" w:oddVBand="0" w:evenVBand="0" w:oddHBand="1" w:evenHBand="0" w:firstRowFirstColumn="0" w:firstRowLastColumn="0" w:lastRowFirstColumn="0" w:lastRowLastColumn="0"/>
              <w:rPr>
                <w:sz w:val="18"/>
                <w:szCs w:val="18"/>
              </w:rPr>
            </w:pPr>
            <w:r w:rsidRPr="00CF5E36">
              <w:rPr>
                <w:sz w:val="18"/>
                <w:szCs w:val="18"/>
              </w:rPr>
              <w:t>Durbin-Watson Statistic</w:t>
            </w:r>
          </w:p>
        </w:tc>
      </w:tr>
    </w:tbl>
    <w:p w14:paraId="73529983" w14:textId="77777777" w:rsidR="00FA5756" w:rsidRDefault="00FA5756" w:rsidP="00337DCE">
      <w:r>
        <w:t>Qualitative interview data were analysed using thematic analysis following Braun and Clarke's (2022) six-step framework involving familiarisation, coding, theme generation, theme review, theme definition and reporting.</w:t>
      </w:r>
    </w:p>
    <w:p w14:paraId="68332F32" w14:textId="77777777" w:rsidR="00337DCE" w:rsidRDefault="00337DCE" w:rsidP="00337DCE"/>
    <w:p w14:paraId="42D83C56" w14:textId="3F11AA67" w:rsidR="00FA5756" w:rsidRDefault="00FA5756" w:rsidP="00FA5756">
      <w:pPr>
        <w:pStyle w:val="Heading2"/>
      </w:pPr>
      <w:r>
        <w:t>Mixed Methods Integration Strategy</w:t>
      </w:r>
    </w:p>
    <w:p w14:paraId="7C8F91EB" w14:textId="77777777" w:rsidR="00FA5756" w:rsidRDefault="00FA5756" w:rsidP="00337DCE">
      <w:r>
        <w:t>To strengthen methodological rigour, quantitative and qualitative findings were integrated through a convergent mixed-methods strategy. Quantitative and qualitative datasets were analysed independently before being merged during interpretation.</w:t>
      </w:r>
    </w:p>
    <w:p w14:paraId="2ADDED0B" w14:textId="77777777" w:rsidR="00FA5756" w:rsidRDefault="00FA5756" w:rsidP="00337DCE">
      <w:r>
        <w:t>Integration was achieved through triangulation and joint display analysis whereby statistical findings were compared with qualitative themes to generate comprehensive explanations of leadership politics and sustainability relationships.</w:t>
      </w:r>
    </w:p>
    <w:p w14:paraId="74148CF4" w14:textId="77777777" w:rsidR="00B02E66" w:rsidRDefault="00B02E66" w:rsidP="00337DCE"/>
    <w:p w14:paraId="1EDB7E76" w14:textId="77777777" w:rsidR="00FA5756" w:rsidRDefault="00FA5756" w:rsidP="00FA5756">
      <w:pPr>
        <w:pStyle w:val="Heading3"/>
      </w:pPr>
      <w:r>
        <w:t>Table 8: Mixed Methods Integration Matrix</w:t>
      </w:r>
    </w:p>
    <w:tbl>
      <w:tblPr>
        <w:tblStyle w:val="PlainTable5"/>
        <w:tblW w:w="0" w:type="auto"/>
        <w:tblLook w:val="04A0" w:firstRow="1" w:lastRow="0" w:firstColumn="1" w:lastColumn="0" w:noHBand="0" w:noVBand="1"/>
      </w:tblPr>
      <w:tblGrid>
        <w:gridCol w:w="3043"/>
        <w:gridCol w:w="3014"/>
        <w:gridCol w:w="2969"/>
      </w:tblGrid>
      <w:tr w:rsidR="00FA5756" w:rsidRPr="00FA5756" w14:paraId="24B20D86" w14:textId="77777777" w:rsidTr="00423968">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tcBorders>
            <w:hideMark/>
          </w:tcPr>
          <w:p w14:paraId="658F48EF" w14:textId="77777777" w:rsidR="00FA5756" w:rsidRPr="00FA5756" w:rsidRDefault="00FA5756" w:rsidP="00423968">
            <w:pPr>
              <w:jc w:val="left"/>
              <w:rPr>
                <w:b/>
                <w:bCs/>
                <w:sz w:val="18"/>
                <w:szCs w:val="18"/>
              </w:rPr>
            </w:pPr>
            <w:r w:rsidRPr="00FA5756">
              <w:rPr>
                <w:b/>
                <w:bCs/>
                <w:sz w:val="18"/>
                <w:szCs w:val="18"/>
              </w:rPr>
              <w:t>Quantitative Finding</w:t>
            </w:r>
          </w:p>
        </w:tc>
        <w:tc>
          <w:tcPr>
            <w:tcW w:w="0" w:type="auto"/>
            <w:tcBorders>
              <w:top w:val="single" w:sz="4" w:space="0" w:color="auto"/>
            </w:tcBorders>
            <w:hideMark/>
          </w:tcPr>
          <w:p w14:paraId="44EDF162" w14:textId="77777777" w:rsidR="00FA5756" w:rsidRPr="00FA5756" w:rsidRDefault="00FA5756" w:rsidP="00423968">
            <w:pPr>
              <w:jc w:val="left"/>
              <w:cnfStyle w:val="100000000000" w:firstRow="1" w:lastRow="0" w:firstColumn="0" w:lastColumn="0" w:oddVBand="0" w:evenVBand="0" w:oddHBand="0" w:evenHBand="0" w:firstRowFirstColumn="0" w:firstRowLastColumn="0" w:lastRowFirstColumn="0" w:lastRowLastColumn="0"/>
              <w:rPr>
                <w:b/>
                <w:bCs/>
                <w:sz w:val="18"/>
                <w:szCs w:val="18"/>
              </w:rPr>
            </w:pPr>
            <w:r w:rsidRPr="00FA5756">
              <w:rPr>
                <w:b/>
                <w:bCs/>
                <w:sz w:val="18"/>
                <w:szCs w:val="18"/>
              </w:rPr>
              <w:t>Qualitative Theme</w:t>
            </w:r>
          </w:p>
        </w:tc>
        <w:tc>
          <w:tcPr>
            <w:tcW w:w="0" w:type="auto"/>
            <w:tcBorders>
              <w:top w:val="single" w:sz="4" w:space="0" w:color="auto"/>
            </w:tcBorders>
            <w:hideMark/>
          </w:tcPr>
          <w:p w14:paraId="77522067" w14:textId="77777777" w:rsidR="00FA5756" w:rsidRPr="00FA5756" w:rsidRDefault="00FA5756" w:rsidP="00423968">
            <w:pPr>
              <w:jc w:val="left"/>
              <w:cnfStyle w:val="100000000000" w:firstRow="1" w:lastRow="0" w:firstColumn="0" w:lastColumn="0" w:oddVBand="0" w:evenVBand="0" w:oddHBand="0" w:evenHBand="0" w:firstRowFirstColumn="0" w:firstRowLastColumn="0" w:lastRowFirstColumn="0" w:lastRowLastColumn="0"/>
              <w:rPr>
                <w:b/>
                <w:bCs/>
                <w:sz w:val="18"/>
                <w:szCs w:val="18"/>
              </w:rPr>
            </w:pPr>
            <w:r w:rsidRPr="00FA5756">
              <w:rPr>
                <w:b/>
                <w:bCs/>
                <w:sz w:val="18"/>
                <w:szCs w:val="18"/>
              </w:rPr>
              <w:t>Integrated Interpretation</w:t>
            </w:r>
          </w:p>
        </w:tc>
      </w:tr>
      <w:tr w:rsidR="00FA5756" w:rsidRPr="00FA5756" w14:paraId="2F10CA61" w14:textId="77777777" w:rsidTr="004239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hideMark/>
          </w:tcPr>
          <w:p w14:paraId="5DBD9C21" w14:textId="77777777" w:rsidR="00FA5756" w:rsidRPr="00FA5756" w:rsidRDefault="00FA5756" w:rsidP="00423968">
            <w:pPr>
              <w:jc w:val="left"/>
              <w:rPr>
                <w:sz w:val="18"/>
                <w:szCs w:val="18"/>
              </w:rPr>
            </w:pPr>
            <w:r w:rsidRPr="00FA5756">
              <w:rPr>
                <w:sz w:val="18"/>
                <w:szCs w:val="18"/>
              </w:rPr>
              <w:t>Accountability positively influenced sustainability</w:t>
            </w:r>
          </w:p>
        </w:tc>
        <w:tc>
          <w:tcPr>
            <w:tcW w:w="0" w:type="auto"/>
            <w:hideMark/>
          </w:tcPr>
          <w:p w14:paraId="4E1B7EA5" w14:textId="77777777" w:rsidR="00FA5756" w:rsidRPr="00FA5756" w:rsidRDefault="00FA5756" w:rsidP="00423968">
            <w:pPr>
              <w:jc w:val="left"/>
              <w:cnfStyle w:val="000000100000" w:firstRow="0" w:lastRow="0" w:firstColumn="0" w:lastColumn="0" w:oddVBand="0" w:evenVBand="0" w:oddHBand="1" w:evenHBand="0" w:firstRowFirstColumn="0" w:firstRowLastColumn="0" w:lastRowFirstColumn="0" w:lastRowLastColumn="0"/>
              <w:rPr>
                <w:sz w:val="18"/>
                <w:szCs w:val="18"/>
              </w:rPr>
            </w:pPr>
            <w:r w:rsidRPr="00FA5756">
              <w:rPr>
                <w:sz w:val="18"/>
                <w:szCs w:val="18"/>
              </w:rPr>
              <w:t>Stakeholders valued regular reporting and transparency</w:t>
            </w:r>
          </w:p>
        </w:tc>
        <w:tc>
          <w:tcPr>
            <w:tcW w:w="0" w:type="auto"/>
            <w:hideMark/>
          </w:tcPr>
          <w:p w14:paraId="0FD665EC" w14:textId="77777777" w:rsidR="00FA5756" w:rsidRPr="00FA5756" w:rsidRDefault="00FA5756" w:rsidP="00423968">
            <w:pPr>
              <w:jc w:val="left"/>
              <w:cnfStyle w:val="000000100000" w:firstRow="0" w:lastRow="0" w:firstColumn="0" w:lastColumn="0" w:oddVBand="0" w:evenVBand="0" w:oddHBand="1" w:evenHBand="0" w:firstRowFirstColumn="0" w:firstRowLastColumn="0" w:lastRowFirstColumn="0" w:lastRowLastColumn="0"/>
              <w:rPr>
                <w:sz w:val="18"/>
                <w:szCs w:val="18"/>
              </w:rPr>
            </w:pPr>
            <w:r w:rsidRPr="00FA5756">
              <w:rPr>
                <w:sz w:val="18"/>
                <w:szCs w:val="18"/>
              </w:rPr>
              <w:t>Accountability strengthens trust and project continuity</w:t>
            </w:r>
          </w:p>
        </w:tc>
      </w:tr>
      <w:tr w:rsidR="00FA5756" w:rsidRPr="00FA5756" w14:paraId="0F624A02" w14:textId="77777777" w:rsidTr="00423968">
        <w:trPr>
          <w:trHeight w:val="454"/>
        </w:trPr>
        <w:tc>
          <w:tcPr>
            <w:cnfStyle w:val="001000000000" w:firstRow="0" w:lastRow="0" w:firstColumn="1" w:lastColumn="0" w:oddVBand="0" w:evenVBand="0" w:oddHBand="0" w:evenHBand="0" w:firstRowFirstColumn="0" w:firstRowLastColumn="0" w:lastRowFirstColumn="0" w:lastRowLastColumn="0"/>
            <w:tcW w:w="0" w:type="auto"/>
            <w:hideMark/>
          </w:tcPr>
          <w:p w14:paraId="3230B532" w14:textId="77777777" w:rsidR="00FA5756" w:rsidRPr="00FA5756" w:rsidRDefault="00FA5756" w:rsidP="00423968">
            <w:pPr>
              <w:jc w:val="left"/>
              <w:rPr>
                <w:sz w:val="18"/>
                <w:szCs w:val="18"/>
              </w:rPr>
            </w:pPr>
            <w:r w:rsidRPr="00FA5756">
              <w:rPr>
                <w:sz w:val="18"/>
                <w:szCs w:val="18"/>
              </w:rPr>
              <w:t>Inclusivity positively influenced sustainability</w:t>
            </w:r>
          </w:p>
        </w:tc>
        <w:tc>
          <w:tcPr>
            <w:tcW w:w="0" w:type="auto"/>
            <w:hideMark/>
          </w:tcPr>
          <w:p w14:paraId="11A3FD5C" w14:textId="77777777" w:rsidR="00FA5756" w:rsidRPr="00FA5756" w:rsidRDefault="00FA5756" w:rsidP="00423968">
            <w:pPr>
              <w:jc w:val="left"/>
              <w:cnfStyle w:val="000000000000" w:firstRow="0" w:lastRow="0" w:firstColumn="0" w:lastColumn="0" w:oddVBand="0" w:evenVBand="0" w:oddHBand="0" w:evenHBand="0" w:firstRowFirstColumn="0" w:firstRowLastColumn="0" w:lastRowFirstColumn="0" w:lastRowLastColumn="0"/>
              <w:rPr>
                <w:sz w:val="18"/>
                <w:szCs w:val="18"/>
              </w:rPr>
            </w:pPr>
            <w:r w:rsidRPr="00FA5756">
              <w:rPr>
                <w:sz w:val="18"/>
                <w:szCs w:val="18"/>
              </w:rPr>
              <w:t>Participation enhanced ownership</w:t>
            </w:r>
          </w:p>
        </w:tc>
        <w:tc>
          <w:tcPr>
            <w:tcW w:w="0" w:type="auto"/>
            <w:hideMark/>
          </w:tcPr>
          <w:p w14:paraId="5B3B5CC1" w14:textId="77777777" w:rsidR="00FA5756" w:rsidRPr="00FA5756" w:rsidRDefault="00FA5756" w:rsidP="00423968">
            <w:pPr>
              <w:jc w:val="left"/>
              <w:cnfStyle w:val="000000000000" w:firstRow="0" w:lastRow="0" w:firstColumn="0" w:lastColumn="0" w:oddVBand="0" w:evenVBand="0" w:oddHBand="0" w:evenHBand="0" w:firstRowFirstColumn="0" w:firstRowLastColumn="0" w:lastRowFirstColumn="0" w:lastRowLastColumn="0"/>
              <w:rPr>
                <w:sz w:val="18"/>
                <w:szCs w:val="18"/>
              </w:rPr>
            </w:pPr>
            <w:r w:rsidRPr="00FA5756">
              <w:rPr>
                <w:sz w:val="18"/>
                <w:szCs w:val="18"/>
              </w:rPr>
              <w:t>Inclusive governance promotes sustainability</w:t>
            </w:r>
          </w:p>
        </w:tc>
      </w:tr>
      <w:tr w:rsidR="00FA5756" w:rsidRPr="00FA5756" w14:paraId="19C6505A" w14:textId="77777777" w:rsidTr="0042396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hideMark/>
          </w:tcPr>
          <w:p w14:paraId="48BDE5CC" w14:textId="77777777" w:rsidR="00FA5756" w:rsidRPr="00FA5756" w:rsidRDefault="00FA5756" w:rsidP="00423968">
            <w:pPr>
              <w:jc w:val="left"/>
              <w:rPr>
                <w:sz w:val="18"/>
                <w:szCs w:val="18"/>
              </w:rPr>
            </w:pPr>
            <w:r w:rsidRPr="00FA5756">
              <w:rPr>
                <w:sz w:val="18"/>
                <w:szCs w:val="18"/>
              </w:rPr>
              <w:t>Conflict management positively influenced sustainability</w:t>
            </w:r>
          </w:p>
        </w:tc>
        <w:tc>
          <w:tcPr>
            <w:tcW w:w="0" w:type="auto"/>
            <w:hideMark/>
          </w:tcPr>
          <w:p w14:paraId="3825B05B" w14:textId="77777777" w:rsidR="00FA5756" w:rsidRPr="00FA5756" w:rsidRDefault="00FA5756" w:rsidP="00423968">
            <w:pPr>
              <w:jc w:val="left"/>
              <w:cnfStyle w:val="000000100000" w:firstRow="0" w:lastRow="0" w:firstColumn="0" w:lastColumn="0" w:oddVBand="0" w:evenVBand="0" w:oddHBand="1" w:evenHBand="0" w:firstRowFirstColumn="0" w:firstRowLastColumn="0" w:lastRowFirstColumn="0" w:lastRowLastColumn="0"/>
              <w:rPr>
                <w:sz w:val="18"/>
                <w:szCs w:val="18"/>
              </w:rPr>
            </w:pPr>
            <w:r w:rsidRPr="00FA5756">
              <w:rPr>
                <w:sz w:val="18"/>
                <w:szCs w:val="18"/>
              </w:rPr>
              <w:t>Effective mediation reduced disputes</w:t>
            </w:r>
          </w:p>
        </w:tc>
        <w:tc>
          <w:tcPr>
            <w:tcW w:w="0" w:type="auto"/>
            <w:hideMark/>
          </w:tcPr>
          <w:p w14:paraId="18EB6675" w14:textId="77777777" w:rsidR="00FA5756" w:rsidRPr="00FA5756" w:rsidRDefault="00FA5756" w:rsidP="00423968">
            <w:pPr>
              <w:jc w:val="left"/>
              <w:cnfStyle w:val="000000100000" w:firstRow="0" w:lastRow="0" w:firstColumn="0" w:lastColumn="0" w:oddVBand="0" w:evenVBand="0" w:oddHBand="1" w:evenHBand="0" w:firstRowFirstColumn="0" w:firstRowLastColumn="0" w:lastRowFirstColumn="0" w:lastRowLastColumn="0"/>
              <w:rPr>
                <w:sz w:val="18"/>
                <w:szCs w:val="18"/>
              </w:rPr>
            </w:pPr>
            <w:r w:rsidRPr="00FA5756">
              <w:rPr>
                <w:sz w:val="18"/>
                <w:szCs w:val="18"/>
              </w:rPr>
              <w:t>Conflict resolution strengthens institutional resilience</w:t>
            </w:r>
          </w:p>
        </w:tc>
      </w:tr>
      <w:tr w:rsidR="00FA5756" w:rsidRPr="00FA5756" w14:paraId="6B4233FA" w14:textId="77777777" w:rsidTr="00423968">
        <w:trPr>
          <w:trHeight w:val="454"/>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hideMark/>
          </w:tcPr>
          <w:p w14:paraId="680548DC" w14:textId="77777777" w:rsidR="00FA5756" w:rsidRPr="00FA5756" w:rsidRDefault="00FA5756" w:rsidP="00423968">
            <w:pPr>
              <w:jc w:val="left"/>
              <w:rPr>
                <w:sz w:val="18"/>
                <w:szCs w:val="18"/>
              </w:rPr>
            </w:pPr>
            <w:r w:rsidRPr="00FA5756">
              <w:rPr>
                <w:sz w:val="18"/>
                <w:szCs w:val="18"/>
              </w:rPr>
              <w:t>Resource fairness positively influenced sustainability</w:t>
            </w:r>
          </w:p>
        </w:tc>
        <w:tc>
          <w:tcPr>
            <w:tcW w:w="0" w:type="auto"/>
            <w:tcBorders>
              <w:bottom w:val="single" w:sz="4" w:space="0" w:color="auto"/>
            </w:tcBorders>
            <w:hideMark/>
          </w:tcPr>
          <w:p w14:paraId="2DC91AA8" w14:textId="77777777" w:rsidR="00FA5756" w:rsidRPr="00FA5756" w:rsidRDefault="00FA5756" w:rsidP="00423968">
            <w:pPr>
              <w:jc w:val="left"/>
              <w:cnfStyle w:val="000000000000" w:firstRow="0" w:lastRow="0" w:firstColumn="0" w:lastColumn="0" w:oddVBand="0" w:evenVBand="0" w:oddHBand="0" w:evenHBand="0" w:firstRowFirstColumn="0" w:firstRowLastColumn="0" w:lastRowFirstColumn="0" w:lastRowLastColumn="0"/>
              <w:rPr>
                <w:sz w:val="18"/>
                <w:szCs w:val="18"/>
              </w:rPr>
            </w:pPr>
            <w:r w:rsidRPr="00FA5756">
              <w:rPr>
                <w:sz w:val="18"/>
                <w:szCs w:val="18"/>
              </w:rPr>
              <w:t>Fair benefit distribution increased stakeholder support</w:t>
            </w:r>
          </w:p>
        </w:tc>
        <w:tc>
          <w:tcPr>
            <w:tcW w:w="0" w:type="auto"/>
            <w:tcBorders>
              <w:bottom w:val="single" w:sz="4" w:space="0" w:color="auto"/>
            </w:tcBorders>
            <w:hideMark/>
          </w:tcPr>
          <w:p w14:paraId="171066BE" w14:textId="77777777" w:rsidR="00FA5756" w:rsidRPr="00FA5756" w:rsidRDefault="00FA5756" w:rsidP="00423968">
            <w:pPr>
              <w:jc w:val="left"/>
              <w:cnfStyle w:val="000000000000" w:firstRow="0" w:lastRow="0" w:firstColumn="0" w:lastColumn="0" w:oddVBand="0" w:evenVBand="0" w:oddHBand="0" w:evenHBand="0" w:firstRowFirstColumn="0" w:firstRowLastColumn="0" w:lastRowFirstColumn="0" w:lastRowLastColumn="0"/>
              <w:rPr>
                <w:sz w:val="18"/>
                <w:szCs w:val="18"/>
              </w:rPr>
            </w:pPr>
            <w:r w:rsidRPr="00FA5756">
              <w:rPr>
                <w:sz w:val="18"/>
                <w:szCs w:val="18"/>
              </w:rPr>
              <w:t>Equity contributes to long-term sustainability</w:t>
            </w:r>
          </w:p>
        </w:tc>
      </w:tr>
    </w:tbl>
    <w:p w14:paraId="65D0FD6C" w14:textId="77777777" w:rsidR="00FA5756" w:rsidRDefault="00FA5756" w:rsidP="00423968">
      <w:r>
        <w:t>The integration process enhanced the credibility, depth and explanatory power of the study findings.</w:t>
      </w:r>
    </w:p>
    <w:p w14:paraId="54A66794" w14:textId="77777777" w:rsidR="00423968" w:rsidRDefault="00423968" w:rsidP="00423968"/>
    <w:p w14:paraId="1D96FEF7" w14:textId="68974573" w:rsidR="00FA5756" w:rsidRDefault="00FA5756" w:rsidP="00FA5756">
      <w:pPr>
        <w:pStyle w:val="Heading2"/>
      </w:pPr>
      <w:r>
        <w:t>Ethical Considerations</w:t>
      </w:r>
    </w:p>
    <w:p w14:paraId="782DB0D8" w14:textId="2C4875AC" w:rsidR="00FA5756" w:rsidRDefault="00FA5756" w:rsidP="00423968">
      <w:r>
        <w:t xml:space="preserve">Ethical principles were observed throughout the study. Participation was voluntary and informed consent was obtained from all respondents prior to data collection. </w:t>
      </w:r>
      <w:r w:rsidR="00423968">
        <w:t xml:space="preserve"> P</w:t>
      </w:r>
      <w:r>
        <w:t xml:space="preserve">articipants were informed of their right to withdraw from the study at any stage without </w:t>
      </w:r>
      <w:r>
        <w:lastRenderedPageBreak/>
        <w:t>penalty.</w:t>
      </w:r>
      <w:r w:rsidR="00423968">
        <w:t xml:space="preserve"> </w:t>
      </w:r>
      <w:r>
        <w:t>Confidentiality and anonymity were maintained by ensuring that personal identifiers were not included in the reporting of findings. All information collected was treated confidentially and used exclusively for academic purposes.</w:t>
      </w:r>
      <w:r w:rsidR="00423968">
        <w:t xml:space="preserve"> </w:t>
      </w:r>
      <w:r>
        <w:t>The study further adhered to principles of honesty, integrity, respect for persons and responsible research conduct throughout the research process.</w:t>
      </w:r>
    </w:p>
    <w:p w14:paraId="6E385A6A" w14:textId="09C02AF9" w:rsidR="004215ED" w:rsidRPr="004215ED" w:rsidRDefault="004215ED" w:rsidP="004215ED">
      <w:pPr>
        <w:rPr>
          <w:lang w:eastAsia="en-ZW"/>
        </w:rPr>
      </w:pPr>
    </w:p>
    <w:p w14:paraId="530358FE" w14:textId="77777777" w:rsidR="008722BA" w:rsidRDefault="008722BA" w:rsidP="0086458B">
      <w:pPr>
        <w:pStyle w:val="Heading1"/>
      </w:pPr>
      <w:r>
        <w:br w:type="page"/>
      </w:r>
    </w:p>
    <w:p w14:paraId="2FA39096" w14:textId="20395876" w:rsidR="005B56B5" w:rsidRPr="0086458B" w:rsidRDefault="005B56B5" w:rsidP="0086458B">
      <w:pPr>
        <w:pStyle w:val="Heading1"/>
      </w:pPr>
      <w:r w:rsidRPr="0086458B">
        <w:lastRenderedPageBreak/>
        <w:t>RESULTS AND DISCUSSION</w:t>
      </w:r>
    </w:p>
    <w:p w14:paraId="491CB5A5" w14:textId="77777777" w:rsidR="00424078" w:rsidRDefault="00424078" w:rsidP="0086458B">
      <w:r>
        <w:t>The study sought to examine the influence of leadership politics on the sustainability of community-based development projects in Masvingo Province, Zimbabwe. Quantitative findings were obtained from questionnaire responses, while qualitative evidence was generated through key informant interviews with project coordinators, community leaders, NGO representatives, and government officials.</w:t>
      </w:r>
    </w:p>
    <w:p w14:paraId="6D715C1F" w14:textId="77777777" w:rsidR="00424078" w:rsidRPr="0086458B" w:rsidRDefault="00424078" w:rsidP="00841160">
      <w:pPr>
        <w:pStyle w:val="Heading2"/>
      </w:pPr>
      <w:r w:rsidRPr="0086458B">
        <w:t>Leadership Politics and Project Sustainability</w:t>
      </w:r>
    </w:p>
    <w:p w14:paraId="30E801A8" w14:textId="77777777" w:rsidR="00424078" w:rsidRDefault="00424078" w:rsidP="0086458B">
      <w:r>
        <w:t>Respondents were asked to evaluate various dimensions of leadership politics, including leadership accountability, governance transparency, political inclusivity, stakeholder representation, conflict management, and fairness in resource allocation. The results are presented in Table 2.</w:t>
      </w:r>
    </w:p>
    <w:p w14:paraId="0BEEA335" w14:textId="77777777" w:rsidR="0086458B" w:rsidRDefault="0086458B" w:rsidP="0086458B">
      <w:pPr>
        <w:rPr>
          <w:b/>
          <w:bCs/>
          <w:sz w:val="18"/>
          <w:szCs w:val="18"/>
        </w:rPr>
      </w:pPr>
    </w:p>
    <w:p w14:paraId="4F944F30" w14:textId="6C797E49" w:rsidR="00424078" w:rsidRPr="0086458B" w:rsidRDefault="00424078" w:rsidP="0086458B">
      <w:pPr>
        <w:rPr>
          <w:b/>
          <w:bCs/>
          <w:sz w:val="18"/>
          <w:szCs w:val="18"/>
        </w:rPr>
      </w:pPr>
      <w:r w:rsidRPr="0086458B">
        <w:rPr>
          <w:b/>
          <w:bCs/>
          <w:sz w:val="18"/>
          <w:szCs w:val="18"/>
        </w:rPr>
        <w:t>Table 2: Descriptive Statistics for Leadership Politics Dimensions</w:t>
      </w:r>
    </w:p>
    <w:tbl>
      <w:tblPr>
        <w:tblStyle w:val="PlainTable5"/>
        <w:tblW w:w="5000" w:type="pct"/>
        <w:tblLook w:val="04A0" w:firstRow="1" w:lastRow="0" w:firstColumn="1" w:lastColumn="0" w:noHBand="0" w:noVBand="1"/>
      </w:tblPr>
      <w:tblGrid>
        <w:gridCol w:w="5286"/>
        <w:gridCol w:w="1164"/>
        <w:gridCol w:w="2576"/>
      </w:tblGrid>
      <w:tr w:rsidR="00424078" w:rsidRPr="00E231FE" w14:paraId="7AA05EE9" w14:textId="77777777" w:rsidTr="008645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28" w:type="pct"/>
            <w:shd w:val="clear" w:color="auto" w:fill="000000" w:themeFill="text1"/>
            <w:hideMark/>
          </w:tcPr>
          <w:p w14:paraId="07AED762" w14:textId="77777777" w:rsidR="00424078" w:rsidRPr="00E231FE" w:rsidRDefault="00424078" w:rsidP="0086458B">
            <w:pPr>
              <w:jc w:val="left"/>
              <w:rPr>
                <w:b/>
                <w:bCs/>
                <w:sz w:val="18"/>
                <w:szCs w:val="18"/>
              </w:rPr>
            </w:pPr>
            <w:r w:rsidRPr="00E231FE">
              <w:rPr>
                <w:b/>
                <w:bCs/>
                <w:sz w:val="18"/>
                <w:szCs w:val="18"/>
              </w:rPr>
              <w:t>Leadership Politics Dimension</w:t>
            </w:r>
          </w:p>
        </w:tc>
        <w:tc>
          <w:tcPr>
            <w:tcW w:w="645" w:type="pct"/>
            <w:tcBorders>
              <w:bottom w:val="single" w:sz="4" w:space="0" w:color="auto"/>
            </w:tcBorders>
            <w:shd w:val="clear" w:color="auto" w:fill="000000" w:themeFill="text1"/>
            <w:hideMark/>
          </w:tcPr>
          <w:p w14:paraId="59897024" w14:textId="77777777" w:rsidR="00424078" w:rsidRPr="00E231FE" w:rsidRDefault="00424078" w:rsidP="0086458B">
            <w:pPr>
              <w:jc w:val="left"/>
              <w:cnfStyle w:val="100000000000" w:firstRow="1" w:lastRow="0" w:firstColumn="0" w:lastColumn="0" w:oddVBand="0" w:evenVBand="0" w:oddHBand="0" w:evenHBand="0" w:firstRowFirstColumn="0" w:firstRowLastColumn="0" w:lastRowFirstColumn="0" w:lastRowLastColumn="0"/>
              <w:rPr>
                <w:b/>
                <w:bCs/>
                <w:sz w:val="18"/>
                <w:szCs w:val="18"/>
              </w:rPr>
            </w:pPr>
            <w:r w:rsidRPr="00E231FE">
              <w:rPr>
                <w:b/>
                <w:bCs/>
                <w:sz w:val="18"/>
                <w:szCs w:val="18"/>
              </w:rPr>
              <w:t>Mean</w:t>
            </w:r>
          </w:p>
        </w:tc>
        <w:tc>
          <w:tcPr>
            <w:tcW w:w="1427" w:type="pct"/>
            <w:shd w:val="clear" w:color="auto" w:fill="000000" w:themeFill="text1"/>
            <w:hideMark/>
          </w:tcPr>
          <w:p w14:paraId="089FEEFF" w14:textId="77777777" w:rsidR="00424078" w:rsidRPr="00E231FE" w:rsidRDefault="00424078" w:rsidP="0086458B">
            <w:pPr>
              <w:jc w:val="left"/>
              <w:cnfStyle w:val="100000000000" w:firstRow="1" w:lastRow="0" w:firstColumn="0" w:lastColumn="0" w:oddVBand="0" w:evenVBand="0" w:oddHBand="0" w:evenHBand="0" w:firstRowFirstColumn="0" w:firstRowLastColumn="0" w:lastRowFirstColumn="0" w:lastRowLastColumn="0"/>
              <w:rPr>
                <w:b/>
                <w:bCs/>
                <w:sz w:val="18"/>
                <w:szCs w:val="18"/>
              </w:rPr>
            </w:pPr>
            <w:r w:rsidRPr="00E231FE">
              <w:rPr>
                <w:b/>
                <w:bCs/>
                <w:sz w:val="18"/>
                <w:szCs w:val="18"/>
              </w:rPr>
              <w:t>Std. Deviation</w:t>
            </w:r>
          </w:p>
        </w:tc>
      </w:tr>
      <w:tr w:rsidR="00424078" w:rsidRPr="00E231FE" w14:paraId="0090AF20" w14:textId="77777777" w:rsidTr="00864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8" w:type="pct"/>
            <w:tcBorders>
              <w:right w:val="single" w:sz="4" w:space="0" w:color="auto"/>
            </w:tcBorders>
            <w:hideMark/>
          </w:tcPr>
          <w:p w14:paraId="75660C46" w14:textId="77777777" w:rsidR="00424078" w:rsidRPr="00E231FE" w:rsidRDefault="00424078">
            <w:pPr>
              <w:jc w:val="left"/>
              <w:rPr>
                <w:sz w:val="18"/>
                <w:szCs w:val="18"/>
              </w:rPr>
            </w:pPr>
            <w:r w:rsidRPr="00E231FE">
              <w:rPr>
                <w:sz w:val="18"/>
                <w:szCs w:val="18"/>
              </w:rPr>
              <w:t>Leadership Accountability</w:t>
            </w:r>
          </w:p>
        </w:tc>
        <w:tc>
          <w:tcPr>
            <w:tcW w:w="645" w:type="pct"/>
            <w:tcBorders>
              <w:top w:val="single" w:sz="4" w:space="0" w:color="auto"/>
              <w:left w:val="single" w:sz="4" w:space="0" w:color="auto"/>
              <w:right w:val="single" w:sz="4" w:space="0" w:color="auto"/>
            </w:tcBorders>
            <w:hideMark/>
          </w:tcPr>
          <w:p w14:paraId="66F1CE8A" w14:textId="77777777" w:rsidR="00424078" w:rsidRPr="00E231FE" w:rsidRDefault="00424078">
            <w:pPr>
              <w:cnfStyle w:val="000000100000" w:firstRow="0" w:lastRow="0" w:firstColumn="0" w:lastColumn="0" w:oddVBand="0" w:evenVBand="0" w:oddHBand="1" w:evenHBand="0" w:firstRowFirstColumn="0" w:firstRowLastColumn="0" w:lastRowFirstColumn="0" w:lastRowLastColumn="0"/>
              <w:rPr>
                <w:sz w:val="18"/>
                <w:szCs w:val="18"/>
              </w:rPr>
            </w:pPr>
            <w:r w:rsidRPr="00E231FE">
              <w:rPr>
                <w:sz w:val="18"/>
                <w:szCs w:val="18"/>
              </w:rPr>
              <w:t>4.18</w:t>
            </w:r>
          </w:p>
        </w:tc>
        <w:tc>
          <w:tcPr>
            <w:tcW w:w="1427" w:type="pct"/>
            <w:tcBorders>
              <w:left w:val="single" w:sz="4" w:space="0" w:color="auto"/>
            </w:tcBorders>
            <w:hideMark/>
          </w:tcPr>
          <w:p w14:paraId="658D80BD" w14:textId="77777777" w:rsidR="00424078" w:rsidRPr="00E231FE" w:rsidRDefault="00424078">
            <w:pPr>
              <w:cnfStyle w:val="000000100000" w:firstRow="0" w:lastRow="0" w:firstColumn="0" w:lastColumn="0" w:oddVBand="0" w:evenVBand="0" w:oddHBand="1" w:evenHBand="0" w:firstRowFirstColumn="0" w:firstRowLastColumn="0" w:lastRowFirstColumn="0" w:lastRowLastColumn="0"/>
              <w:rPr>
                <w:sz w:val="18"/>
                <w:szCs w:val="18"/>
              </w:rPr>
            </w:pPr>
            <w:r w:rsidRPr="00E231FE">
              <w:rPr>
                <w:sz w:val="18"/>
                <w:szCs w:val="18"/>
              </w:rPr>
              <w:t>0.74</w:t>
            </w:r>
          </w:p>
        </w:tc>
      </w:tr>
      <w:tr w:rsidR="00424078" w:rsidRPr="00E231FE" w14:paraId="058DE154" w14:textId="77777777" w:rsidTr="0086458B">
        <w:tc>
          <w:tcPr>
            <w:cnfStyle w:val="001000000000" w:firstRow="0" w:lastRow="0" w:firstColumn="1" w:lastColumn="0" w:oddVBand="0" w:evenVBand="0" w:oddHBand="0" w:evenHBand="0" w:firstRowFirstColumn="0" w:firstRowLastColumn="0" w:lastRowFirstColumn="0" w:lastRowLastColumn="0"/>
            <w:tcW w:w="2928" w:type="pct"/>
            <w:tcBorders>
              <w:right w:val="single" w:sz="4" w:space="0" w:color="auto"/>
            </w:tcBorders>
            <w:hideMark/>
          </w:tcPr>
          <w:p w14:paraId="499B17A5" w14:textId="77777777" w:rsidR="00424078" w:rsidRPr="00E231FE" w:rsidRDefault="00424078">
            <w:pPr>
              <w:rPr>
                <w:sz w:val="18"/>
                <w:szCs w:val="18"/>
              </w:rPr>
            </w:pPr>
            <w:r w:rsidRPr="00E231FE">
              <w:rPr>
                <w:sz w:val="18"/>
                <w:szCs w:val="18"/>
              </w:rPr>
              <w:t>Governance Transparency</w:t>
            </w:r>
          </w:p>
        </w:tc>
        <w:tc>
          <w:tcPr>
            <w:tcW w:w="645" w:type="pct"/>
            <w:tcBorders>
              <w:left w:val="single" w:sz="4" w:space="0" w:color="auto"/>
              <w:right w:val="single" w:sz="4" w:space="0" w:color="auto"/>
            </w:tcBorders>
            <w:hideMark/>
          </w:tcPr>
          <w:p w14:paraId="5DE6F78C" w14:textId="77777777" w:rsidR="00424078" w:rsidRPr="00E231FE" w:rsidRDefault="00424078">
            <w:pPr>
              <w:cnfStyle w:val="000000000000" w:firstRow="0" w:lastRow="0" w:firstColumn="0" w:lastColumn="0" w:oddVBand="0" w:evenVBand="0" w:oddHBand="0" w:evenHBand="0" w:firstRowFirstColumn="0" w:firstRowLastColumn="0" w:lastRowFirstColumn="0" w:lastRowLastColumn="0"/>
              <w:rPr>
                <w:sz w:val="18"/>
                <w:szCs w:val="18"/>
              </w:rPr>
            </w:pPr>
            <w:r w:rsidRPr="00E231FE">
              <w:rPr>
                <w:sz w:val="18"/>
                <w:szCs w:val="18"/>
              </w:rPr>
              <w:t>4.05</w:t>
            </w:r>
          </w:p>
        </w:tc>
        <w:tc>
          <w:tcPr>
            <w:tcW w:w="1427" w:type="pct"/>
            <w:tcBorders>
              <w:left w:val="single" w:sz="4" w:space="0" w:color="auto"/>
            </w:tcBorders>
            <w:hideMark/>
          </w:tcPr>
          <w:p w14:paraId="00B39CAA" w14:textId="77777777" w:rsidR="00424078" w:rsidRPr="00E231FE" w:rsidRDefault="00424078">
            <w:pPr>
              <w:cnfStyle w:val="000000000000" w:firstRow="0" w:lastRow="0" w:firstColumn="0" w:lastColumn="0" w:oddVBand="0" w:evenVBand="0" w:oddHBand="0" w:evenHBand="0" w:firstRowFirstColumn="0" w:firstRowLastColumn="0" w:lastRowFirstColumn="0" w:lastRowLastColumn="0"/>
              <w:rPr>
                <w:sz w:val="18"/>
                <w:szCs w:val="18"/>
              </w:rPr>
            </w:pPr>
            <w:r w:rsidRPr="00E231FE">
              <w:rPr>
                <w:sz w:val="18"/>
                <w:szCs w:val="18"/>
              </w:rPr>
              <w:t>0.81</w:t>
            </w:r>
          </w:p>
        </w:tc>
      </w:tr>
      <w:tr w:rsidR="00424078" w:rsidRPr="00E231FE" w14:paraId="05383629" w14:textId="77777777" w:rsidTr="00864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8" w:type="pct"/>
            <w:tcBorders>
              <w:right w:val="single" w:sz="4" w:space="0" w:color="auto"/>
            </w:tcBorders>
            <w:hideMark/>
          </w:tcPr>
          <w:p w14:paraId="2F0A1681" w14:textId="77777777" w:rsidR="00424078" w:rsidRPr="00E231FE" w:rsidRDefault="00424078">
            <w:pPr>
              <w:rPr>
                <w:sz w:val="18"/>
                <w:szCs w:val="18"/>
              </w:rPr>
            </w:pPr>
            <w:r w:rsidRPr="00E231FE">
              <w:rPr>
                <w:sz w:val="18"/>
                <w:szCs w:val="18"/>
              </w:rPr>
              <w:t>Political Inclusivity</w:t>
            </w:r>
          </w:p>
        </w:tc>
        <w:tc>
          <w:tcPr>
            <w:tcW w:w="645" w:type="pct"/>
            <w:tcBorders>
              <w:left w:val="single" w:sz="4" w:space="0" w:color="auto"/>
              <w:right w:val="single" w:sz="4" w:space="0" w:color="auto"/>
            </w:tcBorders>
            <w:hideMark/>
          </w:tcPr>
          <w:p w14:paraId="310E20AC" w14:textId="77777777" w:rsidR="00424078" w:rsidRPr="00E231FE" w:rsidRDefault="00424078">
            <w:pPr>
              <w:cnfStyle w:val="000000100000" w:firstRow="0" w:lastRow="0" w:firstColumn="0" w:lastColumn="0" w:oddVBand="0" w:evenVBand="0" w:oddHBand="1" w:evenHBand="0" w:firstRowFirstColumn="0" w:firstRowLastColumn="0" w:lastRowFirstColumn="0" w:lastRowLastColumn="0"/>
              <w:rPr>
                <w:sz w:val="18"/>
                <w:szCs w:val="18"/>
              </w:rPr>
            </w:pPr>
            <w:r w:rsidRPr="00E231FE">
              <w:rPr>
                <w:sz w:val="18"/>
                <w:szCs w:val="18"/>
              </w:rPr>
              <w:t>3.87</w:t>
            </w:r>
          </w:p>
        </w:tc>
        <w:tc>
          <w:tcPr>
            <w:tcW w:w="1427" w:type="pct"/>
            <w:tcBorders>
              <w:left w:val="single" w:sz="4" w:space="0" w:color="auto"/>
            </w:tcBorders>
            <w:hideMark/>
          </w:tcPr>
          <w:p w14:paraId="06083DD1" w14:textId="77777777" w:rsidR="00424078" w:rsidRPr="00E231FE" w:rsidRDefault="00424078">
            <w:pPr>
              <w:cnfStyle w:val="000000100000" w:firstRow="0" w:lastRow="0" w:firstColumn="0" w:lastColumn="0" w:oddVBand="0" w:evenVBand="0" w:oddHBand="1" w:evenHBand="0" w:firstRowFirstColumn="0" w:firstRowLastColumn="0" w:lastRowFirstColumn="0" w:lastRowLastColumn="0"/>
              <w:rPr>
                <w:sz w:val="18"/>
                <w:szCs w:val="18"/>
              </w:rPr>
            </w:pPr>
            <w:r w:rsidRPr="00E231FE">
              <w:rPr>
                <w:sz w:val="18"/>
                <w:szCs w:val="18"/>
              </w:rPr>
              <w:t>0.89</w:t>
            </w:r>
          </w:p>
        </w:tc>
      </w:tr>
      <w:tr w:rsidR="00424078" w:rsidRPr="00E231FE" w14:paraId="5446246A" w14:textId="77777777" w:rsidTr="0086458B">
        <w:tc>
          <w:tcPr>
            <w:cnfStyle w:val="001000000000" w:firstRow="0" w:lastRow="0" w:firstColumn="1" w:lastColumn="0" w:oddVBand="0" w:evenVBand="0" w:oddHBand="0" w:evenHBand="0" w:firstRowFirstColumn="0" w:firstRowLastColumn="0" w:lastRowFirstColumn="0" w:lastRowLastColumn="0"/>
            <w:tcW w:w="2928" w:type="pct"/>
            <w:tcBorders>
              <w:right w:val="single" w:sz="4" w:space="0" w:color="auto"/>
            </w:tcBorders>
            <w:hideMark/>
          </w:tcPr>
          <w:p w14:paraId="588279B4" w14:textId="77777777" w:rsidR="00424078" w:rsidRPr="00E231FE" w:rsidRDefault="00424078">
            <w:pPr>
              <w:rPr>
                <w:sz w:val="18"/>
                <w:szCs w:val="18"/>
              </w:rPr>
            </w:pPr>
            <w:r w:rsidRPr="00E231FE">
              <w:rPr>
                <w:sz w:val="18"/>
                <w:szCs w:val="18"/>
              </w:rPr>
              <w:t>Stakeholder Representation</w:t>
            </w:r>
          </w:p>
        </w:tc>
        <w:tc>
          <w:tcPr>
            <w:tcW w:w="645" w:type="pct"/>
            <w:tcBorders>
              <w:left w:val="single" w:sz="4" w:space="0" w:color="auto"/>
              <w:right w:val="single" w:sz="4" w:space="0" w:color="auto"/>
            </w:tcBorders>
            <w:hideMark/>
          </w:tcPr>
          <w:p w14:paraId="2083D66E" w14:textId="77777777" w:rsidR="00424078" w:rsidRPr="00E231FE" w:rsidRDefault="00424078">
            <w:pPr>
              <w:cnfStyle w:val="000000000000" w:firstRow="0" w:lastRow="0" w:firstColumn="0" w:lastColumn="0" w:oddVBand="0" w:evenVBand="0" w:oddHBand="0" w:evenHBand="0" w:firstRowFirstColumn="0" w:firstRowLastColumn="0" w:lastRowFirstColumn="0" w:lastRowLastColumn="0"/>
              <w:rPr>
                <w:sz w:val="18"/>
                <w:szCs w:val="18"/>
              </w:rPr>
            </w:pPr>
            <w:r w:rsidRPr="00E231FE">
              <w:rPr>
                <w:sz w:val="18"/>
                <w:szCs w:val="18"/>
              </w:rPr>
              <w:t>3.92</w:t>
            </w:r>
          </w:p>
        </w:tc>
        <w:tc>
          <w:tcPr>
            <w:tcW w:w="1427" w:type="pct"/>
            <w:tcBorders>
              <w:left w:val="single" w:sz="4" w:space="0" w:color="auto"/>
            </w:tcBorders>
            <w:hideMark/>
          </w:tcPr>
          <w:p w14:paraId="7CC608A2" w14:textId="77777777" w:rsidR="00424078" w:rsidRPr="00E231FE" w:rsidRDefault="00424078">
            <w:pPr>
              <w:cnfStyle w:val="000000000000" w:firstRow="0" w:lastRow="0" w:firstColumn="0" w:lastColumn="0" w:oddVBand="0" w:evenVBand="0" w:oddHBand="0" w:evenHBand="0" w:firstRowFirstColumn="0" w:firstRowLastColumn="0" w:lastRowFirstColumn="0" w:lastRowLastColumn="0"/>
              <w:rPr>
                <w:sz w:val="18"/>
                <w:szCs w:val="18"/>
              </w:rPr>
            </w:pPr>
            <w:r w:rsidRPr="00E231FE">
              <w:rPr>
                <w:sz w:val="18"/>
                <w:szCs w:val="18"/>
              </w:rPr>
              <w:t>0.84</w:t>
            </w:r>
          </w:p>
        </w:tc>
      </w:tr>
      <w:tr w:rsidR="00424078" w:rsidRPr="00E231FE" w14:paraId="396434EF" w14:textId="77777777" w:rsidTr="00864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8" w:type="pct"/>
            <w:tcBorders>
              <w:right w:val="single" w:sz="4" w:space="0" w:color="auto"/>
            </w:tcBorders>
            <w:hideMark/>
          </w:tcPr>
          <w:p w14:paraId="21EFD033" w14:textId="77777777" w:rsidR="00424078" w:rsidRPr="00E231FE" w:rsidRDefault="00424078">
            <w:pPr>
              <w:rPr>
                <w:sz w:val="18"/>
                <w:szCs w:val="18"/>
              </w:rPr>
            </w:pPr>
            <w:r w:rsidRPr="00E231FE">
              <w:rPr>
                <w:sz w:val="18"/>
                <w:szCs w:val="18"/>
              </w:rPr>
              <w:t>Conflict Management</w:t>
            </w:r>
          </w:p>
        </w:tc>
        <w:tc>
          <w:tcPr>
            <w:tcW w:w="645" w:type="pct"/>
            <w:tcBorders>
              <w:left w:val="single" w:sz="4" w:space="0" w:color="auto"/>
              <w:right w:val="single" w:sz="4" w:space="0" w:color="auto"/>
            </w:tcBorders>
            <w:hideMark/>
          </w:tcPr>
          <w:p w14:paraId="0812F844" w14:textId="77777777" w:rsidR="00424078" w:rsidRPr="00E231FE" w:rsidRDefault="00424078">
            <w:pPr>
              <w:cnfStyle w:val="000000100000" w:firstRow="0" w:lastRow="0" w:firstColumn="0" w:lastColumn="0" w:oddVBand="0" w:evenVBand="0" w:oddHBand="1" w:evenHBand="0" w:firstRowFirstColumn="0" w:firstRowLastColumn="0" w:lastRowFirstColumn="0" w:lastRowLastColumn="0"/>
              <w:rPr>
                <w:sz w:val="18"/>
                <w:szCs w:val="18"/>
              </w:rPr>
            </w:pPr>
            <w:r w:rsidRPr="00E231FE">
              <w:rPr>
                <w:sz w:val="18"/>
                <w:szCs w:val="18"/>
              </w:rPr>
              <w:t>4.11</w:t>
            </w:r>
          </w:p>
        </w:tc>
        <w:tc>
          <w:tcPr>
            <w:tcW w:w="1427" w:type="pct"/>
            <w:tcBorders>
              <w:left w:val="single" w:sz="4" w:space="0" w:color="auto"/>
            </w:tcBorders>
            <w:hideMark/>
          </w:tcPr>
          <w:p w14:paraId="5ACB03F8" w14:textId="77777777" w:rsidR="00424078" w:rsidRPr="00E231FE" w:rsidRDefault="00424078">
            <w:pPr>
              <w:cnfStyle w:val="000000100000" w:firstRow="0" w:lastRow="0" w:firstColumn="0" w:lastColumn="0" w:oddVBand="0" w:evenVBand="0" w:oddHBand="1" w:evenHBand="0" w:firstRowFirstColumn="0" w:firstRowLastColumn="0" w:lastRowFirstColumn="0" w:lastRowLastColumn="0"/>
              <w:rPr>
                <w:sz w:val="18"/>
                <w:szCs w:val="18"/>
              </w:rPr>
            </w:pPr>
            <w:r w:rsidRPr="00E231FE">
              <w:rPr>
                <w:sz w:val="18"/>
                <w:szCs w:val="18"/>
              </w:rPr>
              <w:t>0.79</w:t>
            </w:r>
          </w:p>
        </w:tc>
      </w:tr>
      <w:tr w:rsidR="00424078" w:rsidRPr="00E231FE" w14:paraId="7B4861DB" w14:textId="77777777" w:rsidTr="0086458B">
        <w:tc>
          <w:tcPr>
            <w:cnfStyle w:val="001000000000" w:firstRow="0" w:lastRow="0" w:firstColumn="1" w:lastColumn="0" w:oddVBand="0" w:evenVBand="0" w:oddHBand="0" w:evenHBand="0" w:firstRowFirstColumn="0" w:firstRowLastColumn="0" w:lastRowFirstColumn="0" w:lastRowLastColumn="0"/>
            <w:tcW w:w="2928" w:type="pct"/>
            <w:tcBorders>
              <w:bottom w:val="single" w:sz="4" w:space="0" w:color="auto"/>
              <w:right w:val="single" w:sz="4" w:space="0" w:color="auto"/>
            </w:tcBorders>
            <w:hideMark/>
          </w:tcPr>
          <w:p w14:paraId="544F879E" w14:textId="77777777" w:rsidR="00424078" w:rsidRPr="00E231FE" w:rsidRDefault="00424078">
            <w:pPr>
              <w:rPr>
                <w:sz w:val="18"/>
                <w:szCs w:val="18"/>
              </w:rPr>
            </w:pPr>
            <w:r w:rsidRPr="00E231FE">
              <w:rPr>
                <w:sz w:val="18"/>
                <w:szCs w:val="18"/>
              </w:rPr>
              <w:t>Resource Allocation Fairness</w:t>
            </w:r>
          </w:p>
        </w:tc>
        <w:tc>
          <w:tcPr>
            <w:tcW w:w="645" w:type="pct"/>
            <w:tcBorders>
              <w:left w:val="single" w:sz="4" w:space="0" w:color="auto"/>
              <w:bottom w:val="single" w:sz="4" w:space="0" w:color="auto"/>
              <w:right w:val="single" w:sz="4" w:space="0" w:color="auto"/>
            </w:tcBorders>
            <w:hideMark/>
          </w:tcPr>
          <w:p w14:paraId="0A12AD97" w14:textId="77777777" w:rsidR="00424078" w:rsidRPr="00E231FE" w:rsidRDefault="00424078">
            <w:pPr>
              <w:cnfStyle w:val="000000000000" w:firstRow="0" w:lastRow="0" w:firstColumn="0" w:lastColumn="0" w:oddVBand="0" w:evenVBand="0" w:oddHBand="0" w:evenHBand="0" w:firstRowFirstColumn="0" w:firstRowLastColumn="0" w:lastRowFirstColumn="0" w:lastRowLastColumn="0"/>
              <w:rPr>
                <w:sz w:val="18"/>
                <w:szCs w:val="18"/>
              </w:rPr>
            </w:pPr>
            <w:r w:rsidRPr="00E231FE">
              <w:rPr>
                <w:sz w:val="18"/>
                <w:szCs w:val="18"/>
              </w:rPr>
              <w:t>3.95</w:t>
            </w:r>
          </w:p>
        </w:tc>
        <w:tc>
          <w:tcPr>
            <w:tcW w:w="1427" w:type="pct"/>
            <w:tcBorders>
              <w:left w:val="single" w:sz="4" w:space="0" w:color="auto"/>
              <w:bottom w:val="single" w:sz="4" w:space="0" w:color="auto"/>
            </w:tcBorders>
            <w:hideMark/>
          </w:tcPr>
          <w:p w14:paraId="099A30A2" w14:textId="77777777" w:rsidR="00424078" w:rsidRPr="00E231FE" w:rsidRDefault="00424078">
            <w:pPr>
              <w:cnfStyle w:val="000000000000" w:firstRow="0" w:lastRow="0" w:firstColumn="0" w:lastColumn="0" w:oddVBand="0" w:evenVBand="0" w:oddHBand="0" w:evenHBand="0" w:firstRowFirstColumn="0" w:firstRowLastColumn="0" w:lastRowFirstColumn="0" w:lastRowLastColumn="0"/>
              <w:rPr>
                <w:sz w:val="18"/>
                <w:szCs w:val="18"/>
              </w:rPr>
            </w:pPr>
            <w:r w:rsidRPr="00E231FE">
              <w:rPr>
                <w:sz w:val="18"/>
                <w:szCs w:val="18"/>
              </w:rPr>
              <w:t>0.87</w:t>
            </w:r>
          </w:p>
        </w:tc>
      </w:tr>
      <w:tr w:rsidR="00424078" w:rsidRPr="00E231FE" w14:paraId="3F024278" w14:textId="77777777" w:rsidTr="00864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8" w:type="pct"/>
            <w:tcBorders>
              <w:top w:val="single" w:sz="4" w:space="0" w:color="auto"/>
              <w:left w:val="single" w:sz="4" w:space="0" w:color="auto"/>
              <w:bottom w:val="single" w:sz="4" w:space="0" w:color="auto"/>
              <w:right w:val="single" w:sz="4" w:space="0" w:color="auto"/>
            </w:tcBorders>
            <w:hideMark/>
          </w:tcPr>
          <w:p w14:paraId="22DF18CE" w14:textId="77777777" w:rsidR="00424078" w:rsidRPr="00E231FE" w:rsidRDefault="00424078">
            <w:pPr>
              <w:rPr>
                <w:sz w:val="18"/>
                <w:szCs w:val="18"/>
              </w:rPr>
            </w:pPr>
            <w:r w:rsidRPr="00E231FE">
              <w:rPr>
                <w:rStyle w:val="Strong"/>
                <w:sz w:val="18"/>
                <w:szCs w:val="18"/>
              </w:rPr>
              <w:t>Overall Mean</w:t>
            </w:r>
          </w:p>
        </w:tc>
        <w:tc>
          <w:tcPr>
            <w:tcW w:w="645" w:type="pct"/>
            <w:tcBorders>
              <w:top w:val="single" w:sz="4" w:space="0" w:color="auto"/>
              <w:left w:val="single" w:sz="4" w:space="0" w:color="auto"/>
              <w:bottom w:val="single" w:sz="4" w:space="0" w:color="auto"/>
              <w:right w:val="single" w:sz="4" w:space="0" w:color="auto"/>
            </w:tcBorders>
            <w:hideMark/>
          </w:tcPr>
          <w:p w14:paraId="63C74F41" w14:textId="77777777" w:rsidR="00424078" w:rsidRPr="00E231FE" w:rsidRDefault="00424078">
            <w:pPr>
              <w:cnfStyle w:val="000000100000" w:firstRow="0" w:lastRow="0" w:firstColumn="0" w:lastColumn="0" w:oddVBand="0" w:evenVBand="0" w:oddHBand="1" w:evenHBand="0" w:firstRowFirstColumn="0" w:firstRowLastColumn="0" w:lastRowFirstColumn="0" w:lastRowLastColumn="0"/>
              <w:rPr>
                <w:sz w:val="18"/>
                <w:szCs w:val="18"/>
              </w:rPr>
            </w:pPr>
            <w:r w:rsidRPr="00E231FE">
              <w:rPr>
                <w:rStyle w:val="Strong"/>
                <w:sz w:val="18"/>
                <w:szCs w:val="18"/>
              </w:rPr>
              <w:t>4.01</w:t>
            </w:r>
          </w:p>
        </w:tc>
        <w:tc>
          <w:tcPr>
            <w:tcW w:w="1427" w:type="pct"/>
            <w:tcBorders>
              <w:top w:val="single" w:sz="4" w:space="0" w:color="auto"/>
              <w:left w:val="single" w:sz="4" w:space="0" w:color="auto"/>
              <w:bottom w:val="single" w:sz="4" w:space="0" w:color="auto"/>
              <w:right w:val="single" w:sz="4" w:space="0" w:color="auto"/>
            </w:tcBorders>
            <w:hideMark/>
          </w:tcPr>
          <w:p w14:paraId="70386832" w14:textId="77777777" w:rsidR="00424078" w:rsidRPr="00E231FE" w:rsidRDefault="00424078">
            <w:pPr>
              <w:cnfStyle w:val="000000100000" w:firstRow="0" w:lastRow="0" w:firstColumn="0" w:lastColumn="0" w:oddVBand="0" w:evenVBand="0" w:oddHBand="1" w:evenHBand="0" w:firstRowFirstColumn="0" w:firstRowLastColumn="0" w:lastRowFirstColumn="0" w:lastRowLastColumn="0"/>
              <w:rPr>
                <w:sz w:val="18"/>
                <w:szCs w:val="18"/>
              </w:rPr>
            </w:pPr>
            <w:r w:rsidRPr="00E231FE">
              <w:rPr>
                <w:rStyle w:val="Strong"/>
                <w:sz w:val="18"/>
                <w:szCs w:val="18"/>
              </w:rPr>
              <w:t>0.82</w:t>
            </w:r>
          </w:p>
        </w:tc>
      </w:tr>
    </w:tbl>
    <w:p w14:paraId="54BCDC9F" w14:textId="77777777" w:rsidR="00424078" w:rsidRPr="0086458B" w:rsidRDefault="00424078" w:rsidP="0086458B">
      <w:pPr>
        <w:jc w:val="right"/>
        <w:rPr>
          <w:i/>
          <w:iCs/>
          <w:sz w:val="16"/>
          <w:szCs w:val="16"/>
        </w:rPr>
      </w:pPr>
      <w:r w:rsidRPr="0086458B">
        <w:rPr>
          <w:rStyle w:val="Strong"/>
          <w:i/>
          <w:iCs/>
          <w:sz w:val="16"/>
          <w:szCs w:val="16"/>
        </w:rPr>
        <w:t>Source:</w:t>
      </w:r>
      <w:r w:rsidRPr="0086458B">
        <w:rPr>
          <w:i/>
          <w:iCs/>
          <w:sz w:val="16"/>
          <w:szCs w:val="16"/>
        </w:rPr>
        <w:t xml:space="preserve"> Survey Data (2026)</w:t>
      </w:r>
    </w:p>
    <w:p w14:paraId="6C68903B" w14:textId="77777777" w:rsidR="00424078" w:rsidRDefault="00424078" w:rsidP="0086458B">
      <w:r>
        <w:t>The findings indicate that respondents generally perceived leadership politics as an important determinant of project sustainability, as reflected by the overall mean score of 4.01. Leadership accountability recorded the highest mean score (M = 4.18), suggesting that respondents considered answerability and responsibility among project leaders to be critical for sustaining community-based initiatives. Conflict management (M = 4.11) and governance transparency (M = 4.05) also received relatively high ratings, indicating widespread recognition of the importance of transparent governance systems and effective dispute resolution mechanisms.</w:t>
      </w:r>
    </w:p>
    <w:p w14:paraId="02722AC9" w14:textId="77777777" w:rsidR="00424078" w:rsidRDefault="00424078" w:rsidP="0086458B">
      <w:r>
        <w:t>Political inclusivity recorded the lowest mean score (M = 3.87), suggesting that some respondents perceived limitations in stakeholder participation and representation within project governance structures. While the score remains positive, it points to potential governance gaps that may undermine long-term sustainability if not adequately addressed.</w:t>
      </w:r>
    </w:p>
    <w:p w14:paraId="70E02487" w14:textId="77777777" w:rsidR="00424078" w:rsidRDefault="00424078" w:rsidP="0086458B">
      <w:r>
        <w:t>The sustainability of community-based development projects was further assessed using indicators relating to project continuity, community ownership, institutional resilience, long-term benefits, and donor independence.</w:t>
      </w:r>
    </w:p>
    <w:p w14:paraId="61E64222" w14:textId="77777777" w:rsidR="00424078" w:rsidRPr="0008441B" w:rsidRDefault="00424078" w:rsidP="0086458B">
      <w:pPr>
        <w:rPr>
          <w:b/>
          <w:bCs/>
          <w:sz w:val="18"/>
          <w:szCs w:val="18"/>
        </w:rPr>
      </w:pPr>
      <w:r w:rsidRPr="0008441B">
        <w:rPr>
          <w:b/>
          <w:bCs/>
          <w:sz w:val="18"/>
          <w:szCs w:val="18"/>
        </w:rPr>
        <w:t>Table 3: Descriptive Statistics for Project Sustainability</w:t>
      </w:r>
    </w:p>
    <w:tbl>
      <w:tblPr>
        <w:tblStyle w:val="PlainTable5"/>
        <w:tblW w:w="5000" w:type="pct"/>
        <w:tblLook w:val="04A0" w:firstRow="1" w:lastRow="0" w:firstColumn="1" w:lastColumn="0" w:noHBand="0" w:noVBand="1"/>
      </w:tblPr>
      <w:tblGrid>
        <w:gridCol w:w="5069"/>
        <w:gridCol w:w="1231"/>
        <w:gridCol w:w="2726"/>
      </w:tblGrid>
      <w:tr w:rsidR="00424078" w:rsidRPr="00E231FE" w14:paraId="167A9F03" w14:textId="77777777" w:rsidTr="00E231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8" w:type="pct"/>
            <w:shd w:val="clear" w:color="auto" w:fill="000000" w:themeFill="text1"/>
            <w:hideMark/>
          </w:tcPr>
          <w:p w14:paraId="59840344" w14:textId="77777777" w:rsidR="00424078" w:rsidRPr="00E231FE" w:rsidRDefault="00424078" w:rsidP="00E231FE">
            <w:pPr>
              <w:jc w:val="left"/>
              <w:rPr>
                <w:b/>
                <w:bCs/>
                <w:sz w:val="18"/>
                <w:szCs w:val="18"/>
              </w:rPr>
            </w:pPr>
            <w:r w:rsidRPr="00E231FE">
              <w:rPr>
                <w:b/>
                <w:bCs/>
                <w:sz w:val="18"/>
                <w:szCs w:val="18"/>
              </w:rPr>
              <w:t>Sustainability Indicator</w:t>
            </w:r>
          </w:p>
        </w:tc>
        <w:tc>
          <w:tcPr>
            <w:tcW w:w="682" w:type="pct"/>
            <w:tcBorders>
              <w:bottom w:val="single" w:sz="4" w:space="0" w:color="auto"/>
            </w:tcBorders>
            <w:shd w:val="clear" w:color="auto" w:fill="000000" w:themeFill="text1"/>
            <w:hideMark/>
          </w:tcPr>
          <w:p w14:paraId="387E3DA4" w14:textId="77777777" w:rsidR="00424078" w:rsidRPr="00E231FE" w:rsidRDefault="00424078" w:rsidP="00E231FE">
            <w:pPr>
              <w:jc w:val="left"/>
              <w:cnfStyle w:val="100000000000" w:firstRow="1" w:lastRow="0" w:firstColumn="0" w:lastColumn="0" w:oddVBand="0" w:evenVBand="0" w:oddHBand="0" w:evenHBand="0" w:firstRowFirstColumn="0" w:firstRowLastColumn="0" w:lastRowFirstColumn="0" w:lastRowLastColumn="0"/>
              <w:rPr>
                <w:b/>
                <w:bCs/>
                <w:sz w:val="18"/>
                <w:szCs w:val="18"/>
              </w:rPr>
            </w:pPr>
            <w:r w:rsidRPr="00E231FE">
              <w:rPr>
                <w:b/>
                <w:bCs/>
                <w:sz w:val="18"/>
                <w:szCs w:val="18"/>
              </w:rPr>
              <w:t>Mean</w:t>
            </w:r>
          </w:p>
        </w:tc>
        <w:tc>
          <w:tcPr>
            <w:tcW w:w="1510" w:type="pct"/>
            <w:shd w:val="clear" w:color="auto" w:fill="000000" w:themeFill="text1"/>
            <w:hideMark/>
          </w:tcPr>
          <w:p w14:paraId="5E0F92AB" w14:textId="77777777" w:rsidR="00424078" w:rsidRPr="00E231FE" w:rsidRDefault="00424078" w:rsidP="00E231FE">
            <w:pPr>
              <w:jc w:val="left"/>
              <w:cnfStyle w:val="100000000000" w:firstRow="1" w:lastRow="0" w:firstColumn="0" w:lastColumn="0" w:oddVBand="0" w:evenVBand="0" w:oddHBand="0" w:evenHBand="0" w:firstRowFirstColumn="0" w:firstRowLastColumn="0" w:lastRowFirstColumn="0" w:lastRowLastColumn="0"/>
              <w:rPr>
                <w:b/>
                <w:bCs/>
                <w:sz w:val="18"/>
                <w:szCs w:val="18"/>
              </w:rPr>
            </w:pPr>
            <w:r w:rsidRPr="00E231FE">
              <w:rPr>
                <w:b/>
                <w:bCs/>
                <w:sz w:val="18"/>
                <w:szCs w:val="18"/>
              </w:rPr>
              <w:t>Std. Deviation</w:t>
            </w:r>
          </w:p>
        </w:tc>
      </w:tr>
      <w:tr w:rsidR="00424078" w:rsidRPr="00E231FE" w14:paraId="2807787C" w14:textId="77777777" w:rsidTr="00E23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pct"/>
            <w:tcBorders>
              <w:right w:val="single" w:sz="4" w:space="0" w:color="auto"/>
            </w:tcBorders>
            <w:hideMark/>
          </w:tcPr>
          <w:p w14:paraId="7932F759" w14:textId="77777777" w:rsidR="00424078" w:rsidRPr="00E231FE" w:rsidRDefault="00424078">
            <w:pPr>
              <w:jc w:val="left"/>
              <w:rPr>
                <w:sz w:val="18"/>
                <w:szCs w:val="18"/>
              </w:rPr>
            </w:pPr>
            <w:r w:rsidRPr="00E231FE">
              <w:rPr>
                <w:sz w:val="18"/>
                <w:szCs w:val="18"/>
              </w:rPr>
              <w:t>Continued Project Operations</w:t>
            </w:r>
          </w:p>
        </w:tc>
        <w:tc>
          <w:tcPr>
            <w:tcW w:w="682" w:type="pct"/>
            <w:tcBorders>
              <w:top w:val="single" w:sz="4" w:space="0" w:color="auto"/>
              <w:left w:val="single" w:sz="4" w:space="0" w:color="auto"/>
              <w:right w:val="single" w:sz="4" w:space="0" w:color="auto"/>
            </w:tcBorders>
            <w:hideMark/>
          </w:tcPr>
          <w:p w14:paraId="3348198E" w14:textId="77777777" w:rsidR="00424078" w:rsidRPr="00E231FE" w:rsidRDefault="00424078">
            <w:pPr>
              <w:cnfStyle w:val="000000100000" w:firstRow="0" w:lastRow="0" w:firstColumn="0" w:lastColumn="0" w:oddVBand="0" w:evenVBand="0" w:oddHBand="1" w:evenHBand="0" w:firstRowFirstColumn="0" w:firstRowLastColumn="0" w:lastRowFirstColumn="0" w:lastRowLastColumn="0"/>
              <w:rPr>
                <w:sz w:val="18"/>
                <w:szCs w:val="18"/>
              </w:rPr>
            </w:pPr>
            <w:r w:rsidRPr="00E231FE">
              <w:rPr>
                <w:sz w:val="18"/>
                <w:szCs w:val="18"/>
              </w:rPr>
              <w:t>4.08</w:t>
            </w:r>
          </w:p>
        </w:tc>
        <w:tc>
          <w:tcPr>
            <w:tcW w:w="1510" w:type="pct"/>
            <w:tcBorders>
              <w:left w:val="single" w:sz="4" w:space="0" w:color="auto"/>
            </w:tcBorders>
            <w:hideMark/>
          </w:tcPr>
          <w:p w14:paraId="700918C0" w14:textId="77777777" w:rsidR="00424078" w:rsidRPr="00E231FE" w:rsidRDefault="00424078">
            <w:pPr>
              <w:cnfStyle w:val="000000100000" w:firstRow="0" w:lastRow="0" w:firstColumn="0" w:lastColumn="0" w:oddVBand="0" w:evenVBand="0" w:oddHBand="1" w:evenHBand="0" w:firstRowFirstColumn="0" w:firstRowLastColumn="0" w:lastRowFirstColumn="0" w:lastRowLastColumn="0"/>
              <w:rPr>
                <w:sz w:val="18"/>
                <w:szCs w:val="18"/>
              </w:rPr>
            </w:pPr>
            <w:r w:rsidRPr="00E231FE">
              <w:rPr>
                <w:sz w:val="18"/>
                <w:szCs w:val="18"/>
              </w:rPr>
              <w:t>0.76</w:t>
            </w:r>
          </w:p>
        </w:tc>
      </w:tr>
      <w:tr w:rsidR="00424078" w:rsidRPr="00E231FE" w14:paraId="0D5A8560" w14:textId="77777777" w:rsidTr="00E231FE">
        <w:tc>
          <w:tcPr>
            <w:cnfStyle w:val="001000000000" w:firstRow="0" w:lastRow="0" w:firstColumn="1" w:lastColumn="0" w:oddVBand="0" w:evenVBand="0" w:oddHBand="0" w:evenHBand="0" w:firstRowFirstColumn="0" w:firstRowLastColumn="0" w:lastRowFirstColumn="0" w:lastRowLastColumn="0"/>
            <w:tcW w:w="2808" w:type="pct"/>
            <w:tcBorders>
              <w:right w:val="single" w:sz="4" w:space="0" w:color="auto"/>
            </w:tcBorders>
            <w:hideMark/>
          </w:tcPr>
          <w:p w14:paraId="41A5F4E7" w14:textId="77777777" w:rsidR="00424078" w:rsidRPr="00E231FE" w:rsidRDefault="00424078">
            <w:pPr>
              <w:rPr>
                <w:sz w:val="18"/>
                <w:szCs w:val="18"/>
              </w:rPr>
            </w:pPr>
            <w:r w:rsidRPr="00E231FE">
              <w:rPr>
                <w:sz w:val="18"/>
                <w:szCs w:val="18"/>
              </w:rPr>
              <w:t>Community Ownership</w:t>
            </w:r>
          </w:p>
        </w:tc>
        <w:tc>
          <w:tcPr>
            <w:tcW w:w="682" w:type="pct"/>
            <w:tcBorders>
              <w:left w:val="single" w:sz="4" w:space="0" w:color="auto"/>
              <w:right w:val="single" w:sz="4" w:space="0" w:color="auto"/>
            </w:tcBorders>
            <w:hideMark/>
          </w:tcPr>
          <w:p w14:paraId="16B1232E" w14:textId="77777777" w:rsidR="00424078" w:rsidRPr="00E231FE" w:rsidRDefault="00424078">
            <w:pPr>
              <w:cnfStyle w:val="000000000000" w:firstRow="0" w:lastRow="0" w:firstColumn="0" w:lastColumn="0" w:oddVBand="0" w:evenVBand="0" w:oddHBand="0" w:evenHBand="0" w:firstRowFirstColumn="0" w:firstRowLastColumn="0" w:lastRowFirstColumn="0" w:lastRowLastColumn="0"/>
              <w:rPr>
                <w:sz w:val="18"/>
                <w:szCs w:val="18"/>
              </w:rPr>
            </w:pPr>
            <w:r w:rsidRPr="00E231FE">
              <w:rPr>
                <w:sz w:val="18"/>
                <w:szCs w:val="18"/>
              </w:rPr>
              <w:t>4.15</w:t>
            </w:r>
          </w:p>
        </w:tc>
        <w:tc>
          <w:tcPr>
            <w:tcW w:w="1510" w:type="pct"/>
            <w:tcBorders>
              <w:left w:val="single" w:sz="4" w:space="0" w:color="auto"/>
            </w:tcBorders>
            <w:hideMark/>
          </w:tcPr>
          <w:p w14:paraId="249F4659" w14:textId="77777777" w:rsidR="00424078" w:rsidRPr="00E231FE" w:rsidRDefault="00424078">
            <w:pPr>
              <w:cnfStyle w:val="000000000000" w:firstRow="0" w:lastRow="0" w:firstColumn="0" w:lastColumn="0" w:oddVBand="0" w:evenVBand="0" w:oddHBand="0" w:evenHBand="0" w:firstRowFirstColumn="0" w:firstRowLastColumn="0" w:lastRowFirstColumn="0" w:lastRowLastColumn="0"/>
              <w:rPr>
                <w:sz w:val="18"/>
                <w:szCs w:val="18"/>
              </w:rPr>
            </w:pPr>
            <w:r w:rsidRPr="00E231FE">
              <w:rPr>
                <w:sz w:val="18"/>
                <w:szCs w:val="18"/>
              </w:rPr>
              <w:t>0.71</w:t>
            </w:r>
          </w:p>
        </w:tc>
      </w:tr>
      <w:tr w:rsidR="00424078" w:rsidRPr="00E231FE" w14:paraId="667CAD7C" w14:textId="77777777" w:rsidTr="00E23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pct"/>
            <w:tcBorders>
              <w:right w:val="single" w:sz="4" w:space="0" w:color="auto"/>
            </w:tcBorders>
            <w:hideMark/>
          </w:tcPr>
          <w:p w14:paraId="64BB5A76" w14:textId="77777777" w:rsidR="00424078" w:rsidRPr="00E231FE" w:rsidRDefault="00424078">
            <w:pPr>
              <w:rPr>
                <w:sz w:val="18"/>
                <w:szCs w:val="18"/>
              </w:rPr>
            </w:pPr>
            <w:r w:rsidRPr="00E231FE">
              <w:rPr>
                <w:sz w:val="18"/>
                <w:szCs w:val="18"/>
              </w:rPr>
              <w:t>Institutional Resilience</w:t>
            </w:r>
          </w:p>
        </w:tc>
        <w:tc>
          <w:tcPr>
            <w:tcW w:w="682" w:type="pct"/>
            <w:tcBorders>
              <w:left w:val="single" w:sz="4" w:space="0" w:color="auto"/>
              <w:right w:val="single" w:sz="4" w:space="0" w:color="auto"/>
            </w:tcBorders>
            <w:hideMark/>
          </w:tcPr>
          <w:p w14:paraId="028A4F9E" w14:textId="77777777" w:rsidR="00424078" w:rsidRPr="00E231FE" w:rsidRDefault="00424078">
            <w:pPr>
              <w:cnfStyle w:val="000000100000" w:firstRow="0" w:lastRow="0" w:firstColumn="0" w:lastColumn="0" w:oddVBand="0" w:evenVBand="0" w:oddHBand="1" w:evenHBand="0" w:firstRowFirstColumn="0" w:firstRowLastColumn="0" w:lastRowFirstColumn="0" w:lastRowLastColumn="0"/>
              <w:rPr>
                <w:sz w:val="18"/>
                <w:szCs w:val="18"/>
              </w:rPr>
            </w:pPr>
            <w:r w:rsidRPr="00E231FE">
              <w:rPr>
                <w:sz w:val="18"/>
                <w:szCs w:val="18"/>
              </w:rPr>
              <w:t>3.96</w:t>
            </w:r>
          </w:p>
        </w:tc>
        <w:tc>
          <w:tcPr>
            <w:tcW w:w="1510" w:type="pct"/>
            <w:tcBorders>
              <w:left w:val="single" w:sz="4" w:space="0" w:color="auto"/>
            </w:tcBorders>
            <w:hideMark/>
          </w:tcPr>
          <w:p w14:paraId="0F1CFF59" w14:textId="77777777" w:rsidR="00424078" w:rsidRPr="00E231FE" w:rsidRDefault="00424078">
            <w:pPr>
              <w:cnfStyle w:val="000000100000" w:firstRow="0" w:lastRow="0" w:firstColumn="0" w:lastColumn="0" w:oddVBand="0" w:evenVBand="0" w:oddHBand="1" w:evenHBand="0" w:firstRowFirstColumn="0" w:firstRowLastColumn="0" w:lastRowFirstColumn="0" w:lastRowLastColumn="0"/>
              <w:rPr>
                <w:sz w:val="18"/>
                <w:szCs w:val="18"/>
              </w:rPr>
            </w:pPr>
            <w:r w:rsidRPr="00E231FE">
              <w:rPr>
                <w:sz w:val="18"/>
                <w:szCs w:val="18"/>
              </w:rPr>
              <w:t>0.83</w:t>
            </w:r>
          </w:p>
        </w:tc>
      </w:tr>
      <w:tr w:rsidR="00424078" w:rsidRPr="00E231FE" w14:paraId="0F306D44" w14:textId="77777777" w:rsidTr="00E231FE">
        <w:tc>
          <w:tcPr>
            <w:cnfStyle w:val="001000000000" w:firstRow="0" w:lastRow="0" w:firstColumn="1" w:lastColumn="0" w:oddVBand="0" w:evenVBand="0" w:oddHBand="0" w:evenHBand="0" w:firstRowFirstColumn="0" w:firstRowLastColumn="0" w:lastRowFirstColumn="0" w:lastRowLastColumn="0"/>
            <w:tcW w:w="2808" w:type="pct"/>
            <w:tcBorders>
              <w:right w:val="single" w:sz="4" w:space="0" w:color="auto"/>
            </w:tcBorders>
            <w:hideMark/>
          </w:tcPr>
          <w:p w14:paraId="581848B5" w14:textId="77777777" w:rsidR="00424078" w:rsidRPr="00E231FE" w:rsidRDefault="00424078">
            <w:pPr>
              <w:rPr>
                <w:sz w:val="18"/>
                <w:szCs w:val="18"/>
              </w:rPr>
            </w:pPr>
            <w:r w:rsidRPr="00E231FE">
              <w:rPr>
                <w:sz w:val="18"/>
                <w:szCs w:val="18"/>
              </w:rPr>
              <w:t>Long-Term Benefits</w:t>
            </w:r>
          </w:p>
        </w:tc>
        <w:tc>
          <w:tcPr>
            <w:tcW w:w="682" w:type="pct"/>
            <w:tcBorders>
              <w:left w:val="single" w:sz="4" w:space="0" w:color="auto"/>
              <w:right w:val="single" w:sz="4" w:space="0" w:color="auto"/>
            </w:tcBorders>
            <w:hideMark/>
          </w:tcPr>
          <w:p w14:paraId="36AA3FB7" w14:textId="77777777" w:rsidR="00424078" w:rsidRPr="00E231FE" w:rsidRDefault="00424078">
            <w:pPr>
              <w:cnfStyle w:val="000000000000" w:firstRow="0" w:lastRow="0" w:firstColumn="0" w:lastColumn="0" w:oddVBand="0" w:evenVBand="0" w:oddHBand="0" w:evenHBand="0" w:firstRowFirstColumn="0" w:firstRowLastColumn="0" w:lastRowFirstColumn="0" w:lastRowLastColumn="0"/>
              <w:rPr>
                <w:sz w:val="18"/>
                <w:szCs w:val="18"/>
              </w:rPr>
            </w:pPr>
            <w:r w:rsidRPr="00E231FE">
              <w:rPr>
                <w:sz w:val="18"/>
                <w:szCs w:val="18"/>
              </w:rPr>
              <w:t>4.03</w:t>
            </w:r>
          </w:p>
        </w:tc>
        <w:tc>
          <w:tcPr>
            <w:tcW w:w="1510" w:type="pct"/>
            <w:tcBorders>
              <w:left w:val="single" w:sz="4" w:space="0" w:color="auto"/>
            </w:tcBorders>
            <w:hideMark/>
          </w:tcPr>
          <w:p w14:paraId="3C5B21E7" w14:textId="77777777" w:rsidR="00424078" w:rsidRPr="00E231FE" w:rsidRDefault="00424078">
            <w:pPr>
              <w:cnfStyle w:val="000000000000" w:firstRow="0" w:lastRow="0" w:firstColumn="0" w:lastColumn="0" w:oddVBand="0" w:evenVBand="0" w:oddHBand="0" w:evenHBand="0" w:firstRowFirstColumn="0" w:firstRowLastColumn="0" w:lastRowFirstColumn="0" w:lastRowLastColumn="0"/>
              <w:rPr>
                <w:sz w:val="18"/>
                <w:szCs w:val="18"/>
              </w:rPr>
            </w:pPr>
            <w:r w:rsidRPr="00E231FE">
              <w:rPr>
                <w:sz w:val="18"/>
                <w:szCs w:val="18"/>
              </w:rPr>
              <w:t>0.78</w:t>
            </w:r>
          </w:p>
        </w:tc>
      </w:tr>
      <w:tr w:rsidR="00424078" w:rsidRPr="00E231FE" w14:paraId="18498E2F" w14:textId="77777777" w:rsidTr="00E23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pct"/>
            <w:tcBorders>
              <w:bottom w:val="single" w:sz="4" w:space="0" w:color="auto"/>
              <w:right w:val="single" w:sz="4" w:space="0" w:color="auto"/>
            </w:tcBorders>
            <w:hideMark/>
          </w:tcPr>
          <w:p w14:paraId="4FDC9515" w14:textId="77777777" w:rsidR="00424078" w:rsidRPr="00E231FE" w:rsidRDefault="00424078">
            <w:pPr>
              <w:rPr>
                <w:sz w:val="18"/>
                <w:szCs w:val="18"/>
              </w:rPr>
            </w:pPr>
            <w:r w:rsidRPr="00E231FE">
              <w:rPr>
                <w:sz w:val="18"/>
                <w:szCs w:val="18"/>
              </w:rPr>
              <w:t>Reduced Donor Dependency</w:t>
            </w:r>
          </w:p>
        </w:tc>
        <w:tc>
          <w:tcPr>
            <w:tcW w:w="682" w:type="pct"/>
            <w:tcBorders>
              <w:left w:val="single" w:sz="4" w:space="0" w:color="auto"/>
              <w:bottom w:val="single" w:sz="4" w:space="0" w:color="auto"/>
              <w:right w:val="single" w:sz="4" w:space="0" w:color="auto"/>
            </w:tcBorders>
            <w:hideMark/>
          </w:tcPr>
          <w:p w14:paraId="5C501620" w14:textId="77777777" w:rsidR="00424078" w:rsidRPr="00E231FE" w:rsidRDefault="00424078">
            <w:pPr>
              <w:cnfStyle w:val="000000100000" w:firstRow="0" w:lastRow="0" w:firstColumn="0" w:lastColumn="0" w:oddVBand="0" w:evenVBand="0" w:oddHBand="1" w:evenHBand="0" w:firstRowFirstColumn="0" w:firstRowLastColumn="0" w:lastRowFirstColumn="0" w:lastRowLastColumn="0"/>
              <w:rPr>
                <w:sz w:val="18"/>
                <w:szCs w:val="18"/>
              </w:rPr>
            </w:pPr>
            <w:r w:rsidRPr="00E231FE">
              <w:rPr>
                <w:sz w:val="18"/>
                <w:szCs w:val="18"/>
              </w:rPr>
              <w:t>3.84</w:t>
            </w:r>
          </w:p>
        </w:tc>
        <w:tc>
          <w:tcPr>
            <w:tcW w:w="1510" w:type="pct"/>
            <w:tcBorders>
              <w:left w:val="single" w:sz="4" w:space="0" w:color="auto"/>
              <w:bottom w:val="single" w:sz="4" w:space="0" w:color="auto"/>
            </w:tcBorders>
            <w:hideMark/>
          </w:tcPr>
          <w:p w14:paraId="076DBF1E" w14:textId="77777777" w:rsidR="00424078" w:rsidRPr="00E231FE" w:rsidRDefault="00424078">
            <w:pPr>
              <w:cnfStyle w:val="000000100000" w:firstRow="0" w:lastRow="0" w:firstColumn="0" w:lastColumn="0" w:oddVBand="0" w:evenVBand="0" w:oddHBand="1" w:evenHBand="0" w:firstRowFirstColumn="0" w:firstRowLastColumn="0" w:lastRowFirstColumn="0" w:lastRowLastColumn="0"/>
              <w:rPr>
                <w:sz w:val="18"/>
                <w:szCs w:val="18"/>
              </w:rPr>
            </w:pPr>
            <w:r w:rsidRPr="00E231FE">
              <w:rPr>
                <w:sz w:val="18"/>
                <w:szCs w:val="18"/>
              </w:rPr>
              <w:t>0.88</w:t>
            </w:r>
          </w:p>
        </w:tc>
      </w:tr>
      <w:tr w:rsidR="00424078" w:rsidRPr="00E231FE" w14:paraId="6F301EA6" w14:textId="77777777" w:rsidTr="00E231FE">
        <w:tc>
          <w:tcPr>
            <w:cnfStyle w:val="001000000000" w:firstRow="0" w:lastRow="0" w:firstColumn="1" w:lastColumn="0" w:oddVBand="0" w:evenVBand="0" w:oddHBand="0" w:evenHBand="0" w:firstRowFirstColumn="0" w:firstRowLastColumn="0" w:lastRowFirstColumn="0" w:lastRowLastColumn="0"/>
            <w:tcW w:w="2808" w:type="pct"/>
            <w:tcBorders>
              <w:top w:val="single" w:sz="4" w:space="0" w:color="auto"/>
              <w:left w:val="single" w:sz="4" w:space="0" w:color="auto"/>
              <w:bottom w:val="single" w:sz="4" w:space="0" w:color="auto"/>
              <w:right w:val="single" w:sz="4" w:space="0" w:color="auto"/>
            </w:tcBorders>
            <w:hideMark/>
          </w:tcPr>
          <w:p w14:paraId="58E061F6" w14:textId="77777777" w:rsidR="00424078" w:rsidRPr="00E231FE" w:rsidRDefault="00424078">
            <w:pPr>
              <w:rPr>
                <w:sz w:val="18"/>
                <w:szCs w:val="18"/>
              </w:rPr>
            </w:pPr>
            <w:r w:rsidRPr="00E231FE">
              <w:rPr>
                <w:rStyle w:val="Strong"/>
                <w:sz w:val="18"/>
                <w:szCs w:val="18"/>
              </w:rPr>
              <w:t>Overall Mean</w:t>
            </w:r>
          </w:p>
        </w:tc>
        <w:tc>
          <w:tcPr>
            <w:tcW w:w="682" w:type="pct"/>
            <w:tcBorders>
              <w:top w:val="single" w:sz="4" w:space="0" w:color="auto"/>
              <w:left w:val="single" w:sz="4" w:space="0" w:color="auto"/>
              <w:bottom w:val="single" w:sz="4" w:space="0" w:color="auto"/>
              <w:right w:val="single" w:sz="4" w:space="0" w:color="auto"/>
            </w:tcBorders>
            <w:hideMark/>
          </w:tcPr>
          <w:p w14:paraId="331AFFBF" w14:textId="77777777" w:rsidR="00424078" w:rsidRPr="00E231FE" w:rsidRDefault="00424078">
            <w:pPr>
              <w:cnfStyle w:val="000000000000" w:firstRow="0" w:lastRow="0" w:firstColumn="0" w:lastColumn="0" w:oddVBand="0" w:evenVBand="0" w:oddHBand="0" w:evenHBand="0" w:firstRowFirstColumn="0" w:firstRowLastColumn="0" w:lastRowFirstColumn="0" w:lastRowLastColumn="0"/>
              <w:rPr>
                <w:sz w:val="18"/>
                <w:szCs w:val="18"/>
              </w:rPr>
            </w:pPr>
            <w:r w:rsidRPr="00E231FE">
              <w:rPr>
                <w:rStyle w:val="Strong"/>
                <w:sz w:val="18"/>
                <w:szCs w:val="18"/>
              </w:rPr>
              <w:t>4.01</w:t>
            </w:r>
          </w:p>
        </w:tc>
        <w:tc>
          <w:tcPr>
            <w:tcW w:w="1510" w:type="pct"/>
            <w:tcBorders>
              <w:top w:val="single" w:sz="4" w:space="0" w:color="auto"/>
              <w:left w:val="single" w:sz="4" w:space="0" w:color="auto"/>
              <w:bottom w:val="single" w:sz="4" w:space="0" w:color="auto"/>
              <w:right w:val="single" w:sz="4" w:space="0" w:color="auto"/>
            </w:tcBorders>
            <w:hideMark/>
          </w:tcPr>
          <w:p w14:paraId="2DD21303" w14:textId="77777777" w:rsidR="00424078" w:rsidRPr="00E231FE" w:rsidRDefault="00424078">
            <w:pPr>
              <w:cnfStyle w:val="000000000000" w:firstRow="0" w:lastRow="0" w:firstColumn="0" w:lastColumn="0" w:oddVBand="0" w:evenVBand="0" w:oddHBand="0" w:evenHBand="0" w:firstRowFirstColumn="0" w:firstRowLastColumn="0" w:lastRowFirstColumn="0" w:lastRowLastColumn="0"/>
              <w:rPr>
                <w:sz w:val="18"/>
                <w:szCs w:val="18"/>
              </w:rPr>
            </w:pPr>
            <w:r w:rsidRPr="00E231FE">
              <w:rPr>
                <w:rStyle w:val="Strong"/>
                <w:sz w:val="18"/>
                <w:szCs w:val="18"/>
              </w:rPr>
              <w:t>0.79</w:t>
            </w:r>
          </w:p>
        </w:tc>
      </w:tr>
    </w:tbl>
    <w:p w14:paraId="2414A7DD" w14:textId="77777777" w:rsidR="00424078" w:rsidRPr="0008441B" w:rsidRDefault="00424078" w:rsidP="0008441B">
      <w:pPr>
        <w:jc w:val="right"/>
        <w:rPr>
          <w:i/>
          <w:iCs/>
          <w:sz w:val="16"/>
          <w:szCs w:val="16"/>
        </w:rPr>
      </w:pPr>
      <w:r w:rsidRPr="0008441B">
        <w:rPr>
          <w:rStyle w:val="Strong"/>
          <w:i/>
          <w:iCs/>
          <w:sz w:val="16"/>
          <w:szCs w:val="16"/>
        </w:rPr>
        <w:t>Source:</w:t>
      </w:r>
      <w:r w:rsidRPr="0008441B">
        <w:rPr>
          <w:i/>
          <w:iCs/>
          <w:sz w:val="16"/>
          <w:szCs w:val="16"/>
        </w:rPr>
        <w:t xml:space="preserve"> Survey Data (2026)</w:t>
      </w:r>
    </w:p>
    <w:p w14:paraId="7736F567" w14:textId="16673B4D" w:rsidR="00424078" w:rsidRDefault="00424078" w:rsidP="0008441B">
      <w:r>
        <w:lastRenderedPageBreak/>
        <w:t>The results reveal generally positive sustainability outcomes across the sampled projects. Community ownership emerged as the strongest sustainability dimension (M = 4.15), suggesting that beneficiaries felt a sense of responsibility and commitment towards project continuation. However, reduced donor dependency recorded the lowest mean score (M = 3.84), indicating that some projects remained reliant on external support for operational continuity. This finding suggests that while sustainability structures exist, financial and institutional independence remains an ongoing challenge.</w:t>
      </w:r>
    </w:p>
    <w:p w14:paraId="12715CFE" w14:textId="77777777" w:rsidR="00424078" w:rsidRPr="00CB5D83" w:rsidRDefault="00424078" w:rsidP="00841160">
      <w:pPr>
        <w:pStyle w:val="Heading2"/>
      </w:pPr>
      <w:r w:rsidRPr="00CB5D83">
        <w:t>Relationship Between Leadership Politics and Project Sustainability</w:t>
      </w:r>
    </w:p>
    <w:p w14:paraId="22093765" w14:textId="77777777" w:rsidR="00424078" w:rsidRDefault="00424078" w:rsidP="00CB5D83">
      <w:r>
        <w:t>Pearson correlation analysis was conducted to determine the relationship between leadership politics and project sustainability.</w:t>
      </w:r>
    </w:p>
    <w:p w14:paraId="569EDD3B" w14:textId="77777777" w:rsidR="00424078" w:rsidRPr="00CB5D83" w:rsidRDefault="00424078" w:rsidP="00CB5D83">
      <w:pPr>
        <w:rPr>
          <w:b/>
          <w:bCs/>
          <w:sz w:val="18"/>
          <w:szCs w:val="18"/>
        </w:rPr>
      </w:pPr>
      <w:r w:rsidRPr="00CB5D83">
        <w:rPr>
          <w:b/>
          <w:bCs/>
          <w:sz w:val="18"/>
          <w:szCs w:val="18"/>
        </w:rPr>
        <w:t>Table 4: Correlation Analysis</w:t>
      </w:r>
    </w:p>
    <w:tbl>
      <w:tblPr>
        <w:tblStyle w:val="PlainTable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905"/>
      </w:tblGrid>
      <w:tr w:rsidR="00424078" w:rsidRPr="00E231FE" w14:paraId="18205A17" w14:textId="77777777" w:rsidTr="00E231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80" w:type="pct"/>
            <w:tcBorders>
              <w:bottom w:val="none" w:sz="0" w:space="0" w:color="auto"/>
              <w:right w:val="none" w:sz="0" w:space="0" w:color="auto"/>
            </w:tcBorders>
            <w:shd w:val="clear" w:color="auto" w:fill="000000" w:themeFill="text1"/>
            <w:hideMark/>
          </w:tcPr>
          <w:p w14:paraId="2799FB79" w14:textId="77777777" w:rsidR="00424078" w:rsidRPr="00E231FE" w:rsidRDefault="00424078" w:rsidP="00E231FE">
            <w:pPr>
              <w:jc w:val="left"/>
              <w:rPr>
                <w:b/>
                <w:bCs/>
                <w:sz w:val="18"/>
                <w:szCs w:val="18"/>
              </w:rPr>
            </w:pPr>
            <w:r w:rsidRPr="00E231FE">
              <w:rPr>
                <w:b/>
                <w:bCs/>
                <w:sz w:val="18"/>
                <w:szCs w:val="18"/>
              </w:rPr>
              <w:t>Variable</w:t>
            </w:r>
          </w:p>
        </w:tc>
        <w:tc>
          <w:tcPr>
            <w:tcW w:w="2720" w:type="pct"/>
            <w:tcBorders>
              <w:bottom w:val="none" w:sz="0" w:space="0" w:color="auto"/>
            </w:tcBorders>
            <w:shd w:val="clear" w:color="auto" w:fill="000000" w:themeFill="text1"/>
            <w:hideMark/>
          </w:tcPr>
          <w:p w14:paraId="59511F08" w14:textId="77777777" w:rsidR="00424078" w:rsidRPr="00E231FE" w:rsidRDefault="00424078" w:rsidP="00E231FE">
            <w:pPr>
              <w:jc w:val="left"/>
              <w:cnfStyle w:val="100000000000" w:firstRow="1" w:lastRow="0" w:firstColumn="0" w:lastColumn="0" w:oddVBand="0" w:evenVBand="0" w:oddHBand="0" w:evenHBand="0" w:firstRowFirstColumn="0" w:firstRowLastColumn="0" w:lastRowFirstColumn="0" w:lastRowLastColumn="0"/>
              <w:rPr>
                <w:b/>
                <w:bCs/>
                <w:sz w:val="18"/>
                <w:szCs w:val="18"/>
              </w:rPr>
            </w:pPr>
            <w:r w:rsidRPr="00E231FE">
              <w:rPr>
                <w:b/>
                <w:bCs/>
                <w:sz w:val="18"/>
                <w:szCs w:val="18"/>
              </w:rPr>
              <w:t>Project Sustainability</w:t>
            </w:r>
          </w:p>
        </w:tc>
      </w:tr>
      <w:tr w:rsidR="00424078" w:rsidRPr="00E231FE" w14:paraId="02AC3E51" w14:textId="77777777" w:rsidTr="00E23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0" w:type="pct"/>
            <w:tcBorders>
              <w:right w:val="none" w:sz="0" w:space="0" w:color="auto"/>
            </w:tcBorders>
            <w:hideMark/>
          </w:tcPr>
          <w:p w14:paraId="2C2CD237" w14:textId="77777777" w:rsidR="00424078" w:rsidRPr="00E231FE" w:rsidRDefault="00424078">
            <w:pPr>
              <w:jc w:val="left"/>
              <w:rPr>
                <w:sz w:val="18"/>
                <w:szCs w:val="18"/>
              </w:rPr>
            </w:pPr>
            <w:r w:rsidRPr="00E231FE">
              <w:rPr>
                <w:sz w:val="18"/>
                <w:szCs w:val="18"/>
              </w:rPr>
              <w:t>Leadership Politics</w:t>
            </w:r>
          </w:p>
        </w:tc>
        <w:tc>
          <w:tcPr>
            <w:tcW w:w="2720" w:type="pct"/>
            <w:hideMark/>
          </w:tcPr>
          <w:p w14:paraId="4E8941C0" w14:textId="77777777" w:rsidR="00424078" w:rsidRPr="00E231FE" w:rsidRDefault="00424078">
            <w:pPr>
              <w:cnfStyle w:val="000000100000" w:firstRow="0" w:lastRow="0" w:firstColumn="0" w:lastColumn="0" w:oddVBand="0" w:evenVBand="0" w:oddHBand="1" w:evenHBand="0" w:firstRowFirstColumn="0" w:firstRowLastColumn="0" w:lastRowFirstColumn="0" w:lastRowLastColumn="0"/>
              <w:rPr>
                <w:sz w:val="18"/>
                <w:szCs w:val="18"/>
              </w:rPr>
            </w:pPr>
            <w:r w:rsidRPr="00E231FE">
              <w:rPr>
                <w:sz w:val="18"/>
                <w:szCs w:val="18"/>
              </w:rPr>
              <w:t>.758**</w:t>
            </w:r>
          </w:p>
        </w:tc>
      </w:tr>
    </w:tbl>
    <w:p w14:paraId="24DF5B8E" w14:textId="77777777" w:rsidR="00424078" w:rsidRPr="00B72CA7" w:rsidRDefault="00424078" w:rsidP="00CB5D83">
      <w:pPr>
        <w:rPr>
          <w:b/>
          <w:bCs/>
          <w:i/>
          <w:iCs/>
          <w:sz w:val="14"/>
          <w:szCs w:val="14"/>
        </w:rPr>
      </w:pPr>
      <w:r w:rsidRPr="00B72CA7">
        <w:rPr>
          <w:rStyle w:val="Strong"/>
          <w:b w:val="0"/>
          <w:bCs w:val="0"/>
          <w:i/>
          <w:iCs/>
          <w:sz w:val="14"/>
          <w:szCs w:val="14"/>
        </w:rPr>
        <w:t>Correlation is significant at p &lt; 0.01</w:t>
      </w:r>
    </w:p>
    <w:p w14:paraId="27C81DEC" w14:textId="77777777" w:rsidR="00424078" w:rsidRPr="00B72CA7" w:rsidRDefault="00424078" w:rsidP="00B72CA7">
      <w:pPr>
        <w:jc w:val="right"/>
        <w:rPr>
          <w:i/>
          <w:iCs/>
          <w:sz w:val="16"/>
          <w:szCs w:val="16"/>
        </w:rPr>
      </w:pPr>
      <w:r w:rsidRPr="00B72CA7">
        <w:rPr>
          <w:rStyle w:val="Strong"/>
          <w:i/>
          <w:iCs/>
          <w:sz w:val="16"/>
          <w:szCs w:val="16"/>
        </w:rPr>
        <w:t>Source:</w:t>
      </w:r>
      <w:r w:rsidRPr="00B72CA7">
        <w:rPr>
          <w:i/>
          <w:iCs/>
          <w:sz w:val="16"/>
          <w:szCs w:val="16"/>
        </w:rPr>
        <w:t xml:space="preserve"> Survey Data (2026)</w:t>
      </w:r>
    </w:p>
    <w:p w14:paraId="4330AE37" w14:textId="77777777" w:rsidR="00424078" w:rsidRDefault="00424078" w:rsidP="00191D21">
      <w:r>
        <w:t>The analysis revealed a strong positive and statistically significant relationship between leadership politics and project sustainability (r = 0.758, p &lt; 0.01). The results suggest that improvements in accountability, transparency, stakeholder representation, political inclusivity, conflict management, and equitable resource allocation are associated with higher levels of sustainability. The strength of the relationship indicates that leadership politics constitutes a critical governance factor influencing the long-term viability of community-based development interventions.</w:t>
      </w:r>
    </w:p>
    <w:p w14:paraId="3D9858C2" w14:textId="77777777" w:rsidR="00424078" w:rsidRDefault="00424078" w:rsidP="00191D21">
      <w:r>
        <w:t>To determine the predictive influence of leadership politics on project sustainability, regression analysis was performed.</w:t>
      </w:r>
    </w:p>
    <w:p w14:paraId="678B3E57" w14:textId="77777777" w:rsidR="00191D21" w:rsidRDefault="00191D21" w:rsidP="00191D21">
      <w:pPr>
        <w:rPr>
          <w:b/>
          <w:bCs/>
          <w:sz w:val="18"/>
          <w:szCs w:val="18"/>
        </w:rPr>
      </w:pPr>
    </w:p>
    <w:p w14:paraId="1891F015" w14:textId="730D7D42" w:rsidR="00424078" w:rsidRPr="00191D21" w:rsidRDefault="00424078" w:rsidP="00191D21">
      <w:pPr>
        <w:rPr>
          <w:b/>
          <w:bCs/>
          <w:sz w:val="18"/>
          <w:szCs w:val="18"/>
        </w:rPr>
      </w:pPr>
      <w:r w:rsidRPr="00191D21">
        <w:rPr>
          <w:b/>
          <w:bCs/>
          <w:sz w:val="18"/>
          <w:szCs w:val="18"/>
        </w:rPr>
        <w:t>Table 5: Regression Model Summary</w:t>
      </w:r>
    </w:p>
    <w:tbl>
      <w:tblPr>
        <w:tblStyle w:val="PlainTable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8"/>
        <w:gridCol w:w="2878"/>
      </w:tblGrid>
      <w:tr w:rsidR="00424078" w:rsidRPr="002536CD" w14:paraId="4BF62904" w14:textId="77777777" w:rsidTr="00E231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04" w:type="pct"/>
            <w:tcBorders>
              <w:bottom w:val="none" w:sz="0" w:space="0" w:color="auto"/>
              <w:right w:val="none" w:sz="0" w:space="0" w:color="auto"/>
            </w:tcBorders>
            <w:shd w:val="clear" w:color="auto" w:fill="000000" w:themeFill="text1"/>
            <w:hideMark/>
          </w:tcPr>
          <w:p w14:paraId="31B414CB" w14:textId="77777777" w:rsidR="00424078" w:rsidRPr="002536CD" w:rsidRDefault="00424078" w:rsidP="00E231FE">
            <w:pPr>
              <w:jc w:val="left"/>
              <w:rPr>
                <w:b/>
                <w:bCs/>
                <w:sz w:val="18"/>
                <w:szCs w:val="18"/>
              </w:rPr>
            </w:pPr>
            <w:r w:rsidRPr="002536CD">
              <w:rPr>
                <w:b/>
                <w:bCs/>
                <w:sz w:val="18"/>
                <w:szCs w:val="18"/>
              </w:rPr>
              <w:t>Statistic</w:t>
            </w:r>
          </w:p>
        </w:tc>
        <w:tc>
          <w:tcPr>
            <w:tcW w:w="1596" w:type="pct"/>
            <w:tcBorders>
              <w:bottom w:val="none" w:sz="0" w:space="0" w:color="auto"/>
            </w:tcBorders>
            <w:shd w:val="clear" w:color="auto" w:fill="000000" w:themeFill="text1"/>
            <w:hideMark/>
          </w:tcPr>
          <w:p w14:paraId="648E8E4E" w14:textId="77777777" w:rsidR="00424078" w:rsidRPr="002536CD" w:rsidRDefault="00424078" w:rsidP="00E231FE">
            <w:pPr>
              <w:jc w:val="left"/>
              <w:cnfStyle w:val="100000000000" w:firstRow="1" w:lastRow="0" w:firstColumn="0" w:lastColumn="0" w:oddVBand="0" w:evenVBand="0" w:oddHBand="0" w:evenHBand="0" w:firstRowFirstColumn="0" w:firstRowLastColumn="0" w:lastRowFirstColumn="0" w:lastRowLastColumn="0"/>
              <w:rPr>
                <w:b/>
                <w:bCs/>
                <w:sz w:val="18"/>
                <w:szCs w:val="18"/>
              </w:rPr>
            </w:pPr>
            <w:r w:rsidRPr="002536CD">
              <w:rPr>
                <w:b/>
                <w:bCs/>
                <w:sz w:val="18"/>
                <w:szCs w:val="18"/>
              </w:rPr>
              <w:t>Value</w:t>
            </w:r>
          </w:p>
        </w:tc>
      </w:tr>
      <w:tr w:rsidR="00424078" w:rsidRPr="002536CD" w14:paraId="4162FC68" w14:textId="77777777" w:rsidTr="00E23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4" w:type="pct"/>
            <w:tcBorders>
              <w:right w:val="none" w:sz="0" w:space="0" w:color="auto"/>
            </w:tcBorders>
            <w:hideMark/>
          </w:tcPr>
          <w:p w14:paraId="3D9060C2" w14:textId="77777777" w:rsidR="00424078" w:rsidRPr="002536CD" w:rsidRDefault="00424078">
            <w:pPr>
              <w:jc w:val="left"/>
              <w:rPr>
                <w:sz w:val="18"/>
                <w:szCs w:val="18"/>
              </w:rPr>
            </w:pPr>
            <w:r w:rsidRPr="002536CD">
              <w:rPr>
                <w:sz w:val="18"/>
                <w:szCs w:val="18"/>
              </w:rPr>
              <w:t>R</w:t>
            </w:r>
          </w:p>
        </w:tc>
        <w:tc>
          <w:tcPr>
            <w:tcW w:w="1596" w:type="pct"/>
            <w:hideMark/>
          </w:tcPr>
          <w:p w14:paraId="66DCD84D" w14:textId="77777777" w:rsidR="00424078" w:rsidRPr="002536CD" w:rsidRDefault="00424078">
            <w:pPr>
              <w:cnfStyle w:val="000000100000" w:firstRow="0" w:lastRow="0" w:firstColumn="0" w:lastColumn="0" w:oddVBand="0" w:evenVBand="0" w:oddHBand="1" w:evenHBand="0" w:firstRowFirstColumn="0" w:firstRowLastColumn="0" w:lastRowFirstColumn="0" w:lastRowLastColumn="0"/>
              <w:rPr>
                <w:sz w:val="18"/>
                <w:szCs w:val="18"/>
              </w:rPr>
            </w:pPr>
            <w:r w:rsidRPr="002536CD">
              <w:rPr>
                <w:sz w:val="18"/>
                <w:szCs w:val="18"/>
              </w:rPr>
              <w:t>0.758</w:t>
            </w:r>
          </w:p>
        </w:tc>
      </w:tr>
      <w:tr w:rsidR="00424078" w:rsidRPr="002536CD" w14:paraId="5FF24EDD" w14:textId="77777777" w:rsidTr="00E231FE">
        <w:tc>
          <w:tcPr>
            <w:cnfStyle w:val="001000000000" w:firstRow="0" w:lastRow="0" w:firstColumn="1" w:lastColumn="0" w:oddVBand="0" w:evenVBand="0" w:oddHBand="0" w:evenHBand="0" w:firstRowFirstColumn="0" w:firstRowLastColumn="0" w:lastRowFirstColumn="0" w:lastRowLastColumn="0"/>
            <w:tcW w:w="3404" w:type="pct"/>
            <w:tcBorders>
              <w:right w:val="none" w:sz="0" w:space="0" w:color="auto"/>
            </w:tcBorders>
            <w:hideMark/>
          </w:tcPr>
          <w:p w14:paraId="0D79F3FB" w14:textId="77777777" w:rsidR="00424078" w:rsidRPr="002536CD" w:rsidRDefault="00424078">
            <w:pPr>
              <w:rPr>
                <w:sz w:val="18"/>
                <w:szCs w:val="18"/>
              </w:rPr>
            </w:pPr>
            <w:r w:rsidRPr="002536CD">
              <w:rPr>
                <w:sz w:val="18"/>
                <w:szCs w:val="18"/>
              </w:rPr>
              <w:t>R²</w:t>
            </w:r>
          </w:p>
        </w:tc>
        <w:tc>
          <w:tcPr>
            <w:tcW w:w="1596" w:type="pct"/>
            <w:hideMark/>
          </w:tcPr>
          <w:p w14:paraId="1A91A1A1" w14:textId="77777777" w:rsidR="00424078" w:rsidRPr="002536CD" w:rsidRDefault="00424078">
            <w:pPr>
              <w:cnfStyle w:val="000000000000" w:firstRow="0" w:lastRow="0" w:firstColumn="0" w:lastColumn="0" w:oddVBand="0" w:evenVBand="0" w:oddHBand="0" w:evenHBand="0" w:firstRowFirstColumn="0" w:firstRowLastColumn="0" w:lastRowFirstColumn="0" w:lastRowLastColumn="0"/>
              <w:rPr>
                <w:sz w:val="18"/>
                <w:szCs w:val="18"/>
              </w:rPr>
            </w:pPr>
            <w:r w:rsidRPr="002536CD">
              <w:rPr>
                <w:sz w:val="18"/>
                <w:szCs w:val="18"/>
              </w:rPr>
              <w:t>0.575</w:t>
            </w:r>
          </w:p>
        </w:tc>
      </w:tr>
      <w:tr w:rsidR="00424078" w:rsidRPr="002536CD" w14:paraId="786602D2" w14:textId="77777777" w:rsidTr="00E23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4" w:type="pct"/>
            <w:tcBorders>
              <w:right w:val="none" w:sz="0" w:space="0" w:color="auto"/>
            </w:tcBorders>
            <w:hideMark/>
          </w:tcPr>
          <w:p w14:paraId="6DC86905" w14:textId="77777777" w:rsidR="00424078" w:rsidRPr="002536CD" w:rsidRDefault="00424078">
            <w:pPr>
              <w:rPr>
                <w:sz w:val="18"/>
                <w:szCs w:val="18"/>
              </w:rPr>
            </w:pPr>
            <w:r w:rsidRPr="002536CD">
              <w:rPr>
                <w:sz w:val="18"/>
                <w:szCs w:val="18"/>
              </w:rPr>
              <w:t>Adjusted R²</w:t>
            </w:r>
          </w:p>
        </w:tc>
        <w:tc>
          <w:tcPr>
            <w:tcW w:w="1596" w:type="pct"/>
            <w:hideMark/>
          </w:tcPr>
          <w:p w14:paraId="3C71E4DF" w14:textId="77777777" w:rsidR="00424078" w:rsidRPr="002536CD" w:rsidRDefault="00424078">
            <w:pPr>
              <w:cnfStyle w:val="000000100000" w:firstRow="0" w:lastRow="0" w:firstColumn="0" w:lastColumn="0" w:oddVBand="0" w:evenVBand="0" w:oddHBand="1" w:evenHBand="0" w:firstRowFirstColumn="0" w:firstRowLastColumn="0" w:lastRowFirstColumn="0" w:lastRowLastColumn="0"/>
              <w:rPr>
                <w:sz w:val="18"/>
                <w:szCs w:val="18"/>
              </w:rPr>
            </w:pPr>
            <w:r w:rsidRPr="002536CD">
              <w:rPr>
                <w:sz w:val="18"/>
                <w:szCs w:val="18"/>
              </w:rPr>
              <w:t>0.569</w:t>
            </w:r>
          </w:p>
        </w:tc>
      </w:tr>
      <w:tr w:rsidR="00424078" w:rsidRPr="002536CD" w14:paraId="5D9FEC51" w14:textId="77777777" w:rsidTr="00E231FE">
        <w:tc>
          <w:tcPr>
            <w:cnfStyle w:val="001000000000" w:firstRow="0" w:lastRow="0" w:firstColumn="1" w:lastColumn="0" w:oddVBand="0" w:evenVBand="0" w:oddHBand="0" w:evenHBand="0" w:firstRowFirstColumn="0" w:firstRowLastColumn="0" w:lastRowFirstColumn="0" w:lastRowLastColumn="0"/>
            <w:tcW w:w="3404" w:type="pct"/>
            <w:tcBorders>
              <w:right w:val="none" w:sz="0" w:space="0" w:color="auto"/>
            </w:tcBorders>
            <w:hideMark/>
          </w:tcPr>
          <w:p w14:paraId="7C871AE3" w14:textId="77777777" w:rsidR="00424078" w:rsidRPr="002536CD" w:rsidRDefault="00424078">
            <w:pPr>
              <w:rPr>
                <w:sz w:val="18"/>
                <w:szCs w:val="18"/>
              </w:rPr>
            </w:pPr>
            <w:r w:rsidRPr="002536CD">
              <w:rPr>
                <w:sz w:val="18"/>
                <w:szCs w:val="18"/>
              </w:rPr>
              <w:t>Standard Error</w:t>
            </w:r>
          </w:p>
        </w:tc>
        <w:tc>
          <w:tcPr>
            <w:tcW w:w="1596" w:type="pct"/>
            <w:hideMark/>
          </w:tcPr>
          <w:p w14:paraId="661F662E" w14:textId="77777777" w:rsidR="00424078" w:rsidRPr="002536CD" w:rsidRDefault="00424078">
            <w:pPr>
              <w:cnfStyle w:val="000000000000" w:firstRow="0" w:lastRow="0" w:firstColumn="0" w:lastColumn="0" w:oddVBand="0" w:evenVBand="0" w:oddHBand="0" w:evenHBand="0" w:firstRowFirstColumn="0" w:firstRowLastColumn="0" w:lastRowFirstColumn="0" w:lastRowLastColumn="0"/>
              <w:rPr>
                <w:sz w:val="18"/>
                <w:szCs w:val="18"/>
              </w:rPr>
            </w:pPr>
            <w:r w:rsidRPr="002536CD">
              <w:rPr>
                <w:sz w:val="18"/>
                <w:szCs w:val="18"/>
              </w:rPr>
              <w:t>0.483</w:t>
            </w:r>
          </w:p>
        </w:tc>
      </w:tr>
    </w:tbl>
    <w:p w14:paraId="5B39D80F" w14:textId="77777777" w:rsidR="00424078" w:rsidRPr="00191D21" w:rsidRDefault="00424078" w:rsidP="00191D21">
      <w:pPr>
        <w:jc w:val="right"/>
        <w:rPr>
          <w:i/>
          <w:iCs/>
          <w:sz w:val="18"/>
          <w:szCs w:val="18"/>
        </w:rPr>
      </w:pPr>
      <w:r w:rsidRPr="00191D21">
        <w:rPr>
          <w:rStyle w:val="Strong"/>
          <w:i/>
          <w:iCs/>
          <w:sz w:val="18"/>
          <w:szCs w:val="18"/>
        </w:rPr>
        <w:t>Source:</w:t>
      </w:r>
      <w:r w:rsidRPr="00191D21">
        <w:rPr>
          <w:i/>
          <w:iCs/>
          <w:sz w:val="18"/>
          <w:szCs w:val="18"/>
        </w:rPr>
        <w:t xml:space="preserve"> Survey Data (2026)</w:t>
      </w:r>
    </w:p>
    <w:p w14:paraId="5522A239" w14:textId="77777777" w:rsidR="00424078" w:rsidRDefault="00424078" w:rsidP="004C60DB">
      <w:r>
        <w:t>The model yielded an R² value of 0.575, indicating that leadership politics explains approximately 57.5% of the variation in project sustainability. This finding suggests that governance and leadership-related factors account for a substantial proportion of sustainability outcomes among community-based development projects.</w:t>
      </w:r>
    </w:p>
    <w:p w14:paraId="2CB63854" w14:textId="77777777" w:rsidR="00424078" w:rsidRPr="004C60DB" w:rsidRDefault="00424078" w:rsidP="004C60DB">
      <w:pPr>
        <w:rPr>
          <w:b/>
          <w:bCs/>
          <w:sz w:val="18"/>
          <w:szCs w:val="18"/>
        </w:rPr>
      </w:pPr>
      <w:r w:rsidRPr="004C60DB">
        <w:rPr>
          <w:b/>
          <w:bCs/>
          <w:sz w:val="18"/>
          <w:szCs w:val="18"/>
        </w:rPr>
        <w:t>Table 6: Regression Coefficients</w:t>
      </w:r>
    </w:p>
    <w:tbl>
      <w:tblPr>
        <w:tblStyle w:val="PlainTable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6"/>
        <w:gridCol w:w="1365"/>
        <w:gridCol w:w="1762"/>
        <w:gridCol w:w="1883"/>
      </w:tblGrid>
      <w:tr w:rsidR="00424078" w:rsidRPr="002536CD" w14:paraId="2E02FB61" w14:textId="77777777" w:rsidTr="00E231F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222" w:type="pct"/>
            <w:tcBorders>
              <w:bottom w:val="none" w:sz="0" w:space="0" w:color="auto"/>
              <w:right w:val="none" w:sz="0" w:space="0" w:color="auto"/>
            </w:tcBorders>
            <w:shd w:val="clear" w:color="auto" w:fill="000000" w:themeFill="text1"/>
            <w:hideMark/>
          </w:tcPr>
          <w:p w14:paraId="659BBD43" w14:textId="77777777" w:rsidR="00424078" w:rsidRPr="002536CD" w:rsidRDefault="00424078">
            <w:pPr>
              <w:jc w:val="center"/>
              <w:rPr>
                <w:b/>
                <w:bCs/>
                <w:sz w:val="18"/>
                <w:szCs w:val="18"/>
              </w:rPr>
            </w:pPr>
            <w:r w:rsidRPr="002536CD">
              <w:rPr>
                <w:b/>
                <w:bCs/>
                <w:sz w:val="18"/>
                <w:szCs w:val="18"/>
              </w:rPr>
              <w:t>Variable</w:t>
            </w:r>
          </w:p>
        </w:tc>
        <w:tc>
          <w:tcPr>
            <w:tcW w:w="757" w:type="pct"/>
            <w:tcBorders>
              <w:bottom w:val="none" w:sz="0" w:space="0" w:color="auto"/>
            </w:tcBorders>
            <w:shd w:val="clear" w:color="auto" w:fill="000000" w:themeFill="text1"/>
            <w:hideMark/>
          </w:tcPr>
          <w:p w14:paraId="22B8AFDF" w14:textId="77777777" w:rsidR="00424078" w:rsidRPr="002536CD" w:rsidRDefault="00424078">
            <w:pPr>
              <w:jc w:val="center"/>
              <w:cnfStyle w:val="100000000000" w:firstRow="1" w:lastRow="0" w:firstColumn="0" w:lastColumn="0" w:oddVBand="0" w:evenVBand="0" w:oddHBand="0" w:evenHBand="0" w:firstRowFirstColumn="0" w:firstRowLastColumn="0" w:lastRowFirstColumn="0" w:lastRowLastColumn="0"/>
              <w:rPr>
                <w:b/>
                <w:bCs/>
                <w:sz w:val="18"/>
                <w:szCs w:val="18"/>
              </w:rPr>
            </w:pPr>
            <w:r w:rsidRPr="002536CD">
              <w:rPr>
                <w:b/>
                <w:bCs/>
                <w:sz w:val="18"/>
                <w:szCs w:val="18"/>
              </w:rPr>
              <w:t>β</w:t>
            </w:r>
          </w:p>
        </w:tc>
        <w:tc>
          <w:tcPr>
            <w:tcW w:w="977" w:type="pct"/>
            <w:tcBorders>
              <w:bottom w:val="none" w:sz="0" w:space="0" w:color="auto"/>
            </w:tcBorders>
            <w:shd w:val="clear" w:color="auto" w:fill="000000" w:themeFill="text1"/>
            <w:hideMark/>
          </w:tcPr>
          <w:p w14:paraId="223FD382" w14:textId="77777777" w:rsidR="00424078" w:rsidRPr="002536CD" w:rsidRDefault="00424078">
            <w:pPr>
              <w:jc w:val="center"/>
              <w:cnfStyle w:val="100000000000" w:firstRow="1" w:lastRow="0" w:firstColumn="0" w:lastColumn="0" w:oddVBand="0" w:evenVBand="0" w:oddHBand="0" w:evenHBand="0" w:firstRowFirstColumn="0" w:firstRowLastColumn="0" w:lastRowFirstColumn="0" w:lastRowLastColumn="0"/>
              <w:rPr>
                <w:b/>
                <w:bCs/>
                <w:sz w:val="18"/>
                <w:szCs w:val="18"/>
              </w:rPr>
            </w:pPr>
            <w:r w:rsidRPr="002536CD">
              <w:rPr>
                <w:b/>
                <w:bCs/>
                <w:sz w:val="18"/>
                <w:szCs w:val="18"/>
              </w:rPr>
              <w:t>t-value</w:t>
            </w:r>
          </w:p>
        </w:tc>
        <w:tc>
          <w:tcPr>
            <w:tcW w:w="1044" w:type="pct"/>
            <w:tcBorders>
              <w:bottom w:val="none" w:sz="0" w:space="0" w:color="auto"/>
            </w:tcBorders>
            <w:shd w:val="clear" w:color="auto" w:fill="000000" w:themeFill="text1"/>
            <w:hideMark/>
          </w:tcPr>
          <w:p w14:paraId="05A1DF5F" w14:textId="77777777" w:rsidR="00424078" w:rsidRPr="002536CD" w:rsidRDefault="00424078">
            <w:pPr>
              <w:jc w:val="center"/>
              <w:cnfStyle w:val="100000000000" w:firstRow="1" w:lastRow="0" w:firstColumn="0" w:lastColumn="0" w:oddVBand="0" w:evenVBand="0" w:oddHBand="0" w:evenHBand="0" w:firstRowFirstColumn="0" w:firstRowLastColumn="0" w:lastRowFirstColumn="0" w:lastRowLastColumn="0"/>
              <w:rPr>
                <w:b/>
                <w:bCs/>
                <w:sz w:val="18"/>
                <w:szCs w:val="18"/>
              </w:rPr>
            </w:pPr>
            <w:r w:rsidRPr="002536CD">
              <w:rPr>
                <w:b/>
                <w:bCs/>
                <w:sz w:val="18"/>
                <w:szCs w:val="18"/>
              </w:rPr>
              <w:t>p-value</w:t>
            </w:r>
          </w:p>
        </w:tc>
      </w:tr>
      <w:tr w:rsidR="00424078" w:rsidRPr="002536CD" w14:paraId="323BFAC0" w14:textId="77777777" w:rsidTr="002536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22" w:type="pct"/>
            <w:tcBorders>
              <w:right w:val="none" w:sz="0" w:space="0" w:color="auto"/>
            </w:tcBorders>
            <w:hideMark/>
          </w:tcPr>
          <w:p w14:paraId="43729719" w14:textId="77777777" w:rsidR="00424078" w:rsidRPr="002536CD" w:rsidRDefault="00424078">
            <w:pPr>
              <w:jc w:val="left"/>
              <w:rPr>
                <w:sz w:val="18"/>
                <w:szCs w:val="18"/>
              </w:rPr>
            </w:pPr>
            <w:r w:rsidRPr="002536CD">
              <w:rPr>
                <w:sz w:val="18"/>
                <w:szCs w:val="18"/>
              </w:rPr>
              <w:t>Constant</w:t>
            </w:r>
          </w:p>
        </w:tc>
        <w:tc>
          <w:tcPr>
            <w:tcW w:w="757" w:type="pct"/>
            <w:hideMark/>
          </w:tcPr>
          <w:p w14:paraId="1E1B7246" w14:textId="77777777" w:rsidR="00424078" w:rsidRPr="002536CD" w:rsidRDefault="00424078">
            <w:pPr>
              <w:cnfStyle w:val="000000100000" w:firstRow="0" w:lastRow="0" w:firstColumn="0" w:lastColumn="0" w:oddVBand="0" w:evenVBand="0" w:oddHBand="1" w:evenHBand="0" w:firstRowFirstColumn="0" w:firstRowLastColumn="0" w:lastRowFirstColumn="0" w:lastRowLastColumn="0"/>
              <w:rPr>
                <w:sz w:val="18"/>
                <w:szCs w:val="18"/>
              </w:rPr>
            </w:pPr>
            <w:r w:rsidRPr="002536CD">
              <w:rPr>
                <w:sz w:val="18"/>
                <w:szCs w:val="18"/>
              </w:rPr>
              <w:t>1.215</w:t>
            </w:r>
          </w:p>
        </w:tc>
        <w:tc>
          <w:tcPr>
            <w:tcW w:w="977" w:type="pct"/>
            <w:hideMark/>
          </w:tcPr>
          <w:p w14:paraId="1DFBB941" w14:textId="77777777" w:rsidR="00424078" w:rsidRPr="002536CD" w:rsidRDefault="00424078">
            <w:pPr>
              <w:cnfStyle w:val="000000100000" w:firstRow="0" w:lastRow="0" w:firstColumn="0" w:lastColumn="0" w:oddVBand="0" w:evenVBand="0" w:oddHBand="1" w:evenHBand="0" w:firstRowFirstColumn="0" w:firstRowLastColumn="0" w:lastRowFirstColumn="0" w:lastRowLastColumn="0"/>
              <w:rPr>
                <w:sz w:val="18"/>
                <w:szCs w:val="18"/>
              </w:rPr>
            </w:pPr>
            <w:r w:rsidRPr="002536CD">
              <w:rPr>
                <w:sz w:val="18"/>
                <w:szCs w:val="18"/>
              </w:rPr>
              <w:t>4.917</w:t>
            </w:r>
          </w:p>
        </w:tc>
        <w:tc>
          <w:tcPr>
            <w:tcW w:w="1044" w:type="pct"/>
            <w:hideMark/>
          </w:tcPr>
          <w:p w14:paraId="5CFEB393" w14:textId="77777777" w:rsidR="00424078" w:rsidRPr="002536CD" w:rsidRDefault="00424078">
            <w:pPr>
              <w:cnfStyle w:val="000000100000" w:firstRow="0" w:lastRow="0" w:firstColumn="0" w:lastColumn="0" w:oddVBand="0" w:evenVBand="0" w:oddHBand="1" w:evenHBand="0" w:firstRowFirstColumn="0" w:firstRowLastColumn="0" w:lastRowFirstColumn="0" w:lastRowLastColumn="0"/>
              <w:rPr>
                <w:sz w:val="18"/>
                <w:szCs w:val="18"/>
              </w:rPr>
            </w:pPr>
            <w:r w:rsidRPr="002536CD">
              <w:rPr>
                <w:sz w:val="18"/>
                <w:szCs w:val="18"/>
              </w:rPr>
              <w:t>.000</w:t>
            </w:r>
          </w:p>
        </w:tc>
      </w:tr>
      <w:tr w:rsidR="00424078" w:rsidRPr="002536CD" w14:paraId="502E0C4B" w14:textId="77777777" w:rsidTr="002536CD">
        <w:trPr>
          <w:jc w:val="center"/>
        </w:trPr>
        <w:tc>
          <w:tcPr>
            <w:cnfStyle w:val="001000000000" w:firstRow="0" w:lastRow="0" w:firstColumn="1" w:lastColumn="0" w:oddVBand="0" w:evenVBand="0" w:oddHBand="0" w:evenHBand="0" w:firstRowFirstColumn="0" w:firstRowLastColumn="0" w:lastRowFirstColumn="0" w:lastRowLastColumn="0"/>
            <w:tcW w:w="2222" w:type="pct"/>
            <w:tcBorders>
              <w:right w:val="none" w:sz="0" w:space="0" w:color="auto"/>
            </w:tcBorders>
            <w:hideMark/>
          </w:tcPr>
          <w:p w14:paraId="420F6441" w14:textId="77777777" w:rsidR="00424078" w:rsidRPr="002536CD" w:rsidRDefault="00424078">
            <w:pPr>
              <w:rPr>
                <w:sz w:val="18"/>
                <w:szCs w:val="18"/>
              </w:rPr>
            </w:pPr>
            <w:r w:rsidRPr="002536CD">
              <w:rPr>
                <w:sz w:val="18"/>
                <w:szCs w:val="18"/>
              </w:rPr>
              <w:t>Leadership Politics</w:t>
            </w:r>
          </w:p>
        </w:tc>
        <w:tc>
          <w:tcPr>
            <w:tcW w:w="757" w:type="pct"/>
            <w:hideMark/>
          </w:tcPr>
          <w:p w14:paraId="6385D68C" w14:textId="77777777" w:rsidR="00424078" w:rsidRPr="002536CD" w:rsidRDefault="00424078">
            <w:pPr>
              <w:cnfStyle w:val="000000000000" w:firstRow="0" w:lastRow="0" w:firstColumn="0" w:lastColumn="0" w:oddVBand="0" w:evenVBand="0" w:oddHBand="0" w:evenHBand="0" w:firstRowFirstColumn="0" w:firstRowLastColumn="0" w:lastRowFirstColumn="0" w:lastRowLastColumn="0"/>
              <w:rPr>
                <w:sz w:val="18"/>
                <w:szCs w:val="18"/>
              </w:rPr>
            </w:pPr>
            <w:r w:rsidRPr="002536CD">
              <w:rPr>
                <w:sz w:val="18"/>
                <w:szCs w:val="18"/>
              </w:rPr>
              <w:t>0.521</w:t>
            </w:r>
          </w:p>
        </w:tc>
        <w:tc>
          <w:tcPr>
            <w:tcW w:w="977" w:type="pct"/>
            <w:hideMark/>
          </w:tcPr>
          <w:p w14:paraId="208496E6" w14:textId="77777777" w:rsidR="00424078" w:rsidRPr="002536CD" w:rsidRDefault="00424078">
            <w:pPr>
              <w:cnfStyle w:val="000000000000" w:firstRow="0" w:lastRow="0" w:firstColumn="0" w:lastColumn="0" w:oddVBand="0" w:evenVBand="0" w:oddHBand="0" w:evenHBand="0" w:firstRowFirstColumn="0" w:firstRowLastColumn="0" w:lastRowFirstColumn="0" w:lastRowLastColumn="0"/>
              <w:rPr>
                <w:sz w:val="18"/>
                <w:szCs w:val="18"/>
              </w:rPr>
            </w:pPr>
            <w:r w:rsidRPr="002536CD">
              <w:rPr>
                <w:sz w:val="18"/>
                <w:szCs w:val="18"/>
              </w:rPr>
              <w:t>8.864</w:t>
            </w:r>
          </w:p>
        </w:tc>
        <w:tc>
          <w:tcPr>
            <w:tcW w:w="1044" w:type="pct"/>
            <w:hideMark/>
          </w:tcPr>
          <w:p w14:paraId="199DA776" w14:textId="77777777" w:rsidR="00424078" w:rsidRPr="002536CD" w:rsidRDefault="00424078">
            <w:pPr>
              <w:cnfStyle w:val="000000000000" w:firstRow="0" w:lastRow="0" w:firstColumn="0" w:lastColumn="0" w:oddVBand="0" w:evenVBand="0" w:oddHBand="0" w:evenHBand="0" w:firstRowFirstColumn="0" w:firstRowLastColumn="0" w:lastRowFirstColumn="0" w:lastRowLastColumn="0"/>
              <w:rPr>
                <w:sz w:val="18"/>
                <w:szCs w:val="18"/>
              </w:rPr>
            </w:pPr>
            <w:r w:rsidRPr="002536CD">
              <w:rPr>
                <w:sz w:val="18"/>
                <w:szCs w:val="18"/>
              </w:rPr>
              <w:t>.000</w:t>
            </w:r>
          </w:p>
        </w:tc>
      </w:tr>
    </w:tbl>
    <w:p w14:paraId="119A7C74" w14:textId="77777777" w:rsidR="00424078" w:rsidRPr="004C60DB" w:rsidRDefault="00424078" w:rsidP="004C60DB">
      <w:pPr>
        <w:jc w:val="right"/>
        <w:rPr>
          <w:rStyle w:val="Strong"/>
          <w:b w:val="0"/>
          <w:bCs w:val="0"/>
          <w:i/>
          <w:iCs/>
          <w:sz w:val="18"/>
          <w:szCs w:val="18"/>
        </w:rPr>
      </w:pPr>
      <w:r w:rsidRPr="004C60DB">
        <w:rPr>
          <w:rStyle w:val="Strong"/>
          <w:i/>
          <w:iCs/>
          <w:sz w:val="18"/>
          <w:szCs w:val="18"/>
        </w:rPr>
        <w:t>Source:</w:t>
      </w:r>
      <w:r w:rsidRPr="004C60DB">
        <w:rPr>
          <w:rStyle w:val="Strong"/>
          <w:b w:val="0"/>
          <w:bCs w:val="0"/>
          <w:i/>
          <w:iCs/>
          <w:sz w:val="18"/>
          <w:szCs w:val="18"/>
        </w:rPr>
        <w:t xml:space="preserve"> Survey Data (2026)</w:t>
      </w:r>
    </w:p>
    <w:p w14:paraId="6EA5347F" w14:textId="77777777" w:rsidR="00424078" w:rsidRDefault="00424078" w:rsidP="004C60DB">
      <w:r>
        <w:t xml:space="preserve">The regression results demonstrate that leadership politics has a positive and statistically significant influence on project sustainability (β = 0.521, p &lt; 0.001). The findings imply that improvements in leadership accountability, governance transparency, inclusivity, representation, conflict management, and fairness in </w:t>
      </w:r>
      <w:r>
        <w:lastRenderedPageBreak/>
        <w:t>resource allocation significantly enhance sustainability outcomes. Consequently, the study rejects the null hypothesis and accepts the alternative hypothesis that leadership politics significantly influences the sustainability of community-based development projects in Masvingo Province.</w:t>
      </w:r>
    </w:p>
    <w:p w14:paraId="577FD486" w14:textId="77777777" w:rsidR="00424078" w:rsidRPr="004C60DB" w:rsidRDefault="00424078" w:rsidP="00841160">
      <w:pPr>
        <w:pStyle w:val="Heading2"/>
      </w:pPr>
      <w:r w:rsidRPr="004C60DB">
        <w:t>Qualitative Findings on Leadership Politics and Sustainability</w:t>
      </w:r>
    </w:p>
    <w:p w14:paraId="5E090686" w14:textId="77777777" w:rsidR="00424078" w:rsidRDefault="00424078" w:rsidP="004C60DB">
      <w:r>
        <w:t>The qualitative findings largely corroborated the quantitative results and provided deeper insights into the mechanisms through which leadership politics influences sustainability. Four dominant themes emerged from the interviews: accountability and trust, governance transparency, political inclusivity and representation, and leadership conflicts and project sustainability.</w:t>
      </w:r>
    </w:p>
    <w:p w14:paraId="1B4C2776" w14:textId="77777777" w:rsidR="00424078" w:rsidRPr="004C60DB" w:rsidRDefault="00424078" w:rsidP="004C60DB">
      <w:pPr>
        <w:rPr>
          <w:b/>
          <w:bCs/>
          <w:sz w:val="18"/>
          <w:szCs w:val="18"/>
        </w:rPr>
      </w:pPr>
      <w:r w:rsidRPr="004C60DB">
        <w:rPr>
          <w:b/>
          <w:bCs/>
          <w:sz w:val="18"/>
          <w:szCs w:val="18"/>
        </w:rPr>
        <w:t>Table 7: Qualitative Themes on Leadership Politics and Sustainability</w:t>
      </w:r>
    </w:p>
    <w:tbl>
      <w:tblPr>
        <w:tblStyle w:val="PlainTable5"/>
        <w:tblW w:w="0" w:type="auto"/>
        <w:tblLook w:val="04A0" w:firstRow="1" w:lastRow="0" w:firstColumn="1" w:lastColumn="0" w:noHBand="0" w:noVBand="1"/>
      </w:tblPr>
      <w:tblGrid>
        <w:gridCol w:w="2163"/>
        <w:gridCol w:w="3949"/>
        <w:gridCol w:w="2914"/>
      </w:tblGrid>
      <w:tr w:rsidR="00424078" w:rsidRPr="00424078" w14:paraId="1BCBEE28" w14:textId="77777777" w:rsidTr="002536CD">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0" w:type="auto"/>
            <w:shd w:val="clear" w:color="auto" w:fill="000000" w:themeFill="text1"/>
            <w:vAlign w:val="center"/>
            <w:hideMark/>
          </w:tcPr>
          <w:p w14:paraId="5392991B" w14:textId="77777777" w:rsidR="00424078" w:rsidRPr="00424078" w:rsidRDefault="00424078" w:rsidP="00514C44">
            <w:pPr>
              <w:jc w:val="left"/>
              <w:rPr>
                <w:b/>
                <w:bCs/>
                <w:sz w:val="16"/>
                <w:szCs w:val="16"/>
              </w:rPr>
            </w:pPr>
            <w:r w:rsidRPr="00424078">
              <w:rPr>
                <w:b/>
                <w:bCs/>
                <w:sz w:val="16"/>
                <w:szCs w:val="16"/>
              </w:rPr>
              <w:t>Theme</w:t>
            </w:r>
          </w:p>
        </w:tc>
        <w:tc>
          <w:tcPr>
            <w:tcW w:w="0" w:type="auto"/>
            <w:shd w:val="clear" w:color="auto" w:fill="000000" w:themeFill="text1"/>
            <w:vAlign w:val="center"/>
            <w:hideMark/>
          </w:tcPr>
          <w:p w14:paraId="3A088656" w14:textId="77777777" w:rsidR="00424078" w:rsidRPr="00424078" w:rsidRDefault="00424078" w:rsidP="00514C44">
            <w:pPr>
              <w:jc w:val="left"/>
              <w:cnfStyle w:val="100000000000" w:firstRow="1" w:lastRow="0" w:firstColumn="0" w:lastColumn="0" w:oddVBand="0" w:evenVBand="0" w:oddHBand="0" w:evenHBand="0" w:firstRowFirstColumn="0" w:firstRowLastColumn="0" w:lastRowFirstColumn="0" w:lastRowLastColumn="0"/>
              <w:rPr>
                <w:b/>
                <w:bCs/>
                <w:sz w:val="16"/>
                <w:szCs w:val="16"/>
              </w:rPr>
            </w:pPr>
            <w:r w:rsidRPr="00424078">
              <w:rPr>
                <w:b/>
                <w:bCs/>
                <w:sz w:val="16"/>
                <w:szCs w:val="16"/>
              </w:rPr>
              <w:t>Representative Quotations</w:t>
            </w:r>
          </w:p>
        </w:tc>
        <w:tc>
          <w:tcPr>
            <w:tcW w:w="0" w:type="auto"/>
            <w:shd w:val="clear" w:color="auto" w:fill="000000" w:themeFill="text1"/>
            <w:vAlign w:val="center"/>
            <w:hideMark/>
          </w:tcPr>
          <w:p w14:paraId="74166FCD" w14:textId="77777777" w:rsidR="00424078" w:rsidRPr="00424078" w:rsidRDefault="00424078" w:rsidP="00514C44">
            <w:pPr>
              <w:jc w:val="left"/>
              <w:cnfStyle w:val="100000000000" w:firstRow="1" w:lastRow="0" w:firstColumn="0" w:lastColumn="0" w:oddVBand="0" w:evenVBand="0" w:oddHBand="0" w:evenHBand="0" w:firstRowFirstColumn="0" w:firstRowLastColumn="0" w:lastRowFirstColumn="0" w:lastRowLastColumn="0"/>
              <w:rPr>
                <w:b/>
                <w:bCs/>
                <w:sz w:val="16"/>
                <w:szCs w:val="16"/>
              </w:rPr>
            </w:pPr>
            <w:r w:rsidRPr="00424078">
              <w:rPr>
                <w:b/>
                <w:bCs/>
                <w:sz w:val="16"/>
                <w:szCs w:val="16"/>
              </w:rPr>
              <w:t>Emerging Meaning</w:t>
            </w:r>
          </w:p>
        </w:tc>
      </w:tr>
      <w:tr w:rsidR="00424078" w:rsidRPr="00424078" w14:paraId="3E7D4AC1" w14:textId="77777777" w:rsidTr="002536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single" w:sz="4" w:space="0" w:color="auto"/>
            </w:tcBorders>
            <w:vAlign w:val="center"/>
            <w:hideMark/>
          </w:tcPr>
          <w:p w14:paraId="797C308C" w14:textId="77777777" w:rsidR="00424078" w:rsidRPr="00424078" w:rsidRDefault="00424078" w:rsidP="00514C44">
            <w:pPr>
              <w:jc w:val="left"/>
              <w:rPr>
                <w:sz w:val="16"/>
                <w:szCs w:val="16"/>
              </w:rPr>
            </w:pPr>
            <w:r w:rsidRPr="00424078">
              <w:rPr>
                <w:rStyle w:val="Strong"/>
                <w:sz w:val="16"/>
                <w:szCs w:val="16"/>
              </w:rPr>
              <w:t>Leadership Accountability and Community Trust</w:t>
            </w:r>
          </w:p>
        </w:tc>
        <w:tc>
          <w:tcPr>
            <w:tcW w:w="0" w:type="auto"/>
            <w:tcBorders>
              <w:top w:val="single" w:sz="4" w:space="0" w:color="7F7F7F" w:themeColor="text1" w:themeTint="80"/>
              <w:bottom w:val="single" w:sz="4" w:space="0" w:color="auto"/>
            </w:tcBorders>
            <w:vAlign w:val="center"/>
            <w:hideMark/>
          </w:tcPr>
          <w:p w14:paraId="2C5F57A8" w14:textId="77777777" w:rsidR="00424078" w:rsidRPr="00424078" w:rsidRDefault="00424078" w:rsidP="00514C44">
            <w:pPr>
              <w:jc w:val="left"/>
              <w:cnfStyle w:val="000000100000" w:firstRow="0" w:lastRow="0" w:firstColumn="0" w:lastColumn="0" w:oddVBand="0" w:evenVBand="0" w:oddHBand="1" w:evenHBand="0" w:firstRowFirstColumn="0" w:firstRowLastColumn="0" w:lastRowFirstColumn="0" w:lastRowLastColumn="0"/>
              <w:rPr>
                <w:sz w:val="16"/>
                <w:szCs w:val="16"/>
              </w:rPr>
            </w:pPr>
            <w:r w:rsidRPr="00424078">
              <w:rPr>
                <w:rStyle w:val="Emphasis"/>
                <w:sz w:val="16"/>
                <w:szCs w:val="16"/>
              </w:rPr>
              <w:t>“Projects survive when leaders regularly account for resources and decisions made on behalf of the community.”</w:t>
            </w:r>
            <w:r w:rsidRPr="00424078">
              <w:rPr>
                <w:sz w:val="16"/>
                <w:szCs w:val="16"/>
              </w:rPr>
              <w:t xml:space="preserve"> (Project Coordinator 2) </w:t>
            </w:r>
            <w:r w:rsidRPr="00424078">
              <w:rPr>
                <w:sz w:val="16"/>
                <w:szCs w:val="16"/>
              </w:rPr>
              <w:br/>
            </w:r>
            <w:r w:rsidRPr="00424078">
              <w:rPr>
                <w:sz w:val="16"/>
                <w:szCs w:val="16"/>
              </w:rPr>
              <w:br/>
            </w:r>
            <w:r w:rsidRPr="00424078">
              <w:rPr>
                <w:rStyle w:val="Emphasis"/>
                <w:sz w:val="16"/>
                <w:szCs w:val="16"/>
              </w:rPr>
              <w:t>“People contribute more when they know leaders are answerable and transparent.”</w:t>
            </w:r>
            <w:r w:rsidRPr="00424078">
              <w:rPr>
                <w:sz w:val="16"/>
                <w:szCs w:val="16"/>
              </w:rPr>
              <w:t xml:space="preserve"> (Community Leader 4) </w:t>
            </w:r>
            <w:r w:rsidRPr="00424078">
              <w:rPr>
                <w:sz w:val="16"/>
                <w:szCs w:val="16"/>
              </w:rPr>
              <w:br/>
            </w:r>
            <w:r w:rsidRPr="00424078">
              <w:rPr>
                <w:sz w:val="16"/>
                <w:szCs w:val="16"/>
              </w:rPr>
              <w:br/>
            </w:r>
            <w:r w:rsidRPr="00424078">
              <w:rPr>
                <w:rStyle w:val="Emphasis"/>
                <w:sz w:val="16"/>
                <w:szCs w:val="16"/>
              </w:rPr>
              <w:t>“Where accountability meetings are held regularly, beneficiaries develop confidence and continue supporting the project.”</w:t>
            </w:r>
            <w:r w:rsidRPr="00424078">
              <w:rPr>
                <w:sz w:val="16"/>
                <w:szCs w:val="16"/>
              </w:rPr>
              <w:t xml:space="preserve"> (NGO Representative 1)</w:t>
            </w:r>
          </w:p>
        </w:tc>
        <w:tc>
          <w:tcPr>
            <w:tcW w:w="0" w:type="auto"/>
            <w:tcBorders>
              <w:top w:val="single" w:sz="4" w:space="0" w:color="7F7F7F" w:themeColor="text1" w:themeTint="80"/>
              <w:bottom w:val="single" w:sz="4" w:space="0" w:color="auto"/>
            </w:tcBorders>
            <w:vAlign w:val="center"/>
            <w:hideMark/>
          </w:tcPr>
          <w:p w14:paraId="60B297FA" w14:textId="77777777" w:rsidR="00424078" w:rsidRPr="00424078" w:rsidRDefault="00424078" w:rsidP="00514C44">
            <w:pPr>
              <w:jc w:val="left"/>
              <w:cnfStyle w:val="000000100000" w:firstRow="0" w:lastRow="0" w:firstColumn="0" w:lastColumn="0" w:oddVBand="0" w:evenVBand="0" w:oddHBand="1" w:evenHBand="0" w:firstRowFirstColumn="0" w:firstRowLastColumn="0" w:lastRowFirstColumn="0" w:lastRowLastColumn="0"/>
              <w:rPr>
                <w:sz w:val="16"/>
                <w:szCs w:val="16"/>
              </w:rPr>
            </w:pPr>
            <w:r w:rsidRPr="00424078">
              <w:rPr>
                <w:sz w:val="16"/>
                <w:szCs w:val="16"/>
              </w:rPr>
              <w:t>Accountability enhances trust, legitimacy, community ownership, and willingness to sustain projects.</w:t>
            </w:r>
          </w:p>
        </w:tc>
      </w:tr>
      <w:tr w:rsidR="00424078" w:rsidRPr="00424078" w14:paraId="617314E0" w14:textId="77777777" w:rsidTr="002536CD">
        <w:trPr>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hideMark/>
          </w:tcPr>
          <w:p w14:paraId="67A9AE65" w14:textId="77777777" w:rsidR="00424078" w:rsidRPr="00424078" w:rsidRDefault="00424078" w:rsidP="00514C44">
            <w:pPr>
              <w:jc w:val="left"/>
              <w:rPr>
                <w:sz w:val="16"/>
                <w:szCs w:val="16"/>
              </w:rPr>
            </w:pPr>
            <w:r w:rsidRPr="00424078">
              <w:rPr>
                <w:rStyle w:val="Strong"/>
                <w:sz w:val="16"/>
                <w:szCs w:val="16"/>
              </w:rPr>
              <w:t>Governance Transparency and Sustainability</w:t>
            </w:r>
          </w:p>
        </w:tc>
        <w:tc>
          <w:tcPr>
            <w:tcW w:w="0" w:type="auto"/>
            <w:tcBorders>
              <w:top w:val="single" w:sz="4" w:space="0" w:color="auto"/>
              <w:bottom w:val="single" w:sz="4" w:space="0" w:color="auto"/>
            </w:tcBorders>
            <w:vAlign w:val="center"/>
            <w:hideMark/>
          </w:tcPr>
          <w:p w14:paraId="73944230" w14:textId="77777777" w:rsidR="00424078" w:rsidRPr="00424078" w:rsidRDefault="00424078" w:rsidP="00514C44">
            <w:pPr>
              <w:jc w:val="left"/>
              <w:cnfStyle w:val="000000000000" w:firstRow="0" w:lastRow="0" w:firstColumn="0" w:lastColumn="0" w:oddVBand="0" w:evenVBand="0" w:oddHBand="0" w:evenHBand="0" w:firstRowFirstColumn="0" w:firstRowLastColumn="0" w:lastRowFirstColumn="0" w:lastRowLastColumn="0"/>
              <w:rPr>
                <w:sz w:val="16"/>
                <w:szCs w:val="16"/>
              </w:rPr>
            </w:pPr>
            <w:r w:rsidRPr="00424078">
              <w:rPr>
                <w:rStyle w:val="Emphasis"/>
                <w:sz w:val="16"/>
                <w:szCs w:val="16"/>
              </w:rPr>
              <w:t>“Transparency reduces suspicion and prevents conflicts among community members.”</w:t>
            </w:r>
            <w:r w:rsidRPr="00424078">
              <w:rPr>
                <w:sz w:val="16"/>
                <w:szCs w:val="16"/>
              </w:rPr>
              <w:t xml:space="preserve"> (Government Official 2) </w:t>
            </w:r>
            <w:r w:rsidRPr="00424078">
              <w:rPr>
                <w:sz w:val="16"/>
                <w:szCs w:val="16"/>
              </w:rPr>
              <w:br/>
            </w:r>
            <w:r w:rsidRPr="00424078">
              <w:rPr>
                <w:sz w:val="16"/>
                <w:szCs w:val="16"/>
              </w:rPr>
              <w:br/>
            </w:r>
            <w:r w:rsidRPr="00424078">
              <w:rPr>
                <w:rStyle w:val="Emphasis"/>
                <w:sz w:val="16"/>
                <w:szCs w:val="16"/>
              </w:rPr>
              <w:t>“When financial reports are openly shared, community members become more committed to project activities.”</w:t>
            </w:r>
            <w:r w:rsidRPr="00424078">
              <w:rPr>
                <w:sz w:val="16"/>
                <w:szCs w:val="16"/>
              </w:rPr>
              <w:t xml:space="preserve"> (Community Leader 3) </w:t>
            </w:r>
            <w:r w:rsidRPr="00424078">
              <w:rPr>
                <w:sz w:val="16"/>
                <w:szCs w:val="16"/>
              </w:rPr>
              <w:br/>
            </w:r>
            <w:r w:rsidRPr="00424078">
              <w:rPr>
                <w:sz w:val="16"/>
                <w:szCs w:val="16"/>
              </w:rPr>
              <w:br/>
            </w:r>
            <w:r w:rsidRPr="00424078">
              <w:rPr>
                <w:rStyle w:val="Emphasis"/>
                <w:sz w:val="16"/>
                <w:szCs w:val="16"/>
              </w:rPr>
              <w:t>“Projects collapse when people suspect misuse of resources.”</w:t>
            </w:r>
            <w:r w:rsidRPr="00424078">
              <w:rPr>
                <w:sz w:val="16"/>
                <w:szCs w:val="16"/>
              </w:rPr>
              <w:t xml:space="preserve"> (NGO Representative 3)</w:t>
            </w:r>
          </w:p>
        </w:tc>
        <w:tc>
          <w:tcPr>
            <w:tcW w:w="0" w:type="auto"/>
            <w:tcBorders>
              <w:top w:val="single" w:sz="4" w:space="0" w:color="auto"/>
              <w:bottom w:val="single" w:sz="4" w:space="0" w:color="auto"/>
            </w:tcBorders>
            <w:vAlign w:val="center"/>
            <w:hideMark/>
          </w:tcPr>
          <w:p w14:paraId="19BC220D" w14:textId="77777777" w:rsidR="00424078" w:rsidRPr="00424078" w:rsidRDefault="00424078" w:rsidP="00514C44">
            <w:pPr>
              <w:jc w:val="left"/>
              <w:cnfStyle w:val="000000000000" w:firstRow="0" w:lastRow="0" w:firstColumn="0" w:lastColumn="0" w:oddVBand="0" w:evenVBand="0" w:oddHBand="0" w:evenHBand="0" w:firstRowFirstColumn="0" w:firstRowLastColumn="0" w:lastRowFirstColumn="0" w:lastRowLastColumn="0"/>
              <w:rPr>
                <w:sz w:val="16"/>
                <w:szCs w:val="16"/>
              </w:rPr>
            </w:pPr>
            <w:r w:rsidRPr="00424078">
              <w:rPr>
                <w:sz w:val="16"/>
                <w:szCs w:val="16"/>
              </w:rPr>
              <w:t>Transparent governance strengthens stakeholder confidence and institutional credibility.</w:t>
            </w:r>
          </w:p>
        </w:tc>
      </w:tr>
      <w:tr w:rsidR="00424078" w:rsidRPr="00424078" w14:paraId="01942F2E" w14:textId="77777777" w:rsidTr="002536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vAlign w:val="center"/>
            <w:hideMark/>
          </w:tcPr>
          <w:p w14:paraId="16F4D282" w14:textId="77777777" w:rsidR="00424078" w:rsidRPr="00424078" w:rsidRDefault="00424078" w:rsidP="00514C44">
            <w:pPr>
              <w:jc w:val="left"/>
              <w:rPr>
                <w:sz w:val="16"/>
                <w:szCs w:val="16"/>
              </w:rPr>
            </w:pPr>
            <w:r w:rsidRPr="00424078">
              <w:rPr>
                <w:rStyle w:val="Strong"/>
                <w:sz w:val="16"/>
                <w:szCs w:val="16"/>
              </w:rPr>
              <w:t>Political Inclusivity and Stakeholder Representation</w:t>
            </w:r>
          </w:p>
        </w:tc>
        <w:tc>
          <w:tcPr>
            <w:tcW w:w="0" w:type="auto"/>
            <w:tcBorders>
              <w:top w:val="single" w:sz="4" w:space="0" w:color="auto"/>
              <w:bottom w:val="single" w:sz="4" w:space="0" w:color="auto"/>
            </w:tcBorders>
            <w:vAlign w:val="center"/>
            <w:hideMark/>
          </w:tcPr>
          <w:p w14:paraId="493C85BD" w14:textId="77777777" w:rsidR="00424078" w:rsidRPr="00424078" w:rsidRDefault="00424078" w:rsidP="00514C44">
            <w:pPr>
              <w:jc w:val="left"/>
              <w:cnfStyle w:val="000000100000" w:firstRow="0" w:lastRow="0" w:firstColumn="0" w:lastColumn="0" w:oddVBand="0" w:evenVBand="0" w:oddHBand="1" w:evenHBand="0" w:firstRowFirstColumn="0" w:firstRowLastColumn="0" w:lastRowFirstColumn="0" w:lastRowLastColumn="0"/>
              <w:rPr>
                <w:sz w:val="16"/>
                <w:szCs w:val="16"/>
              </w:rPr>
            </w:pPr>
            <w:r w:rsidRPr="00424078">
              <w:rPr>
                <w:rStyle w:val="Emphasis"/>
                <w:sz w:val="16"/>
                <w:szCs w:val="16"/>
              </w:rPr>
              <w:t>“People protect what they help to create.”</w:t>
            </w:r>
            <w:r w:rsidRPr="00424078">
              <w:rPr>
                <w:sz w:val="16"/>
                <w:szCs w:val="16"/>
              </w:rPr>
              <w:t xml:space="preserve"> (Project Coordinator 1) </w:t>
            </w:r>
            <w:r w:rsidRPr="00424078">
              <w:rPr>
                <w:sz w:val="16"/>
                <w:szCs w:val="16"/>
              </w:rPr>
              <w:br/>
            </w:r>
            <w:r w:rsidRPr="00424078">
              <w:rPr>
                <w:sz w:val="16"/>
                <w:szCs w:val="16"/>
              </w:rPr>
              <w:br/>
            </w:r>
            <w:r w:rsidRPr="00424078">
              <w:rPr>
                <w:rStyle w:val="Emphasis"/>
                <w:sz w:val="16"/>
                <w:szCs w:val="16"/>
              </w:rPr>
              <w:t>“When women, youth and vulnerable groups participate in decision-making, projects become more sustainable.”</w:t>
            </w:r>
            <w:r w:rsidRPr="00424078">
              <w:rPr>
                <w:sz w:val="16"/>
                <w:szCs w:val="16"/>
              </w:rPr>
              <w:t xml:space="preserve"> (Government Official 1) </w:t>
            </w:r>
            <w:r w:rsidRPr="00424078">
              <w:rPr>
                <w:sz w:val="16"/>
                <w:szCs w:val="16"/>
              </w:rPr>
              <w:br/>
            </w:r>
            <w:r w:rsidRPr="00424078">
              <w:rPr>
                <w:sz w:val="16"/>
                <w:szCs w:val="16"/>
              </w:rPr>
              <w:br/>
            </w:r>
            <w:r w:rsidRPr="00424078">
              <w:rPr>
                <w:rStyle w:val="Emphasis"/>
                <w:sz w:val="16"/>
                <w:szCs w:val="16"/>
              </w:rPr>
              <w:t>“Inclusive leadership ensures that everyone feels represented and responsible for project outcomes.”</w:t>
            </w:r>
            <w:r w:rsidRPr="00424078">
              <w:rPr>
                <w:sz w:val="16"/>
                <w:szCs w:val="16"/>
              </w:rPr>
              <w:t xml:space="preserve"> (Community Leader 1)</w:t>
            </w:r>
          </w:p>
        </w:tc>
        <w:tc>
          <w:tcPr>
            <w:tcW w:w="0" w:type="auto"/>
            <w:tcBorders>
              <w:top w:val="single" w:sz="4" w:space="0" w:color="auto"/>
              <w:bottom w:val="single" w:sz="4" w:space="0" w:color="auto"/>
            </w:tcBorders>
            <w:vAlign w:val="center"/>
            <w:hideMark/>
          </w:tcPr>
          <w:p w14:paraId="31E38C90" w14:textId="77777777" w:rsidR="00424078" w:rsidRPr="00424078" w:rsidRDefault="00424078" w:rsidP="00514C44">
            <w:pPr>
              <w:jc w:val="left"/>
              <w:cnfStyle w:val="000000100000" w:firstRow="0" w:lastRow="0" w:firstColumn="0" w:lastColumn="0" w:oddVBand="0" w:evenVBand="0" w:oddHBand="1" w:evenHBand="0" w:firstRowFirstColumn="0" w:firstRowLastColumn="0" w:lastRowFirstColumn="0" w:lastRowLastColumn="0"/>
              <w:rPr>
                <w:sz w:val="16"/>
                <w:szCs w:val="16"/>
              </w:rPr>
            </w:pPr>
            <w:r w:rsidRPr="00424078">
              <w:rPr>
                <w:sz w:val="16"/>
                <w:szCs w:val="16"/>
              </w:rPr>
              <w:t>Inclusive participation strengthens ownership, commitment, and collective responsibility.</w:t>
            </w:r>
          </w:p>
        </w:tc>
      </w:tr>
      <w:tr w:rsidR="00424078" w:rsidRPr="00424078" w14:paraId="4424E8D9" w14:textId="77777777" w:rsidTr="002536CD">
        <w:trPr>
          <w:trHeight w:val="2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vAlign w:val="center"/>
            <w:hideMark/>
          </w:tcPr>
          <w:p w14:paraId="2CE2BA66" w14:textId="77777777" w:rsidR="00424078" w:rsidRPr="00424078" w:rsidRDefault="00424078" w:rsidP="00514C44">
            <w:pPr>
              <w:jc w:val="left"/>
              <w:rPr>
                <w:sz w:val="16"/>
                <w:szCs w:val="16"/>
              </w:rPr>
            </w:pPr>
            <w:r w:rsidRPr="00424078">
              <w:rPr>
                <w:rStyle w:val="Strong"/>
                <w:sz w:val="16"/>
                <w:szCs w:val="16"/>
              </w:rPr>
              <w:t>Leadership Conflicts and Project Failure</w:t>
            </w:r>
          </w:p>
        </w:tc>
        <w:tc>
          <w:tcPr>
            <w:tcW w:w="0" w:type="auto"/>
            <w:tcBorders>
              <w:top w:val="single" w:sz="4" w:space="0" w:color="auto"/>
              <w:bottom w:val="single" w:sz="4" w:space="0" w:color="auto"/>
            </w:tcBorders>
            <w:vAlign w:val="center"/>
            <w:hideMark/>
          </w:tcPr>
          <w:p w14:paraId="1115A7DC" w14:textId="77777777" w:rsidR="00424078" w:rsidRPr="00424078" w:rsidRDefault="00424078" w:rsidP="00514C44">
            <w:pPr>
              <w:jc w:val="left"/>
              <w:cnfStyle w:val="000000000000" w:firstRow="0" w:lastRow="0" w:firstColumn="0" w:lastColumn="0" w:oddVBand="0" w:evenVBand="0" w:oddHBand="0" w:evenHBand="0" w:firstRowFirstColumn="0" w:firstRowLastColumn="0" w:lastRowFirstColumn="0" w:lastRowLastColumn="0"/>
              <w:rPr>
                <w:sz w:val="16"/>
                <w:szCs w:val="16"/>
              </w:rPr>
            </w:pPr>
            <w:r w:rsidRPr="00424078">
              <w:rPr>
                <w:rStyle w:val="Emphasis"/>
                <w:sz w:val="16"/>
                <w:szCs w:val="16"/>
              </w:rPr>
              <w:t>“Some projects failed because leadership positions became politicised.”</w:t>
            </w:r>
            <w:r w:rsidRPr="00424078">
              <w:rPr>
                <w:sz w:val="16"/>
                <w:szCs w:val="16"/>
              </w:rPr>
              <w:t xml:space="preserve"> (NGO Representative 2) </w:t>
            </w:r>
            <w:r w:rsidRPr="00424078">
              <w:rPr>
                <w:sz w:val="16"/>
                <w:szCs w:val="16"/>
              </w:rPr>
              <w:br/>
            </w:r>
            <w:r w:rsidRPr="00424078">
              <w:rPr>
                <w:sz w:val="16"/>
                <w:szCs w:val="16"/>
              </w:rPr>
              <w:br/>
            </w:r>
            <w:r w:rsidRPr="00424078">
              <w:rPr>
                <w:rStyle w:val="Emphasis"/>
                <w:sz w:val="16"/>
                <w:szCs w:val="16"/>
              </w:rPr>
              <w:t>“Power struggles among committee members weakened community confidence.”</w:t>
            </w:r>
            <w:r w:rsidRPr="00424078">
              <w:rPr>
                <w:sz w:val="16"/>
                <w:szCs w:val="16"/>
              </w:rPr>
              <w:t xml:space="preserve"> (Community Leader 5) </w:t>
            </w:r>
            <w:r w:rsidRPr="00424078">
              <w:rPr>
                <w:sz w:val="16"/>
                <w:szCs w:val="16"/>
              </w:rPr>
              <w:br/>
            </w:r>
            <w:r w:rsidRPr="00424078">
              <w:rPr>
                <w:sz w:val="16"/>
                <w:szCs w:val="16"/>
              </w:rPr>
              <w:br/>
            </w:r>
            <w:r w:rsidRPr="00424078">
              <w:rPr>
                <w:rStyle w:val="Emphasis"/>
                <w:sz w:val="16"/>
                <w:szCs w:val="16"/>
              </w:rPr>
              <w:t>“Leadership disputes often divert attention from development goals.”</w:t>
            </w:r>
            <w:r w:rsidRPr="00424078">
              <w:rPr>
                <w:sz w:val="16"/>
                <w:szCs w:val="16"/>
              </w:rPr>
              <w:t xml:space="preserve"> (Project Coordinator 3)</w:t>
            </w:r>
          </w:p>
        </w:tc>
        <w:tc>
          <w:tcPr>
            <w:tcW w:w="0" w:type="auto"/>
            <w:tcBorders>
              <w:top w:val="single" w:sz="4" w:space="0" w:color="auto"/>
              <w:bottom w:val="single" w:sz="4" w:space="0" w:color="auto"/>
            </w:tcBorders>
            <w:vAlign w:val="center"/>
            <w:hideMark/>
          </w:tcPr>
          <w:p w14:paraId="06D568DF" w14:textId="77777777" w:rsidR="00424078" w:rsidRPr="00424078" w:rsidRDefault="00424078" w:rsidP="00514C44">
            <w:pPr>
              <w:jc w:val="left"/>
              <w:cnfStyle w:val="000000000000" w:firstRow="0" w:lastRow="0" w:firstColumn="0" w:lastColumn="0" w:oddVBand="0" w:evenVBand="0" w:oddHBand="0" w:evenHBand="0" w:firstRowFirstColumn="0" w:firstRowLastColumn="0" w:lastRowFirstColumn="0" w:lastRowLastColumn="0"/>
              <w:rPr>
                <w:sz w:val="16"/>
                <w:szCs w:val="16"/>
              </w:rPr>
            </w:pPr>
            <w:r w:rsidRPr="00424078">
              <w:rPr>
                <w:sz w:val="16"/>
                <w:szCs w:val="16"/>
              </w:rPr>
              <w:t>Political interference and leadership conflicts undermine sustainability and stakeholder trust.</w:t>
            </w:r>
          </w:p>
        </w:tc>
      </w:tr>
      <w:tr w:rsidR="00424078" w:rsidRPr="00424078" w14:paraId="7AF810EC" w14:textId="77777777" w:rsidTr="002536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hideMark/>
          </w:tcPr>
          <w:p w14:paraId="5705A702" w14:textId="77777777" w:rsidR="00424078" w:rsidRPr="00424078" w:rsidRDefault="00424078" w:rsidP="00514C44">
            <w:pPr>
              <w:jc w:val="left"/>
              <w:rPr>
                <w:sz w:val="16"/>
                <w:szCs w:val="16"/>
              </w:rPr>
            </w:pPr>
            <w:r w:rsidRPr="00424078">
              <w:rPr>
                <w:rStyle w:val="Strong"/>
                <w:sz w:val="16"/>
                <w:szCs w:val="16"/>
              </w:rPr>
              <w:t>Fair Resource Allocation and Project Continuity</w:t>
            </w:r>
          </w:p>
        </w:tc>
        <w:tc>
          <w:tcPr>
            <w:tcW w:w="0" w:type="auto"/>
            <w:tcBorders>
              <w:top w:val="single" w:sz="4" w:space="0" w:color="auto"/>
              <w:bottom w:val="single" w:sz="4" w:space="0" w:color="auto"/>
            </w:tcBorders>
            <w:vAlign w:val="center"/>
            <w:hideMark/>
          </w:tcPr>
          <w:p w14:paraId="0EE4D58A" w14:textId="77777777" w:rsidR="00424078" w:rsidRPr="00424078" w:rsidRDefault="00424078" w:rsidP="00514C44">
            <w:pPr>
              <w:jc w:val="left"/>
              <w:cnfStyle w:val="000000100000" w:firstRow="0" w:lastRow="0" w:firstColumn="0" w:lastColumn="0" w:oddVBand="0" w:evenVBand="0" w:oddHBand="1" w:evenHBand="0" w:firstRowFirstColumn="0" w:firstRowLastColumn="0" w:lastRowFirstColumn="0" w:lastRowLastColumn="0"/>
              <w:rPr>
                <w:sz w:val="16"/>
                <w:szCs w:val="16"/>
              </w:rPr>
            </w:pPr>
            <w:r w:rsidRPr="00424078">
              <w:rPr>
                <w:rStyle w:val="Emphasis"/>
                <w:sz w:val="16"/>
                <w:szCs w:val="16"/>
              </w:rPr>
              <w:t>“Communities remain committed when resources are distributed fairly.”</w:t>
            </w:r>
            <w:r w:rsidRPr="00424078">
              <w:rPr>
                <w:sz w:val="16"/>
                <w:szCs w:val="16"/>
              </w:rPr>
              <w:t xml:space="preserve"> (Community Leader 2) </w:t>
            </w:r>
            <w:r w:rsidRPr="00424078">
              <w:rPr>
                <w:sz w:val="16"/>
                <w:szCs w:val="16"/>
              </w:rPr>
              <w:br/>
            </w:r>
            <w:r w:rsidRPr="00424078">
              <w:rPr>
                <w:sz w:val="16"/>
                <w:szCs w:val="16"/>
              </w:rPr>
              <w:br/>
            </w:r>
            <w:r w:rsidRPr="00424078">
              <w:rPr>
                <w:rStyle w:val="Emphasis"/>
                <w:sz w:val="16"/>
                <w:szCs w:val="16"/>
              </w:rPr>
              <w:t>“Perceived favouritism creates divisions and affects participation.”</w:t>
            </w:r>
            <w:r w:rsidRPr="00424078">
              <w:rPr>
                <w:sz w:val="16"/>
                <w:szCs w:val="16"/>
              </w:rPr>
              <w:t xml:space="preserve"> (Government Official 3) </w:t>
            </w:r>
            <w:r w:rsidRPr="00424078">
              <w:rPr>
                <w:sz w:val="16"/>
                <w:szCs w:val="16"/>
              </w:rPr>
              <w:br/>
            </w:r>
            <w:r w:rsidRPr="00424078">
              <w:rPr>
                <w:sz w:val="16"/>
                <w:szCs w:val="16"/>
              </w:rPr>
              <w:br/>
            </w:r>
            <w:r w:rsidRPr="00424078">
              <w:rPr>
                <w:rStyle w:val="Emphasis"/>
                <w:sz w:val="16"/>
                <w:szCs w:val="16"/>
              </w:rPr>
              <w:t>“Fair distribution of benefits is critical for long-term sustainability.”</w:t>
            </w:r>
            <w:r w:rsidRPr="00424078">
              <w:rPr>
                <w:sz w:val="16"/>
                <w:szCs w:val="16"/>
              </w:rPr>
              <w:t xml:space="preserve"> (NGO Representative 4)</w:t>
            </w:r>
          </w:p>
        </w:tc>
        <w:tc>
          <w:tcPr>
            <w:tcW w:w="0" w:type="auto"/>
            <w:tcBorders>
              <w:top w:val="single" w:sz="4" w:space="0" w:color="auto"/>
              <w:bottom w:val="single" w:sz="4" w:space="0" w:color="auto"/>
            </w:tcBorders>
            <w:vAlign w:val="center"/>
            <w:hideMark/>
          </w:tcPr>
          <w:p w14:paraId="7BE0D27D" w14:textId="77777777" w:rsidR="00424078" w:rsidRPr="00424078" w:rsidRDefault="00424078" w:rsidP="00514C44">
            <w:pPr>
              <w:jc w:val="left"/>
              <w:cnfStyle w:val="000000100000" w:firstRow="0" w:lastRow="0" w:firstColumn="0" w:lastColumn="0" w:oddVBand="0" w:evenVBand="0" w:oddHBand="1" w:evenHBand="0" w:firstRowFirstColumn="0" w:firstRowLastColumn="0" w:lastRowFirstColumn="0" w:lastRowLastColumn="0"/>
              <w:rPr>
                <w:sz w:val="16"/>
                <w:szCs w:val="16"/>
              </w:rPr>
            </w:pPr>
            <w:r w:rsidRPr="00424078">
              <w:rPr>
                <w:sz w:val="16"/>
                <w:szCs w:val="16"/>
              </w:rPr>
              <w:t>Equitable allocation of resources promotes social cohesion and continued project support.</w:t>
            </w:r>
          </w:p>
        </w:tc>
      </w:tr>
    </w:tbl>
    <w:p w14:paraId="19AE3655" w14:textId="77777777" w:rsidR="00424078" w:rsidRPr="004C60DB" w:rsidRDefault="00424078" w:rsidP="004C60DB">
      <w:pPr>
        <w:jc w:val="right"/>
        <w:rPr>
          <w:i/>
          <w:iCs/>
          <w:sz w:val="16"/>
          <w:szCs w:val="16"/>
        </w:rPr>
      </w:pPr>
      <w:r w:rsidRPr="004C60DB">
        <w:rPr>
          <w:rStyle w:val="Strong"/>
          <w:i/>
          <w:iCs/>
          <w:sz w:val="16"/>
          <w:szCs w:val="16"/>
        </w:rPr>
        <w:t>Source:</w:t>
      </w:r>
      <w:r w:rsidRPr="004C60DB">
        <w:rPr>
          <w:i/>
          <w:iCs/>
          <w:sz w:val="16"/>
          <w:szCs w:val="16"/>
        </w:rPr>
        <w:t xml:space="preserve"> Interview Data (2026)</w:t>
      </w:r>
    </w:p>
    <w:p w14:paraId="4B671373" w14:textId="77777777" w:rsidR="00424078" w:rsidRDefault="00424078" w:rsidP="004C60DB">
      <w:r>
        <w:t xml:space="preserve">The qualitative findings reveal that sustainability is not solely dependent on financial resources or technical capacity but is strongly influenced by governance quality and leadership practices. Respondents consistently associated accountability and </w:t>
      </w:r>
      <w:r>
        <w:lastRenderedPageBreak/>
        <w:t>transparency with higher levels of trust and community ownership. Similarly, political inclusivity and stakeholder representation were viewed as essential for strengthening participation and ensuring that beneficiaries remained committed to project goals.</w:t>
      </w:r>
    </w:p>
    <w:p w14:paraId="4C6201F0" w14:textId="77777777" w:rsidR="00424078" w:rsidRDefault="00424078" w:rsidP="004C60DB">
      <w:r>
        <w:t>Conversely, interview participants highlighted leadership conflicts, political interference, and inequitable resource allocation as major threats to sustainability. These findings provide important contextual evidence explaining why leadership politics emerged as a significant predictor of sustainability in the quantitative analysis.</w:t>
      </w:r>
    </w:p>
    <w:p w14:paraId="66F121E3" w14:textId="77777777" w:rsidR="00424078" w:rsidRPr="004C60DB" w:rsidRDefault="00424078" w:rsidP="004C60DB">
      <w:pPr>
        <w:pStyle w:val="Heading3"/>
      </w:pPr>
      <w:r w:rsidRPr="004C60DB">
        <w:t>Synthesis of Quantitative and Qualitative Findings</w:t>
      </w:r>
    </w:p>
    <w:p w14:paraId="4BADE92A" w14:textId="77777777" w:rsidR="00424078" w:rsidRDefault="00424078" w:rsidP="004C60DB">
      <w:r>
        <w:t>The integration of quantitative and qualitative evidence demonstrates a consistent pattern. While the statistical results established a strong positive relationship between leadership politics and project sustainability (r = 0.758; β = 0.521), the qualitative findings explain the pathways through which this relationship operates. Accountability, transparency, inclusivity, representation, conflict management, and equitable resource allocation were repeatedly identified as governance mechanisms that foster trust, ownership, legitimacy, and collective action, all of which contribute to the sustainability of community-based development projects.</w:t>
      </w:r>
    </w:p>
    <w:p w14:paraId="69D6D915" w14:textId="77777777" w:rsidR="00424078" w:rsidRDefault="00424078" w:rsidP="004C60DB">
      <w:r>
        <w:t>Collectively, the findings provide robust empirical evidence that leadership politics is a critical determinant of sustainability within community-based development initiatives in Masvingo Province, Zimbabwe.</w:t>
      </w:r>
    </w:p>
    <w:p w14:paraId="57E6C086" w14:textId="49A0C070" w:rsidR="005B56B5" w:rsidRDefault="005B56B5" w:rsidP="005B56B5"/>
    <w:p w14:paraId="3E95A418" w14:textId="77777777" w:rsidR="00AA2918" w:rsidRPr="005B56B5" w:rsidRDefault="00AA2918" w:rsidP="005B56B5"/>
    <w:p w14:paraId="59D5F66A" w14:textId="77777777" w:rsidR="00AA2918" w:rsidRDefault="00AA2918">
      <w:pPr>
        <w:spacing w:line="278" w:lineRule="auto"/>
        <w:jc w:val="left"/>
        <w:rPr>
          <w:rFonts w:eastAsiaTheme="majorEastAsia" w:cstheme="majorBidi"/>
          <w:b/>
          <w:caps/>
          <w:color w:val="000000" w:themeColor="text1"/>
          <w:szCs w:val="40"/>
        </w:rPr>
      </w:pPr>
      <w:r>
        <w:br w:type="page"/>
      </w:r>
    </w:p>
    <w:p w14:paraId="617D7521" w14:textId="0DC50177" w:rsidR="001F7E62" w:rsidRPr="001F7E62" w:rsidRDefault="001F7E62" w:rsidP="00A9605B">
      <w:pPr>
        <w:pStyle w:val="Heading1"/>
      </w:pPr>
      <w:r w:rsidRPr="001F7E62">
        <w:lastRenderedPageBreak/>
        <w:t>DISCUSSION OF FINDINGS</w:t>
      </w:r>
    </w:p>
    <w:p w14:paraId="70B31FF7" w14:textId="1F4E314C" w:rsidR="006F142D" w:rsidRPr="006F142D" w:rsidRDefault="006F142D" w:rsidP="006F142D">
      <w:r>
        <w:t xml:space="preserve">This section </w:t>
      </w:r>
      <w:r w:rsidRPr="006F142D">
        <w:t>discusses the study findings in relation to the research objectives, theoretical framework, conceptual framework, and existing literature. The discussion draws on both quantitative and qualitative findings to explain how leadership politics influences the sustainability of community-based development projects in Masvingo Province, Zimbabwe. The discussion is guided by Stakeholder Theory and Political Economy Theory and is organised around the key dimensions of leadership politics identified in the revised conceptual framework.</w:t>
      </w:r>
      <w:r>
        <w:t xml:space="preserve"> </w:t>
      </w:r>
      <w:r w:rsidRPr="006F142D">
        <w:t>The study established that leadership politics has a statistically significant positive influence on the sustainability of community-based development projects (β = 0.521, p &lt; 0.001). Furthermore, leadership politics explained 57.5% of the variation in sustainability outcomes (R² = 0.575), indicating that governance-related factors play a substantial role in determining project sustainability. These findings confirm that leadership politics constitutes a critical governance mechanism through which sustainability is either strengthened or undermined.</w:t>
      </w:r>
    </w:p>
    <w:p w14:paraId="31D6A900" w14:textId="69BBBBA6" w:rsidR="001C1CC5" w:rsidRDefault="001C1CC5" w:rsidP="00EF311D">
      <w:pPr>
        <w:pStyle w:val="Heading2"/>
      </w:pPr>
      <w:r>
        <w:t>Constructive Leadership Politics and Sustainability</w:t>
      </w:r>
    </w:p>
    <w:p w14:paraId="0846E7D6" w14:textId="77777777" w:rsidR="001C1CC5" w:rsidRDefault="001C1CC5" w:rsidP="001C1CC5">
      <w:r>
        <w:t>One of the major findings of the study is that constructive leadership politics significantly contributes to the sustainability of community-based development projects. Constructive leadership politics refers to leadership practices characterised by accountability, transparency, political inclusivity, stakeholder representation, effective conflict management, and equitable resource allocation.</w:t>
      </w:r>
    </w:p>
    <w:p w14:paraId="509F2816" w14:textId="77777777" w:rsidR="001C1CC5" w:rsidRDefault="001C1CC5" w:rsidP="001C1CC5">
      <w:r>
        <w:t>The high mean score recorded for leadership politics (M = 4.01) suggests that respondents generally perceived governance structures within community-based development projects positively. The findings indicate that accountable leadership practices encourage stakeholder confidence and commitment, which are critical for sustaining projects beyond the implementation phase. This finding is consistent with the work of Bryson et al. (2023), who argue that accountability enhances organisational legitimacy and strengthens stakeholder trust. Similarly, UNDP (2023) identifies accountability as a cornerstone of sustainable governance because it promotes transparency, answerability, and responsible stewardship of resources.</w:t>
      </w:r>
    </w:p>
    <w:p w14:paraId="79576972" w14:textId="77777777" w:rsidR="001C1CC5" w:rsidRDefault="001C1CC5" w:rsidP="001C1CC5">
      <w:r>
        <w:t>The findings further revealed that governance transparency contributes significantly to sustainability. Transparency enables stakeholders to access information regarding project decisions, finances, and resource utilisation, thereby reducing suspicion and enhancing trust. According to Kaufmann et al. (2011), transparent governance systems improve institutional performance by reducing information asymmetries and strengthening public confidence. Recent studies by OECD (2024) and the World Bank (2024) similarly demonstrate that transparency improves governance effectiveness and promotes sustainable development outcomes.</w:t>
      </w:r>
    </w:p>
    <w:p w14:paraId="11EC0A6C" w14:textId="77777777" w:rsidR="001C1CC5" w:rsidRDefault="001C1CC5" w:rsidP="001C1CC5">
      <w:r>
        <w:t>Political inclusivity emerged as another important determinant of sustainability. The findings suggest that projects characterised by broad stakeholder participation are more likely to achieve long-term sustainability because stakeholders develop a sense of ownership and responsibility for project outcomes. These findings support Stakeholder Theory, which posits that organisations and development initiatives achieve sustainability when they recognise and incorporate the interests of all stakeholders affected by their activities (Freeman, 1984; Freeman et al., 2020).</w:t>
      </w:r>
    </w:p>
    <w:p w14:paraId="27589B1E" w14:textId="77777777" w:rsidR="001C1CC5" w:rsidRDefault="001C1CC5" w:rsidP="001C1CC5"/>
    <w:p w14:paraId="0D438520" w14:textId="77777777" w:rsidR="001C1CC5" w:rsidRDefault="001C1CC5" w:rsidP="001C1CC5">
      <w:r>
        <w:lastRenderedPageBreak/>
        <w:t>The findings are also consistent with Reed (2022), who found that meaningful participation enhances project legitimacy and increases community willingness to support development initiatives over the long term. In the context of Masvingo Province, inclusive governance appears particularly important because community-based development projects involve diverse stakeholder groups including traditional leaders, local authorities, project committees, development agencies, and beneficiaries.</w:t>
      </w:r>
    </w:p>
    <w:p w14:paraId="06B9AFC9" w14:textId="77777777" w:rsidR="001C1CC5" w:rsidRDefault="001C1CC5" w:rsidP="001C1CC5">
      <w:r>
        <w:t>Stakeholder representation was similarly found to contribute positively to sustainability. When stakeholders perceive that their interests are represented within governance structures, they are more likely to support project objectives and participate actively in implementation and maintenance activities. Bryson et al. (2023) argue that effective stakeholder representation strengthens collaborative governance and improves organisational resilience.</w:t>
      </w:r>
    </w:p>
    <w:p w14:paraId="44EB7E65" w14:textId="77777777" w:rsidR="001C1CC5" w:rsidRDefault="001C1CC5" w:rsidP="001C1CC5">
      <w:r>
        <w:t>Conflict management also emerged as a significant governance mechanism supporting sustainability. Community-based development projects frequently involve multiple actors with competing interests and priorities. The findings suggest that leadership structures capable of resolving disputes fairly and efficiently contribute to project continuity and institutional stability. These findings support Northouse (2022), who argues that effective conflict management is a fundamental leadership competency that enhances organisational performance and stakeholder cooperation.</w:t>
      </w:r>
    </w:p>
    <w:p w14:paraId="14C2828D" w14:textId="77777777" w:rsidR="001C1CC5" w:rsidRDefault="001C1CC5" w:rsidP="001C1CC5">
      <w:r>
        <w:t>Finally, equitable resource allocation was found to be a significant contributor to sustainability. The study revealed that perceptions of fairness in resource distribution influence stakeholder commitment and support for projects. This finding is consistent with Rawls' (1971) theory of distributive justice and Tyler's (2006) work on procedural fairness, both of which emphasise the importance of fairness in promoting legitimacy and cooperation.</w:t>
      </w:r>
    </w:p>
    <w:p w14:paraId="3008307A" w14:textId="7610DD8A" w:rsidR="001C1CC5" w:rsidRDefault="001C1CC5" w:rsidP="001C1CC5">
      <w:r>
        <w:t>Collectively, these findings demonstrate that constructive leadership politics enhances sustainability by strengthening stakeholder trust, institutional legitimacy, community ownership, and collective action.</w:t>
      </w:r>
    </w:p>
    <w:p w14:paraId="45388A71" w14:textId="6B1FDA9C" w:rsidR="001C1CC5" w:rsidRDefault="001C1CC5" w:rsidP="00C6242E">
      <w:pPr>
        <w:pStyle w:val="Heading2"/>
      </w:pPr>
      <w:r>
        <w:t>Destructive Leadership Politics as a Threat to Sustainability</w:t>
      </w:r>
    </w:p>
    <w:p w14:paraId="6E69F953" w14:textId="77777777" w:rsidR="001C1CC5" w:rsidRDefault="001C1CC5" w:rsidP="001C1CC5">
      <w:r>
        <w:t>While the quantitative findings indicate an overall positive relationship between leadership politics and sustainability, the qualitative findings revealed the existence of destructive leadership politics that threatens long-term sustainability.</w:t>
      </w:r>
    </w:p>
    <w:p w14:paraId="6D3B7A3D" w14:textId="77777777" w:rsidR="001C1CC5" w:rsidRDefault="001C1CC5" w:rsidP="001C1CC5">
      <w:r>
        <w:t>Destructive leadership politics refers to governance practices characterised by political interference, elite capture, patronage networks, leadership conflicts, exclusionary decision-making, and manipulation of project resources for personal or political gain.</w:t>
      </w:r>
    </w:p>
    <w:p w14:paraId="6957982D" w14:textId="77777777" w:rsidR="001C1CC5" w:rsidRDefault="001C1CC5" w:rsidP="001C1CC5">
      <w:r>
        <w:t>Several interview participants highlighted instances where political considerations influenced project decisions, resource allocation, and leadership appointments. Such findings suggest that community-based development projects do not operate within politically neutral environments. Rather, they are embedded within broader political systems that shape governance outcomes.</w:t>
      </w:r>
    </w:p>
    <w:p w14:paraId="2405647F" w14:textId="77777777" w:rsidR="001C1CC5" w:rsidRDefault="001C1CC5" w:rsidP="001C1CC5">
      <w:r>
        <w:t xml:space="preserve">These findings support Political Economy Theory, which argues that development outcomes are influenced by power relations, institutional arrangements, and political incentives rather than purely technical considerations (Acemoglu &amp; Robinson, 2019; Khan, 2022). Political Economy Theory emphasises that development interventions </w:t>
      </w:r>
      <w:r>
        <w:lastRenderedPageBreak/>
        <w:t>often become arenas in which competing actors seek to influence decisions and control resources.</w:t>
      </w:r>
    </w:p>
    <w:p w14:paraId="0F5F3374" w14:textId="77777777" w:rsidR="001C1CC5" w:rsidRDefault="001C1CC5" w:rsidP="001C1CC5">
      <w:r>
        <w:t>The findings further suggest that political interference may undermine accountability mechanisms and reduce stakeholder trust. Similar observations were reported by Chigudu (2023), who found that political contestation often compromises governance effectiveness in community development initiatives across Africa.</w:t>
      </w:r>
    </w:p>
    <w:p w14:paraId="551759BD" w14:textId="77777777" w:rsidR="001C1CC5" w:rsidRDefault="001C1CC5" w:rsidP="001C1CC5">
      <w:r>
        <w:t>Elite capture emerged as another potential threat to sustainability. Elite capture occurs when influential individuals or groups dominate decision-making processes and disproportionately benefit from project resources. According to Mansuri and Rao (2021), elite capture remains one of the most significant challenges affecting participatory development programmes globally. The findings of this study suggest that projects characterised by unequal influence and exclusionary governance structures may experience reduced stakeholder support and weakened sustainability outcomes.</w:t>
      </w:r>
    </w:p>
    <w:p w14:paraId="0C10B5DC" w14:textId="77777777" w:rsidR="001C1CC5" w:rsidRDefault="001C1CC5" w:rsidP="001C1CC5">
      <w:r>
        <w:t>Leadership conflicts were also identified as a significant challenge. Competing authority structures, disagreements among project leaders, and tensions between governance actors can undermine collective action and delay implementation processes. These findings are consistent with Hickey (2013), who argues that unresolved governance conflicts often weaken institutional capacity and reduce development effectiveness.</w:t>
      </w:r>
    </w:p>
    <w:p w14:paraId="1DC2C07C" w14:textId="77777777" w:rsidR="001C1CC5" w:rsidRDefault="001C1CC5" w:rsidP="001C1CC5">
      <w:r>
        <w:t>The findings therefore demonstrate that leadership politics possesses both constructive and destructive dimensions. Sustainability outcomes depend largely on whether leadership processes are exercised in ways that promote collective interests or advance narrow political agendas.</w:t>
      </w:r>
    </w:p>
    <w:p w14:paraId="02CDAC37" w14:textId="3E593F41" w:rsidR="001C1CC5" w:rsidRDefault="001C1CC5" w:rsidP="00294C21">
      <w:pPr>
        <w:pStyle w:val="Heading2"/>
      </w:pPr>
      <w:r>
        <w:t>Mediating Mechanisms Linking Leadership Politics and Sustainability</w:t>
      </w:r>
    </w:p>
    <w:p w14:paraId="5494B8CE" w14:textId="3D797E83" w:rsidR="001C1CC5" w:rsidRDefault="001C1CC5" w:rsidP="001C1CC5">
      <w:r>
        <w:t>A major contribution of this study is the identification of mediating mechanisms through which leadership politics influences sustainability.</w:t>
      </w:r>
      <w:r w:rsidR="003625ED">
        <w:t xml:space="preserve"> </w:t>
      </w:r>
      <w:r>
        <w:t>The revised conceptual framework proposed that stakeholder trust, community ownership, institutional legitimacy, collective action, and stakeholder commitment mediate the relationship between leadership politics and sustainability. The findings provide strong support for this proposition.</w:t>
      </w:r>
    </w:p>
    <w:p w14:paraId="76989020" w14:textId="77777777" w:rsidR="001C1CC5" w:rsidRDefault="001C1CC5" w:rsidP="001C1CC5">
      <w:r>
        <w:t>Stakeholder trust emerged as one of the most important mediating mechanisms. Accountability, transparency, and fairness were found to strengthen trust among beneficiaries and project stakeholders. Trust encourages cooperation, reduces conflict, and promotes willingness to contribute resources toward project continuation. According to Fukuyama (1995), trust constitutes a critical form of social capital that enhances collective action and institutional effectiveness.</w:t>
      </w:r>
    </w:p>
    <w:p w14:paraId="4365D6A1" w14:textId="77777777" w:rsidR="001C1CC5" w:rsidRDefault="001C1CC5" w:rsidP="001C1CC5">
      <w:r>
        <w:t>Community ownership also emerged as a key mediating factor. Projects characterised by inclusive governance and stakeholder participation generated stronger feelings of ownership among beneficiaries. These findings support Mansuri and Rao (2021), who argue that participation enhances sustainability primarily through increased ownership and commitment.</w:t>
      </w:r>
    </w:p>
    <w:p w14:paraId="38F05C2E" w14:textId="77777777" w:rsidR="001C1CC5" w:rsidRDefault="001C1CC5" w:rsidP="001C1CC5">
      <w:r>
        <w:t xml:space="preserve">Institutional legitimacy similarly emerged as an important explanatory mechanism. Governance systems perceived as fair, transparent, and accountable were viewed as more legitimate, resulting in stronger stakeholder support and greater compliance with </w:t>
      </w:r>
      <w:r>
        <w:lastRenderedPageBreak/>
        <w:t>project decisions. Tyler (2006) argues that legitimacy increases voluntary cooperation and reduces governance costs.</w:t>
      </w:r>
    </w:p>
    <w:p w14:paraId="64BC44BD" w14:textId="41B8ADC1" w:rsidR="001C1CC5" w:rsidRDefault="001C1CC5" w:rsidP="001C1CC5">
      <w:r>
        <w:t>Collective action was another important mediating mechanism identified in the study. Community-based development projects often require coordinated action among diverse stakeholders. The findings suggest that constructive leadership politics strengthens cooperation and facilitates mobilisation of local resources necessary for sustainability.</w:t>
      </w:r>
      <w:r w:rsidR="003625ED">
        <w:t xml:space="preserve"> </w:t>
      </w:r>
      <w:r>
        <w:t>Together, these mediating mechanisms help explain why leadership politics exerts such a strong influence on sustainability outcomes.</w:t>
      </w:r>
    </w:p>
    <w:p w14:paraId="6B0C38DB" w14:textId="16368FA4" w:rsidR="001C1CC5" w:rsidRDefault="001C1CC5" w:rsidP="003625ED">
      <w:pPr>
        <w:pStyle w:val="Heading2"/>
      </w:pPr>
      <w:r>
        <w:t>Political Economy Interpretation of the Findings</w:t>
      </w:r>
    </w:p>
    <w:p w14:paraId="5DDB8C4D" w14:textId="14548B91" w:rsidR="001C1CC5" w:rsidRDefault="001C1CC5" w:rsidP="001C1CC5">
      <w:r>
        <w:t>The findings provide substantial support for Political Economy Theory. While Stakeholder Theory explains the importance of participation and representation, Political Economy Theory offers a deeper understanding of how power relations shape sustainability outcomes.</w:t>
      </w:r>
      <w:r w:rsidR="00190287">
        <w:t xml:space="preserve"> </w:t>
      </w:r>
      <w:r>
        <w:t>The study demonstrates that governance systems influence not only who participates in decision-making but also whose interests are prioritised, whose voices are heard, and how resources are distributed. These findings are consistent with North et al. (2009), who argue that institutions shape development outcomes by structuring incentives and governing access to resources.</w:t>
      </w:r>
      <w:r w:rsidR="006B6648">
        <w:t xml:space="preserve"> </w:t>
      </w:r>
      <w:r>
        <w:t>The positive relationship between leadership politics and sustainability suggests that governance quality matters significantly for development outcomes. However, the qualitative findings also demonstrate that power dynamics, political incentives, and competing interests influence how governance systems function in practice.</w:t>
      </w:r>
      <w:r w:rsidR="00190287">
        <w:t xml:space="preserve"> </w:t>
      </w:r>
      <w:r>
        <w:t>These findings reinforce arguments advanced by Khan (2022), who contends that institutional effectiveness depends not only on formal governance arrangements but also on underlying political settlements and power relations.</w:t>
      </w:r>
      <w:r w:rsidR="00190287">
        <w:t xml:space="preserve"> </w:t>
      </w:r>
      <w:r>
        <w:t>The study therefore extends Political Economy Theory by demonstrating how governance and political processes influence sustainability within community-based development projects in rural Zimbabwe.</w:t>
      </w:r>
    </w:p>
    <w:p w14:paraId="4D939EF1" w14:textId="24462541" w:rsidR="001C1CC5" w:rsidRDefault="001C1CC5" w:rsidP="00190287">
      <w:pPr>
        <w:pStyle w:val="Heading2"/>
      </w:pPr>
      <w:r>
        <w:t>Leadership Politics within Zimbabwe's Layered Governance Context</w:t>
      </w:r>
    </w:p>
    <w:p w14:paraId="158DC9FF" w14:textId="5AB10DBE" w:rsidR="001C1CC5" w:rsidRDefault="001C1CC5" w:rsidP="001C1CC5">
      <w:r>
        <w:t>One of the most significant contributions of this study is its contextualisation of leadership politics within Zimbabwe's unique governance environment.</w:t>
      </w:r>
      <w:r w:rsidR="006B6648">
        <w:t xml:space="preserve"> </w:t>
      </w:r>
      <w:r>
        <w:t>Community-based development projects in Masvingo Province operate within complex governance arrangements involving traditional leaders, Rural District Councils, project committees, community structures, non-governmental organisations, development partners, and political actors. These multiple centres of authority create both opportunities and challenges for project sustainability.</w:t>
      </w:r>
      <w:r w:rsidR="006B6648">
        <w:t xml:space="preserve"> </w:t>
      </w:r>
      <w:r>
        <w:t>The findings suggest that collaborative relationships among governance actors strengthen project implementation and sustainability. Traditional leaders often provide legitimacy and facilitate community mobilisation, while local authorities contribute administrative support and coordination. Development agencies provide technical expertise and financial resources.</w:t>
      </w:r>
      <w:r w:rsidR="006B6648">
        <w:t xml:space="preserve"> </w:t>
      </w:r>
      <w:r>
        <w:t>However, the findings also indicate that overlapping authority structures may generate tensions, conflicts, and competing claims to decision-making authority. Such governance complexities can undermine accountability and reduce institutional effectiveness.</w:t>
      </w:r>
      <w:r w:rsidR="006B6648">
        <w:t xml:space="preserve"> </w:t>
      </w:r>
      <w:r>
        <w:t xml:space="preserve">These findings support the work of Shava and Hofisi (2023), who argue that governance effectiveness in Zimbabwe depends largely on the ability of multiple institutions to coordinate their activities and manage competing interests. The study therefore contributes context-specific evidence regarding the interaction </w:t>
      </w:r>
      <w:r>
        <w:lastRenderedPageBreak/>
        <w:t>between governance structures and sustainability outcomes in rural development settings.</w:t>
      </w:r>
    </w:p>
    <w:p w14:paraId="1AD90AA9" w14:textId="354606A4" w:rsidR="001C1CC5" w:rsidRDefault="001C1CC5" w:rsidP="00681511">
      <w:pPr>
        <w:pStyle w:val="Heading2"/>
      </w:pPr>
      <w:r>
        <w:t>Theoretical Contribution of the Study</w:t>
      </w:r>
    </w:p>
    <w:p w14:paraId="7121768F" w14:textId="25422465" w:rsidR="001C1CC5" w:rsidRDefault="001C1CC5" w:rsidP="001C1CC5">
      <w:r>
        <w:t>The study makes several important theoretical contributions.</w:t>
      </w:r>
      <w:r w:rsidR="00681511">
        <w:t xml:space="preserve"> </w:t>
      </w:r>
      <w:r>
        <w:t>First, it extends Stakeholder Theory by demonstrating that stakeholder participation alone is insufficient to guarantee sustainability. Sustainability depends on the quality of governance processes through which participation occurs.</w:t>
      </w:r>
      <w:r w:rsidR="000D01ED">
        <w:t xml:space="preserve"> </w:t>
      </w:r>
      <w:r>
        <w:t>Second, the study contributes to Political Economy Theory by illustrating how power relations and governance arrangements influence sustainability outcomes within community-based development projects.</w:t>
      </w:r>
      <w:r w:rsidR="000D01ED">
        <w:t xml:space="preserve"> </w:t>
      </w:r>
      <w:r>
        <w:t>Third, the study introduces the concept of constructive and destructive leadership politics as a framework for understanding how political processes influence development outcomes. This distinction provides a more nuanced understanding of leadership politics than traditional governance approaches that treat politics as either inherently positive or inherently negative.</w:t>
      </w:r>
      <w:r w:rsidR="000D01ED">
        <w:t xml:space="preserve"> </w:t>
      </w:r>
      <w:r>
        <w:t>Finally, the study identifies stakeholder trust, community ownership, institutional legitimacy, and collective action as critical mechanisms linking leadership politics and sustainability.</w:t>
      </w:r>
      <w:r w:rsidR="000D01ED">
        <w:t xml:space="preserve"> </w:t>
      </w:r>
      <w:r>
        <w:t>These contributions advance understanding of the governance processes that influence sustainability and provide a foundation for future research in community development, governance, and sustainability studies.</w:t>
      </w:r>
    </w:p>
    <w:p w14:paraId="7210CACC" w14:textId="14D31A42" w:rsidR="00E41B73" w:rsidRPr="00E41B73" w:rsidRDefault="00E41B73" w:rsidP="00E41B73">
      <w:pPr>
        <w:pStyle w:val="Heading1"/>
      </w:pPr>
      <w:r w:rsidRPr="00E41B73">
        <w:t>CONCLUSION</w:t>
      </w:r>
    </w:p>
    <w:p w14:paraId="2FD42336" w14:textId="77777777" w:rsidR="001F6376" w:rsidRDefault="001F6376" w:rsidP="001F6376">
      <w:r>
        <w:t>This study examined the influence of leadership politics on the sustainability of community-based development projects in Masvingo Province, Zimbabwe. The study was motivated by the increasing recognition that despite substantial investments in community-based development initiatives, many projects struggle to sustain benefits beyond the period of external support. While previous studies have emphasised financial, technical, and institutional determinants of sustainability, limited attention has been given to the role of leadership politics as a governance mechanism influencing sustainability outcomes.</w:t>
      </w:r>
    </w:p>
    <w:p w14:paraId="5565137F" w14:textId="77777777" w:rsidR="001F6376" w:rsidRDefault="001F6376" w:rsidP="001F6376">
      <w:r>
        <w:t>The findings established that leadership politics exerts a statistically significant positive influence on the sustainability of community-based development projects. Leadership politics explained a substantial proportion of variation in sustainability outcomes, demonstrating that governance processes play a critical role in determining the long-term viability of development interventions. Specifically, the study identified leadership accountability, governance transparency, political inclusivity, stakeholder representation, conflict management, and equitable resource allocation as important dimensions of leadership politics that contribute positively to sustainability.</w:t>
      </w:r>
    </w:p>
    <w:p w14:paraId="0AC0A2CA" w14:textId="77777777" w:rsidR="001F6376" w:rsidRDefault="001F6376" w:rsidP="001F6376">
      <w:r>
        <w:t>The study further established that sustainability is not merely the continuation of project activities but encompasses broader outcomes such as community ownership, institutional resilience, long-term benefits, and reduced dependency on donor support. The findings indicate that projects characterised by accountable, transparent, inclusive, and participatory leadership structures are more likely to generate stakeholder trust, strengthen institutional legitimacy, promote collective action, and achieve sustainable outcomes.</w:t>
      </w:r>
    </w:p>
    <w:p w14:paraId="5F28ADFA" w14:textId="77777777" w:rsidR="001F6376" w:rsidRDefault="001F6376" w:rsidP="001F6376">
      <w:r>
        <w:t xml:space="preserve">At the same time, the study revealed that leadership politics possesses both constructive and destructive dimensions. While constructive leadership politics </w:t>
      </w:r>
      <w:r>
        <w:lastRenderedPageBreak/>
        <w:t>strengthens sustainability through collaboration, accountability, and stakeholder engagement, destructive leadership politics manifested through political interference, elite capture, exclusionary governance practices, leadership conflicts, and inequitable resource allocation can undermine project effectiveness and threaten sustainability.</w:t>
      </w:r>
    </w:p>
    <w:p w14:paraId="45665088" w14:textId="77777777" w:rsidR="001F6376" w:rsidRDefault="001F6376" w:rsidP="001F6376">
      <w:r>
        <w:t>The study also highlighted the significance of Zimbabwe's layered governance environment. Community-based development projects operate within complex governance arrangements involving traditional leaders, Rural District Councils, project committees, government agencies, non-governmental organisations, and political actors. The interaction among these institutions significantly influences project governance and sustainability outcomes. Effective coordination among governance actors emerged as an important factor for enhancing sustainability.</w:t>
      </w:r>
    </w:p>
    <w:p w14:paraId="1D6069C4" w14:textId="77777777" w:rsidR="001F6376" w:rsidRDefault="001F6376" w:rsidP="001F6376">
      <w:r>
        <w:t>From a theoretical perspective, the study contributes to the literature by integrating Stakeholder Theory and Political Economy Theory to explain the governance mechanisms through which leadership politics influences sustainability. Furthermore, the study advances the concept of constructive and destructive leadership politics as a framework for understanding how governance processes affect sustainability outcomes within community-based development projects.</w:t>
      </w:r>
    </w:p>
    <w:p w14:paraId="61969DAD" w14:textId="7DFCBB3A" w:rsidR="00F34E6D" w:rsidRDefault="001F6376" w:rsidP="00C00372">
      <w:r>
        <w:t>Overall, the study concludes that leadership politics constitutes a critical but often overlooked determinant of sustainability. Sustainable community-based development requires not only financial resources, technical expertise, and institutional capacity but also governance systems that promote accountability, transparency, inclusivity, fairness, and stakeholder participation.</w:t>
      </w:r>
      <w:r w:rsidR="00C00372">
        <w:t xml:space="preserve"> </w:t>
      </w:r>
    </w:p>
    <w:p w14:paraId="270B00E4" w14:textId="3F2DF82D" w:rsidR="00E41B73" w:rsidRPr="00C00372" w:rsidRDefault="00E41B73" w:rsidP="00C00372">
      <w:pPr>
        <w:pStyle w:val="Heading1"/>
      </w:pPr>
      <w:r w:rsidRPr="00C00372">
        <w:t>RECOMMENDATIONS</w:t>
      </w:r>
    </w:p>
    <w:p w14:paraId="20C0F4F9" w14:textId="2B46EC21" w:rsidR="009F6F3B" w:rsidRDefault="009F6F3B" w:rsidP="006E53BB">
      <w:pPr>
        <w:pStyle w:val="Heading2"/>
      </w:pPr>
      <w:r>
        <w:t>Strengthen Leadership Accountability Mechanisms</w:t>
      </w:r>
    </w:p>
    <w:p w14:paraId="0387C7C4" w14:textId="7AF1E24D" w:rsidR="009F6F3B" w:rsidRDefault="009F6F3B" w:rsidP="009F6F3B">
      <w:r>
        <w:t>The study established that leadership accountability is a key predictor of project sustainability. It is therefore recommended that community-based development projects institutionalise formal accountability mechanisms that promote responsible leadership and transparent decision-making.</w:t>
      </w:r>
      <w:r w:rsidR="006E53BB">
        <w:t xml:space="preserve"> </w:t>
      </w:r>
      <w:r>
        <w:t>Project committees should be required to conduct regular stakeholder meetings, publicly disclose financial reports, provide progress updates, and establish mechanisms through which beneficiaries can seek clarification regarding project decisions and resource utilisation. Development partners and government agencies should support the establishment of accountability frameworks that enhance transparency and strengthen stakeholder confidence.</w:t>
      </w:r>
      <w:r w:rsidR="006E53BB">
        <w:t xml:space="preserve"> </w:t>
      </w:r>
      <w:r>
        <w:t>Such measures will improve trust, reduce governance disputes, and increase stakeholder commitment to sustaining project outcomes.</w:t>
      </w:r>
    </w:p>
    <w:p w14:paraId="31FB4C68" w14:textId="4BCE149B" w:rsidR="009F6F3B" w:rsidRDefault="009F6F3B" w:rsidP="006E53BB">
      <w:pPr>
        <w:pStyle w:val="Heading2"/>
      </w:pPr>
      <w:r>
        <w:t>Promote Participatory and Inclusive Governance Systems</w:t>
      </w:r>
    </w:p>
    <w:p w14:paraId="0A0024D5" w14:textId="7FDAE147" w:rsidR="009F6F3B" w:rsidRDefault="009F6F3B" w:rsidP="009F6F3B">
      <w:r>
        <w:t>The findings demonstrate that political inclusivity and stakeholder representation contribute significantly to sustainability. Community-based development projects should therefore adopt governance structures that ensure meaningful participation of all stakeholder groups, including women, youth, people with disabilities, traditional leaders, local authorities, and marginalised community members.</w:t>
      </w:r>
      <w:r w:rsidR="006E53BB">
        <w:t xml:space="preserve"> </w:t>
      </w:r>
      <w:r>
        <w:t xml:space="preserve">Project governance committees should be constituted through transparent and participatory processes to ensure broad representation and legitimacy. Development agencies should establish participation guidelines that promote inclusivity throughout project planning, </w:t>
      </w:r>
      <w:r>
        <w:lastRenderedPageBreak/>
        <w:t>implementation, monitoring, and evaluation.</w:t>
      </w:r>
      <w:r w:rsidR="006E53BB">
        <w:t xml:space="preserve"> </w:t>
      </w:r>
      <w:r>
        <w:t>Inclusive governance enhances ownership, improves decision quality, and strengthens community support for project continuity.</w:t>
      </w:r>
    </w:p>
    <w:p w14:paraId="68AFE270" w14:textId="2723B319" w:rsidR="009F6F3B" w:rsidRDefault="009F6F3B" w:rsidP="006E53BB">
      <w:pPr>
        <w:pStyle w:val="Heading2"/>
      </w:pPr>
      <w:r>
        <w:t>Enhance Transparency in Project Governance</w:t>
      </w:r>
    </w:p>
    <w:p w14:paraId="5234D14F" w14:textId="653EFF66" w:rsidR="009F6F3B" w:rsidRDefault="009F6F3B" w:rsidP="009F6F3B">
      <w:r>
        <w:t>Transparency emerged as an important governance mechanism supporting sustainability. Development organisations, project committees, and local authorities should strengthen information-sharing practices by ensuring that project objectives, budgets, procurement processes, implementation plans, and performance reports are accessible to stakeholders.</w:t>
      </w:r>
      <w:r w:rsidR="00B0483F">
        <w:t xml:space="preserve"> </w:t>
      </w:r>
      <w:r>
        <w:t>The use of community notice boards, public meetings, digital communication platforms, and stakeholder feedback sessions should be encouraged to improve transparency and information accessibility.</w:t>
      </w:r>
      <w:r w:rsidR="00B0483F">
        <w:t xml:space="preserve"> </w:t>
      </w:r>
      <w:r>
        <w:t>Transparent governance reduces mistrust, strengthens legitimacy, and promotes stakeholder confidence in project leadership.</w:t>
      </w:r>
    </w:p>
    <w:p w14:paraId="4F4EB3A4" w14:textId="4D44AA89" w:rsidR="009F6F3B" w:rsidRDefault="009F6F3B" w:rsidP="00B0483F">
      <w:pPr>
        <w:pStyle w:val="Heading2"/>
      </w:pPr>
      <w:r>
        <w:t>Establish Conflict Management and Dispute Resolution Mechanisms</w:t>
      </w:r>
    </w:p>
    <w:p w14:paraId="5E65420C" w14:textId="5F96134C" w:rsidR="009F6F3B" w:rsidRDefault="009F6F3B" w:rsidP="009F6F3B">
      <w:r>
        <w:t>The study identified conflict management as a critical factor influencing sustainability. Community-based development projects should establish formal dispute resolution mechanisms capable of addressing leadership disputes, stakeholder grievances, resource allocation disagreements, and governance conflicts.</w:t>
      </w:r>
      <w:r w:rsidR="00B0483F">
        <w:t xml:space="preserve"> </w:t>
      </w:r>
      <w:r>
        <w:t>Traditional leaders, local authorities, and project committees should collaborate in creating mediation structures that promote constructive dialogue and timely resolution of disputes. Capacity-building programmes focusing on negotiation, mediation, and conflict management should be provided to project leaders and community representatives.</w:t>
      </w:r>
      <w:r w:rsidR="003026C0">
        <w:t xml:space="preserve"> </w:t>
      </w:r>
      <w:r>
        <w:t>Effective conflict management strengthens institutional stability and prevents governance challenges from undermining sustainability.</w:t>
      </w:r>
    </w:p>
    <w:p w14:paraId="3B5C3E25" w14:textId="57E6E13F" w:rsidR="009F6F3B" w:rsidRDefault="009F6F3B" w:rsidP="003026C0">
      <w:pPr>
        <w:pStyle w:val="Heading2"/>
      </w:pPr>
      <w:r>
        <w:t>Strengthen Fair and Equitable Resource Allocation</w:t>
      </w:r>
    </w:p>
    <w:p w14:paraId="24AFB25D" w14:textId="4D367DBC" w:rsidR="009F6F3B" w:rsidRDefault="009F6F3B" w:rsidP="009F6F3B">
      <w:r>
        <w:t>The findings suggest that perceptions of fairness significantly influence stakeholder commitment and sustainability outcomes. Project leaders should therefore adopt transparent criteria for resource allocation and beneficiary selection.</w:t>
      </w:r>
      <w:r w:rsidR="003026C0">
        <w:t xml:space="preserve"> </w:t>
      </w:r>
      <w:r>
        <w:t>Development agencies and local authorities should implement monitoring systems that ensure equitable distribution of project resources and benefits. Special attention should be given to vulnerable and marginalised groups to prevent elite capture and exclusionary practices.</w:t>
      </w:r>
      <w:r w:rsidR="003026C0">
        <w:t xml:space="preserve"> </w:t>
      </w:r>
      <w:r>
        <w:t>Equitable resource allocation promotes trust, social cohesion, and long-term stakeholder support.</w:t>
      </w:r>
    </w:p>
    <w:p w14:paraId="3D8BCFE5" w14:textId="6AF05B0E" w:rsidR="009F6F3B" w:rsidRDefault="009F6F3B" w:rsidP="003026C0">
      <w:pPr>
        <w:pStyle w:val="Heading2"/>
      </w:pPr>
      <w:r>
        <w:t>Improve Coordination among Governance Institutions</w:t>
      </w:r>
    </w:p>
    <w:p w14:paraId="5DCFE1C3" w14:textId="1BE07D44" w:rsidR="009F6F3B" w:rsidRDefault="009F6F3B" w:rsidP="009F6F3B">
      <w:r>
        <w:t>One of the key findings of the study is that sustainability is influenced by interactions among multiple governance actors operating within Zimbabwe's layered governance system. It is therefore recommended that stronger coordination mechanisms be established among traditional leaders, Rural District Councils, government departments, NGOs, development partners, and community structures.</w:t>
      </w:r>
      <w:r w:rsidR="00A12712">
        <w:t xml:space="preserve"> </w:t>
      </w:r>
      <w:r>
        <w:t>Regular multi-stakeholder coordination forums should be institutionalised to facilitate information sharing, joint planning, conflict resolution, and collaborative decision-making. Such platforms can minimise duplication, reduce governance conflicts, and improve project effectiveness.</w:t>
      </w:r>
      <w:r w:rsidR="00647D6A">
        <w:t xml:space="preserve"> </w:t>
      </w:r>
      <w:r>
        <w:t>This recommendation is particularly relevant for Zimbabwe and other developing countries characterised by overlapping governance structures.</w:t>
      </w:r>
    </w:p>
    <w:p w14:paraId="3B6F955A" w14:textId="13C9CD2B" w:rsidR="009F6F3B" w:rsidRDefault="009F6F3B" w:rsidP="00A12712">
      <w:pPr>
        <w:pStyle w:val="Heading2"/>
      </w:pPr>
      <w:r>
        <w:lastRenderedPageBreak/>
        <w:t>Develop Leadership Capacity for Sustainable Development</w:t>
      </w:r>
    </w:p>
    <w:p w14:paraId="2D154326" w14:textId="7AD37564" w:rsidR="009F6F3B" w:rsidRDefault="009F6F3B" w:rsidP="009F6F3B">
      <w:r>
        <w:t>The study highlights the importance of leadership quality in determining sustainability outcomes. Government agencies, NGOs, development partners, and training institutions should invest in leadership development programmes focusing on governance, accountability, stakeholder engagement, conflict management, ethical leadership, and sustainable development.</w:t>
      </w:r>
      <w:r w:rsidR="00A12712">
        <w:t xml:space="preserve"> </w:t>
      </w:r>
      <w:r>
        <w:t>Capacity-building initiatives should target project committee members, traditional leaders, local government officials, youth leaders, and community representatives involved in project governance.</w:t>
      </w:r>
      <w:r w:rsidR="00A12712">
        <w:t xml:space="preserve">  </w:t>
      </w:r>
      <w:r>
        <w:t>Strengthening leadership capacity will improve governance effectiveness and enhance sustainability across community-based development projects.</w:t>
      </w:r>
    </w:p>
    <w:p w14:paraId="45CF4F92" w14:textId="4E6823CE" w:rsidR="009F6F3B" w:rsidRDefault="009F6F3B" w:rsidP="00A12712">
      <w:pPr>
        <w:pStyle w:val="Heading2"/>
      </w:pPr>
      <w:r>
        <w:t>Mainstream Sustainability Planning from Project Inception</w:t>
      </w:r>
    </w:p>
    <w:p w14:paraId="18B6082B" w14:textId="5C6211EF" w:rsidR="009F6F3B" w:rsidRDefault="009F6F3B" w:rsidP="009F6F3B">
      <w:r>
        <w:t>The findings indicate that sustainability should not be treated as a post-project consideration. Sustainability planning should be integrated into project design from the outset.</w:t>
      </w:r>
      <w:r w:rsidR="00A12712">
        <w:t xml:space="preserve"> </w:t>
      </w:r>
      <w:r>
        <w:t>Development agencies should require all community-based development projects to develop sustainability strategies that address governance structures, local resource mobilisation, institutional continuity, stakeholder ownership, and succession planning.</w:t>
      </w:r>
      <w:r w:rsidR="00A12712">
        <w:t xml:space="preserve"> </w:t>
      </w:r>
      <w:r>
        <w:t>Projects that incorporate sustainability considerations during planning are more likely to remain functional beyond external funding periods.</w:t>
      </w:r>
    </w:p>
    <w:p w14:paraId="1A642560" w14:textId="0DC81BE6" w:rsidR="009F6F3B" w:rsidRDefault="009F6F3B" w:rsidP="00A12712">
      <w:pPr>
        <w:pStyle w:val="Heading2"/>
      </w:pPr>
      <w:r>
        <w:t>Policy Recommendations for Zimbabwe and Other Developing Countries</w:t>
      </w:r>
    </w:p>
    <w:p w14:paraId="5C47EFA4" w14:textId="271BFD07" w:rsidR="009F6F3B" w:rsidRDefault="009F6F3B" w:rsidP="009F6F3B">
      <w:r>
        <w:t>At the policy level, governments should recognise leadership politics as an important determinant of sustainability and incorporate governance indicators into national development frameworks.</w:t>
      </w:r>
      <w:r w:rsidR="00A12712">
        <w:t xml:space="preserve"> </w:t>
      </w:r>
      <w:r>
        <w:t>For Zimbabwe, relevant ministries responsible for local government, community development, and rural development should develop governance guidelines for community-based development projects that emphasise accountability, transparency, participation, inclusivity, and conflict management.</w:t>
      </w:r>
      <w:r w:rsidR="00A12712">
        <w:t xml:space="preserve"> </w:t>
      </w:r>
      <w:r>
        <w:t>Similarly, development partners operating across Africa and other developing regions should move beyond traditional project performance indicators and incorporate governance quality indicators into sustainability assessments.</w:t>
      </w:r>
      <w:r w:rsidR="00A12712">
        <w:t xml:space="preserve"> </w:t>
      </w:r>
      <w:r>
        <w:t>Such policy reforms would contribute to stronger governance systems capable of supporting sustainable development outcomes across diverse socio-economic contexts.</w:t>
      </w:r>
    </w:p>
    <w:p w14:paraId="6AF2EAF3" w14:textId="021AD3D1" w:rsidR="009F6F3B" w:rsidRDefault="009F6F3B" w:rsidP="00D01A87">
      <w:pPr>
        <w:pStyle w:val="Heading1"/>
      </w:pPr>
      <w:r>
        <w:t>Contribution to Knowledge</w:t>
      </w:r>
    </w:p>
    <w:p w14:paraId="342B6062" w14:textId="77777777" w:rsidR="009F6F3B" w:rsidRDefault="009F6F3B" w:rsidP="009F6F3B">
      <w:r>
        <w:t>This study contributes to knowledge in four significant ways.</w:t>
      </w:r>
    </w:p>
    <w:p w14:paraId="285940DD" w14:textId="08867CAE" w:rsidR="009F6F3B" w:rsidRDefault="009F6F3B" w:rsidP="009F6F3B">
      <w:r>
        <w:t>First, it extends existing sustainability literature by identifying leadership politics as a critical determinant of sustainability within community-based development projects.</w:t>
      </w:r>
      <w:r w:rsidR="00D01A87">
        <w:t xml:space="preserve"> </w:t>
      </w:r>
      <w:r>
        <w:t>Second, it introduces the distinction between constructive leadership politics and destructive leadership politics, providing a more nuanced understanding of how political processes influence sustainability outcomes.</w:t>
      </w:r>
      <w:r w:rsidR="00D01A87">
        <w:t xml:space="preserve"> </w:t>
      </w:r>
      <w:r>
        <w:t>Third, it integrates Stakeholder Theory and Political Economy Theory to explain the governance mechanisms through which leadership politics affects sustainability.</w:t>
      </w:r>
      <w:r w:rsidR="00D01A87">
        <w:t xml:space="preserve"> </w:t>
      </w:r>
      <w:r>
        <w:t>Fourth, the study provides empirical evidence from Zimbabwe, contributing context-specific insights regarding the influence of leadership politics within layered governance systems commonly found across developing countries.</w:t>
      </w:r>
      <w:r w:rsidR="00D01A87">
        <w:t xml:space="preserve"> </w:t>
      </w:r>
      <w:r>
        <w:t>These contributions advance both theory and practice and provide a foundation for future research on governance and sustainability in community-based development contexts.</w:t>
      </w:r>
    </w:p>
    <w:p w14:paraId="39564089" w14:textId="5432666D" w:rsidR="00E41B73" w:rsidRPr="00E41B73" w:rsidRDefault="00E41B73" w:rsidP="0022207F">
      <w:pPr>
        <w:pStyle w:val="Heading1"/>
      </w:pPr>
      <w:r w:rsidRPr="00E41B73">
        <w:lastRenderedPageBreak/>
        <w:t>AREAS FOR FURTHER RESEARCH</w:t>
      </w:r>
    </w:p>
    <w:p w14:paraId="3E43866D" w14:textId="49E90773" w:rsidR="00E41B73" w:rsidRPr="00E41B73" w:rsidRDefault="00326772" w:rsidP="007F696D">
      <w:r w:rsidRPr="00326772">
        <w:t>Future research should further explore the relationship between leadership politics and sustainability by examining the separate effects of constructive and destructive leadership politics, as well as the mediating roles of stakeholder trust, community ownership, institutional legitimacy, and collective action. Longitudinal studies are recommended to assess how governance dynamics influence sustainability over time, while comparative studies across different provinces, countries, and development sectors could provide broader contextual insights. Additional research should investigate the roles of traditional leadership institutions, political interference, elite capture, and patronage networks in shaping sustainability outcomes, particularly within developing countries. Furthermore, emerging areas such as digital governance, technology-enabled accountability mechanisms, and their contribution to transparency and sustainable project management warrant further investigation. Such studies would deepen understanding of governance processes and contribute to the development of more effective and sustainable community-based development interventions</w:t>
      </w:r>
      <w:r w:rsidR="00E41B73" w:rsidRPr="00E41B73">
        <w:t>.</w:t>
      </w:r>
    </w:p>
    <w:p w14:paraId="2561BF1B" w14:textId="60B80F5A" w:rsidR="001F7E62" w:rsidRPr="001F7E62" w:rsidRDefault="001F7E62" w:rsidP="00E41B73"/>
    <w:p w14:paraId="3D4BC090" w14:textId="77777777" w:rsidR="00D74EC2" w:rsidRDefault="00D74EC2" w:rsidP="00D74EC2"/>
    <w:p w14:paraId="2588B977" w14:textId="77777777" w:rsidR="007F0062" w:rsidRDefault="007F0062" w:rsidP="00D74EC2"/>
    <w:p w14:paraId="1D68F8FA" w14:textId="77777777" w:rsidR="00C846F2" w:rsidRDefault="00C846F2" w:rsidP="00D74EC2"/>
    <w:p w14:paraId="10CA8459" w14:textId="77777777" w:rsidR="00C846F2" w:rsidRDefault="00C846F2" w:rsidP="00D74EC2"/>
    <w:p w14:paraId="0149EA68" w14:textId="77777777" w:rsidR="00C846F2" w:rsidRDefault="00C846F2" w:rsidP="00D74EC2"/>
    <w:p w14:paraId="52E3EA4D" w14:textId="77777777" w:rsidR="00C846F2" w:rsidRDefault="00C846F2" w:rsidP="00D74EC2"/>
    <w:p w14:paraId="046C904D" w14:textId="77777777" w:rsidR="00C846F2" w:rsidRDefault="00C846F2" w:rsidP="00D74EC2"/>
    <w:p w14:paraId="1AE64DB2" w14:textId="77777777" w:rsidR="00C846F2" w:rsidRDefault="00C846F2" w:rsidP="00D74EC2"/>
    <w:p w14:paraId="69514B7D" w14:textId="77777777" w:rsidR="00C846F2" w:rsidRDefault="00C846F2" w:rsidP="00D74EC2"/>
    <w:p w14:paraId="5452B9B5" w14:textId="04AB3FFB" w:rsidR="00C846F2" w:rsidRDefault="00C846F2">
      <w:pPr>
        <w:spacing w:line="278" w:lineRule="auto"/>
        <w:jc w:val="left"/>
      </w:pPr>
      <w:r>
        <w:br w:type="page"/>
      </w:r>
    </w:p>
    <w:p w14:paraId="116EBEAA" w14:textId="19A0E9A6" w:rsidR="00C846F2" w:rsidRPr="00C846F2" w:rsidRDefault="00C846F2" w:rsidP="00D77286">
      <w:pPr>
        <w:pStyle w:val="Heading1"/>
        <w:numPr>
          <w:ilvl w:val="0"/>
          <w:numId w:val="0"/>
        </w:numPr>
        <w:tabs>
          <w:tab w:val="left" w:pos="3853"/>
        </w:tabs>
        <w:ind w:left="431" w:hanging="431"/>
      </w:pPr>
      <w:r w:rsidRPr="00C846F2">
        <w:lastRenderedPageBreak/>
        <w:t>REFERENCES</w:t>
      </w:r>
      <w:r w:rsidR="00D77286">
        <w:tab/>
      </w:r>
    </w:p>
    <w:p w14:paraId="0A2CF844" w14:textId="77777777" w:rsidR="00A26A18" w:rsidRPr="00D77286" w:rsidRDefault="00D84833" w:rsidP="00D77286">
      <w:pPr>
        <w:pStyle w:val="isselectedend"/>
        <w:spacing w:before="0" w:beforeAutospacing="0" w:after="240" w:afterAutospacing="0"/>
        <w:jc w:val="both"/>
        <w:rPr>
          <w:rFonts w:ascii="Arial" w:hAnsi="Arial" w:cs="Arial"/>
          <w:sz w:val="22"/>
          <w:szCs w:val="22"/>
        </w:rPr>
      </w:pPr>
      <w:r w:rsidRPr="00D77286">
        <w:rPr>
          <w:rFonts w:ascii="Arial" w:hAnsi="Arial" w:cs="Arial"/>
          <w:sz w:val="22"/>
          <w:szCs w:val="22"/>
        </w:rPr>
        <w:t xml:space="preserve"> </w:t>
      </w:r>
      <w:r w:rsidR="00A26A18" w:rsidRPr="00D77286">
        <w:rPr>
          <w:rFonts w:ascii="Arial" w:hAnsi="Arial" w:cs="Arial"/>
          <w:sz w:val="22"/>
          <w:szCs w:val="22"/>
        </w:rPr>
        <w:t xml:space="preserve">Acemoglu, D., &amp; Robinson, J. A. (2019). </w:t>
      </w:r>
      <w:r w:rsidR="00A26A18" w:rsidRPr="00D77286">
        <w:rPr>
          <w:rFonts w:ascii="Arial" w:hAnsi="Arial" w:cs="Arial"/>
          <w:i/>
          <w:iCs/>
          <w:sz w:val="22"/>
          <w:szCs w:val="22"/>
        </w:rPr>
        <w:t>The narrow corridor: States, societies, and the fate of liberty</w:t>
      </w:r>
      <w:r w:rsidR="00A26A18" w:rsidRPr="00D77286">
        <w:rPr>
          <w:rFonts w:ascii="Arial" w:hAnsi="Arial" w:cs="Arial"/>
          <w:sz w:val="22"/>
          <w:szCs w:val="22"/>
        </w:rPr>
        <w:t>. Penguin Books.</w:t>
      </w:r>
    </w:p>
    <w:p w14:paraId="7A3CF3EF"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African Development Bank. (2024). </w:t>
      </w:r>
      <w:r w:rsidRPr="00D77286">
        <w:rPr>
          <w:rFonts w:eastAsia="Times New Roman" w:cs="Arial"/>
          <w:i/>
          <w:iCs/>
          <w:kern w:val="0"/>
          <w:sz w:val="22"/>
          <w:szCs w:val="22"/>
          <w:lang w:eastAsia="en-ZW"/>
          <w14:ligatures w14:val="none"/>
        </w:rPr>
        <w:t>African economic outlook 2024: Driving Africa's transformation through sustainable governance</w:t>
      </w:r>
      <w:r w:rsidRPr="00D77286">
        <w:rPr>
          <w:rFonts w:eastAsia="Times New Roman" w:cs="Arial"/>
          <w:kern w:val="0"/>
          <w:sz w:val="22"/>
          <w:szCs w:val="22"/>
          <w:lang w:eastAsia="en-ZW"/>
          <w14:ligatures w14:val="none"/>
        </w:rPr>
        <w:t>. African Development Bank.</w:t>
      </w:r>
    </w:p>
    <w:p w14:paraId="0F67109D"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Arnstein, S. R. (1969). A ladder of citizen participation. </w:t>
      </w:r>
      <w:r w:rsidRPr="00D77286">
        <w:rPr>
          <w:rFonts w:eastAsia="Times New Roman" w:cs="Arial"/>
          <w:i/>
          <w:iCs/>
          <w:kern w:val="0"/>
          <w:sz w:val="22"/>
          <w:szCs w:val="22"/>
          <w:lang w:eastAsia="en-ZW"/>
          <w14:ligatures w14:val="none"/>
        </w:rPr>
        <w:t>Journal of the American Institute of Planners, 35</w:t>
      </w:r>
      <w:r w:rsidRPr="00D77286">
        <w:rPr>
          <w:rFonts w:eastAsia="Times New Roman" w:cs="Arial"/>
          <w:kern w:val="0"/>
          <w:sz w:val="22"/>
          <w:szCs w:val="22"/>
          <w:lang w:eastAsia="en-ZW"/>
          <w14:ligatures w14:val="none"/>
        </w:rPr>
        <w:t xml:space="preserve">(4), 216–224. </w:t>
      </w:r>
      <w:hyperlink r:id="rId11" w:history="1">
        <w:r w:rsidRPr="00D77286">
          <w:rPr>
            <w:rFonts w:eastAsia="Times New Roman" w:cs="Arial"/>
            <w:color w:val="0000FF"/>
            <w:kern w:val="0"/>
            <w:sz w:val="22"/>
            <w:szCs w:val="22"/>
            <w:u w:val="single"/>
            <w:lang w:eastAsia="en-ZW"/>
            <w14:ligatures w14:val="none"/>
          </w:rPr>
          <w:t>https://doi.org/10.1080/01944366908977225</w:t>
        </w:r>
      </w:hyperlink>
    </w:p>
    <w:p w14:paraId="7FF50304" w14:textId="77777777" w:rsidR="00A26A18" w:rsidRPr="00D77286" w:rsidRDefault="00A26A18" w:rsidP="00D77286">
      <w:pPr>
        <w:spacing w:after="240"/>
        <w:rPr>
          <w:rFonts w:eastAsia="Times New Roman" w:cs="Arial"/>
          <w:kern w:val="0"/>
          <w:sz w:val="22"/>
          <w:szCs w:val="22"/>
          <w:lang w:eastAsia="en-ZW"/>
          <w14:ligatures w14:val="none"/>
        </w:rPr>
      </w:pPr>
      <w:proofErr w:type="spellStart"/>
      <w:r w:rsidRPr="00D77286">
        <w:rPr>
          <w:rFonts w:eastAsia="Times New Roman" w:cs="Arial"/>
          <w:kern w:val="0"/>
          <w:sz w:val="22"/>
          <w:szCs w:val="22"/>
          <w:lang w:eastAsia="en-ZW"/>
          <w14:ligatures w14:val="none"/>
        </w:rPr>
        <w:t>Auriacombe</w:t>
      </w:r>
      <w:proofErr w:type="spellEnd"/>
      <w:r w:rsidRPr="00D77286">
        <w:rPr>
          <w:rFonts w:eastAsia="Times New Roman" w:cs="Arial"/>
          <w:kern w:val="0"/>
          <w:sz w:val="22"/>
          <w:szCs w:val="22"/>
          <w:lang w:eastAsia="en-ZW"/>
          <w14:ligatures w14:val="none"/>
        </w:rPr>
        <w:t xml:space="preserve">, C., &amp; Shikha, V. (2023). Governance effectiveness and sustainability of community development programmes in South Africa. </w:t>
      </w:r>
      <w:r w:rsidRPr="00D77286">
        <w:rPr>
          <w:rFonts w:eastAsia="Times New Roman" w:cs="Arial"/>
          <w:i/>
          <w:iCs/>
          <w:kern w:val="0"/>
          <w:sz w:val="22"/>
          <w:szCs w:val="22"/>
          <w:lang w:eastAsia="en-ZW"/>
          <w14:ligatures w14:val="none"/>
        </w:rPr>
        <w:t>African Journal of Public Affairs, 14</w:t>
      </w:r>
      <w:r w:rsidRPr="00D77286">
        <w:rPr>
          <w:rFonts w:eastAsia="Times New Roman" w:cs="Arial"/>
          <w:kern w:val="0"/>
          <w:sz w:val="22"/>
          <w:szCs w:val="22"/>
          <w:lang w:eastAsia="en-ZW"/>
          <w14:ligatures w14:val="none"/>
        </w:rPr>
        <w:t>(2), 45–63.</w:t>
      </w:r>
    </w:p>
    <w:p w14:paraId="7581A231"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Bourdieu, P. (1986). The forms of capital. In J. Richardson (Ed.), </w:t>
      </w:r>
      <w:r w:rsidRPr="00D77286">
        <w:rPr>
          <w:rFonts w:eastAsia="Times New Roman" w:cs="Arial"/>
          <w:i/>
          <w:iCs/>
          <w:kern w:val="0"/>
          <w:sz w:val="22"/>
          <w:szCs w:val="22"/>
          <w:lang w:eastAsia="en-ZW"/>
          <w14:ligatures w14:val="none"/>
        </w:rPr>
        <w:t>Handbook of theory and research for the sociology of education</w:t>
      </w:r>
      <w:r w:rsidRPr="00D77286">
        <w:rPr>
          <w:rFonts w:eastAsia="Times New Roman" w:cs="Arial"/>
          <w:kern w:val="0"/>
          <w:sz w:val="22"/>
          <w:szCs w:val="22"/>
          <w:lang w:eastAsia="en-ZW"/>
          <w14:ligatures w14:val="none"/>
        </w:rPr>
        <w:t xml:space="preserve"> (pp. 241–258). Greenwood Press.</w:t>
      </w:r>
    </w:p>
    <w:p w14:paraId="093827D1"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Bovens, M. (2007). Analysing and assessing accountability: A conceptual framework. </w:t>
      </w:r>
      <w:r w:rsidRPr="00D77286">
        <w:rPr>
          <w:rFonts w:eastAsia="Times New Roman" w:cs="Arial"/>
          <w:i/>
          <w:iCs/>
          <w:kern w:val="0"/>
          <w:sz w:val="22"/>
          <w:szCs w:val="22"/>
          <w:lang w:eastAsia="en-ZW"/>
          <w14:ligatures w14:val="none"/>
        </w:rPr>
        <w:t>European Law Journal, 13</w:t>
      </w:r>
      <w:r w:rsidRPr="00D77286">
        <w:rPr>
          <w:rFonts w:eastAsia="Times New Roman" w:cs="Arial"/>
          <w:kern w:val="0"/>
          <w:sz w:val="22"/>
          <w:szCs w:val="22"/>
          <w:lang w:eastAsia="en-ZW"/>
          <w14:ligatures w14:val="none"/>
        </w:rPr>
        <w:t xml:space="preserve">(4), 447–468. </w:t>
      </w:r>
      <w:hyperlink r:id="rId12" w:history="1">
        <w:r w:rsidRPr="00D77286">
          <w:rPr>
            <w:rFonts w:eastAsia="Times New Roman" w:cs="Arial"/>
            <w:color w:val="0000FF"/>
            <w:kern w:val="0"/>
            <w:sz w:val="22"/>
            <w:szCs w:val="22"/>
            <w:u w:val="single"/>
            <w:lang w:eastAsia="en-ZW"/>
            <w14:ligatures w14:val="none"/>
          </w:rPr>
          <w:t>https://doi.org/10.1111/j.1468-0386.2007.00378.x</w:t>
        </w:r>
      </w:hyperlink>
    </w:p>
    <w:p w14:paraId="4A5C33B3"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Braun, V., &amp; Clarke, V. (2022). </w:t>
      </w:r>
      <w:r w:rsidRPr="00D77286">
        <w:rPr>
          <w:rFonts w:eastAsia="Times New Roman" w:cs="Arial"/>
          <w:i/>
          <w:iCs/>
          <w:kern w:val="0"/>
          <w:sz w:val="22"/>
          <w:szCs w:val="22"/>
          <w:lang w:eastAsia="en-ZW"/>
          <w14:ligatures w14:val="none"/>
        </w:rPr>
        <w:t>Thematic analysis: A practical guide</w:t>
      </w:r>
      <w:r w:rsidRPr="00D77286">
        <w:rPr>
          <w:rFonts w:eastAsia="Times New Roman" w:cs="Arial"/>
          <w:kern w:val="0"/>
          <w:sz w:val="22"/>
          <w:szCs w:val="22"/>
          <w:lang w:eastAsia="en-ZW"/>
          <w14:ligatures w14:val="none"/>
        </w:rPr>
        <w:t>. Sage Publications.</w:t>
      </w:r>
    </w:p>
    <w:p w14:paraId="4E382B66"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Bryman, A. (2022). </w:t>
      </w:r>
      <w:r w:rsidRPr="00D77286">
        <w:rPr>
          <w:rFonts w:eastAsia="Times New Roman" w:cs="Arial"/>
          <w:i/>
          <w:iCs/>
          <w:kern w:val="0"/>
          <w:sz w:val="22"/>
          <w:szCs w:val="22"/>
          <w:lang w:eastAsia="en-ZW"/>
          <w14:ligatures w14:val="none"/>
        </w:rPr>
        <w:t>Social research methods</w:t>
      </w:r>
      <w:r w:rsidRPr="00D77286">
        <w:rPr>
          <w:rFonts w:eastAsia="Times New Roman" w:cs="Arial"/>
          <w:kern w:val="0"/>
          <w:sz w:val="22"/>
          <w:szCs w:val="22"/>
          <w:lang w:eastAsia="en-ZW"/>
          <w14:ligatures w14:val="none"/>
        </w:rPr>
        <w:t xml:space="preserve"> (6th ed.). Oxford University Press.</w:t>
      </w:r>
    </w:p>
    <w:p w14:paraId="5BE5CBEF"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Bryson, J. M., Crosby, B. C., &amp; Bloomberg, L. (2023). Public value governance and collaborative leadership in sustainable development. </w:t>
      </w:r>
      <w:r w:rsidRPr="00D77286">
        <w:rPr>
          <w:rFonts w:eastAsia="Times New Roman" w:cs="Arial"/>
          <w:i/>
          <w:iCs/>
          <w:kern w:val="0"/>
          <w:sz w:val="22"/>
          <w:szCs w:val="22"/>
          <w:lang w:eastAsia="en-ZW"/>
          <w14:ligatures w14:val="none"/>
        </w:rPr>
        <w:t>Public Administration Review, 83</w:t>
      </w:r>
      <w:r w:rsidRPr="00D77286">
        <w:rPr>
          <w:rFonts w:eastAsia="Times New Roman" w:cs="Arial"/>
          <w:kern w:val="0"/>
          <w:sz w:val="22"/>
          <w:szCs w:val="22"/>
          <w:lang w:eastAsia="en-ZW"/>
          <w14:ligatures w14:val="none"/>
        </w:rPr>
        <w:t xml:space="preserve">(4), 521–537. </w:t>
      </w:r>
      <w:hyperlink r:id="rId13" w:history="1">
        <w:r w:rsidRPr="00D77286">
          <w:rPr>
            <w:rFonts w:eastAsia="Times New Roman" w:cs="Arial"/>
            <w:color w:val="0000FF"/>
            <w:kern w:val="0"/>
            <w:sz w:val="22"/>
            <w:szCs w:val="22"/>
            <w:u w:val="single"/>
            <w:lang w:eastAsia="en-ZW"/>
            <w14:ligatures w14:val="none"/>
          </w:rPr>
          <w:t>https://doi.org/10.1111/puar.13618</w:t>
        </w:r>
      </w:hyperlink>
    </w:p>
    <w:p w14:paraId="19CD6E89" w14:textId="77777777" w:rsidR="00A26A18" w:rsidRPr="00D77286" w:rsidRDefault="00A26A18" w:rsidP="00D77286">
      <w:pPr>
        <w:spacing w:after="240"/>
        <w:rPr>
          <w:rFonts w:eastAsia="Times New Roman" w:cs="Arial"/>
          <w:kern w:val="0"/>
          <w:sz w:val="22"/>
          <w:szCs w:val="22"/>
          <w:lang w:eastAsia="en-ZW"/>
          <w14:ligatures w14:val="none"/>
        </w:rPr>
      </w:pPr>
      <w:proofErr w:type="spellStart"/>
      <w:r w:rsidRPr="00D77286">
        <w:rPr>
          <w:rFonts w:eastAsia="Times New Roman" w:cs="Arial"/>
          <w:kern w:val="0"/>
          <w:sz w:val="22"/>
          <w:szCs w:val="22"/>
          <w:lang w:eastAsia="en-ZW"/>
          <w14:ligatures w14:val="none"/>
        </w:rPr>
        <w:t>Ceptureanu</w:t>
      </w:r>
      <w:proofErr w:type="spellEnd"/>
      <w:r w:rsidRPr="00D77286">
        <w:rPr>
          <w:rFonts w:eastAsia="Times New Roman" w:cs="Arial"/>
          <w:kern w:val="0"/>
          <w:sz w:val="22"/>
          <w:szCs w:val="22"/>
          <w:lang w:eastAsia="en-ZW"/>
          <w14:ligatures w14:val="none"/>
        </w:rPr>
        <w:t xml:space="preserve">, S. I., </w:t>
      </w:r>
      <w:proofErr w:type="spellStart"/>
      <w:r w:rsidRPr="00D77286">
        <w:rPr>
          <w:rFonts w:eastAsia="Times New Roman" w:cs="Arial"/>
          <w:kern w:val="0"/>
          <w:sz w:val="22"/>
          <w:szCs w:val="22"/>
          <w:lang w:eastAsia="en-ZW"/>
          <w14:ligatures w14:val="none"/>
        </w:rPr>
        <w:t>Ceptureanu</w:t>
      </w:r>
      <w:proofErr w:type="spellEnd"/>
      <w:r w:rsidRPr="00D77286">
        <w:rPr>
          <w:rFonts w:eastAsia="Times New Roman" w:cs="Arial"/>
          <w:kern w:val="0"/>
          <w:sz w:val="22"/>
          <w:szCs w:val="22"/>
          <w:lang w:eastAsia="en-ZW"/>
          <w14:ligatures w14:val="none"/>
        </w:rPr>
        <w:t xml:space="preserve">, E. G., </w:t>
      </w:r>
      <w:proofErr w:type="spellStart"/>
      <w:r w:rsidRPr="00D77286">
        <w:rPr>
          <w:rFonts w:eastAsia="Times New Roman" w:cs="Arial"/>
          <w:kern w:val="0"/>
          <w:sz w:val="22"/>
          <w:szCs w:val="22"/>
          <w:lang w:eastAsia="en-ZW"/>
          <w14:ligatures w14:val="none"/>
        </w:rPr>
        <w:t>Herteliu</w:t>
      </w:r>
      <w:proofErr w:type="spellEnd"/>
      <w:r w:rsidRPr="00D77286">
        <w:rPr>
          <w:rFonts w:eastAsia="Times New Roman" w:cs="Arial"/>
          <w:kern w:val="0"/>
          <w:sz w:val="22"/>
          <w:szCs w:val="22"/>
          <w:lang w:eastAsia="en-ZW"/>
          <w14:ligatures w14:val="none"/>
        </w:rPr>
        <w:t xml:space="preserve">, C., &amp; </w:t>
      </w:r>
      <w:proofErr w:type="spellStart"/>
      <w:r w:rsidRPr="00D77286">
        <w:rPr>
          <w:rFonts w:eastAsia="Times New Roman" w:cs="Arial"/>
          <w:kern w:val="0"/>
          <w:sz w:val="22"/>
          <w:szCs w:val="22"/>
          <w:lang w:eastAsia="en-ZW"/>
          <w14:ligatures w14:val="none"/>
        </w:rPr>
        <w:t>Sakhdari</w:t>
      </w:r>
      <w:proofErr w:type="spellEnd"/>
      <w:r w:rsidRPr="00D77286">
        <w:rPr>
          <w:rFonts w:eastAsia="Times New Roman" w:cs="Arial"/>
          <w:kern w:val="0"/>
          <w:sz w:val="22"/>
          <w:szCs w:val="22"/>
          <w:lang w:eastAsia="en-ZW"/>
          <w14:ligatures w14:val="none"/>
        </w:rPr>
        <w:t xml:space="preserve">, K. (2022). Sustainable project management, leadership practices and organisational sustainability performance. </w:t>
      </w:r>
      <w:r w:rsidRPr="00D77286">
        <w:rPr>
          <w:rFonts w:eastAsia="Times New Roman" w:cs="Arial"/>
          <w:i/>
          <w:iCs/>
          <w:kern w:val="0"/>
          <w:sz w:val="22"/>
          <w:szCs w:val="22"/>
          <w:lang w:eastAsia="en-ZW"/>
          <w14:ligatures w14:val="none"/>
        </w:rPr>
        <w:t>Sustainability, 14</w:t>
      </w:r>
      <w:r w:rsidRPr="00D77286">
        <w:rPr>
          <w:rFonts w:eastAsia="Times New Roman" w:cs="Arial"/>
          <w:kern w:val="0"/>
          <w:sz w:val="22"/>
          <w:szCs w:val="22"/>
          <w:lang w:eastAsia="en-ZW"/>
          <w14:ligatures w14:val="none"/>
        </w:rPr>
        <w:t xml:space="preserve">(8), 4567. </w:t>
      </w:r>
      <w:hyperlink r:id="rId14" w:history="1">
        <w:r w:rsidRPr="00D77286">
          <w:rPr>
            <w:rFonts w:eastAsia="Times New Roman" w:cs="Arial"/>
            <w:color w:val="0000FF"/>
            <w:kern w:val="0"/>
            <w:sz w:val="22"/>
            <w:szCs w:val="22"/>
            <w:u w:val="single"/>
            <w:lang w:eastAsia="en-ZW"/>
            <w14:ligatures w14:val="none"/>
          </w:rPr>
          <w:t>https://doi.org/10.3390/su14084567</w:t>
        </w:r>
      </w:hyperlink>
    </w:p>
    <w:p w14:paraId="79164805"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Chambers, R. (1994). Participatory rural appraisal (PRA): Analysis of experience. </w:t>
      </w:r>
      <w:r w:rsidRPr="00D77286">
        <w:rPr>
          <w:rFonts w:eastAsia="Times New Roman" w:cs="Arial"/>
          <w:i/>
          <w:iCs/>
          <w:kern w:val="0"/>
          <w:sz w:val="22"/>
          <w:szCs w:val="22"/>
          <w:lang w:eastAsia="en-ZW"/>
          <w14:ligatures w14:val="none"/>
        </w:rPr>
        <w:t>World Development, 22</w:t>
      </w:r>
      <w:r w:rsidRPr="00D77286">
        <w:rPr>
          <w:rFonts w:eastAsia="Times New Roman" w:cs="Arial"/>
          <w:kern w:val="0"/>
          <w:sz w:val="22"/>
          <w:szCs w:val="22"/>
          <w:lang w:eastAsia="en-ZW"/>
          <w14:ligatures w14:val="none"/>
        </w:rPr>
        <w:t xml:space="preserve">(9), 1253–1268. </w:t>
      </w:r>
      <w:hyperlink r:id="rId15" w:history="1">
        <w:r w:rsidRPr="00D77286">
          <w:rPr>
            <w:rFonts w:eastAsia="Times New Roman" w:cs="Arial"/>
            <w:color w:val="0000FF"/>
            <w:kern w:val="0"/>
            <w:sz w:val="22"/>
            <w:szCs w:val="22"/>
            <w:u w:val="single"/>
            <w:lang w:eastAsia="en-ZW"/>
            <w14:ligatures w14:val="none"/>
          </w:rPr>
          <w:t>https://doi.org/10.1016/0305-750X(94)90003-5</w:t>
        </w:r>
      </w:hyperlink>
    </w:p>
    <w:p w14:paraId="66D5E83E"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Chigudu, D. (2023). Governance quality and sustainability of rural development interventions in Southern Africa. </w:t>
      </w:r>
      <w:r w:rsidRPr="00D77286">
        <w:rPr>
          <w:rFonts w:eastAsia="Times New Roman" w:cs="Arial"/>
          <w:i/>
          <w:iCs/>
          <w:kern w:val="0"/>
          <w:sz w:val="22"/>
          <w:szCs w:val="22"/>
          <w:lang w:eastAsia="en-ZW"/>
          <w14:ligatures w14:val="none"/>
        </w:rPr>
        <w:t>Development Southern Africa, 40</w:t>
      </w:r>
      <w:r w:rsidRPr="00D77286">
        <w:rPr>
          <w:rFonts w:eastAsia="Times New Roman" w:cs="Arial"/>
          <w:kern w:val="0"/>
          <w:sz w:val="22"/>
          <w:szCs w:val="22"/>
          <w:lang w:eastAsia="en-ZW"/>
          <w14:ligatures w14:val="none"/>
        </w:rPr>
        <w:t xml:space="preserve">(6), 1124–1141. </w:t>
      </w:r>
      <w:hyperlink r:id="rId16" w:history="1">
        <w:r w:rsidRPr="00D77286">
          <w:rPr>
            <w:rFonts w:eastAsia="Times New Roman" w:cs="Arial"/>
            <w:color w:val="0000FF"/>
            <w:kern w:val="0"/>
            <w:sz w:val="22"/>
            <w:szCs w:val="22"/>
            <w:u w:val="single"/>
            <w:lang w:eastAsia="en-ZW"/>
            <w14:ligatures w14:val="none"/>
          </w:rPr>
          <w:t>https://doi.org/10.1080/0376835X.2023.2198421</w:t>
        </w:r>
      </w:hyperlink>
    </w:p>
    <w:p w14:paraId="373B7940"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Cleaver, F. (2001). Institutions, agency and the limitations of participatory approaches to development. In B. Cooke &amp; U. Kothari (Eds.), </w:t>
      </w:r>
      <w:r w:rsidRPr="00D77286">
        <w:rPr>
          <w:rFonts w:eastAsia="Times New Roman" w:cs="Arial"/>
          <w:i/>
          <w:iCs/>
          <w:kern w:val="0"/>
          <w:sz w:val="22"/>
          <w:szCs w:val="22"/>
          <w:lang w:eastAsia="en-ZW"/>
          <w14:ligatures w14:val="none"/>
        </w:rPr>
        <w:t>Participation: The new tyranny?</w:t>
      </w:r>
      <w:r w:rsidRPr="00D77286">
        <w:rPr>
          <w:rFonts w:eastAsia="Times New Roman" w:cs="Arial"/>
          <w:kern w:val="0"/>
          <w:sz w:val="22"/>
          <w:szCs w:val="22"/>
          <w:lang w:eastAsia="en-ZW"/>
          <w14:ligatures w14:val="none"/>
        </w:rPr>
        <w:t xml:space="preserve"> (pp. 36–55). Zed Books.</w:t>
      </w:r>
    </w:p>
    <w:p w14:paraId="7FA76736"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Cooke, B., &amp; Kothari, U. (2001). </w:t>
      </w:r>
      <w:r w:rsidRPr="00D77286">
        <w:rPr>
          <w:rFonts w:eastAsia="Times New Roman" w:cs="Arial"/>
          <w:i/>
          <w:iCs/>
          <w:kern w:val="0"/>
          <w:sz w:val="22"/>
          <w:szCs w:val="22"/>
          <w:lang w:eastAsia="en-ZW"/>
          <w14:ligatures w14:val="none"/>
        </w:rPr>
        <w:t>Participation: The new tyranny?</w:t>
      </w:r>
      <w:r w:rsidRPr="00D77286">
        <w:rPr>
          <w:rFonts w:eastAsia="Times New Roman" w:cs="Arial"/>
          <w:kern w:val="0"/>
          <w:sz w:val="22"/>
          <w:szCs w:val="22"/>
          <w:lang w:eastAsia="en-ZW"/>
          <w14:ligatures w14:val="none"/>
        </w:rPr>
        <w:t xml:space="preserve"> Zed Books.</w:t>
      </w:r>
    </w:p>
    <w:p w14:paraId="542F7016"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Cornwall, A. (2008). Unpacking participation: Models, meanings and practices. </w:t>
      </w:r>
      <w:r w:rsidRPr="00D77286">
        <w:rPr>
          <w:rFonts w:eastAsia="Times New Roman" w:cs="Arial"/>
          <w:i/>
          <w:iCs/>
          <w:kern w:val="0"/>
          <w:sz w:val="22"/>
          <w:szCs w:val="22"/>
          <w:lang w:eastAsia="en-ZW"/>
          <w14:ligatures w14:val="none"/>
        </w:rPr>
        <w:t>Community Development Journal, 43</w:t>
      </w:r>
      <w:r w:rsidRPr="00D77286">
        <w:rPr>
          <w:rFonts w:eastAsia="Times New Roman" w:cs="Arial"/>
          <w:kern w:val="0"/>
          <w:sz w:val="22"/>
          <w:szCs w:val="22"/>
          <w:lang w:eastAsia="en-ZW"/>
          <w14:ligatures w14:val="none"/>
        </w:rPr>
        <w:t xml:space="preserve">(3), 269–283. </w:t>
      </w:r>
      <w:hyperlink r:id="rId17" w:history="1">
        <w:r w:rsidRPr="00D77286">
          <w:rPr>
            <w:rFonts w:eastAsia="Times New Roman" w:cs="Arial"/>
            <w:color w:val="0000FF"/>
            <w:kern w:val="0"/>
            <w:sz w:val="22"/>
            <w:szCs w:val="22"/>
            <w:u w:val="single"/>
            <w:lang w:eastAsia="en-ZW"/>
            <w14:ligatures w14:val="none"/>
          </w:rPr>
          <w:t>https://doi.org/10.1093/cdj/bsn010</w:t>
        </w:r>
      </w:hyperlink>
    </w:p>
    <w:p w14:paraId="3AEBE45E"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Creswell, J. W., &amp; Creswell, J. D. (2023). </w:t>
      </w:r>
      <w:r w:rsidRPr="00D77286">
        <w:rPr>
          <w:rFonts w:eastAsia="Times New Roman" w:cs="Arial"/>
          <w:i/>
          <w:iCs/>
          <w:kern w:val="0"/>
          <w:sz w:val="22"/>
          <w:szCs w:val="22"/>
          <w:lang w:eastAsia="en-ZW"/>
          <w14:ligatures w14:val="none"/>
        </w:rPr>
        <w:t xml:space="preserve">Research design: Qualitative, quantitative, and mixed methods </w:t>
      </w:r>
      <w:proofErr w:type="gramStart"/>
      <w:r w:rsidRPr="00D77286">
        <w:rPr>
          <w:rFonts w:eastAsia="Times New Roman" w:cs="Arial"/>
          <w:i/>
          <w:iCs/>
          <w:kern w:val="0"/>
          <w:sz w:val="22"/>
          <w:szCs w:val="22"/>
          <w:lang w:eastAsia="en-ZW"/>
          <w14:ligatures w14:val="none"/>
        </w:rPr>
        <w:t>approaches</w:t>
      </w:r>
      <w:proofErr w:type="gramEnd"/>
      <w:r w:rsidRPr="00D77286">
        <w:rPr>
          <w:rFonts w:eastAsia="Times New Roman" w:cs="Arial"/>
          <w:kern w:val="0"/>
          <w:sz w:val="22"/>
          <w:szCs w:val="22"/>
          <w:lang w:eastAsia="en-ZW"/>
          <w14:ligatures w14:val="none"/>
        </w:rPr>
        <w:t xml:space="preserve"> (6th ed.). Sage Publications.</w:t>
      </w:r>
    </w:p>
    <w:p w14:paraId="06A4C4F7"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Creswell, J. W., &amp; Plano Clark, V. L. (2022). </w:t>
      </w:r>
      <w:r w:rsidRPr="00D77286">
        <w:rPr>
          <w:rFonts w:eastAsia="Times New Roman" w:cs="Arial"/>
          <w:i/>
          <w:iCs/>
          <w:kern w:val="0"/>
          <w:sz w:val="22"/>
          <w:szCs w:val="22"/>
          <w:lang w:eastAsia="en-ZW"/>
          <w14:ligatures w14:val="none"/>
        </w:rPr>
        <w:t>Designing and conducting mixed methods research</w:t>
      </w:r>
      <w:r w:rsidRPr="00D77286">
        <w:rPr>
          <w:rFonts w:eastAsia="Times New Roman" w:cs="Arial"/>
          <w:kern w:val="0"/>
          <w:sz w:val="22"/>
          <w:szCs w:val="22"/>
          <w:lang w:eastAsia="en-ZW"/>
          <w14:ligatures w14:val="none"/>
        </w:rPr>
        <w:t xml:space="preserve"> (4th ed.). Sage Publications.</w:t>
      </w:r>
    </w:p>
    <w:p w14:paraId="7A24F0E6"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lastRenderedPageBreak/>
        <w:t xml:space="preserve">Dzingirai, V., Scoones, I., &amp; </w:t>
      </w:r>
      <w:proofErr w:type="spellStart"/>
      <w:r w:rsidRPr="00D77286">
        <w:rPr>
          <w:rFonts w:eastAsia="Times New Roman" w:cs="Arial"/>
          <w:kern w:val="0"/>
          <w:sz w:val="22"/>
          <w:szCs w:val="22"/>
          <w:lang w:eastAsia="en-ZW"/>
          <w14:ligatures w14:val="none"/>
        </w:rPr>
        <w:t>Murimbarimba</w:t>
      </w:r>
      <w:proofErr w:type="spellEnd"/>
      <w:r w:rsidRPr="00D77286">
        <w:rPr>
          <w:rFonts w:eastAsia="Times New Roman" w:cs="Arial"/>
          <w:kern w:val="0"/>
          <w:sz w:val="22"/>
          <w:szCs w:val="22"/>
          <w:lang w:eastAsia="en-ZW"/>
          <w14:ligatures w14:val="none"/>
        </w:rPr>
        <w:t xml:space="preserve">, F. (2022). Community governance and sustainable rural development in Zimbabwe. </w:t>
      </w:r>
      <w:r w:rsidRPr="00D77286">
        <w:rPr>
          <w:rFonts w:eastAsia="Times New Roman" w:cs="Arial"/>
          <w:i/>
          <w:iCs/>
          <w:kern w:val="0"/>
          <w:sz w:val="22"/>
          <w:szCs w:val="22"/>
          <w:lang w:eastAsia="en-ZW"/>
          <w14:ligatures w14:val="none"/>
        </w:rPr>
        <w:t>Journal of Rural Studies, 92</w:t>
      </w:r>
      <w:r w:rsidRPr="00D77286">
        <w:rPr>
          <w:rFonts w:eastAsia="Times New Roman" w:cs="Arial"/>
          <w:kern w:val="0"/>
          <w:sz w:val="22"/>
          <w:szCs w:val="22"/>
          <w:lang w:eastAsia="en-ZW"/>
          <w14:ligatures w14:val="none"/>
        </w:rPr>
        <w:t xml:space="preserve">, 172–183. </w:t>
      </w:r>
      <w:hyperlink r:id="rId18" w:history="1">
        <w:r w:rsidRPr="00D77286">
          <w:rPr>
            <w:rFonts w:eastAsia="Times New Roman" w:cs="Arial"/>
            <w:color w:val="0000FF"/>
            <w:kern w:val="0"/>
            <w:sz w:val="22"/>
            <w:szCs w:val="22"/>
            <w:u w:val="single"/>
            <w:lang w:eastAsia="en-ZW"/>
            <w14:ligatures w14:val="none"/>
          </w:rPr>
          <w:t>https://doi.org/10.1016/j.jrurstud.2022.03.011</w:t>
        </w:r>
      </w:hyperlink>
    </w:p>
    <w:p w14:paraId="763A9818"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Fox, J. (2007). The uncertain relationship between transparency and accountability. </w:t>
      </w:r>
      <w:r w:rsidRPr="00D77286">
        <w:rPr>
          <w:rFonts w:eastAsia="Times New Roman" w:cs="Arial"/>
          <w:i/>
          <w:iCs/>
          <w:kern w:val="0"/>
          <w:sz w:val="22"/>
          <w:szCs w:val="22"/>
          <w:lang w:eastAsia="en-ZW"/>
          <w14:ligatures w14:val="none"/>
        </w:rPr>
        <w:t>Development in Practice, 17</w:t>
      </w:r>
      <w:r w:rsidRPr="00D77286">
        <w:rPr>
          <w:rFonts w:eastAsia="Times New Roman" w:cs="Arial"/>
          <w:kern w:val="0"/>
          <w:sz w:val="22"/>
          <w:szCs w:val="22"/>
          <w:lang w:eastAsia="en-ZW"/>
          <w14:ligatures w14:val="none"/>
        </w:rPr>
        <w:t xml:space="preserve">(4–5), 663–671. </w:t>
      </w:r>
      <w:hyperlink r:id="rId19" w:history="1">
        <w:r w:rsidRPr="00D77286">
          <w:rPr>
            <w:rFonts w:eastAsia="Times New Roman" w:cs="Arial"/>
            <w:color w:val="0000FF"/>
            <w:kern w:val="0"/>
            <w:sz w:val="22"/>
            <w:szCs w:val="22"/>
            <w:u w:val="single"/>
            <w:lang w:eastAsia="en-ZW"/>
            <w14:ligatures w14:val="none"/>
          </w:rPr>
          <w:t>https://doi.org/10.1080/09614520701469955</w:t>
        </w:r>
      </w:hyperlink>
    </w:p>
    <w:p w14:paraId="40E9CA54"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Freeman, R. E. (1984). </w:t>
      </w:r>
      <w:r w:rsidRPr="00D77286">
        <w:rPr>
          <w:rFonts w:eastAsia="Times New Roman" w:cs="Arial"/>
          <w:i/>
          <w:iCs/>
          <w:kern w:val="0"/>
          <w:sz w:val="22"/>
          <w:szCs w:val="22"/>
          <w:lang w:eastAsia="en-ZW"/>
          <w14:ligatures w14:val="none"/>
        </w:rPr>
        <w:t>Strategic management: A stakeholder approach</w:t>
      </w:r>
      <w:r w:rsidRPr="00D77286">
        <w:rPr>
          <w:rFonts w:eastAsia="Times New Roman" w:cs="Arial"/>
          <w:kern w:val="0"/>
          <w:sz w:val="22"/>
          <w:szCs w:val="22"/>
          <w:lang w:eastAsia="en-ZW"/>
          <w14:ligatures w14:val="none"/>
        </w:rPr>
        <w:t>. Pitman Publishing.</w:t>
      </w:r>
    </w:p>
    <w:p w14:paraId="6403CADC"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Freeman, R. E., Phillips, R., &amp; Sisodia, R. (2020). Tensions in stakeholder theory. </w:t>
      </w:r>
      <w:r w:rsidRPr="00D77286">
        <w:rPr>
          <w:rFonts w:eastAsia="Times New Roman" w:cs="Arial"/>
          <w:i/>
          <w:iCs/>
          <w:kern w:val="0"/>
          <w:sz w:val="22"/>
          <w:szCs w:val="22"/>
          <w:lang w:eastAsia="en-ZW"/>
          <w14:ligatures w14:val="none"/>
        </w:rPr>
        <w:t>Business Ethics Quarterly, 30</w:t>
      </w:r>
      <w:r w:rsidRPr="00D77286">
        <w:rPr>
          <w:rFonts w:eastAsia="Times New Roman" w:cs="Arial"/>
          <w:kern w:val="0"/>
          <w:sz w:val="22"/>
          <w:szCs w:val="22"/>
          <w:lang w:eastAsia="en-ZW"/>
          <w14:ligatures w14:val="none"/>
        </w:rPr>
        <w:t xml:space="preserve">(2), 213–231. </w:t>
      </w:r>
      <w:hyperlink r:id="rId20" w:history="1">
        <w:r w:rsidRPr="00D77286">
          <w:rPr>
            <w:rFonts w:eastAsia="Times New Roman" w:cs="Arial"/>
            <w:color w:val="0000FF"/>
            <w:kern w:val="0"/>
            <w:sz w:val="22"/>
            <w:szCs w:val="22"/>
            <w:u w:val="single"/>
            <w:lang w:eastAsia="en-ZW"/>
            <w14:ligatures w14:val="none"/>
          </w:rPr>
          <w:t>https://doi.org/10.1017/beq.2019.48</w:t>
        </w:r>
      </w:hyperlink>
    </w:p>
    <w:p w14:paraId="008A4BAB"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Fukuyama, F. (1995). </w:t>
      </w:r>
      <w:r w:rsidRPr="00D77286">
        <w:rPr>
          <w:rFonts w:eastAsia="Times New Roman" w:cs="Arial"/>
          <w:i/>
          <w:iCs/>
          <w:kern w:val="0"/>
          <w:sz w:val="22"/>
          <w:szCs w:val="22"/>
          <w:lang w:eastAsia="en-ZW"/>
          <w14:ligatures w14:val="none"/>
        </w:rPr>
        <w:t>Trust: The social virtues and the creation of prosperity</w:t>
      </w:r>
      <w:r w:rsidRPr="00D77286">
        <w:rPr>
          <w:rFonts w:eastAsia="Times New Roman" w:cs="Arial"/>
          <w:kern w:val="0"/>
          <w:sz w:val="22"/>
          <w:szCs w:val="22"/>
          <w:lang w:eastAsia="en-ZW"/>
          <w14:ligatures w14:val="none"/>
        </w:rPr>
        <w:t>. Free Press.</w:t>
      </w:r>
    </w:p>
    <w:p w14:paraId="54858841"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Government of Zimbabwe. (2023). </w:t>
      </w:r>
      <w:r w:rsidRPr="00D77286">
        <w:rPr>
          <w:rFonts w:eastAsia="Times New Roman" w:cs="Arial"/>
          <w:i/>
          <w:iCs/>
          <w:kern w:val="0"/>
          <w:sz w:val="22"/>
          <w:szCs w:val="22"/>
          <w:lang w:eastAsia="en-ZW"/>
          <w14:ligatures w14:val="none"/>
        </w:rPr>
        <w:t>National Development Strategy 1 (2021–2025): Annual progress report</w:t>
      </w:r>
      <w:r w:rsidRPr="00D77286">
        <w:rPr>
          <w:rFonts w:eastAsia="Times New Roman" w:cs="Arial"/>
          <w:kern w:val="0"/>
          <w:sz w:val="22"/>
          <w:szCs w:val="22"/>
          <w:lang w:eastAsia="en-ZW"/>
          <w14:ligatures w14:val="none"/>
        </w:rPr>
        <w:t>. Government Printers.</w:t>
      </w:r>
    </w:p>
    <w:p w14:paraId="21C91B1B"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Hair, J. F., Black, W. C., Babin, B. J., &amp; Anderson, R. E. (2022). </w:t>
      </w:r>
      <w:r w:rsidRPr="00D77286">
        <w:rPr>
          <w:rFonts w:eastAsia="Times New Roman" w:cs="Arial"/>
          <w:i/>
          <w:iCs/>
          <w:kern w:val="0"/>
          <w:sz w:val="22"/>
          <w:szCs w:val="22"/>
          <w:lang w:eastAsia="en-ZW"/>
          <w14:ligatures w14:val="none"/>
        </w:rPr>
        <w:t>Multivariate data analysis</w:t>
      </w:r>
      <w:r w:rsidRPr="00D77286">
        <w:rPr>
          <w:rFonts w:eastAsia="Times New Roman" w:cs="Arial"/>
          <w:kern w:val="0"/>
          <w:sz w:val="22"/>
          <w:szCs w:val="22"/>
          <w:lang w:eastAsia="en-ZW"/>
          <w14:ligatures w14:val="none"/>
        </w:rPr>
        <w:t xml:space="preserve"> (9th ed.). Cengage Learning.</w:t>
      </w:r>
    </w:p>
    <w:p w14:paraId="3B21928E"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Hickey, S. (2013). Thinking about the politics of development. In T. Allen &amp; A. Thomas (Eds.), </w:t>
      </w:r>
      <w:r w:rsidRPr="00D77286">
        <w:rPr>
          <w:rFonts w:eastAsia="Times New Roman" w:cs="Arial"/>
          <w:i/>
          <w:iCs/>
          <w:kern w:val="0"/>
          <w:sz w:val="22"/>
          <w:szCs w:val="22"/>
          <w:lang w:eastAsia="en-ZW"/>
          <w14:ligatures w14:val="none"/>
        </w:rPr>
        <w:t>Poverty and development into the 21st century</w:t>
      </w:r>
      <w:r w:rsidRPr="00D77286">
        <w:rPr>
          <w:rFonts w:eastAsia="Times New Roman" w:cs="Arial"/>
          <w:kern w:val="0"/>
          <w:sz w:val="22"/>
          <w:szCs w:val="22"/>
          <w:lang w:eastAsia="en-ZW"/>
          <w14:ligatures w14:val="none"/>
        </w:rPr>
        <w:t xml:space="preserve"> (pp. 217–238). Oxford University Press.</w:t>
      </w:r>
    </w:p>
    <w:p w14:paraId="120030D3"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Kaufmann, D., Kraay, A., &amp; </w:t>
      </w:r>
      <w:proofErr w:type="spellStart"/>
      <w:r w:rsidRPr="00D77286">
        <w:rPr>
          <w:rFonts w:eastAsia="Times New Roman" w:cs="Arial"/>
          <w:kern w:val="0"/>
          <w:sz w:val="22"/>
          <w:szCs w:val="22"/>
          <w:lang w:eastAsia="en-ZW"/>
          <w14:ligatures w14:val="none"/>
        </w:rPr>
        <w:t>Mastruzzi</w:t>
      </w:r>
      <w:proofErr w:type="spellEnd"/>
      <w:r w:rsidRPr="00D77286">
        <w:rPr>
          <w:rFonts w:eastAsia="Times New Roman" w:cs="Arial"/>
          <w:kern w:val="0"/>
          <w:sz w:val="22"/>
          <w:szCs w:val="22"/>
          <w:lang w:eastAsia="en-ZW"/>
          <w14:ligatures w14:val="none"/>
        </w:rPr>
        <w:t xml:space="preserve">, M. (2011). </w:t>
      </w:r>
      <w:r w:rsidRPr="00D77286">
        <w:rPr>
          <w:rFonts w:eastAsia="Times New Roman" w:cs="Arial"/>
          <w:i/>
          <w:iCs/>
          <w:kern w:val="0"/>
          <w:sz w:val="22"/>
          <w:szCs w:val="22"/>
          <w:lang w:eastAsia="en-ZW"/>
          <w14:ligatures w14:val="none"/>
        </w:rPr>
        <w:t>The worldwide governance indicators: Methodology and analytical issues</w:t>
      </w:r>
      <w:r w:rsidRPr="00D77286">
        <w:rPr>
          <w:rFonts w:eastAsia="Times New Roman" w:cs="Arial"/>
          <w:kern w:val="0"/>
          <w:sz w:val="22"/>
          <w:szCs w:val="22"/>
          <w:lang w:eastAsia="en-ZW"/>
          <w14:ligatures w14:val="none"/>
        </w:rPr>
        <w:t xml:space="preserve"> (World Bank Policy Research Working Paper No. 5430). World Bank.</w:t>
      </w:r>
    </w:p>
    <w:p w14:paraId="2C5DBCF6"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Khan, M. H. (2022). Political settlements, governance and development outcomes in developing countries. </w:t>
      </w:r>
      <w:r w:rsidRPr="00D77286">
        <w:rPr>
          <w:rFonts w:eastAsia="Times New Roman" w:cs="Arial"/>
          <w:i/>
          <w:iCs/>
          <w:kern w:val="0"/>
          <w:sz w:val="22"/>
          <w:szCs w:val="22"/>
          <w:lang w:eastAsia="en-ZW"/>
          <w14:ligatures w14:val="none"/>
        </w:rPr>
        <w:t>African Affairs, 121</w:t>
      </w:r>
      <w:r w:rsidRPr="00D77286">
        <w:rPr>
          <w:rFonts w:eastAsia="Times New Roman" w:cs="Arial"/>
          <w:kern w:val="0"/>
          <w:sz w:val="22"/>
          <w:szCs w:val="22"/>
          <w:lang w:eastAsia="en-ZW"/>
          <w14:ligatures w14:val="none"/>
        </w:rPr>
        <w:t xml:space="preserve">(483), 161–182. </w:t>
      </w:r>
      <w:hyperlink r:id="rId21" w:history="1">
        <w:r w:rsidRPr="00D77286">
          <w:rPr>
            <w:rFonts w:eastAsia="Times New Roman" w:cs="Arial"/>
            <w:color w:val="0000FF"/>
            <w:kern w:val="0"/>
            <w:sz w:val="22"/>
            <w:szCs w:val="22"/>
            <w:u w:val="single"/>
            <w:lang w:eastAsia="en-ZW"/>
            <w14:ligatures w14:val="none"/>
          </w:rPr>
          <w:t>https://doi.org/10.1093/afraf/adab067</w:t>
        </w:r>
      </w:hyperlink>
    </w:p>
    <w:p w14:paraId="2326E696"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Kvale, S., &amp; Brinkmann, S. (2021). </w:t>
      </w:r>
      <w:proofErr w:type="spellStart"/>
      <w:r w:rsidRPr="00D77286">
        <w:rPr>
          <w:rFonts w:eastAsia="Times New Roman" w:cs="Arial"/>
          <w:i/>
          <w:iCs/>
          <w:kern w:val="0"/>
          <w:sz w:val="22"/>
          <w:szCs w:val="22"/>
          <w:lang w:eastAsia="en-ZW"/>
          <w14:ligatures w14:val="none"/>
        </w:rPr>
        <w:t>InterViews</w:t>
      </w:r>
      <w:proofErr w:type="spellEnd"/>
      <w:r w:rsidRPr="00D77286">
        <w:rPr>
          <w:rFonts w:eastAsia="Times New Roman" w:cs="Arial"/>
          <w:i/>
          <w:iCs/>
          <w:kern w:val="0"/>
          <w:sz w:val="22"/>
          <w:szCs w:val="22"/>
          <w:lang w:eastAsia="en-ZW"/>
          <w14:ligatures w14:val="none"/>
        </w:rPr>
        <w:t>: Learning the craft of qualitative research interviewing</w:t>
      </w:r>
      <w:r w:rsidRPr="00D77286">
        <w:rPr>
          <w:rFonts w:eastAsia="Times New Roman" w:cs="Arial"/>
          <w:kern w:val="0"/>
          <w:sz w:val="22"/>
          <w:szCs w:val="22"/>
          <w:lang w:eastAsia="en-ZW"/>
          <w14:ligatures w14:val="none"/>
        </w:rPr>
        <w:t xml:space="preserve"> (4th ed.). Sage Publications.</w:t>
      </w:r>
    </w:p>
    <w:p w14:paraId="2668CB55"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Leftwich, A. (2007). Governance, democracy and development in the Third World. </w:t>
      </w:r>
      <w:r w:rsidRPr="00D77286">
        <w:rPr>
          <w:rFonts w:eastAsia="Times New Roman" w:cs="Arial"/>
          <w:i/>
          <w:iCs/>
          <w:kern w:val="0"/>
          <w:sz w:val="22"/>
          <w:szCs w:val="22"/>
          <w:lang w:eastAsia="en-ZW"/>
          <w14:ligatures w14:val="none"/>
        </w:rPr>
        <w:t>Third World Quarterly, 14</w:t>
      </w:r>
      <w:r w:rsidRPr="00D77286">
        <w:rPr>
          <w:rFonts w:eastAsia="Times New Roman" w:cs="Arial"/>
          <w:kern w:val="0"/>
          <w:sz w:val="22"/>
          <w:szCs w:val="22"/>
          <w:lang w:eastAsia="en-ZW"/>
          <w14:ligatures w14:val="none"/>
        </w:rPr>
        <w:t>(3), 605–624.</w:t>
      </w:r>
    </w:p>
    <w:p w14:paraId="1D4D3042"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Mansuri, G., &amp; Rao, V. (2021). </w:t>
      </w:r>
      <w:r w:rsidRPr="00D77286">
        <w:rPr>
          <w:rFonts w:eastAsia="Times New Roman" w:cs="Arial"/>
          <w:i/>
          <w:iCs/>
          <w:kern w:val="0"/>
          <w:sz w:val="22"/>
          <w:szCs w:val="22"/>
          <w:lang w:eastAsia="en-ZW"/>
          <w14:ligatures w14:val="none"/>
        </w:rPr>
        <w:t>Localizing development: Does participation work?</w:t>
      </w:r>
      <w:r w:rsidRPr="00D77286">
        <w:rPr>
          <w:rFonts w:eastAsia="Times New Roman" w:cs="Arial"/>
          <w:kern w:val="0"/>
          <w:sz w:val="22"/>
          <w:szCs w:val="22"/>
          <w:lang w:eastAsia="en-ZW"/>
          <w14:ligatures w14:val="none"/>
        </w:rPr>
        <w:t xml:space="preserve"> World Bank Publications.</w:t>
      </w:r>
    </w:p>
    <w:p w14:paraId="3541062E"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Moyo, N., &amp; Ncube, B. (2023). Sustainability challenges of donor-funded community development projects in Zimbabwe. </w:t>
      </w:r>
      <w:r w:rsidRPr="00D77286">
        <w:rPr>
          <w:rFonts w:eastAsia="Times New Roman" w:cs="Arial"/>
          <w:i/>
          <w:iCs/>
          <w:kern w:val="0"/>
          <w:sz w:val="22"/>
          <w:szCs w:val="22"/>
          <w:lang w:eastAsia="en-ZW"/>
          <w14:ligatures w14:val="none"/>
        </w:rPr>
        <w:t>African Journal of Development Studies, 13</w:t>
      </w:r>
      <w:r w:rsidRPr="00D77286">
        <w:rPr>
          <w:rFonts w:eastAsia="Times New Roman" w:cs="Arial"/>
          <w:kern w:val="0"/>
          <w:sz w:val="22"/>
          <w:szCs w:val="22"/>
          <w:lang w:eastAsia="en-ZW"/>
          <w14:ligatures w14:val="none"/>
        </w:rPr>
        <w:t>(1), 56–74.</w:t>
      </w:r>
    </w:p>
    <w:p w14:paraId="1A96E103"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Muringani, J., &amp; </w:t>
      </w:r>
      <w:proofErr w:type="spellStart"/>
      <w:r w:rsidRPr="00D77286">
        <w:rPr>
          <w:rFonts w:eastAsia="Times New Roman" w:cs="Arial"/>
          <w:kern w:val="0"/>
          <w:sz w:val="22"/>
          <w:szCs w:val="22"/>
          <w:lang w:eastAsia="en-ZW"/>
          <w14:ligatures w14:val="none"/>
        </w:rPr>
        <w:t>Matsa</w:t>
      </w:r>
      <w:proofErr w:type="spellEnd"/>
      <w:r w:rsidRPr="00D77286">
        <w:rPr>
          <w:rFonts w:eastAsia="Times New Roman" w:cs="Arial"/>
          <w:kern w:val="0"/>
          <w:sz w:val="22"/>
          <w:szCs w:val="22"/>
          <w:lang w:eastAsia="en-ZW"/>
          <w14:ligatures w14:val="none"/>
        </w:rPr>
        <w:t xml:space="preserve">, M. (2022). Sustainability of community-based development projects in Zimbabwe: Emerging governance challenges. </w:t>
      </w:r>
      <w:r w:rsidRPr="00D77286">
        <w:rPr>
          <w:rFonts w:eastAsia="Times New Roman" w:cs="Arial"/>
          <w:i/>
          <w:iCs/>
          <w:kern w:val="0"/>
          <w:sz w:val="22"/>
          <w:szCs w:val="22"/>
          <w:lang w:eastAsia="en-ZW"/>
          <w14:ligatures w14:val="none"/>
        </w:rPr>
        <w:t>Zimbabwe Journal of Development Studies, 8</w:t>
      </w:r>
      <w:r w:rsidRPr="00D77286">
        <w:rPr>
          <w:rFonts w:eastAsia="Times New Roman" w:cs="Arial"/>
          <w:kern w:val="0"/>
          <w:sz w:val="22"/>
          <w:szCs w:val="22"/>
          <w:lang w:eastAsia="en-ZW"/>
          <w14:ligatures w14:val="none"/>
        </w:rPr>
        <w:t>(2), 44–61.</w:t>
      </w:r>
    </w:p>
    <w:p w14:paraId="294302D0"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Musingafi, M., </w:t>
      </w:r>
      <w:proofErr w:type="spellStart"/>
      <w:r w:rsidRPr="00D77286">
        <w:rPr>
          <w:rFonts w:eastAsia="Times New Roman" w:cs="Arial"/>
          <w:kern w:val="0"/>
          <w:sz w:val="22"/>
          <w:szCs w:val="22"/>
          <w:lang w:eastAsia="en-ZW"/>
          <w14:ligatures w14:val="none"/>
        </w:rPr>
        <w:t>Chadamoyo</w:t>
      </w:r>
      <w:proofErr w:type="spellEnd"/>
      <w:r w:rsidRPr="00D77286">
        <w:rPr>
          <w:rFonts w:eastAsia="Times New Roman" w:cs="Arial"/>
          <w:kern w:val="0"/>
          <w:sz w:val="22"/>
          <w:szCs w:val="22"/>
          <w:lang w:eastAsia="en-ZW"/>
          <w14:ligatures w14:val="none"/>
        </w:rPr>
        <w:t xml:space="preserve">, P., &amp; Kaseke, K. (2024). Community participation and project sustainability in Zimbabwean rural development programmes. </w:t>
      </w:r>
      <w:r w:rsidRPr="00D77286">
        <w:rPr>
          <w:rFonts w:eastAsia="Times New Roman" w:cs="Arial"/>
          <w:i/>
          <w:iCs/>
          <w:kern w:val="0"/>
          <w:sz w:val="22"/>
          <w:szCs w:val="22"/>
          <w:lang w:eastAsia="en-ZW"/>
          <w14:ligatures w14:val="none"/>
        </w:rPr>
        <w:t>Journal of Community Practice, 32</w:t>
      </w:r>
      <w:r w:rsidRPr="00D77286">
        <w:rPr>
          <w:rFonts w:eastAsia="Times New Roman" w:cs="Arial"/>
          <w:kern w:val="0"/>
          <w:sz w:val="22"/>
          <w:szCs w:val="22"/>
          <w:lang w:eastAsia="en-ZW"/>
          <w14:ligatures w14:val="none"/>
        </w:rPr>
        <w:t xml:space="preserve">(1), 44–61. </w:t>
      </w:r>
      <w:hyperlink r:id="rId22" w:history="1">
        <w:r w:rsidRPr="00D77286">
          <w:rPr>
            <w:rFonts w:eastAsia="Times New Roman" w:cs="Arial"/>
            <w:color w:val="0000FF"/>
            <w:kern w:val="0"/>
            <w:sz w:val="22"/>
            <w:szCs w:val="22"/>
            <w:u w:val="single"/>
            <w:lang w:eastAsia="en-ZW"/>
            <w14:ligatures w14:val="none"/>
          </w:rPr>
          <w:t>https://doi.org/10.1080/10705422.2024.2301187</w:t>
        </w:r>
      </w:hyperlink>
    </w:p>
    <w:p w14:paraId="0ACFAD6C"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North, D. C., Wallis, J. J., &amp; Weingast, B. R. (2009). </w:t>
      </w:r>
      <w:r w:rsidRPr="00D77286">
        <w:rPr>
          <w:rFonts w:eastAsia="Times New Roman" w:cs="Arial"/>
          <w:i/>
          <w:iCs/>
          <w:kern w:val="0"/>
          <w:sz w:val="22"/>
          <w:szCs w:val="22"/>
          <w:lang w:eastAsia="en-ZW"/>
          <w14:ligatures w14:val="none"/>
        </w:rPr>
        <w:t>Violence and social orders: A conceptual framework for interpreting recorded human history</w:t>
      </w:r>
      <w:r w:rsidRPr="00D77286">
        <w:rPr>
          <w:rFonts w:eastAsia="Times New Roman" w:cs="Arial"/>
          <w:kern w:val="0"/>
          <w:sz w:val="22"/>
          <w:szCs w:val="22"/>
          <w:lang w:eastAsia="en-ZW"/>
          <w14:ligatures w14:val="none"/>
        </w:rPr>
        <w:t>. Cambridge University Press.</w:t>
      </w:r>
    </w:p>
    <w:p w14:paraId="5C3CC320"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Northouse, P. G. (2022). </w:t>
      </w:r>
      <w:r w:rsidRPr="00D77286">
        <w:rPr>
          <w:rFonts w:eastAsia="Times New Roman" w:cs="Arial"/>
          <w:i/>
          <w:iCs/>
          <w:kern w:val="0"/>
          <w:sz w:val="22"/>
          <w:szCs w:val="22"/>
          <w:lang w:eastAsia="en-ZW"/>
          <w14:ligatures w14:val="none"/>
        </w:rPr>
        <w:t>Leadership: Theory and practice</w:t>
      </w:r>
      <w:r w:rsidRPr="00D77286">
        <w:rPr>
          <w:rFonts w:eastAsia="Times New Roman" w:cs="Arial"/>
          <w:kern w:val="0"/>
          <w:sz w:val="22"/>
          <w:szCs w:val="22"/>
          <w:lang w:eastAsia="en-ZW"/>
          <w14:ligatures w14:val="none"/>
        </w:rPr>
        <w:t xml:space="preserve"> (9th ed.). Sage Publications.</w:t>
      </w:r>
    </w:p>
    <w:p w14:paraId="221699FD"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lastRenderedPageBreak/>
        <w:t xml:space="preserve">Organisation for Economic Co-operation and Development. (2024). </w:t>
      </w:r>
      <w:r w:rsidRPr="00D77286">
        <w:rPr>
          <w:rFonts w:eastAsia="Times New Roman" w:cs="Arial"/>
          <w:i/>
          <w:iCs/>
          <w:kern w:val="0"/>
          <w:sz w:val="22"/>
          <w:szCs w:val="22"/>
          <w:lang w:eastAsia="en-ZW"/>
          <w14:ligatures w14:val="none"/>
        </w:rPr>
        <w:t>Development co-operation report 2024: Investing in sustainable futures</w:t>
      </w:r>
      <w:r w:rsidRPr="00D77286">
        <w:rPr>
          <w:rFonts w:eastAsia="Times New Roman" w:cs="Arial"/>
          <w:kern w:val="0"/>
          <w:sz w:val="22"/>
          <w:szCs w:val="22"/>
          <w:lang w:eastAsia="en-ZW"/>
          <w14:ligatures w14:val="none"/>
        </w:rPr>
        <w:t>. OECD Publishing.</w:t>
      </w:r>
    </w:p>
    <w:p w14:paraId="581E3FF2"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Persoon, J., &amp; Rutten, M. (2016). Governance and sustainability of development projects in Sub-Saharan Africa. </w:t>
      </w:r>
      <w:r w:rsidRPr="00D77286">
        <w:rPr>
          <w:rFonts w:eastAsia="Times New Roman" w:cs="Arial"/>
          <w:i/>
          <w:iCs/>
          <w:kern w:val="0"/>
          <w:sz w:val="22"/>
          <w:szCs w:val="22"/>
          <w:lang w:eastAsia="en-ZW"/>
          <w14:ligatures w14:val="none"/>
        </w:rPr>
        <w:t>Development Policy Review, 34</w:t>
      </w:r>
      <w:r w:rsidRPr="00D77286">
        <w:rPr>
          <w:rFonts w:eastAsia="Times New Roman" w:cs="Arial"/>
          <w:kern w:val="0"/>
          <w:sz w:val="22"/>
          <w:szCs w:val="22"/>
          <w:lang w:eastAsia="en-ZW"/>
          <w14:ligatures w14:val="none"/>
        </w:rPr>
        <w:t>(5), 665–684.</w:t>
      </w:r>
    </w:p>
    <w:p w14:paraId="1B881A3B"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Putnam, R. D. (1995). Bowling alone: America's declining social capital. </w:t>
      </w:r>
      <w:r w:rsidRPr="00D77286">
        <w:rPr>
          <w:rFonts w:eastAsia="Times New Roman" w:cs="Arial"/>
          <w:i/>
          <w:iCs/>
          <w:kern w:val="0"/>
          <w:sz w:val="22"/>
          <w:szCs w:val="22"/>
          <w:lang w:eastAsia="en-ZW"/>
          <w14:ligatures w14:val="none"/>
        </w:rPr>
        <w:t>Journal of Democracy, 6</w:t>
      </w:r>
      <w:r w:rsidRPr="00D77286">
        <w:rPr>
          <w:rFonts w:eastAsia="Times New Roman" w:cs="Arial"/>
          <w:kern w:val="0"/>
          <w:sz w:val="22"/>
          <w:szCs w:val="22"/>
          <w:lang w:eastAsia="en-ZW"/>
          <w14:ligatures w14:val="none"/>
        </w:rPr>
        <w:t xml:space="preserve">(1), 65–78. </w:t>
      </w:r>
      <w:hyperlink r:id="rId23" w:history="1">
        <w:r w:rsidRPr="00D77286">
          <w:rPr>
            <w:rFonts w:eastAsia="Times New Roman" w:cs="Arial"/>
            <w:color w:val="0000FF"/>
            <w:kern w:val="0"/>
            <w:sz w:val="22"/>
            <w:szCs w:val="22"/>
            <w:u w:val="single"/>
            <w:lang w:eastAsia="en-ZW"/>
            <w14:ligatures w14:val="none"/>
          </w:rPr>
          <w:t>https://doi.org/10.1353/jod.1995.0002</w:t>
        </w:r>
      </w:hyperlink>
    </w:p>
    <w:p w14:paraId="4F6311D0"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Rawls, J. (1971). </w:t>
      </w:r>
      <w:r w:rsidRPr="00D77286">
        <w:rPr>
          <w:rFonts w:eastAsia="Times New Roman" w:cs="Arial"/>
          <w:i/>
          <w:iCs/>
          <w:kern w:val="0"/>
          <w:sz w:val="22"/>
          <w:szCs w:val="22"/>
          <w:lang w:eastAsia="en-ZW"/>
          <w14:ligatures w14:val="none"/>
        </w:rPr>
        <w:t>A theory of justice</w:t>
      </w:r>
      <w:r w:rsidRPr="00D77286">
        <w:rPr>
          <w:rFonts w:eastAsia="Times New Roman" w:cs="Arial"/>
          <w:kern w:val="0"/>
          <w:sz w:val="22"/>
          <w:szCs w:val="22"/>
          <w:lang w:eastAsia="en-ZW"/>
          <w14:ligatures w14:val="none"/>
        </w:rPr>
        <w:t>. Harvard University Press.</w:t>
      </w:r>
    </w:p>
    <w:p w14:paraId="26AF443C"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Reed, M. S. (2022). Stakeholder engagement and sustainability outcomes in development programmes. </w:t>
      </w:r>
      <w:r w:rsidRPr="00D77286">
        <w:rPr>
          <w:rFonts w:eastAsia="Times New Roman" w:cs="Arial"/>
          <w:i/>
          <w:iCs/>
          <w:kern w:val="0"/>
          <w:sz w:val="22"/>
          <w:szCs w:val="22"/>
          <w:lang w:eastAsia="en-ZW"/>
          <w14:ligatures w14:val="none"/>
        </w:rPr>
        <w:t>Sustainability Science, 17</w:t>
      </w:r>
      <w:r w:rsidRPr="00D77286">
        <w:rPr>
          <w:rFonts w:eastAsia="Times New Roman" w:cs="Arial"/>
          <w:kern w:val="0"/>
          <w:sz w:val="22"/>
          <w:szCs w:val="22"/>
          <w:lang w:eastAsia="en-ZW"/>
          <w14:ligatures w14:val="none"/>
        </w:rPr>
        <w:t xml:space="preserve">(4), 1281–1296. </w:t>
      </w:r>
      <w:hyperlink r:id="rId24" w:history="1">
        <w:r w:rsidRPr="00D77286">
          <w:rPr>
            <w:rFonts w:eastAsia="Times New Roman" w:cs="Arial"/>
            <w:color w:val="0000FF"/>
            <w:kern w:val="0"/>
            <w:sz w:val="22"/>
            <w:szCs w:val="22"/>
            <w:u w:val="single"/>
            <w:lang w:eastAsia="en-ZW"/>
            <w14:ligatures w14:val="none"/>
          </w:rPr>
          <w:t>https://doi.org/10.1007/s11625-021-01085-4</w:t>
        </w:r>
      </w:hyperlink>
    </w:p>
    <w:p w14:paraId="2CD98C50"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Saunders, M., Lewis, P., &amp; Thornhill, A. (2023). </w:t>
      </w:r>
      <w:r w:rsidRPr="00D77286">
        <w:rPr>
          <w:rFonts w:eastAsia="Times New Roman" w:cs="Arial"/>
          <w:i/>
          <w:iCs/>
          <w:kern w:val="0"/>
          <w:sz w:val="22"/>
          <w:szCs w:val="22"/>
          <w:lang w:eastAsia="en-ZW"/>
          <w14:ligatures w14:val="none"/>
        </w:rPr>
        <w:t>Research methods for business students</w:t>
      </w:r>
      <w:r w:rsidRPr="00D77286">
        <w:rPr>
          <w:rFonts w:eastAsia="Times New Roman" w:cs="Arial"/>
          <w:kern w:val="0"/>
          <w:sz w:val="22"/>
          <w:szCs w:val="22"/>
          <w:lang w:eastAsia="en-ZW"/>
          <w14:ligatures w14:val="none"/>
        </w:rPr>
        <w:t xml:space="preserve"> (9th ed.). Pearson Education.</w:t>
      </w:r>
    </w:p>
    <w:p w14:paraId="30E89CB9"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Scoones, I. (2016). </w:t>
      </w:r>
      <w:r w:rsidRPr="00D77286">
        <w:rPr>
          <w:rFonts w:eastAsia="Times New Roman" w:cs="Arial"/>
          <w:i/>
          <w:iCs/>
          <w:kern w:val="0"/>
          <w:sz w:val="22"/>
          <w:szCs w:val="22"/>
          <w:lang w:eastAsia="en-ZW"/>
          <w14:ligatures w14:val="none"/>
        </w:rPr>
        <w:t>Zimbabwe's land reform: Myths and realities</w:t>
      </w:r>
      <w:r w:rsidRPr="00D77286">
        <w:rPr>
          <w:rFonts w:eastAsia="Times New Roman" w:cs="Arial"/>
          <w:kern w:val="0"/>
          <w:sz w:val="22"/>
          <w:szCs w:val="22"/>
          <w:lang w:eastAsia="en-ZW"/>
          <w14:ligatures w14:val="none"/>
        </w:rPr>
        <w:t>. James Currey.</w:t>
      </w:r>
    </w:p>
    <w:p w14:paraId="66D13FDE"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Scott, J. C. (1985). </w:t>
      </w:r>
      <w:r w:rsidRPr="00D77286">
        <w:rPr>
          <w:rFonts w:eastAsia="Times New Roman" w:cs="Arial"/>
          <w:i/>
          <w:iCs/>
          <w:kern w:val="0"/>
          <w:sz w:val="22"/>
          <w:szCs w:val="22"/>
          <w:lang w:eastAsia="en-ZW"/>
          <w14:ligatures w14:val="none"/>
        </w:rPr>
        <w:t>Weapons of the weak: Everyday forms of peasant resistance</w:t>
      </w:r>
      <w:r w:rsidRPr="00D77286">
        <w:rPr>
          <w:rFonts w:eastAsia="Times New Roman" w:cs="Arial"/>
          <w:kern w:val="0"/>
          <w:sz w:val="22"/>
          <w:szCs w:val="22"/>
          <w:lang w:eastAsia="en-ZW"/>
          <w14:ligatures w14:val="none"/>
        </w:rPr>
        <w:t>. Yale University Press.</w:t>
      </w:r>
    </w:p>
    <w:p w14:paraId="048C1F9D"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Shava, E., &amp; Hofisi, C. (2023). Local governance systems and sustainable development outcomes in Sub-Saharan Africa. </w:t>
      </w:r>
      <w:r w:rsidRPr="00D77286">
        <w:rPr>
          <w:rFonts w:eastAsia="Times New Roman" w:cs="Arial"/>
          <w:i/>
          <w:iCs/>
          <w:kern w:val="0"/>
          <w:sz w:val="22"/>
          <w:szCs w:val="22"/>
          <w:lang w:eastAsia="en-ZW"/>
          <w14:ligatures w14:val="none"/>
        </w:rPr>
        <w:t>Africa Insight, 53</w:t>
      </w:r>
      <w:r w:rsidRPr="00D77286">
        <w:rPr>
          <w:rFonts w:eastAsia="Times New Roman" w:cs="Arial"/>
          <w:kern w:val="0"/>
          <w:sz w:val="22"/>
          <w:szCs w:val="22"/>
          <w:lang w:eastAsia="en-ZW"/>
          <w14:ligatures w14:val="none"/>
        </w:rPr>
        <w:t>(2), 89–106.</w:t>
      </w:r>
    </w:p>
    <w:p w14:paraId="0EA57619" w14:textId="77777777" w:rsidR="00A26A18" w:rsidRPr="00D77286" w:rsidRDefault="00A26A18" w:rsidP="00D77286">
      <w:pPr>
        <w:spacing w:after="240"/>
        <w:rPr>
          <w:rFonts w:eastAsia="Times New Roman" w:cs="Arial"/>
          <w:kern w:val="0"/>
          <w:sz w:val="22"/>
          <w:szCs w:val="22"/>
          <w:lang w:eastAsia="en-ZW"/>
          <w14:ligatures w14:val="none"/>
        </w:rPr>
      </w:pPr>
      <w:proofErr w:type="spellStart"/>
      <w:r w:rsidRPr="00D77286">
        <w:rPr>
          <w:rFonts w:eastAsia="Times New Roman" w:cs="Arial"/>
          <w:kern w:val="0"/>
          <w:sz w:val="22"/>
          <w:szCs w:val="22"/>
          <w:lang w:eastAsia="en-ZW"/>
          <w14:ligatures w14:val="none"/>
        </w:rPr>
        <w:t>Suriyankietkaew</w:t>
      </w:r>
      <w:proofErr w:type="spellEnd"/>
      <w:r w:rsidRPr="00D77286">
        <w:rPr>
          <w:rFonts w:eastAsia="Times New Roman" w:cs="Arial"/>
          <w:kern w:val="0"/>
          <w:sz w:val="22"/>
          <w:szCs w:val="22"/>
          <w:lang w:eastAsia="en-ZW"/>
          <w14:ligatures w14:val="none"/>
        </w:rPr>
        <w:t xml:space="preserve">, S., </w:t>
      </w:r>
      <w:proofErr w:type="spellStart"/>
      <w:r w:rsidRPr="00D77286">
        <w:rPr>
          <w:rFonts w:eastAsia="Times New Roman" w:cs="Arial"/>
          <w:kern w:val="0"/>
          <w:sz w:val="22"/>
          <w:szCs w:val="22"/>
          <w:lang w:eastAsia="en-ZW"/>
          <w14:ligatures w14:val="none"/>
        </w:rPr>
        <w:t>Krittayaruangroj</w:t>
      </w:r>
      <w:proofErr w:type="spellEnd"/>
      <w:r w:rsidRPr="00D77286">
        <w:rPr>
          <w:rFonts w:eastAsia="Times New Roman" w:cs="Arial"/>
          <w:kern w:val="0"/>
          <w:sz w:val="22"/>
          <w:szCs w:val="22"/>
          <w:lang w:eastAsia="en-ZW"/>
          <w14:ligatures w14:val="none"/>
        </w:rPr>
        <w:t xml:space="preserve">, K., &amp; </w:t>
      </w:r>
      <w:proofErr w:type="spellStart"/>
      <w:r w:rsidRPr="00D77286">
        <w:rPr>
          <w:rFonts w:eastAsia="Times New Roman" w:cs="Arial"/>
          <w:kern w:val="0"/>
          <w:sz w:val="22"/>
          <w:szCs w:val="22"/>
          <w:lang w:eastAsia="en-ZW"/>
          <w14:ligatures w14:val="none"/>
        </w:rPr>
        <w:t>Iamsawan</w:t>
      </w:r>
      <w:proofErr w:type="spellEnd"/>
      <w:r w:rsidRPr="00D77286">
        <w:rPr>
          <w:rFonts w:eastAsia="Times New Roman" w:cs="Arial"/>
          <w:kern w:val="0"/>
          <w:sz w:val="22"/>
          <w:szCs w:val="22"/>
          <w:lang w:eastAsia="en-ZW"/>
          <w14:ligatures w14:val="none"/>
        </w:rPr>
        <w:t xml:space="preserve">, N. (2022). Sustainable leadership practices and organisational sustainability performance. </w:t>
      </w:r>
      <w:r w:rsidRPr="00D77286">
        <w:rPr>
          <w:rFonts w:eastAsia="Times New Roman" w:cs="Arial"/>
          <w:i/>
          <w:iCs/>
          <w:kern w:val="0"/>
          <w:sz w:val="22"/>
          <w:szCs w:val="22"/>
          <w:lang w:eastAsia="en-ZW"/>
          <w14:ligatures w14:val="none"/>
        </w:rPr>
        <w:t>Sustainability, 14</w:t>
      </w:r>
      <w:r w:rsidRPr="00D77286">
        <w:rPr>
          <w:rFonts w:eastAsia="Times New Roman" w:cs="Arial"/>
          <w:kern w:val="0"/>
          <w:sz w:val="22"/>
          <w:szCs w:val="22"/>
          <w:lang w:eastAsia="en-ZW"/>
          <w14:ligatures w14:val="none"/>
        </w:rPr>
        <w:t xml:space="preserve">(7), 3984. </w:t>
      </w:r>
      <w:hyperlink r:id="rId25" w:history="1">
        <w:r w:rsidRPr="00D77286">
          <w:rPr>
            <w:rFonts w:eastAsia="Times New Roman" w:cs="Arial"/>
            <w:color w:val="0000FF"/>
            <w:kern w:val="0"/>
            <w:sz w:val="22"/>
            <w:szCs w:val="22"/>
            <w:u w:val="single"/>
            <w:lang w:eastAsia="en-ZW"/>
            <w14:ligatures w14:val="none"/>
          </w:rPr>
          <w:t>https://doi.org/10.3390/su14073984</w:t>
        </w:r>
      </w:hyperlink>
    </w:p>
    <w:p w14:paraId="7CB04910" w14:textId="77777777" w:rsidR="00A26A18" w:rsidRPr="00D77286" w:rsidRDefault="00A26A18" w:rsidP="00D77286">
      <w:pPr>
        <w:spacing w:after="240"/>
        <w:rPr>
          <w:rFonts w:eastAsia="Times New Roman" w:cs="Arial"/>
          <w:kern w:val="0"/>
          <w:sz w:val="22"/>
          <w:szCs w:val="22"/>
          <w:lang w:eastAsia="en-ZW"/>
          <w14:ligatures w14:val="none"/>
        </w:rPr>
      </w:pPr>
      <w:proofErr w:type="spellStart"/>
      <w:r w:rsidRPr="00D77286">
        <w:rPr>
          <w:rFonts w:eastAsia="Times New Roman" w:cs="Arial"/>
          <w:kern w:val="0"/>
          <w:sz w:val="22"/>
          <w:szCs w:val="22"/>
          <w:lang w:eastAsia="en-ZW"/>
          <w14:ligatures w14:val="none"/>
        </w:rPr>
        <w:t>Tashakkori</w:t>
      </w:r>
      <w:proofErr w:type="spellEnd"/>
      <w:r w:rsidRPr="00D77286">
        <w:rPr>
          <w:rFonts w:eastAsia="Times New Roman" w:cs="Arial"/>
          <w:kern w:val="0"/>
          <w:sz w:val="22"/>
          <w:szCs w:val="22"/>
          <w:lang w:eastAsia="en-ZW"/>
          <w14:ligatures w14:val="none"/>
        </w:rPr>
        <w:t xml:space="preserve">, A., &amp; Teddlie, C. (2021). </w:t>
      </w:r>
      <w:r w:rsidRPr="00D77286">
        <w:rPr>
          <w:rFonts w:eastAsia="Times New Roman" w:cs="Arial"/>
          <w:i/>
          <w:iCs/>
          <w:kern w:val="0"/>
          <w:sz w:val="22"/>
          <w:szCs w:val="22"/>
          <w:lang w:eastAsia="en-ZW"/>
          <w14:ligatures w14:val="none"/>
        </w:rPr>
        <w:t xml:space="preserve">Handbook of mixed methods in social and </w:t>
      </w:r>
      <w:proofErr w:type="spellStart"/>
      <w:r w:rsidRPr="00D77286">
        <w:rPr>
          <w:rFonts w:eastAsia="Times New Roman" w:cs="Arial"/>
          <w:i/>
          <w:iCs/>
          <w:kern w:val="0"/>
          <w:sz w:val="22"/>
          <w:szCs w:val="22"/>
          <w:lang w:eastAsia="en-ZW"/>
          <w14:ligatures w14:val="none"/>
        </w:rPr>
        <w:t>behavioral</w:t>
      </w:r>
      <w:proofErr w:type="spellEnd"/>
      <w:r w:rsidRPr="00D77286">
        <w:rPr>
          <w:rFonts w:eastAsia="Times New Roman" w:cs="Arial"/>
          <w:i/>
          <w:iCs/>
          <w:kern w:val="0"/>
          <w:sz w:val="22"/>
          <w:szCs w:val="22"/>
          <w:lang w:eastAsia="en-ZW"/>
          <w14:ligatures w14:val="none"/>
        </w:rPr>
        <w:t xml:space="preserve"> research</w:t>
      </w:r>
      <w:r w:rsidRPr="00D77286">
        <w:rPr>
          <w:rFonts w:eastAsia="Times New Roman" w:cs="Arial"/>
          <w:kern w:val="0"/>
          <w:sz w:val="22"/>
          <w:szCs w:val="22"/>
          <w:lang w:eastAsia="en-ZW"/>
          <w14:ligatures w14:val="none"/>
        </w:rPr>
        <w:t xml:space="preserve"> (3rd ed.). Sage Publications.</w:t>
      </w:r>
    </w:p>
    <w:p w14:paraId="11EFDC8F"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Tyler, T. R. (2006). </w:t>
      </w:r>
      <w:r w:rsidRPr="00D77286">
        <w:rPr>
          <w:rFonts w:eastAsia="Times New Roman" w:cs="Arial"/>
          <w:i/>
          <w:iCs/>
          <w:kern w:val="0"/>
          <w:sz w:val="22"/>
          <w:szCs w:val="22"/>
          <w:lang w:eastAsia="en-ZW"/>
          <w14:ligatures w14:val="none"/>
        </w:rPr>
        <w:t>Why people obey the law</w:t>
      </w:r>
      <w:r w:rsidRPr="00D77286">
        <w:rPr>
          <w:rFonts w:eastAsia="Times New Roman" w:cs="Arial"/>
          <w:kern w:val="0"/>
          <w:sz w:val="22"/>
          <w:szCs w:val="22"/>
          <w:lang w:eastAsia="en-ZW"/>
          <w14:ligatures w14:val="none"/>
        </w:rPr>
        <w:t xml:space="preserve"> (2nd ed.). Princeton University Press.</w:t>
      </w:r>
    </w:p>
    <w:p w14:paraId="39ED033C"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United Nations. (2024). </w:t>
      </w:r>
      <w:r w:rsidRPr="00D77286">
        <w:rPr>
          <w:rFonts w:eastAsia="Times New Roman" w:cs="Arial"/>
          <w:i/>
          <w:iCs/>
          <w:kern w:val="0"/>
          <w:sz w:val="22"/>
          <w:szCs w:val="22"/>
          <w:lang w:eastAsia="en-ZW"/>
          <w14:ligatures w14:val="none"/>
        </w:rPr>
        <w:t>The Sustainable Development Goals Report 2024</w:t>
      </w:r>
      <w:r w:rsidRPr="00D77286">
        <w:rPr>
          <w:rFonts w:eastAsia="Times New Roman" w:cs="Arial"/>
          <w:kern w:val="0"/>
          <w:sz w:val="22"/>
          <w:szCs w:val="22"/>
          <w:lang w:eastAsia="en-ZW"/>
          <w14:ligatures w14:val="none"/>
        </w:rPr>
        <w:t>. United Nations.</w:t>
      </w:r>
    </w:p>
    <w:p w14:paraId="54A1F1DB"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United Nations Department of Economic and Social Affairs. (2024). </w:t>
      </w:r>
      <w:r w:rsidRPr="00D77286">
        <w:rPr>
          <w:rFonts w:eastAsia="Times New Roman" w:cs="Arial"/>
          <w:i/>
          <w:iCs/>
          <w:kern w:val="0"/>
          <w:sz w:val="22"/>
          <w:szCs w:val="22"/>
          <w:lang w:eastAsia="en-ZW"/>
          <w14:ligatures w14:val="none"/>
        </w:rPr>
        <w:t>World Social Report 2024: Strengthening institutions for sustainable development</w:t>
      </w:r>
      <w:r w:rsidRPr="00D77286">
        <w:rPr>
          <w:rFonts w:eastAsia="Times New Roman" w:cs="Arial"/>
          <w:kern w:val="0"/>
          <w:sz w:val="22"/>
          <w:szCs w:val="22"/>
          <w:lang w:eastAsia="en-ZW"/>
          <w14:ligatures w14:val="none"/>
        </w:rPr>
        <w:t>. United Nations.</w:t>
      </w:r>
    </w:p>
    <w:p w14:paraId="63C84F53"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United Nations Development Programme. (2023). </w:t>
      </w:r>
      <w:r w:rsidRPr="00D77286">
        <w:rPr>
          <w:rFonts w:eastAsia="Times New Roman" w:cs="Arial"/>
          <w:i/>
          <w:iCs/>
          <w:kern w:val="0"/>
          <w:sz w:val="22"/>
          <w:szCs w:val="22"/>
          <w:lang w:eastAsia="en-ZW"/>
          <w14:ligatures w14:val="none"/>
        </w:rPr>
        <w:t>Governance for sustainable development: Global report</w:t>
      </w:r>
      <w:r w:rsidRPr="00D77286">
        <w:rPr>
          <w:rFonts w:eastAsia="Times New Roman" w:cs="Arial"/>
          <w:kern w:val="0"/>
          <w:sz w:val="22"/>
          <w:szCs w:val="22"/>
          <w:lang w:eastAsia="en-ZW"/>
          <w14:ligatures w14:val="none"/>
        </w:rPr>
        <w:t>. UNDP.</w:t>
      </w:r>
    </w:p>
    <w:p w14:paraId="16980B28"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United Nations Development Programme. (2024). </w:t>
      </w:r>
      <w:r w:rsidRPr="00D77286">
        <w:rPr>
          <w:rFonts w:eastAsia="Times New Roman" w:cs="Arial"/>
          <w:i/>
          <w:iCs/>
          <w:kern w:val="0"/>
          <w:sz w:val="22"/>
          <w:szCs w:val="22"/>
          <w:lang w:eastAsia="en-ZW"/>
          <w14:ligatures w14:val="none"/>
        </w:rPr>
        <w:t>Human Development Report 2024</w:t>
      </w:r>
      <w:r w:rsidRPr="00D77286">
        <w:rPr>
          <w:rFonts w:eastAsia="Times New Roman" w:cs="Arial"/>
          <w:kern w:val="0"/>
          <w:sz w:val="22"/>
          <w:szCs w:val="22"/>
          <w:lang w:eastAsia="en-ZW"/>
          <w14:ligatures w14:val="none"/>
        </w:rPr>
        <w:t>. UNDP.</w:t>
      </w:r>
    </w:p>
    <w:p w14:paraId="61F0B580"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World Bank. (2024). </w:t>
      </w:r>
      <w:r w:rsidRPr="00D77286">
        <w:rPr>
          <w:rFonts w:eastAsia="Times New Roman" w:cs="Arial"/>
          <w:i/>
          <w:iCs/>
          <w:kern w:val="0"/>
          <w:sz w:val="22"/>
          <w:szCs w:val="22"/>
          <w:lang w:eastAsia="en-ZW"/>
          <w14:ligatures w14:val="none"/>
        </w:rPr>
        <w:t>World Development Report 2024: Governance and development</w:t>
      </w:r>
      <w:r w:rsidRPr="00D77286">
        <w:rPr>
          <w:rFonts w:eastAsia="Times New Roman" w:cs="Arial"/>
          <w:kern w:val="0"/>
          <w:sz w:val="22"/>
          <w:szCs w:val="22"/>
          <w:lang w:eastAsia="en-ZW"/>
          <w14:ligatures w14:val="none"/>
        </w:rPr>
        <w:t>. World Bank.</w:t>
      </w:r>
    </w:p>
    <w:p w14:paraId="6A6FE3A3"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World Commission on Environment and Development. (1987). </w:t>
      </w:r>
      <w:r w:rsidRPr="00D77286">
        <w:rPr>
          <w:rFonts w:eastAsia="Times New Roman" w:cs="Arial"/>
          <w:i/>
          <w:iCs/>
          <w:kern w:val="0"/>
          <w:sz w:val="22"/>
          <w:szCs w:val="22"/>
          <w:lang w:eastAsia="en-ZW"/>
          <w14:ligatures w14:val="none"/>
        </w:rPr>
        <w:t>Our common future</w:t>
      </w:r>
      <w:r w:rsidRPr="00D77286">
        <w:rPr>
          <w:rFonts w:eastAsia="Times New Roman" w:cs="Arial"/>
          <w:kern w:val="0"/>
          <w:sz w:val="22"/>
          <w:szCs w:val="22"/>
          <w:lang w:eastAsia="en-ZW"/>
          <w14:ligatures w14:val="none"/>
        </w:rPr>
        <w:t>. Oxford University Press.</w:t>
      </w:r>
    </w:p>
    <w:p w14:paraId="617CD2E2"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Yeboah-</w:t>
      </w:r>
      <w:proofErr w:type="spellStart"/>
      <w:r w:rsidRPr="00D77286">
        <w:rPr>
          <w:rFonts w:eastAsia="Times New Roman" w:cs="Arial"/>
          <w:kern w:val="0"/>
          <w:sz w:val="22"/>
          <w:szCs w:val="22"/>
          <w:lang w:eastAsia="en-ZW"/>
          <w14:ligatures w14:val="none"/>
        </w:rPr>
        <w:t>Assiamah</w:t>
      </w:r>
      <w:proofErr w:type="spellEnd"/>
      <w:r w:rsidRPr="00D77286">
        <w:rPr>
          <w:rFonts w:eastAsia="Times New Roman" w:cs="Arial"/>
          <w:kern w:val="0"/>
          <w:sz w:val="22"/>
          <w:szCs w:val="22"/>
          <w:lang w:eastAsia="en-ZW"/>
          <w14:ligatures w14:val="none"/>
        </w:rPr>
        <w:t xml:space="preserve">, E., Asare, B., &amp; </w:t>
      </w:r>
      <w:proofErr w:type="spellStart"/>
      <w:r w:rsidRPr="00D77286">
        <w:rPr>
          <w:rFonts w:eastAsia="Times New Roman" w:cs="Arial"/>
          <w:kern w:val="0"/>
          <w:sz w:val="22"/>
          <w:szCs w:val="22"/>
          <w:lang w:eastAsia="en-ZW"/>
          <w14:ligatures w14:val="none"/>
        </w:rPr>
        <w:t>Kyeremeh</w:t>
      </w:r>
      <w:proofErr w:type="spellEnd"/>
      <w:r w:rsidRPr="00D77286">
        <w:rPr>
          <w:rFonts w:eastAsia="Times New Roman" w:cs="Arial"/>
          <w:kern w:val="0"/>
          <w:sz w:val="22"/>
          <w:szCs w:val="22"/>
          <w:lang w:eastAsia="en-ZW"/>
          <w14:ligatures w14:val="none"/>
        </w:rPr>
        <w:t xml:space="preserve">, D. (2024). Leadership accountability and sustainability of community-based development initiatives in Africa. </w:t>
      </w:r>
      <w:r w:rsidRPr="00D77286">
        <w:rPr>
          <w:rFonts w:eastAsia="Times New Roman" w:cs="Arial"/>
          <w:i/>
          <w:iCs/>
          <w:kern w:val="0"/>
          <w:sz w:val="22"/>
          <w:szCs w:val="22"/>
          <w:lang w:eastAsia="en-ZW"/>
          <w14:ligatures w14:val="none"/>
        </w:rPr>
        <w:t>Development in Practice, 34</w:t>
      </w:r>
      <w:r w:rsidRPr="00D77286">
        <w:rPr>
          <w:rFonts w:eastAsia="Times New Roman" w:cs="Arial"/>
          <w:kern w:val="0"/>
          <w:sz w:val="22"/>
          <w:szCs w:val="22"/>
          <w:lang w:eastAsia="en-ZW"/>
          <w14:ligatures w14:val="none"/>
        </w:rPr>
        <w:t xml:space="preserve">(2), 215–229. </w:t>
      </w:r>
      <w:hyperlink r:id="rId26" w:history="1">
        <w:r w:rsidRPr="00D77286">
          <w:rPr>
            <w:rFonts w:eastAsia="Times New Roman" w:cs="Arial"/>
            <w:color w:val="0000FF"/>
            <w:kern w:val="0"/>
            <w:sz w:val="22"/>
            <w:szCs w:val="22"/>
            <w:u w:val="single"/>
            <w:lang w:eastAsia="en-ZW"/>
            <w14:ligatures w14:val="none"/>
          </w:rPr>
          <w:t>https://doi.org/10.1080/09614524.2023.2289017</w:t>
        </w:r>
      </w:hyperlink>
    </w:p>
    <w:p w14:paraId="0CB30CCF"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lastRenderedPageBreak/>
        <w:t xml:space="preserve">Zimbabwe National Statistics Agency. (2023). </w:t>
      </w:r>
      <w:r w:rsidRPr="00D77286">
        <w:rPr>
          <w:rFonts w:eastAsia="Times New Roman" w:cs="Arial"/>
          <w:i/>
          <w:iCs/>
          <w:kern w:val="0"/>
          <w:sz w:val="22"/>
          <w:szCs w:val="22"/>
          <w:lang w:eastAsia="en-ZW"/>
          <w14:ligatures w14:val="none"/>
        </w:rPr>
        <w:t>Zimbabwe Poverty, Income, Consumption and Expenditure Survey Report</w:t>
      </w:r>
      <w:r w:rsidRPr="00D77286">
        <w:rPr>
          <w:rFonts w:eastAsia="Times New Roman" w:cs="Arial"/>
          <w:kern w:val="0"/>
          <w:sz w:val="22"/>
          <w:szCs w:val="22"/>
          <w:lang w:eastAsia="en-ZW"/>
          <w14:ligatures w14:val="none"/>
        </w:rPr>
        <w:t>. ZIMSTAT.</w:t>
      </w:r>
    </w:p>
    <w:p w14:paraId="4BFF1978" w14:textId="77777777" w:rsidR="00A26A18" w:rsidRPr="00D77286" w:rsidRDefault="00A26A18" w:rsidP="00D77286">
      <w:pPr>
        <w:spacing w:after="240"/>
        <w:rPr>
          <w:rFonts w:eastAsia="Times New Roman" w:cs="Arial"/>
          <w:kern w:val="0"/>
          <w:sz w:val="22"/>
          <w:szCs w:val="22"/>
          <w:lang w:eastAsia="en-ZW"/>
          <w14:ligatures w14:val="none"/>
        </w:rPr>
      </w:pPr>
      <w:r w:rsidRPr="00D77286">
        <w:rPr>
          <w:rFonts w:eastAsia="Times New Roman" w:cs="Arial"/>
          <w:kern w:val="0"/>
          <w:sz w:val="22"/>
          <w:szCs w:val="22"/>
          <w:lang w:eastAsia="en-ZW"/>
          <w14:ligatures w14:val="none"/>
        </w:rPr>
        <w:t xml:space="preserve">Zimbabwe Vulnerability Assessment Committee. (2024). </w:t>
      </w:r>
      <w:r w:rsidRPr="00D77286">
        <w:rPr>
          <w:rFonts w:eastAsia="Times New Roman" w:cs="Arial"/>
          <w:i/>
          <w:iCs/>
          <w:kern w:val="0"/>
          <w:sz w:val="22"/>
          <w:szCs w:val="22"/>
          <w:lang w:eastAsia="en-ZW"/>
          <w14:ligatures w14:val="none"/>
        </w:rPr>
        <w:t>Rural Livelihoods Assessment Report 2024</w:t>
      </w:r>
      <w:r w:rsidRPr="00D77286">
        <w:rPr>
          <w:rFonts w:eastAsia="Times New Roman" w:cs="Arial"/>
          <w:kern w:val="0"/>
          <w:sz w:val="22"/>
          <w:szCs w:val="22"/>
          <w:lang w:eastAsia="en-ZW"/>
          <w14:ligatures w14:val="none"/>
        </w:rPr>
        <w:t>. Food and Nutrition Council.</w:t>
      </w:r>
    </w:p>
    <w:p w14:paraId="22B88C7C" w14:textId="1480FA3F" w:rsidR="00D84833" w:rsidRDefault="00D84833" w:rsidP="00A26A18"/>
    <w:p w14:paraId="12D71EAE" w14:textId="77777777" w:rsidR="00D84833" w:rsidRDefault="00D84833" w:rsidP="00D74EC2"/>
    <w:sectPr w:rsidR="00D84833">
      <w:headerReference w:type="even" r:id="rId27"/>
      <w:headerReference w:type="default" r:id="rId28"/>
      <w:head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F6DDB" w14:textId="77777777" w:rsidR="00806B52" w:rsidRDefault="00806B52" w:rsidP="000A6CAF">
      <w:pPr>
        <w:spacing w:after="0"/>
      </w:pPr>
      <w:r>
        <w:separator/>
      </w:r>
    </w:p>
  </w:endnote>
  <w:endnote w:type="continuationSeparator" w:id="0">
    <w:p w14:paraId="57D3386D" w14:textId="77777777" w:rsidR="00806B52" w:rsidRDefault="00806B52" w:rsidP="000A6C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26429" w14:textId="77777777" w:rsidR="00806B52" w:rsidRDefault="00806B52" w:rsidP="000A6CAF">
      <w:pPr>
        <w:spacing w:after="0"/>
      </w:pPr>
      <w:r>
        <w:separator/>
      </w:r>
    </w:p>
  </w:footnote>
  <w:footnote w:type="continuationSeparator" w:id="0">
    <w:p w14:paraId="66D5EF95" w14:textId="77777777" w:rsidR="00806B52" w:rsidRDefault="00806B52" w:rsidP="000A6CA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AD604" w14:textId="12D5ED00" w:rsidR="000A6CAF" w:rsidRDefault="000A6CAF">
    <w:pPr>
      <w:pStyle w:val="Header"/>
    </w:pPr>
    <w:r>
      <w:rPr>
        <w:noProof/>
      </w:rPr>
      <mc:AlternateContent>
        <mc:Choice Requires="wps">
          <w:drawing>
            <wp:anchor distT="0" distB="0" distL="0" distR="0" simplePos="0" relativeHeight="251659264" behindDoc="0" locked="0" layoutInCell="1" allowOverlap="1" wp14:anchorId="33F1C1FD" wp14:editId="6B87D89F">
              <wp:simplePos x="635" y="635"/>
              <wp:positionH relativeFrom="page">
                <wp:align>left</wp:align>
              </wp:positionH>
              <wp:positionV relativeFrom="page">
                <wp:align>top</wp:align>
              </wp:positionV>
              <wp:extent cx="930275" cy="370205"/>
              <wp:effectExtent l="0" t="0" r="3175" b="10795"/>
              <wp:wrapNone/>
              <wp:docPr id="222826482" name="Text Box 2"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30275" cy="370205"/>
                      </a:xfrm>
                      <a:prstGeom prst="rect">
                        <a:avLst/>
                      </a:prstGeom>
                      <a:noFill/>
                      <a:ln>
                        <a:noFill/>
                      </a:ln>
                    </wps:spPr>
                    <wps:txbx>
                      <w:txbxContent>
                        <w:p w14:paraId="3477AD99" w14:textId="6E4B8CA3" w:rsidR="000A6CAF" w:rsidRPr="000A6CAF" w:rsidRDefault="000A6CAF" w:rsidP="000A6CAF">
                          <w:pPr>
                            <w:spacing w:after="0"/>
                            <w:rPr>
                              <w:rFonts w:ascii="Aptos" w:eastAsia="Aptos" w:hAnsi="Aptos" w:cs="Aptos"/>
                              <w:noProof/>
                              <w:color w:val="000000"/>
                              <w:sz w:val="20"/>
                              <w:szCs w:val="20"/>
                            </w:rPr>
                          </w:pPr>
                          <w:r w:rsidRPr="000A6CAF">
                            <w:rPr>
                              <w:rFonts w:ascii="Aptos" w:eastAsia="Aptos" w:hAnsi="Aptos" w:cs="Aptos"/>
                              <w:noProof/>
                              <w:color w:val="000000"/>
                              <w:sz w:val="20"/>
                              <w:szCs w:val="20"/>
                            </w:rPr>
                            <w:t>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3F1C1FD" id="_x0000_t202" coordsize="21600,21600" o:spt="202" path="m,l,21600r21600,l21600,xe">
              <v:stroke joinstyle="miter"/>
              <v:path gradientshapeok="t" o:connecttype="rect"/>
            </v:shapetype>
            <v:shape id="Text Box 2" o:spid="_x0000_s1026" type="#_x0000_t202" alt="Confidential" style="position:absolute;left:0;text-align:left;margin-left:0;margin-top:0;width:73.25pt;height:29.1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N8DgIAABoEAAAOAAAAZHJzL2Uyb0RvYy54bWysU0tv2zAMvg/YfxB0X+yky7oacYqsRYYB&#10;RVsgHXpWZDk2IImCxMTOfv0o2Um2bqdhF5kv8/Hx4+K2N5odlA8t2JJPJzlnykqoWrsr+feX9YfP&#10;nAUUthIarCr5UQV+u3z/btG5Qs2gAV0pzyiJDUXnSt4guiLLgmyUEWECTlly1uCNQFL9Lqu86Ci7&#10;0dkszz9lHfjKeZAqBLLeD06+TPnrWkl8quugkOmSU2+YXp/ebXyz5UIUOy9c08qxDfEPXRjRWip6&#10;TnUvULC9b/9IZVrpIUCNEwkmg7pupUoz0DTT/M00m0Y4lWYhcII7wxT+X1r5eNi4Z8+w/wI9LTAC&#10;0rlQBDLGefram/ilThn5CcLjGTbVI5NkvLnKZ9dzziS5rq7zWT6PWbLLz84H/KrAsCiU3NNWElji&#10;8BBwCD2FxFoW1q3WaTPa/magnNGSXTqMEvbbfmx7C9WRpvEwLDo4uW6p5oMI+Cw8bZYGILbiEz21&#10;hq7kMEqcNeB//M0e4wlw8nLWEVNKbonKnOlvlhYxm3/M88ispE1v8nnUfNJI2J4Euzd3QCSc0j04&#10;mcQYh/ok1h7MK5F5FauRS1hJNUuOJ/EOB97SMUi1WqUgIpET+GA3TsbUEayI5Ev/Krwb4Uba0yOc&#10;uCSKN6gPsfHP4FZ7JOzTSiKwA5oj3kTAtNTxWCLDf9VT1OWklz8BAAD//wMAUEsDBBQABgAIAAAA&#10;IQC1IBKM2wAAAAQBAAAPAAAAZHJzL2Rvd25yZXYueG1sTI9PS8NAEMXvgt9hGcGb3ahNKTGTIoKg&#10;YBFr0es2O/mD2dmQnTTx27v1opeBx3u895t8M7tOHWkIrWeE60UCirj0tuUaYf/+eLUGFcSwNZ1n&#10;QvimAJvi/Cw3mfUTv9FxJ7WKJRwyg9CI9JnWoWzImbDwPXH0Kj84I1EOtbaDmWK56/RNkqy0My3H&#10;hcb09NBQ+bUbHcLTMnzKWFVp2L5sp+R5cvvx9QPx8mK+vwMlNMtfGE74ER2KyHTwI9ugOoT4iPze&#10;k7dcpaAOCOn6FnSR6//wxQ8AAAD//wMAUEsBAi0AFAAGAAgAAAAhALaDOJL+AAAA4QEAABMAAAAA&#10;AAAAAAAAAAAAAAAAAFtDb250ZW50X1R5cGVzXS54bWxQSwECLQAUAAYACAAAACEAOP0h/9YAAACU&#10;AQAACwAAAAAAAAAAAAAAAAAvAQAAX3JlbHMvLnJlbHNQSwECLQAUAAYACAAAACEAl40zfA4CAAAa&#10;BAAADgAAAAAAAAAAAAAAAAAuAgAAZHJzL2Uyb0RvYy54bWxQSwECLQAUAAYACAAAACEAtSASjNsA&#10;AAAEAQAADwAAAAAAAAAAAAAAAABoBAAAZHJzL2Rvd25yZXYueG1sUEsFBgAAAAAEAAQA8wAAAHAF&#10;AAAAAA==&#10;" filled="f" stroked="f">
              <v:textbox style="mso-fit-shape-to-text:t" inset="20pt,15pt,0,0">
                <w:txbxContent>
                  <w:p w14:paraId="3477AD99" w14:textId="6E4B8CA3" w:rsidR="000A6CAF" w:rsidRPr="000A6CAF" w:rsidRDefault="000A6CAF" w:rsidP="000A6CAF">
                    <w:pPr>
                      <w:spacing w:after="0"/>
                      <w:rPr>
                        <w:rFonts w:ascii="Aptos" w:eastAsia="Aptos" w:hAnsi="Aptos" w:cs="Aptos"/>
                        <w:noProof/>
                        <w:color w:val="000000"/>
                        <w:sz w:val="20"/>
                        <w:szCs w:val="20"/>
                      </w:rPr>
                    </w:pPr>
                    <w:r w:rsidRPr="000A6CAF">
                      <w:rPr>
                        <w:rFonts w:ascii="Aptos" w:eastAsia="Aptos" w:hAnsi="Aptos" w:cs="Aptos"/>
                        <w:noProof/>
                        <w:color w:val="000000"/>
                        <w:sz w:val="20"/>
                        <w:szCs w:val="20"/>
                      </w:rPr>
                      <w:t>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3CA54" w14:textId="4E2A9E4E" w:rsidR="000A6CAF" w:rsidRDefault="000A6CAF">
    <w:pPr>
      <w:pStyle w:val="Header"/>
    </w:pPr>
    <w:r>
      <w:rPr>
        <w:noProof/>
      </w:rPr>
      <mc:AlternateContent>
        <mc:Choice Requires="wps">
          <w:drawing>
            <wp:anchor distT="0" distB="0" distL="0" distR="0" simplePos="0" relativeHeight="251660288" behindDoc="0" locked="0" layoutInCell="1" allowOverlap="1" wp14:anchorId="5407FCFD" wp14:editId="62B07E28">
              <wp:simplePos x="914400" y="450574"/>
              <wp:positionH relativeFrom="page">
                <wp:align>left</wp:align>
              </wp:positionH>
              <wp:positionV relativeFrom="page">
                <wp:align>top</wp:align>
              </wp:positionV>
              <wp:extent cx="930275" cy="370205"/>
              <wp:effectExtent l="0" t="0" r="3175" b="10795"/>
              <wp:wrapNone/>
              <wp:docPr id="365121119" name="Text Box 3"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30275" cy="370205"/>
                      </a:xfrm>
                      <a:prstGeom prst="rect">
                        <a:avLst/>
                      </a:prstGeom>
                      <a:noFill/>
                      <a:ln>
                        <a:noFill/>
                      </a:ln>
                    </wps:spPr>
                    <wps:txbx>
                      <w:txbxContent>
                        <w:p w14:paraId="7308A726" w14:textId="2E015A89" w:rsidR="000A6CAF" w:rsidRPr="000A6CAF" w:rsidRDefault="000A6CAF" w:rsidP="000A6CAF">
                          <w:pPr>
                            <w:spacing w:after="0"/>
                            <w:rPr>
                              <w:rFonts w:ascii="Aptos" w:eastAsia="Aptos" w:hAnsi="Aptos" w:cs="Aptos"/>
                              <w:noProof/>
                              <w:color w:val="000000"/>
                              <w:sz w:val="20"/>
                              <w:szCs w:val="20"/>
                            </w:rPr>
                          </w:pPr>
                          <w:r w:rsidRPr="000A6CAF">
                            <w:rPr>
                              <w:rFonts w:ascii="Aptos" w:eastAsia="Aptos" w:hAnsi="Aptos" w:cs="Aptos"/>
                              <w:noProof/>
                              <w:color w:val="000000"/>
                              <w:sz w:val="20"/>
                              <w:szCs w:val="20"/>
                            </w:rPr>
                            <w:t>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407FCFD" id="_x0000_t202" coordsize="21600,21600" o:spt="202" path="m,l,21600r21600,l21600,xe">
              <v:stroke joinstyle="miter"/>
              <v:path gradientshapeok="t" o:connecttype="rect"/>
            </v:shapetype>
            <v:shape id="Text Box 3" o:spid="_x0000_s1027" type="#_x0000_t202" alt="Confidential" style="position:absolute;left:0;text-align:left;margin-left:0;margin-top:0;width:73.25pt;height:29.1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OvCEQIAACEEAAAOAAAAZHJzL2Uyb0RvYy54bWysU8tu2zAQvBfoPxC815KdukkEy4GbwEUB&#10;IwngFDnTFGUJILkEubbkfn2XlB9p2lPRC7UvLXdnhrO73mi2Vz60YEs+HuWcKSuhau225D9elp9u&#10;OAsobCU0WFXygwr8bv7xw6xzhZpAA7pSnlETG4rOlbxBdEWWBdkoI8IInLKUrMEbgeT6bVZ50VF3&#10;o7NJnn/JOvCV8yBVCBR9GJJ8nvrXtZL4VNdBIdMlp9kwnT6dm3hm85kotl64ppXHMcQ/TGFEa+nS&#10;c6sHgYLtfPtHK9NKDwFqHEkwGdR1K1XagbYZ5++2WTfCqbQLgRPcGabw/9rKx/3aPXuG/VfoicAI&#10;SOdCESgY9+lrb+KXJmWUJwgPZ9hUj0xS8PYqn1xPOZOUurrOJ/k0dskuPzsf8JsCw6JRck+sJLDE&#10;fhVwKD2VxLssLFutEzPa/hagnjGSXSaMFvabnrXVm+k3UB1oKQ8D38HJZUtXr0TAZ+GJYNqDRItP&#10;dNQaupLD0eKsAf/zb/FYT7hTlrOOBFNyS4rmTH+3xMdk+jnPo8CSN77Np9HzySNjczLsztwDaXFM&#10;z8LJZMY61Cez9mBeSdOLeBulhJV0Z8nxZN7jIF96E1ItFqmItOQEruzaydg6YhYBfelfhXdH1JHo&#10;eoSTpETxDvyhNv4Z3GKHREFiJuI7oHmEnXSYuD2+mSj0t36qurzs+S8AAAD//wMAUEsDBBQABgAI&#10;AAAAIQC1IBKM2wAAAAQBAAAPAAAAZHJzL2Rvd25yZXYueG1sTI9PS8NAEMXvgt9hGcGb3ahNKTGT&#10;IoKgYBFr0es2O/mD2dmQnTTx27v1opeBx3u895t8M7tOHWkIrWeE60UCirj0tuUaYf/+eLUGFcSw&#10;NZ1nQvimAJvi/Cw3mfUTv9FxJ7WKJRwyg9CI9JnWoWzImbDwPXH0Kj84I1EOtbaDmWK56/RNkqy0&#10;My3Hhcb09NBQ+bUbHcLTMnzKWFVp2L5sp+R5cvvx9QPx8mK+vwMlNMtfGE74ER2KyHTwI9ugOoT4&#10;iPzek7dcpaAOCOn6FnSR6//wxQ8AAAD//wMAUEsBAi0AFAAGAAgAAAAhALaDOJL+AAAA4QEAABMA&#10;AAAAAAAAAAAAAAAAAAAAAFtDb250ZW50X1R5cGVzXS54bWxQSwECLQAUAAYACAAAACEAOP0h/9YA&#10;AACUAQAACwAAAAAAAAAAAAAAAAAvAQAAX3JlbHMvLnJlbHNQSwECLQAUAAYACAAAACEANajrwhEC&#10;AAAhBAAADgAAAAAAAAAAAAAAAAAuAgAAZHJzL2Uyb0RvYy54bWxQSwECLQAUAAYACAAAACEAtSAS&#10;jNsAAAAEAQAADwAAAAAAAAAAAAAAAABrBAAAZHJzL2Rvd25yZXYueG1sUEsFBgAAAAAEAAQA8wAA&#10;AHMFAAAAAA==&#10;" filled="f" stroked="f">
              <v:textbox style="mso-fit-shape-to-text:t" inset="20pt,15pt,0,0">
                <w:txbxContent>
                  <w:p w14:paraId="7308A726" w14:textId="2E015A89" w:rsidR="000A6CAF" w:rsidRPr="000A6CAF" w:rsidRDefault="000A6CAF" w:rsidP="000A6CAF">
                    <w:pPr>
                      <w:spacing w:after="0"/>
                      <w:rPr>
                        <w:rFonts w:ascii="Aptos" w:eastAsia="Aptos" w:hAnsi="Aptos" w:cs="Aptos"/>
                        <w:noProof/>
                        <w:color w:val="000000"/>
                        <w:sz w:val="20"/>
                        <w:szCs w:val="20"/>
                      </w:rPr>
                    </w:pPr>
                    <w:r w:rsidRPr="000A6CAF">
                      <w:rPr>
                        <w:rFonts w:ascii="Aptos" w:eastAsia="Aptos" w:hAnsi="Aptos" w:cs="Aptos"/>
                        <w:noProof/>
                        <w:color w:val="000000"/>
                        <w:sz w:val="20"/>
                        <w:szCs w:val="20"/>
                      </w:rPr>
                      <w:t>Confidential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401F4" w14:textId="51A8040E" w:rsidR="000A6CAF" w:rsidRDefault="000A6CAF">
    <w:pPr>
      <w:pStyle w:val="Header"/>
    </w:pPr>
    <w:r>
      <w:rPr>
        <w:noProof/>
      </w:rPr>
      <mc:AlternateContent>
        <mc:Choice Requires="wps">
          <w:drawing>
            <wp:anchor distT="0" distB="0" distL="0" distR="0" simplePos="0" relativeHeight="251658240" behindDoc="0" locked="0" layoutInCell="1" allowOverlap="1" wp14:anchorId="35B0808D" wp14:editId="337731A8">
              <wp:simplePos x="635" y="635"/>
              <wp:positionH relativeFrom="page">
                <wp:align>left</wp:align>
              </wp:positionH>
              <wp:positionV relativeFrom="page">
                <wp:align>top</wp:align>
              </wp:positionV>
              <wp:extent cx="930275" cy="370205"/>
              <wp:effectExtent l="0" t="0" r="3175" b="10795"/>
              <wp:wrapNone/>
              <wp:docPr id="1543756276" name="Text Box 1"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30275" cy="370205"/>
                      </a:xfrm>
                      <a:prstGeom prst="rect">
                        <a:avLst/>
                      </a:prstGeom>
                      <a:noFill/>
                      <a:ln>
                        <a:noFill/>
                      </a:ln>
                    </wps:spPr>
                    <wps:txbx>
                      <w:txbxContent>
                        <w:p w14:paraId="0C528B94" w14:textId="55C16988" w:rsidR="000A6CAF" w:rsidRPr="000A6CAF" w:rsidRDefault="000A6CAF" w:rsidP="000A6CAF">
                          <w:pPr>
                            <w:spacing w:after="0"/>
                            <w:rPr>
                              <w:rFonts w:ascii="Aptos" w:eastAsia="Aptos" w:hAnsi="Aptos" w:cs="Aptos"/>
                              <w:noProof/>
                              <w:color w:val="000000"/>
                              <w:sz w:val="20"/>
                              <w:szCs w:val="20"/>
                            </w:rPr>
                          </w:pPr>
                          <w:r w:rsidRPr="000A6CAF">
                            <w:rPr>
                              <w:rFonts w:ascii="Aptos" w:eastAsia="Aptos" w:hAnsi="Aptos" w:cs="Aptos"/>
                              <w:noProof/>
                              <w:color w:val="000000"/>
                              <w:sz w:val="20"/>
                              <w:szCs w:val="20"/>
                            </w:rPr>
                            <w:t>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5B0808D" id="_x0000_t202" coordsize="21600,21600" o:spt="202" path="m,l,21600r21600,l21600,xe">
              <v:stroke joinstyle="miter"/>
              <v:path gradientshapeok="t" o:connecttype="rect"/>
            </v:shapetype>
            <v:shape id="Text Box 1" o:spid="_x0000_s1028" type="#_x0000_t202" alt="Confidential" style="position:absolute;left:0;text-align:left;margin-left:0;margin-top:0;width:73.25pt;height:29.1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iAEwIAACEEAAAOAAAAZHJzL2Uyb0RvYy54bWysU11v2yAUfZ+0/4B4X+y4y7pacaqsVaZJ&#10;UVspnfpMMMSWgIuAxM5+/S44TrauT9Ve8P3y5d5zDvPbXityEM63YCo6neSUCMOhbs2uoj+fV5++&#10;UuIDMzVTYERFj8LT28XHD/POlqKABlQtHMEmxpedrWgTgi2zzPNGaOYnYIXBpASnWUDX7bLasQ67&#10;a5UVef4l68DV1gEX3mP0fkjSReovpeDhUUovAlEVxdlCOl06t/HMFnNW7hyzTctPY7B3TKFZa/DS&#10;c6t7FhjZu/afVrrlDjzIMOGgM5Cy5SLtgNtM81fbbBpmRdoFwfH2DJP/f235w2FjnxwJ/TfokcAI&#10;SGd96TEY9+ml0/GLkxLMI4THM2yiD4Rj8OYqL65nlHBMXV3nRT6LXbLLz9b58F2AJtGoqENWEljs&#10;sPZhKB1L4l0GVq1SiRll/gpgzxjJLhNGK/TbnrR1RYtx+i3UR1zKwcC3t3zV4tVr5sMTc0gw7oGi&#10;DY94SAVdReFkUdKA+/VWPNYj7pilpEPBVNSgoilRPwzyUcw+53kUWPKmN/ksei55aGxHw+z1HaAW&#10;p/gsLE9mrAtqNKUD/YKaXsbbMMUMxzsrGkbzLgzyxTfBxXKZilBLloW12VgeW0fMIqDP/Qtz9oR6&#10;QLoeYJQUK1+BP9TGP71d7gNSkJiJ+A5onmBHHSZuT28mCv1PP1VdXvbiNwAAAP//AwBQSwMEFAAG&#10;AAgAAAAhALUgEozbAAAABAEAAA8AAABkcnMvZG93bnJldi54bWxMj09Lw0AQxe+C32EZwZvdqE0p&#10;MZMigqBgEWvR6zY7+YPZ2ZCdNPHbu/Wil4HHe7z3m3wzu04daQitZ4TrRQKKuPS25Rph//54tQYV&#10;xLA1nWdC+KYAm+L8LDeZ9RO/0XEntYolHDKD0Ij0mdahbMiZsPA9cfQqPzgjUQ61toOZYrnr9E2S&#10;rLQzLceFxvT00FD5tRsdwtMyfMpYVWnYvmyn5Hly+/H1A/HyYr6/AyU0y18YTvgRHYrIdPAj26A6&#10;hPiI/N6Tt1yloA4I6foWdJHr//DFDwAAAP//AwBQSwECLQAUAAYACAAAACEAtoM4kv4AAADhAQAA&#10;EwAAAAAAAAAAAAAAAAAAAAAAW0NvbnRlbnRfVHlwZXNdLnhtbFBLAQItABQABgAIAAAAIQA4/SH/&#10;1gAAAJQBAAALAAAAAAAAAAAAAAAAAC8BAABfcmVscy8ucmVsc1BLAQItABQABgAIAAAAIQBkPhiA&#10;EwIAACEEAAAOAAAAAAAAAAAAAAAAAC4CAABkcnMvZTJvRG9jLnhtbFBLAQItABQABgAIAAAAIQC1&#10;IBKM2wAAAAQBAAAPAAAAAAAAAAAAAAAAAG0EAABkcnMvZG93bnJldi54bWxQSwUGAAAAAAQABADz&#10;AAAAdQUAAAAA&#10;" filled="f" stroked="f">
              <v:textbox style="mso-fit-shape-to-text:t" inset="20pt,15pt,0,0">
                <w:txbxContent>
                  <w:p w14:paraId="0C528B94" w14:textId="55C16988" w:rsidR="000A6CAF" w:rsidRPr="000A6CAF" w:rsidRDefault="000A6CAF" w:rsidP="000A6CAF">
                    <w:pPr>
                      <w:spacing w:after="0"/>
                      <w:rPr>
                        <w:rFonts w:ascii="Aptos" w:eastAsia="Aptos" w:hAnsi="Aptos" w:cs="Aptos"/>
                        <w:noProof/>
                        <w:color w:val="000000"/>
                        <w:sz w:val="20"/>
                        <w:szCs w:val="20"/>
                      </w:rPr>
                    </w:pPr>
                    <w:r w:rsidRPr="000A6CAF">
                      <w:rPr>
                        <w:rFonts w:ascii="Aptos" w:eastAsia="Aptos" w:hAnsi="Aptos" w:cs="Aptos"/>
                        <w:noProof/>
                        <w:color w:val="000000"/>
                        <w:sz w:val="20"/>
                        <w:szCs w:val="20"/>
                      </w:rPr>
                      <w:t>Confidential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221A06"/>
    <w:multiLevelType w:val="multilevel"/>
    <w:tmpl w:val="BF5CE88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41D13DB9"/>
    <w:multiLevelType w:val="multilevel"/>
    <w:tmpl w:val="5BF2D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653593"/>
    <w:multiLevelType w:val="multilevel"/>
    <w:tmpl w:val="ECA4E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99205409">
    <w:abstractNumId w:val="1"/>
  </w:num>
  <w:num w:numId="2" w16cid:durableId="953556520">
    <w:abstractNumId w:val="3"/>
  </w:num>
  <w:num w:numId="3" w16cid:durableId="1208687758">
    <w:abstractNumId w:val="1"/>
  </w:num>
  <w:num w:numId="4" w16cid:durableId="817961594">
    <w:abstractNumId w:val="1"/>
  </w:num>
  <w:num w:numId="5" w16cid:durableId="1762264417">
    <w:abstractNumId w:val="0"/>
  </w:num>
  <w:num w:numId="6" w16cid:durableId="306203007">
    <w:abstractNumId w:val="2"/>
  </w:num>
  <w:num w:numId="7" w16cid:durableId="660795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68957681">
    <w:abstractNumId w:val="1"/>
  </w:num>
  <w:num w:numId="9" w16cid:durableId="10995680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43999366">
    <w:abstractNumId w:val="1"/>
  </w:num>
  <w:num w:numId="11" w16cid:durableId="1681736398">
    <w:abstractNumId w:val="1"/>
  </w:num>
  <w:num w:numId="12" w16cid:durableId="2055613538">
    <w:abstractNumId w:val="1"/>
  </w:num>
  <w:num w:numId="13" w16cid:durableId="1171791784">
    <w:abstractNumId w:val="1"/>
  </w:num>
  <w:num w:numId="14" w16cid:durableId="882794487">
    <w:abstractNumId w:val="1"/>
  </w:num>
  <w:num w:numId="15" w16cid:durableId="1708216230">
    <w:abstractNumId w:val="1"/>
  </w:num>
  <w:num w:numId="16" w16cid:durableId="2144224186">
    <w:abstractNumId w:val="1"/>
  </w:num>
  <w:num w:numId="17" w16cid:durableId="1210728010">
    <w:abstractNumId w:val="1"/>
  </w:num>
  <w:num w:numId="18" w16cid:durableId="1639334682">
    <w:abstractNumId w:val="1"/>
  </w:num>
  <w:num w:numId="19" w16cid:durableId="1347832688">
    <w:abstractNumId w:val="1"/>
  </w:num>
  <w:num w:numId="20" w16cid:durableId="600650471">
    <w:abstractNumId w:val="1"/>
  </w:num>
  <w:num w:numId="21" w16cid:durableId="206337252">
    <w:abstractNumId w:val="1"/>
  </w:num>
  <w:num w:numId="22" w16cid:durableId="1438985687">
    <w:abstractNumId w:val="1"/>
  </w:num>
  <w:num w:numId="23" w16cid:durableId="1879779659">
    <w:abstractNumId w:val="1"/>
  </w:num>
  <w:num w:numId="24" w16cid:durableId="9677110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CAF"/>
    <w:rsid w:val="000047A8"/>
    <w:rsid w:val="00012779"/>
    <w:rsid w:val="0005511F"/>
    <w:rsid w:val="000553BB"/>
    <w:rsid w:val="00077693"/>
    <w:rsid w:val="00080CE0"/>
    <w:rsid w:val="0008441B"/>
    <w:rsid w:val="0009714C"/>
    <w:rsid w:val="000A6CAF"/>
    <w:rsid w:val="000A6D96"/>
    <w:rsid w:val="000B5F99"/>
    <w:rsid w:val="000D01ED"/>
    <w:rsid w:val="000F30C1"/>
    <w:rsid w:val="00122DE6"/>
    <w:rsid w:val="00125BCD"/>
    <w:rsid w:val="00146022"/>
    <w:rsid w:val="0014644D"/>
    <w:rsid w:val="00190287"/>
    <w:rsid w:val="00191D21"/>
    <w:rsid w:val="001A5160"/>
    <w:rsid w:val="001B1A07"/>
    <w:rsid w:val="001B5021"/>
    <w:rsid w:val="001C1CC5"/>
    <w:rsid w:val="001D75C7"/>
    <w:rsid w:val="001D7B3A"/>
    <w:rsid w:val="001E17D6"/>
    <w:rsid w:val="001F6376"/>
    <w:rsid w:val="001F7E62"/>
    <w:rsid w:val="0021283C"/>
    <w:rsid w:val="0022207F"/>
    <w:rsid w:val="00227ADB"/>
    <w:rsid w:val="002308B8"/>
    <w:rsid w:val="0023128C"/>
    <w:rsid w:val="00232843"/>
    <w:rsid w:val="00233428"/>
    <w:rsid w:val="00244552"/>
    <w:rsid w:val="00251713"/>
    <w:rsid w:val="00251BB7"/>
    <w:rsid w:val="00251EF7"/>
    <w:rsid w:val="002536CD"/>
    <w:rsid w:val="00260235"/>
    <w:rsid w:val="00273486"/>
    <w:rsid w:val="00294C21"/>
    <w:rsid w:val="00297976"/>
    <w:rsid w:val="002A5016"/>
    <w:rsid w:val="003026C0"/>
    <w:rsid w:val="003062CA"/>
    <w:rsid w:val="003221B9"/>
    <w:rsid w:val="00326772"/>
    <w:rsid w:val="00336C63"/>
    <w:rsid w:val="00337DCE"/>
    <w:rsid w:val="00344207"/>
    <w:rsid w:val="003465E8"/>
    <w:rsid w:val="003539FF"/>
    <w:rsid w:val="003625ED"/>
    <w:rsid w:val="0036612A"/>
    <w:rsid w:val="00366385"/>
    <w:rsid w:val="003B5AC9"/>
    <w:rsid w:val="003F24F9"/>
    <w:rsid w:val="0040400E"/>
    <w:rsid w:val="004215ED"/>
    <w:rsid w:val="00423968"/>
    <w:rsid w:val="00424078"/>
    <w:rsid w:val="00490A62"/>
    <w:rsid w:val="00495311"/>
    <w:rsid w:val="00496C4F"/>
    <w:rsid w:val="004A5033"/>
    <w:rsid w:val="004C60DB"/>
    <w:rsid w:val="004D472B"/>
    <w:rsid w:val="004E3E64"/>
    <w:rsid w:val="004F1BEB"/>
    <w:rsid w:val="004F7C44"/>
    <w:rsid w:val="00511948"/>
    <w:rsid w:val="00514C44"/>
    <w:rsid w:val="00546B7B"/>
    <w:rsid w:val="005476AB"/>
    <w:rsid w:val="00550918"/>
    <w:rsid w:val="00572FC9"/>
    <w:rsid w:val="005910F5"/>
    <w:rsid w:val="00595974"/>
    <w:rsid w:val="005A0E54"/>
    <w:rsid w:val="005B0F72"/>
    <w:rsid w:val="005B56B5"/>
    <w:rsid w:val="005F1DDA"/>
    <w:rsid w:val="00612366"/>
    <w:rsid w:val="00647D6A"/>
    <w:rsid w:val="00655979"/>
    <w:rsid w:val="0066421F"/>
    <w:rsid w:val="00681511"/>
    <w:rsid w:val="006828F9"/>
    <w:rsid w:val="00697B05"/>
    <w:rsid w:val="006A1ECE"/>
    <w:rsid w:val="006A6233"/>
    <w:rsid w:val="006B6648"/>
    <w:rsid w:val="006B66F2"/>
    <w:rsid w:val="006E53BB"/>
    <w:rsid w:val="006F142D"/>
    <w:rsid w:val="006F4FAF"/>
    <w:rsid w:val="006F7FC1"/>
    <w:rsid w:val="00701357"/>
    <w:rsid w:val="007256FF"/>
    <w:rsid w:val="00742C06"/>
    <w:rsid w:val="00750DF5"/>
    <w:rsid w:val="00756F8E"/>
    <w:rsid w:val="00780DD0"/>
    <w:rsid w:val="0078311F"/>
    <w:rsid w:val="0079404C"/>
    <w:rsid w:val="007A27C8"/>
    <w:rsid w:val="007D1606"/>
    <w:rsid w:val="007E047A"/>
    <w:rsid w:val="007F0062"/>
    <w:rsid w:val="007F696D"/>
    <w:rsid w:val="00806B52"/>
    <w:rsid w:val="00811144"/>
    <w:rsid w:val="008131C3"/>
    <w:rsid w:val="00833445"/>
    <w:rsid w:val="00841160"/>
    <w:rsid w:val="008555B7"/>
    <w:rsid w:val="0086458B"/>
    <w:rsid w:val="008722BA"/>
    <w:rsid w:val="00880624"/>
    <w:rsid w:val="008B0A2D"/>
    <w:rsid w:val="008D0E11"/>
    <w:rsid w:val="008D797B"/>
    <w:rsid w:val="008E2509"/>
    <w:rsid w:val="008F032F"/>
    <w:rsid w:val="00900CFE"/>
    <w:rsid w:val="00903A5D"/>
    <w:rsid w:val="00904274"/>
    <w:rsid w:val="0092701F"/>
    <w:rsid w:val="00950610"/>
    <w:rsid w:val="009916A7"/>
    <w:rsid w:val="009B3E03"/>
    <w:rsid w:val="009C771E"/>
    <w:rsid w:val="009C7D5E"/>
    <w:rsid w:val="009E11D7"/>
    <w:rsid w:val="009E1290"/>
    <w:rsid w:val="009E2CC9"/>
    <w:rsid w:val="009E7B82"/>
    <w:rsid w:val="009F190F"/>
    <w:rsid w:val="009F6F3B"/>
    <w:rsid w:val="00A12712"/>
    <w:rsid w:val="00A26A18"/>
    <w:rsid w:val="00A36AF8"/>
    <w:rsid w:val="00A67486"/>
    <w:rsid w:val="00A8462B"/>
    <w:rsid w:val="00A945C0"/>
    <w:rsid w:val="00A9605B"/>
    <w:rsid w:val="00AA2918"/>
    <w:rsid w:val="00AA3EFA"/>
    <w:rsid w:val="00AB2C29"/>
    <w:rsid w:val="00AF7840"/>
    <w:rsid w:val="00B02E66"/>
    <w:rsid w:val="00B03654"/>
    <w:rsid w:val="00B0483F"/>
    <w:rsid w:val="00B2319E"/>
    <w:rsid w:val="00B56FBD"/>
    <w:rsid w:val="00B70141"/>
    <w:rsid w:val="00B72CA7"/>
    <w:rsid w:val="00B7377B"/>
    <w:rsid w:val="00B83D47"/>
    <w:rsid w:val="00BD46BB"/>
    <w:rsid w:val="00C00372"/>
    <w:rsid w:val="00C00791"/>
    <w:rsid w:val="00C048A3"/>
    <w:rsid w:val="00C524FC"/>
    <w:rsid w:val="00C54D6F"/>
    <w:rsid w:val="00C612D2"/>
    <w:rsid w:val="00C6242E"/>
    <w:rsid w:val="00C641CD"/>
    <w:rsid w:val="00C846F2"/>
    <w:rsid w:val="00C9534A"/>
    <w:rsid w:val="00CA59DD"/>
    <w:rsid w:val="00CB15D1"/>
    <w:rsid w:val="00CB1B63"/>
    <w:rsid w:val="00CB5D83"/>
    <w:rsid w:val="00CC1E66"/>
    <w:rsid w:val="00CF2600"/>
    <w:rsid w:val="00CF5E36"/>
    <w:rsid w:val="00D01A87"/>
    <w:rsid w:val="00D32F8F"/>
    <w:rsid w:val="00D400B7"/>
    <w:rsid w:val="00D439A1"/>
    <w:rsid w:val="00D46A09"/>
    <w:rsid w:val="00D56BDD"/>
    <w:rsid w:val="00D70B06"/>
    <w:rsid w:val="00D74EC2"/>
    <w:rsid w:val="00D77286"/>
    <w:rsid w:val="00D84833"/>
    <w:rsid w:val="00D8490E"/>
    <w:rsid w:val="00D86816"/>
    <w:rsid w:val="00DA07BE"/>
    <w:rsid w:val="00DF51F7"/>
    <w:rsid w:val="00E231FE"/>
    <w:rsid w:val="00E30A2A"/>
    <w:rsid w:val="00E33F35"/>
    <w:rsid w:val="00E41B73"/>
    <w:rsid w:val="00E438DD"/>
    <w:rsid w:val="00E648DC"/>
    <w:rsid w:val="00EA37FE"/>
    <w:rsid w:val="00EB1317"/>
    <w:rsid w:val="00EB53CF"/>
    <w:rsid w:val="00EC10C7"/>
    <w:rsid w:val="00EC688D"/>
    <w:rsid w:val="00ED013F"/>
    <w:rsid w:val="00ED5278"/>
    <w:rsid w:val="00EF0D21"/>
    <w:rsid w:val="00EF245C"/>
    <w:rsid w:val="00EF311D"/>
    <w:rsid w:val="00EF504E"/>
    <w:rsid w:val="00F00D05"/>
    <w:rsid w:val="00F34E6D"/>
    <w:rsid w:val="00F365BF"/>
    <w:rsid w:val="00F40D73"/>
    <w:rsid w:val="00F4176A"/>
    <w:rsid w:val="00F42166"/>
    <w:rsid w:val="00F4590F"/>
    <w:rsid w:val="00F460E5"/>
    <w:rsid w:val="00F644EE"/>
    <w:rsid w:val="00F6742A"/>
    <w:rsid w:val="00F76DC4"/>
    <w:rsid w:val="00F85A0B"/>
    <w:rsid w:val="00F92DD8"/>
    <w:rsid w:val="00F94D5B"/>
    <w:rsid w:val="00FA32DB"/>
    <w:rsid w:val="00FA5756"/>
    <w:rsid w:val="00FB1DA9"/>
    <w:rsid w:val="00FE3AF0"/>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1F714"/>
  <w15:chartTrackingRefBased/>
  <w15:docId w15:val="{0C471AAE-594B-4908-B424-21003092B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ZW"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72B"/>
    <w:pPr>
      <w:spacing w:line="240" w:lineRule="auto"/>
      <w:jc w:val="both"/>
    </w:pPr>
    <w:rPr>
      <w:rFonts w:ascii="Arial" w:hAnsi="Arial"/>
    </w:rPr>
  </w:style>
  <w:style w:type="paragraph" w:styleId="Heading1">
    <w:name w:val="heading 1"/>
    <w:basedOn w:val="Normal"/>
    <w:next w:val="Normal"/>
    <w:link w:val="Heading1Char"/>
    <w:uiPriority w:val="9"/>
    <w:qFormat/>
    <w:rsid w:val="00496C4F"/>
    <w:pPr>
      <w:keepNext/>
      <w:keepLines/>
      <w:numPr>
        <w:numId w:val="4"/>
      </w:numPr>
      <w:spacing w:before="360" w:after="80" w:line="360" w:lineRule="auto"/>
      <w:ind w:left="431" w:hanging="431"/>
      <w:outlineLvl w:val="0"/>
    </w:pPr>
    <w:rPr>
      <w:rFonts w:eastAsiaTheme="majorEastAsia" w:cstheme="majorBidi"/>
      <w:b/>
      <w:caps/>
      <w:color w:val="000000" w:themeColor="text1"/>
      <w:szCs w:val="40"/>
    </w:rPr>
  </w:style>
  <w:style w:type="paragraph" w:styleId="Heading2">
    <w:name w:val="heading 2"/>
    <w:basedOn w:val="Normal"/>
    <w:next w:val="Normal"/>
    <w:link w:val="Heading2Char"/>
    <w:uiPriority w:val="9"/>
    <w:unhideWhenUsed/>
    <w:qFormat/>
    <w:rsid w:val="0036612A"/>
    <w:pPr>
      <w:keepNext/>
      <w:keepLines/>
      <w:numPr>
        <w:ilvl w:val="1"/>
        <w:numId w:val="4"/>
      </w:numPr>
      <w:spacing w:before="160" w:after="80" w:line="360" w:lineRule="auto"/>
      <w:outlineLvl w:val="1"/>
    </w:pPr>
    <w:rPr>
      <w:rFonts w:eastAsiaTheme="majorEastAsia" w:cstheme="majorBidi"/>
      <w:b/>
      <w:color w:val="000000" w:themeColor="text1"/>
      <w:szCs w:val="32"/>
    </w:rPr>
  </w:style>
  <w:style w:type="paragraph" w:styleId="Heading3">
    <w:name w:val="heading 3"/>
    <w:basedOn w:val="Normal"/>
    <w:next w:val="Normal"/>
    <w:link w:val="Heading3Char"/>
    <w:uiPriority w:val="9"/>
    <w:unhideWhenUsed/>
    <w:qFormat/>
    <w:rsid w:val="00D8490E"/>
    <w:pPr>
      <w:keepNext/>
      <w:keepLines/>
      <w:numPr>
        <w:ilvl w:val="2"/>
        <w:numId w:val="4"/>
      </w:numPr>
      <w:spacing w:before="160" w:after="80"/>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semiHidden/>
    <w:unhideWhenUsed/>
    <w:qFormat/>
    <w:rsid w:val="000A6CAF"/>
    <w:pPr>
      <w:keepNext/>
      <w:keepLines/>
      <w:numPr>
        <w:ilvl w:val="3"/>
        <w:numId w:val="4"/>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6CAF"/>
    <w:pPr>
      <w:keepNext/>
      <w:keepLines/>
      <w:numPr>
        <w:ilvl w:val="4"/>
        <w:numId w:val="4"/>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6CAF"/>
    <w:pPr>
      <w:keepNext/>
      <w:keepLines/>
      <w:numPr>
        <w:ilvl w:val="5"/>
        <w:numId w:val="4"/>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6CAF"/>
    <w:pPr>
      <w:keepNext/>
      <w:keepLines/>
      <w:numPr>
        <w:ilvl w:val="6"/>
        <w:numId w:val="4"/>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6CAF"/>
    <w:pPr>
      <w:keepNext/>
      <w:keepLines/>
      <w:numPr>
        <w:ilvl w:val="7"/>
        <w:numId w:val="4"/>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6CAF"/>
    <w:pPr>
      <w:keepNext/>
      <w:keepLines/>
      <w:numPr>
        <w:ilvl w:val="8"/>
        <w:numId w:val="4"/>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6C4F"/>
    <w:rPr>
      <w:rFonts w:ascii="Arial" w:eastAsiaTheme="majorEastAsia" w:hAnsi="Arial" w:cstheme="majorBidi"/>
      <w:b/>
      <w:caps/>
      <w:color w:val="000000" w:themeColor="text1"/>
      <w:szCs w:val="40"/>
    </w:rPr>
  </w:style>
  <w:style w:type="character" w:customStyle="1" w:styleId="Heading2Char">
    <w:name w:val="Heading 2 Char"/>
    <w:basedOn w:val="DefaultParagraphFont"/>
    <w:link w:val="Heading2"/>
    <w:uiPriority w:val="9"/>
    <w:rsid w:val="0036612A"/>
    <w:rPr>
      <w:rFonts w:ascii="Arial" w:eastAsiaTheme="majorEastAsia" w:hAnsi="Arial" w:cstheme="majorBidi"/>
      <w:b/>
      <w:color w:val="000000" w:themeColor="text1"/>
      <w:szCs w:val="32"/>
    </w:rPr>
  </w:style>
  <w:style w:type="character" w:customStyle="1" w:styleId="Heading3Char">
    <w:name w:val="Heading 3 Char"/>
    <w:basedOn w:val="DefaultParagraphFont"/>
    <w:link w:val="Heading3"/>
    <w:uiPriority w:val="9"/>
    <w:rsid w:val="00D8490E"/>
    <w:rPr>
      <w:rFonts w:ascii="Arial" w:eastAsiaTheme="majorEastAsia" w:hAnsi="Arial" w:cstheme="majorBidi"/>
      <w:b/>
      <w:color w:val="000000" w:themeColor="text1"/>
      <w:szCs w:val="28"/>
    </w:rPr>
  </w:style>
  <w:style w:type="character" w:customStyle="1" w:styleId="Heading4Char">
    <w:name w:val="Heading 4 Char"/>
    <w:basedOn w:val="DefaultParagraphFont"/>
    <w:link w:val="Heading4"/>
    <w:uiPriority w:val="9"/>
    <w:semiHidden/>
    <w:rsid w:val="000A6C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6C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6C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6C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6C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6CAF"/>
    <w:rPr>
      <w:rFonts w:eastAsiaTheme="majorEastAsia" w:cstheme="majorBidi"/>
      <w:color w:val="272727" w:themeColor="text1" w:themeTint="D8"/>
    </w:rPr>
  </w:style>
  <w:style w:type="paragraph" w:styleId="Title">
    <w:name w:val="Title"/>
    <w:basedOn w:val="Normal"/>
    <w:next w:val="Normal"/>
    <w:link w:val="TitleChar"/>
    <w:uiPriority w:val="10"/>
    <w:qFormat/>
    <w:rsid w:val="000A6CA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6C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6C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6C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6CAF"/>
    <w:pPr>
      <w:spacing w:before="160"/>
      <w:jc w:val="center"/>
    </w:pPr>
    <w:rPr>
      <w:i/>
      <w:iCs/>
      <w:color w:val="404040" w:themeColor="text1" w:themeTint="BF"/>
    </w:rPr>
  </w:style>
  <w:style w:type="character" w:customStyle="1" w:styleId="QuoteChar">
    <w:name w:val="Quote Char"/>
    <w:basedOn w:val="DefaultParagraphFont"/>
    <w:link w:val="Quote"/>
    <w:uiPriority w:val="29"/>
    <w:rsid w:val="000A6CAF"/>
    <w:rPr>
      <w:i/>
      <w:iCs/>
      <w:color w:val="404040" w:themeColor="text1" w:themeTint="BF"/>
    </w:rPr>
  </w:style>
  <w:style w:type="paragraph" w:styleId="ListParagraph">
    <w:name w:val="List Paragraph"/>
    <w:basedOn w:val="Normal"/>
    <w:uiPriority w:val="34"/>
    <w:qFormat/>
    <w:rsid w:val="000A6CAF"/>
    <w:pPr>
      <w:ind w:left="720"/>
      <w:contextualSpacing/>
    </w:pPr>
  </w:style>
  <w:style w:type="character" w:styleId="IntenseEmphasis">
    <w:name w:val="Intense Emphasis"/>
    <w:basedOn w:val="DefaultParagraphFont"/>
    <w:uiPriority w:val="21"/>
    <w:qFormat/>
    <w:rsid w:val="000A6CAF"/>
    <w:rPr>
      <w:i/>
      <w:iCs/>
      <w:color w:val="0F4761" w:themeColor="accent1" w:themeShade="BF"/>
    </w:rPr>
  </w:style>
  <w:style w:type="paragraph" w:styleId="IntenseQuote">
    <w:name w:val="Intense Quote"/>
    <w:basedOn w:val="Normal"/>
    <w:next w:val="Normal"/>
    <w:link w:val="IntenseQuoteChar"/>
    <w:uiPriority w:val="30"/>
    <w:qFormat/>
    <w:rsid w:val="000A6C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6CAF"/>
    <w:rPr>
      <w:i/>
      <w:iCs/>
      <w:color w:val="0F4761" w:themeColor="accent1" w:themeShade="BF"/>
    </w:rPr>
  </w:style>
  <w:style w:type="character" w:styleId="IntenseReference">
    <w:name w:val="Intense Reference"/>
    <w:basedOn w:val="DefaultParagraphFont"/>
    <w:uiPriority w:val="32"/>
    <w:qFormat/>
    <w:rsid w:val="000A6CAF"/>
    <w:rPr>
      <w:b/>
      <w:bCs/>
      <w:smallCaps/>
      <w:color w:val="0F4761" w:themeColor="accent1" w:themeShade="BF"/>
      <w:spacing w:val="5"/>
    </w:rPr>
  </w:style>
  <w:style w:type="paragraph" w:styleId="NormalWeb">
    <w:name w:val="Normal (Web)"/>
    <w:basedOn w:val="Normal"/>
    <w:uiPriority w:val="99"/>
    <w:unhideWhenUsed/>
    <w:rsid w:val="000A6CAF"/>
    <w:pPr>
      <w:spacing w:before="100" w:beforeAutospacing="1" w:after="100" w:afterAutospacing="1"/>
    </w:pPr>
    <w:rPr>
      <w:rFonts w:ascii="Times New Roman" w:eastAsia="Times New Roman" w:hAnsi="Times New Roman" w:cs="Times New Roman"/>
      <w:kern w:val="0"/>
      <w:lang w:eastAsia="en-ZW"/>
      <w14:ligatures w14:val="none"/>
    </w:rPr>
  </w:style>
  <w:style w:type="paragraph" w:styleId="Header">
    <w:name w:val="header"/>
    <w:basedOn w:val="Normal"/>
    <w:link w:val="HeaderChar"/>
    <w:uiPriority w:val="99"/>
    <w:unhideWhenUsed/>
    <w:rsid w:val="000A6CAF"/>
    <w:pPr>
      <w:tabs>
        <w:tab w:val="center" w:pos="4513"/>
        <w:tab w:val="right" w:pos="9026"/>
      </w:tabs>
      <w:spacing w:after="0"/>
    </w:pPr>
  </w:style>
  <w:style w:type="character" w:customStyle="1" w:styleId="HeaderChar">
    <w:name w:val="Header Char"/>
    <w:basedOn w:val="DefaultParagraphFont"/>
    <w:link w:val="Header"/>
    <w:uiPriority w:val="99"/>
    <w:rsid w:val="000A6CAF"/>
  </w:style>
  <w:style w:type="paragraph" w:styleId="ListBullet">
    <w:name w:val="List Bullet"/>
    <w:basedOn w:val="Normal"/>
    <w:uiPriority w:val="99"/>
    <w:unhideWhenUsed/>
    <w:rsid w:val="00A67486"/>
    <w:pPr>
      <w:numPr>
        <w:numId w:val="5"/>
      </w:numPr>
      <w:tabs>
        <w:tab w:val="clear" w:pos="360"/>
      </w:tabs>
      <w:spacing w:after="200" w:line="276" w:lineRule="auto"/>
      <w:ind w:left="0" w:firstLine="0"/>
      <w:contextualSpacing/>
    </w:pPr>
    <w:rPr>
      <w:rFonts w:eastAsia="Arial"/>
      <w:kern w:val="0"/>
      <w:szCs w:val="22"/>
      <w:lang w:val="en-US"/>
      <w14:ligatures w14:val="none"/>
    </w:rPr>
  </w:style>
  <w:style w:type="paragraph" w:styleId="HTMLPreformatted">
    <w:name w:val="HTML Preformatted"/>
    <w:basedOn w:val="Normal"/>
    <w:link w:val="HTMLPreformattedChar"/>
    <w:uiPriority w:val="99"/>
    <w:semiHidden/>
    <w:unhideWhenUsed/>
    <w:rsid w:val="00547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kern w:val="0"/>
      <w:sz w:val="20"/>
      <w:szCs w:val="20"/>
      <w:lang w:eastAsia="en-ZW"/>
      <w14:ligatures w14:val="none"/>
    </w:rPr>
  </w:style>
  <w:style w:type="character" w:customStyle="1" w:styleId="HTMLPreformattedChar">
    <w:name w:val="HTML Preformatted Char"/>
    <w:basedOn w:val="DefaultParagraphFont"/>
    <w:link w:val="HTMLPreformatted"/>
    <w:uiPriority w:val="99"/>
    <w:semiHidden/>
    <w:rsid w:val="005476AB"/>
    <w:rPr>
      <w:rFonts w:ascii="Courier New" w:eastAsia="Times New Roman" w:hAnsi="Courier New" w:cs="Courier New"/>
      <w:kern w:val="0"/>
      <w:sz w:val="20"/>
      <w:szCs w:val="20"/>
      <w:lang w:eastAsia="en-ZW"/>
      <w14:ligatures w14:val="none"/>
    </w:rPr>
  </w:style>
  <w:style w:type="character" w:styleId="HTMLCode">
    <w:name w:val="HTML Code"/>
    <w:basedOn w:val="DefaultParagraphFont"/>
    <w:uiPriority w:val="99"/>
    <w:semiHidden/>
    <w:unhideWhenUsed/>
    <w:rsid w:val="005476AB"/>
    <w:rPr>
      <w:rFonts w:ascii="Courier New" w:eastAsia="Times New Roman" w:hAnsi="Courier New" w:cs="Courier New"/>
      <w:sz w:val="20"/>
      <w:szCs w:val="20"/>
    </w:rPr>
  </w:style>
  <w:style w:type="character" w:styleId="Strong">
    <w:name w:val="Strong"/>
    <w:basedOn w:val="DefaultParagraphFont"/>
    <w:uiPriority w:val="22"/>
    <w:qFormat/>
    <w:rsid w:val="005476AB"/>
    <w:rPr>
      <w:b/>
      <w:bCs/>
    </w:rPr>
  </w:style>
  <w:style w:type="table" w:styleId="PlainTable1">
    <w:name w:val="Plain Table 1"/>
    <w:basedOn w:val="TableNormal"/>
    <w:uiPriority w:val="41"/>
    <w:rsid w:val="003B5AC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E3E6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C846F2"/>
    <w:rPr>
      <w:color w:val="467886" w:themeColor="hyperlink"/>
      <w:u w:val="single"/>
    </w:rPr>
  </w:style>
  <w:style w:type="character" w:styleId="UnresolvedMention">
    <w:name w:val="Unresolved Mention"/>
    <w:basedOn w:val="DefaultParagraphFont"/>
    <w:uiPriority w:val="99"/>
    <w:semiHidden/>
    <w:unhideWhenUsed/>
    <w:rsid w:val="00C846F2"/>
    <w:rPr>
      <w:color w:val="605E5C"/>
      <w:shd w:val="clear" w:color="auto" w:fill="E1DFDD"/>
    </w:rPr>
  </w:style>
  <w:style w:type="paragraph" w:customStyle="1" w:styleId="isselectedend">
    <w:name w:val="isselectedend"/>
    <w:basedOn w:val="Normal"/>
    <w:rsid w:val="00B56FBD"/>
    <w:pPr>
      <w:spacing w:before="100" w:beforeAutospacing="1" w:after="100" w:afterAutospacing="1"/>
      <w:jc w:val="left"/>
    </w:pPr>
    <w:rPr>
      <w:rFonts w:ascii="Times New Roman" w:eastAsia="Times New Roman" w:hAnsi="Times New Roman" w:cs="Times New Roman"/>
      <w:kern w:val="0"/>
      <w:lang w:eastAsia="en-ZW"/>
      <w14:ligatures w14:val="none"/>
    </w:rPr>
  </w:style>
  <w:style w:type="character" w:styleId="Emphasis">
    <w:name w:val="Emphasis"/>
    <w:basedOn w:val="DefaultParagraphFont"/>
    <w:uiPriority w:val="20"/>
    <w:qFormat/>
    <w:rsid w:val="00424078"/>
    <w:rPr>
      <w:i/>
      <w:iCs/>
    </w:rPr>
  </w:style>
  <w:style w:type="paragraph" w:styleId="Footer">
    <w:name w:val="footer"/>
    <w:basedOn w:val="Normal"/>
    <w:link w:val="FooterChar"/>
    <w:uiPriority w:val="99"/>
    <w:unhideWhenUsed/>
    <w:rsid w:val="00D77286"/>
    <w:pPr>
      <w:tabs>
        <w:tab w:val="center" w:pos="4513"/>
        <w:tab w:val="right" w:pos="9026"/>
      </w:tabs>
      <w:spacing w:after="0"/>
    </w:pPr>
  </w:style>
  <w:style w:type="character" w:customStyle="1" w:styleId="FooterChar">
    <w:name w:val="Footer Char"/>
    <w:basedOn w:val="DefaultParagraphFont"/>
    <w:link w:val="Footer"/>
    <w:uiPriority w:val="99"/>
    <w:rsid w:val="00D7728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i.org/10.1111/puar.13618" TargetMode="External"/><Relationship Id="rId18" Type="http://schemas.openxmlformats.org/officeDocument/2006/relationships/hyperlink" Target="https://doi.org/10.1016/j.jrurstud.2022.03.011" TargetMode="External"/><Relationship Id="rId26" Type="http://schemas.openxmlformats.org/officeDocument/2006/relationships/hyperlink" Target="https://doi.org/10.1080/09614524.2023.2289017" TargetMode="External"/><Relationship Id="rId3" Type="http://schemas.openxmlformats.org/officeDocument/2006/relationships/customXml" Target="../customXml/item3.xml"/><Relationship Id="rId21" Type="http://schemas.openxmlformats.org/officeDocument/2006/relationships/hyperlink" Target="https://doi.org/10.1093/afraf/adab067" TargetMode="External"/><Relationship Id="rId7" Type="http://schemas.openxmlformats.org/officeDocument/2006/relationships/webSettings" Target="webSettings.xml"/><Relationship Id="rId12" Type="http://schemas.openxmlformats.org/officeDocument/2006/relationships/hyperlink" Target="https://doi.org/10.1111/j.1468-0386.2007.00378.x" TargetMode="External"/><Relationship Id="rId17" Type="http://schemas.openxmlformats.org/officeDocument/2006/relationships/hyperlink" Target="https://doi.org/10.1093/cdj/bsn010" TargetMode="External"/><Relationship Id="rId25" Type="http://schemas.openxmlformats.org/officeDocument/2006/relationships/hyperlink" Target="https://doi.org/10.3390/su14073984" TargetMode="External"/><Relationship Id="rId2" Type="http://schemas.openxmlformats.org/officeDocument/2006/relationships/customXml" Target="../customXml/item2.xml"/><Relationship Id="rId16" Type="http://schemas.openxmlformats.org/officeDocument/2006/relationships/hyperlink" Target="https://doi.org/10.1080/0376835X.2023.2198421" TargetMode="External"/><Relationship Id="rId20" Type="http://schemas.openxmlformats.org/officeDocument/2006/relationships/hyperlink" Target="https://doi.org/10.1017/beq.2019.48"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i.org/10.1080/01944366908977225" TargetMode="External"/><Relationship Id="rId24" Type="http://schemas.openxmlformats.org/officeDocument/2006/relationships/hyperlink" Target="https://doi.org/10.1007/s11625-021-01085-4" TargetMode="External"/><Relationship Id="rId5" Type="http://schemas.openxmlformats.org/officeDocument/2006/relationships/styles" Target="styles.xml"/><Relationship Id="rId15" Type="http://schemas.openxmlformats.org/officeDocument/2006/relationships/hyperlink" Target="https://doi.org/10.1016/0305-750X(94)90003-5" TargetMode="External"/><Relationship Id="rId23" Type="http://schemas.openxmlformats.org/officeDocument/2006/relationships/hyperlink" Target="https://doi.org/10.1353/jod.1995.0002" TargetMode="External"/><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doi.org/10.1080/09614520701469955"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oi.org/10.3390/su14084567" TargetMode="External"/><Relationship Id="rId22" Type="http://schemas.openxmlformats.org/officeDocument/2006/relationships/hyperlink" Target="https://doi.org/10.1080/10705422.2024.2301187"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C6D091D42C0141989E3E1A6AA6E595" ma:contentTypeVersion="19" ma:contentTypeDescription="Create a new document." ma:contentTypeScope="" ma:versionID="bb4a8f04fe9b65a09233e80b26fbea2c">
  <xsd:schema xmlns:xsd="http://www.w3.org/2001/XMLSchema" xmlns:xs="http://www.w3.org/2001/XMLSchema" xmlns:p="http://schemas.microsoft.com/office/2006/metadata/properties" xmlns:ns3="c33366db-2fe1-45f7-9527-465e6dd5733e" xmlns:ns4="b3013a3b-354d-493f-b226-758b6b3fe914" targetNamespace="http://schemas.microsoft.com/office/2006/metadata/properties" ma:root="true" ma:fieldsID="f84d8a24c4304242d4f3b9ea1b03da75" ns3:_="" ns4:_="">
    <xsd:import namespace="c33366db-2fe1-45f7-9527-465e6dd5733e"/>
    <xsd:import namespace="b3013a3b-354d-493f-b226-758b6b3fe91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MediaServiceLocation" minOccurs="0"/>
                <xsd:element ref="ns3:MediaServiceGenerationTime" minOccurs="0"/>
                <xsd:element ref="ns3:MediaServiceEventHashCode"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366db-2fe1-45f7-9527-465e6dd573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013a3b-354d-493f-b226-758b6b3fe9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c33366db-2fe1-45f7-9527-465e6dd5733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D582DD-7F35-4D47-AF92-4E2EB29E2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3366db-2fe1-45f7-9527-465e6dd5733e"/>
    <ds:schemaRef ds:uri="b3013a3b-354d-493f-b226-758b6b3fe9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EC6B48-2C46-4567-B7CB-FDE29552C1CB}">
  <ds:schemaRefs>
    <ds:schemaRef ds:uri="http://schemas.microsoft.com/office/2006/metadata/properties"/>
    <ds:schemaRef ds:uri="http://schemas.microsoft.com/office/infopath/2007/PartnerControls"/>
    <ds:schemaRef ds:uri="c33366db-2fe1-45f7-9527-465e6dd5733e"/>
  </ds:schemaRefs>
</ds:datastoreItem>
</file>

<file path=customXml/itemProps3.xml><?xml version="1.0" encoding="utf-8"?>
<ds:datastoreItem xmlns:ds="http://schemas.openxmlformats.org/officeDocument/2006/customXml" ds:itemID="{509A18B0-18BD-48EB-BD77-AE59C3954DAD}">
  <ds:schemaRefs>
    <ds:schemaRef ds:uri="http://schemas.microsoft.com/sharepoint/v3/contenttype/forms"/>
  </ds:schemaRefs>
</ds:datastoreItem>
</file>

<file path=docMetadata/LabelInfo.xml><?xml version="1.0" encoding="utf-8"?>
<clbl:labelList xmlns:clbl="http://schemas.microsoft.com/office/2020/mipLabelMetadata">
  <clbl:label id="{5ac7d8ea-67e9-412f-a449-9203614266eb}" enabled="1" method="Standard" siteId="{b64d1137-b66b-47af-bcd9-74e03ac610af}" removed="0"/>
</clbl:labelList>
</file>

<file path=docProps/app.xml><?xml version="1.0" encoding="utf-8"?>
<Properties xmlns="http://schemas.openxmlformats.org/officeDocument/2006/extended-properties" xmlns:vt="http://schemas.openxmlformats.org/officeDocument/2006/docPropsVTypes">
  <Template>Normal</Template>
  <TotalTime>5</TotalTime>
  <Pages>37</Pages>
  <Words>15386</Words>
  <Characters>87704</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Claybough Mapfumo</dc:creator>
  <cp:keywords/>
  <dc:description/>
  <cp:lastModifiedBy>Claybough Mapfumo</cp:lastModifiedBy>
  <cp:revision>2</cp:revision>
  <cp:lastPrinted>2026-07-08T10:40:00Z</cp:lastPrinted>
  <dcterms:created xsi:type="dcterms:W3CDTF">2026-07-08T10:42:00Z</dcterms:created>
  <dcterms:modified xsi:type="dcterms:W3CDTF">2026-07-08T10:42:00Z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5c03d9f4,d480ff2,15c34e5f</vt:lpwstr>
  </property>
  <property fmtid="{D5CDD505-2E9C-101B-9397-08002B2CF9AE}" pid="3" name="ClassificationContentMarkingHeaderFontProps">
    <vt:lpwstr>#000000,10,Aptos</vt:lpwstr>
  </property>
  <property fmtid="{D5CDD505-2E9C-101B-9397-08002B2CF9AE}" pid="4" name="ClassificationContentMarkingHeaderText">
    <vt:lpwstr>Confidential</vt:lpwstr>
  </property>
  <property fmtid="{D5CDD505-2E9C-101B-9397-08002B2CF9AE}" pid="5" name="ContentTypeId">
    <vt:lpwstr>0x010100C7C6D091D42C0141989E3E1A6AA6E595</vt:lpwstr>
  </property>
</Properties>
</file>