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2E49" w14:textId="77777777" w:rsidR="0003063C" w:rsidRDefault="00000000">
      <w:pPr>
        <w:spacing w:before="480" w:after="360" w:line="240" w:lineRule="auto"/>
        <w:jc w:val="center"/>
      </w:pPr>
      <w:r>
        <w:rPr>
          <w:rFonts w:ascii="Times New Roman" w:hAnsi="Times New Roman"/>
          <w:b/>
          <w:sz w:val="36"/>
        </w:rPr>
        <w:t>Consumer Preferences and Behavioural Toward Digital Payment Gateways: A Comprehensive Empirical Analysis and Literature Synthesis</w:t>
      </w:r>
    </w:p>
    <w:p w14:paraId="5344AA1F" w14:textId="1964ADD2" w:rsidR="00B6299C" w:rsidRPr="00B6299C" w:rsidRDefault="00000000" w:rsidP="00B6299C">
      <w:pPr>
        <w:spacing w:before="240" w:after="40" w:line="240" w:lineRule="auto"/>
        <w:jc w:val="center"/>
        <w:rPr>
          <w:vertAlign w:val="superscript"/>
        </w:rPr>
      </w:pPr>
      <w:r>
        <w:rPr>
          <w:rFonts w:ascii="Times New Roman" w:hAnsi="Times New Roman"/>
          <w:b/>
          <w:sz w:val="24"/>
        </w:rPr>
        <w:t/>
      </w:r>
      <w:r w:rsidR="00B6299C">
        <w:rPr>
          <w:rFonts w:ascii="Times New Roman" w:hAnsi="Times New Roman"/>
          <w:b/>
          <w:sz w:val="24"/>
          <w:vertAlign w:val="superscript"/>
        </w:rPr>
        <w:t/>
      </w:r>
      <w:r w:rsidR="00B6299C">
        <w:rPr>
          <w:rFonts w:ascii="Times New Roman" w:hAnsi="Times New Roman"/>
          <w:b/>
          <w:sz w:val="24"/>
        </w:rPr>
        <w:t xml:space="preserve"/>
      </w:r>
      <w:r w:rsidR="00B6299C">
        <w:rPr>
          <w:rFonts w:ascii="Times New Roman" w:hAnsi="Times New Roman"/>
          <w:b/>
          <w:sz w:val="24"/>
        </w:rPr>
        <w:t/>
      </w:r>
      <w:r w:rsidR="00B6299C">
        <w:rPr>
          <w:rFonts w:ascii="Times New Roman" w:hAnsi="Times New Roman"/>
          <w:b/>
          <w:sz w:val="24"/>
          <w:vertAlign w:val="superscript"/>
        </w:rPr>
        <w:t/>
      </w:r>
    </w:p>
    <w:p w14:paraId="05C77665" w14:textId="2D29B7D3" w:rsidR="0003063C" w:rsidRDefault="00B6299C" w:rsidP="00B6299C">
      <w:pPr>
        <w:spacing w:before="40" w:after="40" w:line="240" w:lineRule="auto"/>
        <w:jc w:val="center"/>
      </w:pPr>
      <w:r>
        <w:rPr>
          <w:rFonts w:ascii="Times New Roman" w:hAnsi="Times New Roman"/>
          <w:sz w:val="24"/>
          <w:vertAlign w:val="superscript"/>
        </w:rPr>
        <w:t/>
      </w:r>
      <w:r w:rsidR="00000000">
        <w:rPr>
          <w:rFonts w:ascii="Times New Roman" w:hAnsi="Times New Roman"/>
          <w:sz w:val="24"/>
        </w:rPr>
        <w:t/>
      </w:r>
      <w:r w:rsidR="00000000">
        <w:rPr>
          <w:rFonts w:ascii="Times New Roman" w:hAnsi="Times New Roman"/>
          <w:sz w:val="24"/>
        </w:rPr>
        <w:br/>
      </w:r>
      <w:r>
        <w:rPr>
          <w:rFonts w:ascii="Times New Roman" w:hAnsi="Times New Roman"/>
          <w:sz w:val="24"/>
          <w:vertAlign w:val="superscript"/>
        </w:rPr>
        <w:t/>
      </w:r>
      <w:r w:rsidR="00000000">
        <w:rPr>
          <w:rFonts w:ascii="Times New Roman" w:hAnsi="Times New Roman"/>
          <w:sz w:val="24"/>
        </w:rPr>
        <w:t/>
      </w:r>
      <w:r w:rsidR="00000000">
        <w:rPr>
          <w:rFonts w:ascii="Times New Roman" w:hAnsi="Times New Roman"/>
          <w:sz w:val="24"/>
        </w:rPr>
        <w:br/>
      </w:r>
      <w:r>
        <w:rPr>
          <w:rFonts w:ascii="Times New Roman" w:hAnsi="Times New Roman"/>
          <w:sz w:val="24"/>
          <w:vertAlign w:val="superscript"/>
        </w:rPr>
        <w:t/>
      </w:r>
      <w:r w:rsidR="0005661E">
        <w:rPr>
          <w:rFonts w:ascii="Times New Roman" w:hAnsi="Times New Roman"/>
          <w:sz w:val="24"/>
          <w:vertAlign w:val="superscript"/>
        </w:rPr>
        <w:t/>
      </w:r>
      <w:r>
        <w:rPr>
          <w:rFonts w:ascii="Times New Roman" w:hAnsi="Times New Roman"/>
          <w:sz w:val="24"/>
          <w:vertAlign w:val="superscript"/>
        </w:rPr>
        <w:t/>
      </w:r>
      <w:r w:rsidR="00000000">
        <w:rPr>
          <w:rFonts w:ascii="Times New Roman" w:hAnsi="Times New Roman"/>
          <w:sz w:val="24"/>
        </w:rPr>
        <w:t/>
      </w:r>
      <w:r w:rsidR="008662E5">
        <w:rPr>
          <w:rFonts w:ascii="Times New Roman" w:hAnsi="Times New Roman"/>
          <w:sz w:val="24"/>
        </w:rPr>
        <w:t/>
      </w:r>
      <w:r w:rsidR="00000000">
        <w:rPr>
          <w:rFonts w:ascii="Times New Roman" w:hAnsi="Times New Roman"/>
          <w:sz w:val="24"/>
        </w:rPr>
        <w:br/>
      </w:r>
      <w:r>
        <w:rPr>
          <w:vertAlign w:val="superscript"/>
        </w:rPr>
        <w:t/>
      </w:r>
      <w:r>
        <w:t/>
      </w:r>
    </w:p>
    <w:p w14:paraId="5015BE5B" w14:textId="77777777" w:rsidR="0003063C" w:rsidRDefault="00000000">
      <w:pPr>
        <w:spacing w:before="360" w:after="120" w:line="240" w:lineRule="auto"/>
      </w:pPr>
      <w:r>
        <w:rPr>
          <w:rFonts w:ascii="Times New Roman" w:hAnsi="Times New Roman"/>
          <w:b/>
          <w:sz w:val="28"/>
        </w:rPr>
        <w:t>ABSTRACT</w:t>
      </w:r>
    </w:p>
    <w:p w14:paraId="6D3495B4" w14:textId="77777777" w:rsidR="0003063C" w:rsidRDefault="00000000">
      <w:pPr>
        <w:spacing w:before="120" w:after="240" w:line="240" w:lineRule="auto"/>
        <w:jc w:val="both"/>
      </w:pPr>
      <w:r>
        <w:rPr>
          <w:rFonts w:ascii="Times New Roman" w:hAnsi="Times New Roman"/>
          <w:sz w:val="24"/>
        </w:rPr>
        <w:t>This study comprehensively explores consumer behaviors and preferences toward digital payment gateways, with an emphasis on identifying the psychological, operational, and structural drivers behind consumer choices and loyalty. Utilizing an empirical framework applied to data collected across diverse demographic cohorts in India between January and April 2024, this research evaluates user interactions with dominant digital payment systems (e.g., PhonePe, Google Pay, Paytm, Amazon Pay, and BHIM UPI). By examining the fundamental impacts of operational convenience, structural security, and promotional mechanisms (such as cashback and rewards), this study builds upon established technology acceptance frameworks to present an updated view of the digital payment ecosystem. Through quantitative analysis including descriptive statistics, structural validation, one-way ANOVA, post-hoc Tukey HSD tests, and Pearson correlation matrices the empirical findings demonstrate that convenience remains a baseline expectation, while perceived security dictates platform trust and long-term user retention. Additionally, a direct positive correlation was established between financial rewards/cashback schemes and active user recommendations, illustrating that monetary incentives significantly accelerate organic customer acquisition. This paper synthesizes these findings against a comprehensive literature review spanning over half a decade, offering strategic frameworks for fintech developers, commercial banking entities, and policymakers seeking to optimize digital payment architectures in emerging economies.</w:t>
      </w:r>
    </w:p>
    <w:p w14:paraId="156002C5" w14:textId="77777777" w:rsidR="0003063C" w:rsidRDefault="00000000">
      <w:pPr>
        <w:spacing w:before="120" w:after="480" w:line="240" w:lineRule="auto"/>
        <w:jc w:val="both"/>
      </w:pPr>
      <w:r>
        <w:rPr>
          <w:rFonts w:ascii="Times New Roman" w:hAnsi="Times New Roman"/>
          <w:b/>
          <w:sz w:val="24"/>
        </w:rPr>
        <w:t xml:space="preserve">Keywords: </w:t>
      </w:r>
      <w:r>
        <w:rPr>
          <w:rFonts w:ascii="Times New Roman" w:hAnsi="Times New Roman"/>
          <w:sz w:val="24"/>
        </w:rPr>
        <w:t>Digital Payment Gateways, Consumer Behavior, Mobile Wallets, FinTech Adoption.</w:t>
      </w:r>
    </w:p>
    <w:p w14:paraId="1F56F418" w14:textId="77777777" w:rsidR="0003063C" w:rsidRDefault="00000000">
      <w:pPr>
        <w:spacing w:before="360" w:after="240" w:line="240" w:lineRule="auto"/>
      </w:pPr>
      <w:r>
        <w:rPr>
          <w:rFonts w:ascii="Times New Roman" w:hAnsi="Times New Roman"/>
          <w:b/>
          <w:sz w:val="28"/>
        </w:rPr>
        <w:t>INTRODUCTION</w:t>
      </w:r>
    </w:p>
    <w:p w14:paraId="65DEFCDB" w14:textId="77777777" w:rsidR="0003063C" w:rsidRDefault="00000000">
      <w:pPr>
        <w:spacing w:before="280" w:after="120" w:line="240" w:lineRule="auto"/>
      </w:pPr>
      <w:r>
        <w:rPr>
          <w:rFonts w:ascii="Times New Roman" w:hAnsi="Times New Roman"/>
          <w:b/>
          <w:sz w:val="24"/>
        </w:rPr>
        <w:t>Background of the Study</w:t>
      </w:r>
    </w:p>
    <w:p w14:paraId="369749FB" w14:textId="77777777" w:rsidR="0003063C" w:rsidRDefault="00000000">
      <w:pPr>
        <w:spacing w:after="240" w:line="240" w:lineRule="auto"/>
        <w:jc w:val="both"/>
      </w:pPr>
      <w:r>
        <w:rPr>
          <w:rFonts w:ascii="Times New Roman" w:hAnsi="Times New Roman"/>
          <w:sz w:val="24"/>
        </w:rPr>
        <w:t>The global financial landscape has experienced an unprecedented structural transformation over the past decade, driven by rapid advancements in mobile computing, cryptographic security, and telecommunications infrastructure. This evolution represents a paradigm shift from physical cash-dominated economies to highly digitized, interconnected fiscal ecosystems. Traditionally, retail banking and consumer commerce relied on physical presence and tangible currency. However, the convergence of high-speed mobile internet, near-universal smartphone penetration, and progressive regulatory architectures has democratized access to digital financial services. In emerging market economies, particularly within South Asia, this transition has bypassed traditional evolutionary stages of banking infrastructure. Instead of transitioning incrementally from cash to physical credit/debit card architectures, millions of consumers have transitioned directly from unbanked or cash-on-hand dynamics to mobile-first, interoperable application interfaces. This digital transformation is not merely a shift in convenience; it represents a fundamental democratisation of financial tools, enabling financial inclusion for populations historically marginalised by conventional banking networks.</w:t>
      </w:r>
    </w:p>
    <w:p w14:paraId="64FDF5A7" w14:textId="67780436" w:rsidR="0003063C" w:rsidRDefault="00000000">
      <w:pPr>
        <w:spacing w:before="280" w:after="120" w:line="240" w:lineRule="auto"/>
      </w:pPr>
      <w:r>
        <w:rPr>
          <w:rFonts w:ascii="Times New Roman" w:hAnsi="Times New Roman"/>
          <w:b/>
          <w:sz w:val="24"/>
        </w:rPr>
        <w:t>The Indian Digital Payment Revolution</w:t>
      </w:r>
    </w:p>
    <w:p w14:paraId="7DC5EED7" w14:textId="77777777" w:rsidR="0003063C" w:rsidRDefault="00000000">
      <w:pPr>
        <w:spacing w:after="240" w:line="240" w:lineRule="auto"/>
        <w:jc w:val="both"/>
      </w:pPr>
      <w:r>
        <w:rPr>
          <w:rFonts w:ascii="Times New Roman" w:hAnsi="Times New Roman"/>
          <w:sz w:val="24"/>
        </w:rPr>
        <w:lastRenderedPageBreak/>
        <w:t>India provides a compelling case study for this macroeconomic transformation. Over the past decade, the government of India, in tandem with the Reserve Bank of India (RBI) and the National Payments Corporation of India (NPCI), has systematically built a robust public digital infrastructure. Jandhan accounts (mass financial inclusion bank accounts), Aadhaar (biometric national identity framework), and Mobile number portability. The defining catalyst of this ecosystem was the introduction of the Unified Payments Interface (UPI) in 2016. UPI broke down the walled gardens of proprietary banking apps by establishing an open-source, real-time, interoperable payment protocol. This infrastructure allowed third-party application developers to build highly intuitive user interfaces on top of a secure national clearinghouse. Consequently, platforms like PhonePe, Google Pay, Paytm, and BHIM UPI expanded rapidly, turning peer-to-peer (P2P) and peer-to-merchant (P2M) transactions into seamless everyday actions. By 2024, UPI transaction volumes surpassed tens of billions monthly, solidifying India’s position as a global leader in real-time digital transaction volume.</w:t>
      </w:r>
    </w:p>
    <w:p w14:paraId="2D68B2E1" w14:textId="77777777" w:rsidR="0003063C" w:rsidRDefault="00000000">
      <w:pPr>
        <w:spacing w:before="280" w:after="120" w:line="240" w:lineRule="auto"/>
      </w:pPr>
      <w:r>
        <w:rPr>
          <w:rFonts w:ascii="Times New Roman" w:hAnsi="Times New Roman"/>
          <w:b/>
          <w:sz w:val="24"/>
        </w:rPr>
        <w:t>Problem Statement</w:t>
      </w:r>
    </w:p>
    <w:p w14:paraId="24A3367C" w14:textId="77777777" w:rsidR="0003063C" w:rsidRDefault="00000000">
      <w:pPr>
        <w:spacing w:after="240" w:line="240" w:lineRule="auto"/>
        <w:jc w:val="both"/>
      </w:pPr>
      <w:r>
        <w:rPr>
          <w:rFonts w:ascii="Times New Roman" w:hAnsi="Times New Roman"/>
          <w:sz w:val="24"/>
        </w:rPr>
        <w:t>Despite the widespread adoption of digital payment gateways, the fintech landscape is highly competitive and susceptible to rapid shifts in consumer sentiment. Digital payment applications have largely become commoditized, as they operate on identical public payment rails (such as UPI). Because the underlying financial utility remains uniform across platforms, service providers must differentiate themselves through user experience (UX), security perceptions, systemic reliability, and promotional incentives. Furthermore, consumer behaviour in digital environments is inherently complex. It is governed by a delicate balance between the desire for frictionless transaction speeds and a deep-seated anxiety regarding digital fraud, identity theft, and transaction failures. Fintech firms often struggle to determine whether they should allocate capital toward building advanced cryptographic and multi-factor authentication protocols (which may add friction to the user experience) or toward aggressive promotional burning (such as cashbacks and rewards) to acquire market share.</w:t>
      </w:r>
    </w:p>
    <w:p w14:paraId="246DF73C" w14:textId="77777777" w:rsidR="0003063C" w:rsidRDefault="00000000">
      <w:pPr>
        <w:spacing w:before="280" w:after="120" w:line="240" w:lineRule="auto"/>
      </w:pPr>
      <w:r>
        <w:rPr>
          <w:rFonts w:ascii="Times New Roman" w:hAnsi="Times New Roman"/>
          <w:b/>
          <w:sz w:val="24"/>
        </w:rPr>
        <w:t>Research Objectives</w:t>
      </w:r>
    </w:p>
    <w:p w14:paraId="59391A91" w14:textId="77777777" w:rsidR="0068072F" w:rsidRDefault="00000000">
      <w:pPr>
        <w:spacing w:after="240" w:line="240" w:lineRule="auto"/>
        <w:jc w:val="both"/>
        <w:rPr>
          <w:rFonts w:ascii="Times New Roman" w:hAnsi="Times New Roman"/>
          <w:sz w:val="24"/>
        </w:rPr>
      </w:pPr>
      <w:r>
        <w:rPr>
          <w:rFonts w:ascii="Times New Roman" w:hAnsi="Times New Roman"/>
          <w:sz w:val="24"/>
        </w:rPr>
        <w:t>This study addresses these theoretical and practical gaps by pursuing the following empirical objectives:</w:t>
      </w:r>
    </w:p>
    <w:p w14:paraId="32AAE59C" w14:textId="77777777" w:rsidR="0068072F" w:rsidRPr="0068072F" w:rsidRDefault="00000000" w:rsidP="0068072F">
      <w:pPr>
        <w:pStyle w:val="ListParagraph"/>
        <w:numPr>
          <w:ilvl w:val="0"/>
          <w:numId w:val="14"/>
        </w:numPr>
        <w:spacing w:after="240" w:line="240" w:lineRule="auto"/>
        <w:jc w:val="both"/>
      </w:pPr>
      <w:r w:rsidRPr="0068072F">
        <w:rPr>
          <w:rFonts w:ascii="Times New Roman" w:hAnsi="Times New Roman"/>
          <w:sz w:val="24"/>
        </w:rPr>
        <w:t>To evaluate and compare consumer preference levels across the dominant digital payment gateways (PhonePe, Google Pay, Paytm, Amazon Pay, and BHIM UPI) operating in the contemporary market.</w:t>
      </w:r>
    </w:p>
    <w:p w14:paraId="30D2438B" w14:textId="77777777" w:rsidR="0068072F" w:rsidRPr="0068072F" w:rsidRDefault="00000000" w:rsidP="0068072F">
      <w:pPr>
        <w:pStyle w:val="ListParagraph"/>
        <w:numPr>
          <w:ilvl w:val="0"/>
          <w:numId w:val="14"/>
        </w:numPr>
        <w:spacing w:after="240" w:line="240" w:lineRule="auto"/>
        <w:jc w:val="both"/>
      </w:pPr>
      <w:r w:rsidRPr="0068072F">
        <w:rPr>
          <w:rFonts w:ascii="Times New Roman" w:hAnsi="Times New Roman"/>
          <w:sz w:val="24"/>
        </w:rPr>
        <w:t>To analyze the precise impact of structural convenience, perceived security, and promotional incentives on overall consumer platform choice.</w:t>
      </w:r>
    </w:p>
    <w:p w14:paraId="29B27783" w14:textId="3F54BC8D" w:rsidR="0003063C" w:rsidRDefault="00000000" w:rsidP="0068072F">
      <w:pPr>
        <w:pStyle w:val="ListParagraph"/>
        <w:numPr>
          <w:ilvl w:val="0"/>
          <w:numId w:val="14"/>
        </w:numPr>
        <w:spacing w:after="240" w:line="240" w:lineRule="auto"/>
        <w:jc w:val="both"/>
      </w:pPr>
      <w:r w:rsidRPr="0068072F">
        <w:rPr>
          <w:rFonts w:ascii="Times New Roman" w:hAnsi="Times New Roman"/>
          <w:sz w:val="24"/>
        </w:rPr>
        <w:t>To investigate whether significant demographic variances exist regarding consumer perceptions of digital payment utilities.</w:t>
      </w:r>
    </w:p>
    <w:p w14:paraId="3E9FB7B4" w14:textId="77777777" w:rsidR="0003063C" w:rsidRDefault="00000000">
      <w:pPr>
        <w:spacing w:before="360" w:after="240" w:line="240" w:lineRule="auto"/>
      </w:pPr>
      <w:r>
        <w:rPr>
          <w:rFonts w:ascii="Times New Roman" w:hAnsi="Times New Roman"/>
          <w:b/>
          <w:sz w:val="28"/>
        </w:rPr>
        <w:t>THEORETICAL FRAMEWORK AND LITERATURE REVIEW</w:t>
      </w:r>
    </w:p>
    <w:p w14:paraId="10574970" w14:textId="77777777" w:rsidR="0003063C" w:rsidRDefault="00000000">
      <w:pPr>
        <w:spacing w:before="280" w:after="120" w:line="240" w:lineRule="auto"/>
      </w:pPr>
      <w:r>
        <w:rPr>
          <w:rFonts w:ascii="Times New Roman" w:hAnsi="Times New Roman"/>
          <w:b/>
          <w:sz w:val="24"/>
        </w:rPr>
        <w:t>Theoretical Grounding</w:t>
      </w:r>
    </w:p>
    <w:p w14:paraId="7FA90761" w14:textId="77777777" w:rsidR="0003063C" w:rsidRDefault="00000000">
      <w:pPr>
        <w:spacing w:after="240" w:line="240" w:lineRule="auto"/>
        <w:jc w:val="both"/>
      </w:pPr>
      <w:r>
        <w:rPr>
          <w:rFonts w:ascii="Times New Roman" w:hAnsi="Times New Roman"/>
          <w:sz w:val="24"/>
        </w:rPr>
        <w:t>To understand consumer interactions with digital payment systems, this study draws upon two foundational technology adoption frameworks: the Technology Acceptance Model (TAM) and the Unified Theory of Acceptance and Use of Technology (UTAUT2). TAM posits that the adoption of any technological innovation is primarily governed by two cognitive factors: Perceived Usefulness (PU) and Perceived Ease of Use (PEOU). In digital payments, PEOU maps directly onto Structural Convenience, the minimising of steps required to execute a financial transaction. UTAUT2 extends this model by incorporating consumer-centric constructs such as Hedonic Motivation (the enjoyment derived from using a technology, often stimulated by gamified rewards) and Trust/Security Risk. Furthermore, Mental Accounting Theory explains how consumers categorise financial windfalls like cashbacks, viewing them as high-utility rewards that drive disproportionate loyalty toward the platform providing them.</w:t>
      </w:r>
    </w:p>
    <w:p w14:paraId="128D0F33" w14:textId="67646BC4" w:rsidR="0003063C" w:rsidRDefault="00000000">
      <w:pPr>
        <w:spacing w:before="280" w:after="120" w:line="240" w:lineRule="auto"/>
      </w:pPr>
      <w:r>
        <w:rPr>
          <w:rFonts w:ascii="Times New Roman" w:hAnsi="Times New Roman"/>
          <w:b/>
          <w:sz w:val="24"/>
        </w:rPr>
        <w:t>Literature Review</w:t>
      </w:r>
    </w:p>
    <w:p w14:paraId="24F4C717" w14:textId="77777777" w:rsidR="00A371F8" w:rsidRDefault="00000000">
      <w:pPr>
        <w:spacing w:after="240" w:line="240" w:lineRule="auto"/>
        <w:jc w:val="both"/>
        <w:rPr>
          <w:rFonts w:ascii="Times New Roman" w:hAnsi="Times New Roman"/>
          <w:sz w:val="24"/>
        </w:rPr>
      </w:pPr>
      <w:r>
        <w:rPr>
          <w:rFonts w:ascii="Times New Roman" w:hAnsi="Times New Roman"/>
          <w:sz w:val="24"/>
        </w:rPr>
        <w:lastRenderedPageBreak/>
        <w:t>The Imperative of Convenience and System Usability: The foundational driver of any digital service platform is its ability to reduce transaction costs and friction relative to traditional legacy methods. Early research by Sharma (2018) highlighted that the initial wave of mobile wallet adoption was driven almost entirely by the promise of bypassing physical cash management and long banking queues. This perspective is supported by Patil et al. (2020), who emphasised that user interface (UI) clarity, application processing speed, and minimal cognitive load are critical for converting casual users into habitual platform advocates. As the market matured, the definition of convenience shifted from basic mobility to systemic interoperability. Recent scholarship by Kim et al. (2023) indicates that contemporary consumers expect unified ecosystems where peer-to-peer transfers, utility bill payments, e-commerce checkouts, and micro-investment tools are integrated within a single application interface. In multi-app environments, platforms that minimise the number of taps required to complete a transaction consistently capture higher transaction frequencies.</w:t>
      </w:r>
    </w:p>
    <w:p w14:paraId="488CCDDA" w14:textId="0AA061AC" w:rsidR="0003063C" w:rsidRDefault="00000000">
      <w:pPr>
        <w:spacing w:after="240" w:line="240" w:lineRule="auto"/>
        <w:jc w:val="both"/>
      </w:pPr>
      <w:r>
        <w:rPr>
          <w:rFonts w:ascii="Times New Roman" w:hAnsi="Times New Roman"/>
          <w:sz w:val="24"/>
        </w:rPr>
        <w:t>Perceived Security, Risk Mitigation, and Institutional Trust: While convenience initiates user engagement, security concerns present the primary barrier to sustained adoption. Financial transactions are deeply personal, making digital payment apps prime targets for malicious actors. Research by Singh and Srivastava (2020) demonstrated that consumer anxiety regarding digital payments stems from two distinct factors: systemic vulnerability (e.g., data breaches, hacking) and operational vulnerability (e.g., phishing scams, social engineering, transaction timeouts where funds are frozen). The role of trust has been extensively evaluated within technology adoption literature. Upadhyay and Jahanyan (2021) observed that in emerging economies, consumers often transfer their trust in established banking brands onto digital intermediaries. Consequently, platforms that explicitly state their alignment with sovereign regulatory structures or reputable banking institutions achieve faster trust calibration. Furthermore, modern cryptographic features such as biometric authentication, real-time transaction tokenisation, and multi-factor verification serve a dual purpose. They secure the underlying transaction while acting as visual markers of security that reassure the user.</w:t>
      </w:r>
      <w:r>
        <w:rPr>
          <w:rFonts w:ascii="Times New Roman" w:hAnsi="Times New Roman"/>
          <w:sz w:val="24"/>
        </w:rPr>
        <w:br/>
      </w:r>
      <w:r>
        <w:rPr>
          <w:rFonts w:ascii="Times New Roman" w:hAnsi="Times New Roman"/>
          <w:sz w:val="24"/>
        </w:rPr>
        <w:br/>
        <w:t>Promotional Dynamics: The Role of Cashbacks and Gamification: The use of financial incentives (such as cashbacks, loyalty points, and scratch cards) has been a primary strategy for user acquisition in the fintech sector. Dictit and Tripathi (2020) analysed the psychological mechanics of cashback distributions, concluding that immediate financial rewards stimulate the brain's reward centres. This stimulation creates positive behavioural reinforcement, linking the app's use with an unexpected financial windfall. However, as the market reaches saturation, the efficacy of basic cashbacks has faced closer scrutiny. Research by Shree et al. (2021) suggests that while cashbacks are highly effective at driving short-term user acquisition and platform hopping, they do not inherently foster long-term brand loyalty unless paired with high structural convenience and security. In response, modern platforms have turned to gamified rewards, where users earn badges, unlock levels, or participate in localised digital events. This shifts the value proposition from a transactional discount to an engaging consumer experience, increasing overall platform retention.</w:t>
      </w:r>
    </w:p>
    <w:p w14:paraId="5CC1F21F" w14:textId="77777777" w:rsidR="0003063C" w:rsidRDefault="00000000">
      <w:pPr>
        <w:spacing w:before="280" w:after="120" w:line="240" w:lineRule="auto"/>
      </w:pPr>
      <w:r>
        <w:rPr>
          <w:rFonts w:ascii="Times New Roman" w:hAnsi="Times New Roman"/>
          <w:b/>
          <w:sz w:val="24"/>
        </w:rPr>
        <w:t>Synthesis of Existing Research Gaps</w:t>
      </w:r>
    </w:p>
    <w:p w14:paraId="17726582" w14:textId="77777777" w:rsidR="0003063C" w:rsidRDefault="00000000">
      <w:pPr>
        <w:spacing w:after="240" w:line="240" w:lineRule="auto"/>
        <w:jc w:val="both"/>
      </w:pPr>
      <w:r>
        <w:rPr>
          <w:rFonts w:ascii="Times New Roman" w:hAnsi="Times New Roman"/>
          <w:sz w:val="24"/>
        </w:rPr>
        <w:t>While the existing literature covers the individual impacts of convenience, security, and rewards on digital payment adoption, there is a lack of integrated empirical studies that examine these factors simultaneously within a highly unified, open-banking environment like India's UPI network. Most existing models were developed based on closed-loop digital wallets or card-based payment infrastructures typical of Western economies. This study addresses this gap by analysing consumer choices where the baseline financial network is standardised. This allows for a precise evaluation of how convenience, security, and promotional variables drive consumer preferences independently of the underlying financial rails.</w:t>
      </w:r>
    </w:p>
    <w:p w14:paraId="1AACE254" w14:textId="555F39D9" w:rsidR="0003063C" w:rsidRDefault="00000000">
      <w:pPr>
        <w:spacing w:before="360" w:after="240" w:line="240" w:lineRule="auto"/>
      </w:pPr>
      <w:r>
        <w:rPr>
          <w:rFonts w:ascii="Times New Roman" w:hAnsi="Times New Roman"/>
          <w:b/>
          <w:sz w:val="28"/>
        </w:rPr>
        <w:t>RESEARCH METHODOLOGY</w:t>
      </w:r>
    </w:p>
    <w:p w14:paraId="75736988" w14:textId="77777777" w:rsidR="0003063C" w:rsidRDefault="00000000">
      <w:pPr>
        <w:spacing w:before="280" w:after="120" w:line="240" w:lineRule="auto"/>
      </w:pPr>
      <w:r>
        <w:rPr>
          <w:rFonts w:ascii="Times New Roman" w:hAnsi="Times New Roman"/>
          <w:b/>
          <w:sz w:val="24"/>
        </w:rPr>
        <w:t>Conceptual Framework and Hypotheses</w:t>
      </w:r>
    </w:p>
    <w:p w14:paraId="28DA0A27" w14:textId="77777777" w:rsidR="003A4C83" w:rsidRDefault="00000000" w:rsidP="003A4C83">
      <w:pPr>
        <w:spacing w:after="240" w:line="240" w:lineRule="auto"/>
        <w:jc w:val="both"/>
        <w:rPr>
          <w:rFonts w:ascii="Times New Roman" w:hAnsi="Times New Roman"/>
          <w:sz w:val="24"/>
        </w:rPr>
      </w:pPr>
      <w:r>
        <w:rPr>
          <w:rFonts w:ascii="Times New Roman" w:hAnsi="Times New Roman"/>
          <w:sz w:val="24"/>
        </w:rPr>
        <w:t>Based on the synthesised literature and theoretical models, this study establishes a conceptual framework where Structural Convenience, Perceived Security, and Promotional Incentives act as independent variables, while Platform Preference and Consumer Recommendation Tendencies serve as the dependent variables. To empirically evaluate these interactions, the following research hypotheses were formulated:</w:t>
      </w:r>
      <w:r>
        <w:rPr>
          <w:rFonts w:ascii="Times New Roman" w:hAnsi="Times New Roman"/>
          <w:sz w:val="24"/>
        </w:rPr>
        <w:br/>
      </w:r>
      <w:r>
        <w:rPr>
          <w:rFonts w:ascii="Times New Roman" w:hAnsi="Times New Roman"/>
          <w:sz w:val="24"/>
        </w:rPr>
        <w:lastRenderedPageBreak/>
        <w:t>H1: There is a statistically significant variance in preference levels across different digital payment gateways based on user-perceived convenience.</w:t>
      </w:r>
    </w:p>
    <w:p w14:paraId="3681CF1C" w14:textId="77777777" w:rsidR="003A4C83" w:rsidRDefault="00000000" w:rsidP="003A4C83">
      <w:pPr>
        <w:spacing w:after="240" w:line="240" w:lineRule="auto"/>
        <w:jc w:val="both"/>
        <w:rPr>
          <w:rFonts w:ascii="Times New Roman" w:hAnsi="Times New Roman"/>
          <w:sz w:val="24"/>
        </w:rPr>
      </w:pPr>
      <w:r>
        <w:rPr>
          <w:rFonts w:ascii="Times New Roman" w:hAnsi="Times New Roman"/>
          <w:sz w:val="24"/>
        </w:rPr>
        <w:t>H2: Perceived structural security significantly and positively influences overall consumer trust levels toward digital payment gateways.</w:t>
      </w:r>
    </w:p>
    <w:p w14:paraId="67A48F60" w14:textId="2CF33951" w:rsidR="0003063C" w:rsidRDefault="00000000" w:rsidP="003A4C83">
      <w:pPr>
        <w:spacing w:after="240" w:line="240" w:lineRule="auto"/>
        <w:jc w:val="both"/>
      </w:pPr>
      <w:r>
        <w:rPr>
          <w:rFonts w:ascii="Times New Roman" w:hAnsi="Times New Roman"/>
          <w:sz w:val="24"/>
        </w:rPr>
        <w:t>H3: There is a significant positive correlation between promotional rewards (cashbacks) and consumer recommendations of digital platforms to peers.</w:t>
      </w:r>
    </w:p>
    <w:p w14:paraId="2F1D3137" w14:textId="77777777" w:rsidR="0003063C" w:rsidRDefault="00000000">
      <w:pPr>
        <w:spacing w:before="280" w:after="120" w:line="240" w:lineRule="auto"/>
      </w:pPr>
      <w:r>
        <w:rPr>
          <w:rFonts w:ascii="Times New Roman" w:hAnsi="Times New Roman"/>
          <w:b/>
          <w:sz w:val="24"/>
        </w:rPr>
        <w:t>Research Design and Sampling Strategy</w:t>
      </w:r>
    </w:p>
    <w:p w14:paraId="0DF5CE92" w14:textId="77777777" w:rsidR="0003063C" w:rsidRDefault="00000000">
      <w:pPr>
        <w:spacing w:after="240" w:line="240" w:lineRule="auto"/>
        <w:jc w:val="both"/>
      </w:pPr>
      <w:r>
        <w:rPr>
          <w:rFonts w:ascii="Times New Roman" w:hAnsi="Times New Roman"/>
          <w:sz w:val="24"/>
        </w:rPr>
        <w:t>This study adopts a quantitative, cross-sectional descriptive research design. The target population comprised active users of mobile digital payment applications residing in metropolitan and tier-1 urban areas. Data collection was carried out over four months from January to April 2024 using a digital surveying instrument distributed via professional networks, educational channels, and digital communication platforms. To ensure balanced demographic representation, a stratified random sampling approach was applied. The population was stratified by age cohorts and occupational status to ensure that insights captured the preferences of both younger, tech-native demographics and older, traditionally cash-reliant cohorts.</w:t>
      </w:r>
    </w:p>
    <w:p w14:paraId="2A02645F" w14:textId="77777777" w:rsidR="0003063C" w:rsidRDefault="00000000">
      <w:pPr>
        <w:spacing w:before="280" w:after="120" w:line="240" w:lineRule="auto"/>
      </w:pPr>
      <w:r>
        <w:rPr>
          <w:rFonts w:ascii="Times New Roman" w:hAnsi="Times New Roman"/>
          <w:b/>
          <w:sz w:val="24"/>
        </w:rPr>
        <w:t>Data Collection Instrument and Scaling</w:t>
      </w:r>
    </w:p>
    <w:p w14:paraId="11FB7465" w14:textId="77777777" w:rsidR="00A371F8" w:rsidRDefault="00000000">
      <w:pPr>
        <w:spacing w:after="240" w:line="240" w:lineRule="auto"/>
        <w:jc w:val="both"/>
        <w:rPr>
          <w:rFonts w:ascii="Times New Roman" w:hAnsi="Times New Roman"/>
          <w:sz w:val="24"/>
        </w:rPr>
      </w:pPr>
      <w:r>
        <w:rPr>
          <w:rFonts w:ascii="Times New Roman" w:hAnsi="Times New Roman"/>
          <w:sz w:val="24"/>
        </w:rPr>
        <w:t>The primary data collection instrument consisted of a structured questionnaire divided into three main sections:</w:t>
      </w:r>
    </w:p>
    <w:p w14:paraId="50564B5C" w14:textId="77777777" w:rsidR="00A371F8" w:rsidRDefault="00000000" w:rsidP="00A371F8">
      <w:pPr>
        <w:pStyle w:val="ListParagraph"/>
        <w:numPr>
          <w:ilvl w:val="0"/>
          <w:numId w:val="13"/>
        </w:numPr>
        <w:spacing w:after="240" w:line="240" w:lineRule="auto"/>
        <w:jc w:val="both"/>
        <w:rPr>
          <w:rFonts w:ascii="Times New Roman" w:hAnsi="Times New Roman"/>
          <w:sz w:val="24"/>
        </w:rPr>
      </w:pPr>
      <w:r w:rsidRPr="00A371F8">
        <w:rPr>
          <w:rFonts w:ascii="Times New Roman" w:hAnsi="Times New Roman"/>
          <w:sz w:val="24"/>
        </w:rPr>
        <w:t>Demographic Profiling: Collection of categorical variables including age, gender, educational background, and employment status.</w:t>
      </w:r>
    </w:p>
    <w:p w14:paraId="25E092C2" w14:textId="77777777" w:rsidR="00A371F8" w:rsidRPr="00A371F8" w:rsidRDefault="00000000" w:rsidP="00A371F8">
      <w:pPr>
        <w:pStyle w:val="ListParagraph"/>
        <w:numPr>
          <w:ilvl w:val="0"/>
          <w:numId w:val="13"/>
        </w:numPr>
        <w:spacing w:after="240" w:line="240" w:lineRule="auto"/>
        <w:jc w:val="both"/>
      </w:pPr>
      <w:r w:rsidRPr="00A371F8">
        <w:rPr>
          <w:rFonts w:ascii="Times New Roman" w:hAnsi="Times New Roman"/>
          <w:sz w:val="24"/>
        </w:rPr>
        <w:t>Platform Preference Matrix: Evaluation of user engagement levels, transaction frequencies, and preference rankings for five primary digital payment platforms: PhonePe, Google Pay, Paytm, Amazon Pay, and BHIM UPI.</w:t>
      </w:r>
    </w:p>
    <w:p w14:paraId="38D1663B" w14:textId="78A32573" w:rsidR="0003063C" w:rsidRDefault="00000000" w:rsidP="00A371F8">
      <w:pPr>
        <w:pStyle w:val="ListParagraph"/>
        <w:numPr>
          <w:ilvl w:val="0"/>
          <w:numId w:val="13"/>
        </w:numPr>
        <w:spacing w:after="240" w:line="240" w:lineRule="auto"/>
        <w:jc w:val="both"/>
      </w:pPr>
      <w:r w:rsidRPr="00A371F8">
        <w:rPr>
          <w:rFonts w:ascii="Times New Roman" w:hAnsi="Times New Roman"/>
          <w:sz w:val="24"/>
        </w:rPr>
        <w:t>Construct Psychometrics: Measurement of consumer perceptions regarding convenience, security, and rewards utilising a standardised 5-point Likert Scale.</w:t>
      </w:r>
    </w:p>
    <w:p w14:paraId="544BB77B" w14:textId="77777777" w:rsidR="0003063C" w:rsidRDefault="00000000">
      <w:pPr>
        <w:spacing w:before="280" w:after="120" w:line="240" w:lineRule="auto"/>
      </w:pPr>
      <w:r>
        <w:rPr>
          <w:rFonts w:ascii="Times New Roman" w:hAnsi="Times New Roman"/>
          <w:b/>
          <w:sz w:val="24"/>
        </w:rPr>
        <w:t>Reliability and Validity Assessment</w:t>
      </w:r>
    </w:p>
    <w:p w14:paraId="77CABF8C" w14:textId="77777777" w:rsidR="0003063C" w:rsidRDefault="00000000">
      <w:pPr>
        <w:spacing w:after="240" w:line="240" w:lineRule="auto"/>
        <w:jc w:val="both"/>
      </w:pPr>
      <w:r>
        <w:rPr>
          <w:rFonts w:ascii="Times New Roman" w:hAnsi="Times New Roman"/>
          <w:sz w:val="24"/>
        </w:rPr>
        <w:t>To ensure internal consistency and stability, the research instrument was subjected to a pilot study involving 50 participants. The data was analysed using Cronbach's Alpha. A Cronbach's Alpha coefficient greater than 0.70 is widely recognised as the academic benchmark for acceptable scale reliability in social science research.</w:t>
      </w:r>
    </w:p>
    <w:p w14:paraId="38236435" w14:textId="77777777" w:rsidR="0003063C" w:rsidRPr="00A371F8" w:rsidRDefault="00000000">
      <w:r w:rsidRPr="00A371F8">
        <w:t>Table 3.1: Psychometric Scale Reliability and Alpha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991"/>
        <w:gridCol w:w="1490"/>
      </w:tblGrid>
      <w:tr w:rsidR="0003063C" w14:paraId="1CDDD639" w14:textId="77777777" w:rsidTr="00B6299C">
        <w:tc>
          <w:tcPr>
            <w:tcW w:w="3605" w:type="dxa"/>
          </w:tcPr>
          <w:p w14:paraId="40C812F4" w14:textId="77777777" w:rsidR="0003063C" w:rsidRDefault="00000000">
            <w:pPr>
              <w:spacing w:before="80" w:after="80" w:line="240" w:lineRule="auto"/>
            </w:pPr>
            <w:r>
              <w:rPr>
                <w:rFonts w:ascii="Times New Roman" w:hAnsi="Times New Roman"/>
                <w:b/>
              </w:rPr>
              <w:t>Construct Dimensions</w:t>
            </w:r>
          </w:p>
        </w:tc>
        <w:tc>
          <w:tcPr>
            <w:tcW w:w="1991" w:type="dxa"/>
            <w:vAlign w:val="center"/>
          </w:tcPr>
          <w:p w14:paraId="4CCD5AB4" w14:textId="3847D038" w:rsidR="00A371F8" w:rsidRDefault="00000000" w:rsidP="00A371F8">
            <w:pPr>
              <w:spacing w:before="80" w:after="80" w:line="240" w:lineRule="auto"/>
              <w:jc w:val="center"/>
              <w:rPr>
                <w:rFonts w:ascii="Times New Roman" w:hAnsi="Times New Roman"/>
                <w:b/>
              </w:rPr>
            </w:pPr>
            <w:r>
              <w:rPr>
                <w:rFonts w:ascii="Times New Roman" w:hAnsi="Times New Roman"/>
                <w:b/>
              </w:rPr>
              <w:t>Number of Items</w:t>
            </w:r>
          </w:p>
          <w:p w14:paraId="568C0257" w14:textId="70ECF058" w:rsidR="0003063C" w:rsidRDefault="00000000" w:rsidP="00A371F8">
            <w:pPr>
              <w:spacing w:before="80" w:after="80" w:line="240" w:lineRule="auto"/>
              <w:jc w:val="center"/>
            </w:pPr>
            <w:r>
              <w:rPr>
                <w:rFonts w:ascii="Times New Roman" w:hAnsi="Times New Roman"/>
                <w:b/>
              </w:rPr>
              <w:t>Measured</w:t>
            </w:r>
          </w:p>
        </w:tc>
        <w:tc>
          <w:tcPr>
            <w:tcW w:w="1490" w:type="dxa"/>
            <w:vAlign w:val="center"/>
          </w:tcPr>
          <w:p w14:paraId="714AB191" w14:textId="360BC81D" w:rsidR="00A371F8" w:rsidRDefault="00000000" w:rsidP="00A371F8">
            <w:pPr>
              <w:spacing w:before="80" w:after="80" w:line="240" w:lineRule="auto"/>
              <w:jc w:val="center"/>
              <w:rPr>
                <w:rFonts w:ascii="Times New Roman" w:hAnsi="Times New Roman"/>
                <w:b/>
              </w:rPr>
            </w:pPr>
            <w:r>
              <w:rPr>
                <w:rFonts w:ascii="Times New Roman" w:hAnsi="Times New Roman"/>
                <w:b/>
              </w:rPr>
              <w:t>Cronbach’s</w:t>
            </w:r>
          </w:p>
          <w:p w14:paraId="5442AC6E" w14:textId="7D1D8A2C" w:rsidR="0003063C" w:rsidRDefault="00000000" w:rsidP="00A371F8">
            <w:pPr>
              <w:spacing w:before="80" w:after="80" w:line="240" w:lineRule="auto"/>
              <w:jc w:val="center"/>
            </w:pPr>
            <w:r>
              <w:rPr>
                <w:rFonts w:ascii="Times New Roman" w:hAnsi="Times New Roman"/>
                <w:b/>
              </w:rPr>
              <w:t>Alpha (α)</w:t>
            </w:r>
          </w:p>
        </w:tc>
      </w:tr>
      <w:tr w:rsidR="0003063C" w14:paraId="5007B4D5" w14:textId="77777777" w:rsidTr="00B6299C">
        <w:tc>
          <w:tcPr>
            <w:tcW w:w="3605" w:type="dxa"/>
          </w:tcPr>
          <w:p w14:paraId="05700F85" w14:textId="77777777" w:rsidR="0003063C" w:rsidRDefault="00000000">
            <w:pPr>
              <w:spacing w:before="80" w:after="80" w:line="240" w:lineRule="auto"/>
            </w:pPr>
            <w:r>
              <w:rPr>
                <w:rFonts w:ascii="Times New Roman" w:hAnsi="Times New Roman"/>
              </w:rPr>
              <w:t>Operational Convenience</w:t>
            </w:r>
          </w:p>
        </w:tc>
        <w:tc>
          <w:tcPr>
            <w:tcW w:w="1991" w:type="dxa"/>
            <w:vAlign w:val="center"/>
          </w:tcPr>
          <w:p w14:paraId="37100761" w14:textId="77777777" w:rsidR="0003063C" w:rsidRDefault="00000000" w:rsidP="00A371F8">
            <w:pPr>
              <w:spacing w:before="80" w:after="80" w:line="240" w:lineRule="auto"/>
              <w:jc w:val="center"/>
            </w:pPr>
            <w:r>
              <w:rPr>
                <w:rFonts w:ascii="Times New Roman" w:hAnsi="Times New Roman"/>
              </w:rPr>
              <w:t>4</w:t>
            </w:r>
          </w:p>
        </w:tc>
        <w:tc>
          <w:tcPr>
            <w:tcW w:w="1490" w:type="dxa"/>
            <w:vAlign w:val="center"/>
          </w:tcPr>
          <w:p w14:paraId="7CF7F890" w14:textId="77777777" w:rsidR="0003063C" w:rsidRDefault="00000000" w:rsidP="00A371F8">
            <w:pPr>
              <w:spacing w:before="80" w:after="80" w:line="240" w:lineRule="auto"/>
              <w:jc w:val="center"/>
            </w:pPr>
            <w:r>
              <w:rPr>
                <w:rFonts w:ascii="Times New Roman" w:hAnsi="Times New Roman"/>
              </w:rPr>
              <w:t>0.82</w:t>
            </w:r>
          </w:p>
        </w:tc>
      </w:tr>
      <w:tr w:rsidR="0003063C" w14:paraId="25D744E8" w14:textId="77777777" w:rsidTr="00B6299C">
        <w:tc>
          <w:tcPr>
            <w:tcW w:w="3605" w:type="dxa"/>
          </w:tcPr>
          <w:p w14:paraId="52B1276B" w14:textId="77777777" w:rsidR="0003063C" w:rsidRDefault="00000000">
            <w:pPr>
              <w:spacing w:before="80" w:after="80" w:line="240" w:lineRule="auto"/>
            </w:pPr>
            <w:r>
              <w:rPr>
                <w:rFonts w:ascii="Times New Roman" w:hAnsi="Times New Roman"/>
              </w:rPr>
              <w:t>Perceived Structural Security</w:t>
            </w:r>
          </w:p>
        </w:tc>
        <w:tc>
          <w:tcPr>
            <w:tcW w:w="1991" w:type="dxa"/>
            <w:vAlign w:val="center"/>
          </w:tcPr>
          <w:p w14:paraId="71421E1E" w14:textId="77777777" w:rsidR="0003063C" w:rsidRDefault="00000000" w:rsidP="00A371F8">
            <w:pPr>
              <w:spacing w:before="80" w:after="80" w:line="240" w:lineRule="auto"/>
              <w:jc w:val="center"/>
            </w:pPr>
            <w:r>
              <w:rPr>
                <w:rFonts w:ascii="Times New Roman" w:hAnsi="Times New Roman"/>
              </w:rPr>
              <w:t>5</w:t>
            </w:r>
          </w:p>
        </w:tc>
        <w:tc>
          <w:tcPr>
            <w:tcW w:w="1490" w:type="dxa"/>
            <w:vAlign w:val="center"/>
          </w:tcPr>
          <w:p w14:paraId="108A5478" w14:textId="77777777" w:rsidR="0003063C" w:rsidRDefault="00000000" w:rsidP="00A371F8">
            <w:pPr>
              <w:spacing w:before="80" w:after="80" w:line="240" w:lineRule="auto"/>
              <w:jc w:val="center"/>
            </w:pPr>
            <w:r>
              <w:rPr>
                <w:rFonts w:ascii="Times New Roman" w:hAnsi="Times New Roman"/>
              </w:rPr>
              <w:t>0.85</w:t>
            </w:r>
          </w:p>
        </w:tc>
      </w:tr>
      <w:tr w:rsidR="0003063C" w14:paraId="5F597836" w14:textId="77777777" w:rsidTr="00B6299C">
        <w:tc>
          <w:tcPr>
            <w:tcW w:w="3605" w:type="dxa"/>
          </w:tcPr>
          <w:p w14:paraId="4E7B2C6E" w14:textId="77777777" w:rsidR="0003063C" w:rsidRDefault="00000000">
            <w:pPr>
              <w:spacing w:before="80" w:after="80" w:line="240" w:lineRule="auto"/>
            </w:pPr>
            <w:r>
              <w:rPr>
                <w:rFonts w:ascii="Times New Roman" w:hAnsi="Times New Roman"/>
              </w:rPr>
              <w:t>Promotional Incentives &amp; Cashbacks</w:t>
            </w:r>
          </w:p>
        </w:tc>
        <w:tc>
          <w:tcPr>
            <w:tcW w:w="1991" w:type="dxa"/>
            <w:vAlign w:val="center"/>
          </w:tcPr>
          <w:p w14:paraId="666461FC" w14:textId="77777777" w:rsidR="0003063C" w:rsidRDefault="00000000" w:rsidP="00A371F8">
            <w:pPr>
              <w:spacing w:before="80" w:after="80" w:line="240" w:lineRule="auto"/>
              <w:jc w:val="center"/>
            </w:pPr>
            <w:r>
              <w:rPr>
                <w:rFonts w:ascii="Times New Roman" w:hAnsi="Times New Roman"/>
              </w:rPr>
              <w:t>4</w:t>
            </w:r>
          </w:p>
        </w:tc>
        <w:tc>
          <w:tcPr>
            <w:tcW w:w="1490" w:type="dxa"/>
            <w:vAlign w:val="center"/>
          </w:tcPr>
          <w:p w14:paraId="340FDB36" w14:textId="77777777" w:rsidR="0003063C" w:rsidRDefault="00000000" w:rsidP="00A371F8">
            <w:pPr>
              <w:spacing w:before="80" w:after="80" w:line="240" w:lineRule="auto"/>
              <w:jc w:val="center"/>
            </w:pPr>
            <w:r>
              <w:rPr>
                <w:rFonts w:ascii="Times New Roman" w:hAnsi="Times New Roman"/>
              </w:rPr>
              <w:t>0.78</w:t>
            </w:r>
          </w:p>
        </w:tc>
      </w:tr>
    </w:tbl>
    <w:p w14:paraId="0665A868" w14:textId="77777777" w:rsidR="0003063C" w:rsidRDefault="00000000">
      <w:pPr>
        <w:spacing w:after="240" w:line="240" w:lineRule="auto"/>
        <w:jc w:val="both"/>
      </w:pPr>
      <w:r>
        <w:rPr>
          <w:rFonts w:ascii="Times New Roman" w:hAnsi="Times New Roman"/>
          <w:sz w:val="24"/>
        </w:rPr>
        <w:t>The psychometric evaluation yielded Alpha coefficients ranging from 0.78 to 0.85, confirming that the measurement scales demonstrate high internal consistency and reliability, making them suitable for comprehensive parametric testing.</w:t>
      </w:r>
    </w:p>
    <w:p w14:paraId="04FA49C5" w14:textId="36696D59" w:rsidR="0003063C" w:rsidRDefault="00000000">
      <w:pPr>
        <w:spacing w:before="360" w:after="240" w:line="240" w:lineRule="auto"/>
      </w:pPr>
      <w:r>
        <w:rPr>
          <w:rFonts w:ascii="Times New Roman" w:hAnsi="Times New Roman"/>
          <w:b/>
          <w:sz w:val="28"/>
        </w:rPr>
        <w:t>DATA ANALYSIS AND EMPIRICAL RESULTS</w:t>
      </w:r>
    </w:p>
    <w:p w14:paraId="10ECAF96" w14:textId="77777777" w:rsidR="0003063C" w:rsidRDefault="00000000">
      <w:pPr>
        <w:spacing w:before="280" w:after="120" w:line="240" w:lineRule="auto"/>
      </w:pPr>
      <w:r>
        <w:rPr>
          <w:rFonts w:ascii="Times New Roman" w:hAnsi="Times New Roman"/>
          <w:b/>
          <w:sz w:val="24"/>
        </w:rPr>
        <w:t>Demographic Analysis of Respondents</w:t>
      </w:r>
    </w:p>
    <w:p w14:paraId="6318B6A0" w14:textId="77777777" w:rsidR="0003063C" w:rsidRDefault="00000000">
      <w:pPr>
        <w:spacing w:after="240" w:line="240" w:lineRule="auto"/>
        <w:jc w:val="both"/>
      </w:pPr>
      <w:r>
        <w:rPr>
          <w:rFonts w:ascii="Times New Roman" w:hAnsi="Times New Roman"/>
          <w:sz w:val="24"/>
        </w:rPr>
        <w:t xml:space="preserve">The demographic composition of the 200 respondents provides a clear contextual baseline for interpreting the study's findings. The sample represents a diverse cross-section of the digital payment consumer base. The </w:t>
      </w:r>
      <w:r>
        <w:rPr>
          <w:rFonts w:ascii="Times New Roman" w:hAnsi="Times New Roman"/>
          <w:sz w:val="24"/>
        </w:rPr>
        <w:lastRenderedPageBreak/>
        <w:t>sample is characterised by a strong presence of young to mid-career professionals, with 65% of respondents falling into the 18–34 age range. This cohort represents the primary drivers of digital transaction volume. Additionally, the cohort is highly educated, with 65% holding a bachelor's, master's, or doctoral degree, indicating a sample capable of making informed assessments regarding platform security and utility.</w:t>
      </w:r>
    </w:p>
    <w:p w14:paraId="46230D9D" w14:textId="77777777" w:rsidR="0003063C" w:rsidRDefault="00000000">
      <w:pPr>
        <w:spacing w:before="280" w:after="120" w:line="240" w:lineRule="auto"/>
      </w:pPr>
      <w:r>
        <w:rPr>
          <w:rFonts w:ascii="Times New Roman" w:hAnsi="Times New Roman"/>
          <w:b/>
          <w:sz w:val="24"/>
        </w:rPr>
        <w:t>Descriptive Statistics of Core Constructs</w:t>
      </w:r>
    </w:p>
    <w:p w14:paraId="49CE12AE" w14:textId="77777777" w:rsidR="0003063C" w:rsidRDefault="00000000">
      <w:pPr>
        <w:spacing w:after="240" w:line="240" w:lineRule="auto"/>
        <w:jc w:val="both"/>
      </w:pPr>
      <w:r>
        <w:rPr>
          <w:rFonts w:ascii="Times New Roman" w:hAnsi="Times New Roman"/>
          <w:sz w:val="24"/>
        </w:rPr>
        <w:t>To evaluate the general distribution of consumer sentiments regarding the three primary independent constructs, a descriptive statistical analysis was performed, computing the Mean, Standard Deviation, Skewness, and Kurtosis.</w:t>
      </w:r>
    </w:p>
    <w:p w14:paraId="01AF8477" w14:textId="77777777" w:rsidR="0003063C" w:rsidRDefault="00000000">
      <w:r>
        <w:t>Table 4.2: Comprehensive Descriptive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453"/>
        <w:gridCol w:w="1271"/>
        <w:gridCol w:w="1229"/>
        <w:gridCol w:w="1143"/>
      </w:tblGrid>
      <w:tr w:rsidR="0003063C" w14:paraId="207AA249" w14:textId="77777777" w:rsidTr="00B6299C">
        <w:tc>
          <w:tcPr>
            <w:tcW w:w="2914" w:type="dxa"/>
          </w:tcPr>
          <w:p w14:paraId="4579883F" w14:textId="77777777" w:rsidR="0003063C" w:rsidRDefault="00000000">
            <w:pPr>
              <w:spacing w:before="80" w:after="80" w:line="240" w:lineRule="auto"/>
            </w:pPr>
            <w:r>
              <w:rPr>
                <w:rFonts w:ascii="Times New Roman" w:hAnsi="Times New Roman"/>
                <w:b/>
              </w:rPr>
              <w:t>Analytical Construct</w:t>
            </w:r>
          </w:p>
        </w:tc>
        <w:tc>
          <w:tcPr>
            <w:tcW w:w="1453" w:type="dxa"/>
            <w:vAlign w:val="center"/>
          </w:tcPr>
          <w:p w14:paraId="26E85E0A" w14:textId="416C6B10" w:rsidR="00A371F8" w:rsidRDefault="00000000" w:rsidP="00A371F8">
            <w:pPr>
              <w:spacing w:before="80" w:after="80" w:line="240" w:lineRule="auto"/>
              <w:jc w:val="center"/>
              <w:rPr>
                <w:rFonts w:ascii="Times New Roman" w:hAnsi="Times New Roman"/>
                <w:b/>
              </w:rPr>
            </w:pPr>
            <w:r>
              <w:rPr>
                <w:rFonts w:ascii="Times New Roman" w:hAnsi="Times New Roman"/>
                <w:b/>
              </w:rPr>
              <w:t>Descriptive</w:t>
            </w:r>
          </w:p>
          <w:p w14:paraId="626CA983" w14:textId="6E3FF6B5" w:rsidR="0003063C" w:rsidRDefault="00000000" w:rsidP="00A371F8">
            <w:pPr>
              <w:spacing w:before="80" w:after="80" w:line="240" w:lineRule="auto"/>
              <w:jc w:val="center"/>
            </w:pPr>
            <w:r>
              <w:rPr>
                <w:rFonts w:ascii="Times New Roman" w:hAnsi="Times New Roman"/>
                <w:b/>
              </w:rPr>
              <w:t>Mean</w:t>
            </w:r>
          </w:p>
        </w:tc>
        <w:tc>
          <w:tcPr>
            <w:tcW w:w="1271" w:type="dxa"/>
            <w:vAlign w:val="center"/>
          </w:tcPr>
          <w:p w14:paraId="48FEFDAF" w14:textId="77542BB0" w:rsidR="00A371F8" w:rsidRDefault="00000000" w:rsidP="00A371F8">
            <w:pPr>
              <w:spacing w:before="80" w:after="80" w:line="240" w:lineRule="auto"/>
              <w:jc w:val="center"/>
              <w:rPr>
                <w:rFonts w:ascii="Times New Roman" w:hAnsi="Times New Roman"/>
                <w:b/>
              </w:rPr>
            </w:pPr>
            <w:r>
              <w:rPr>
                <w:rFonts w:ascii="Times New Roman" w:hAnsi="Times New Roman"/>
                <w:b/>
              </w:rPr>
              <w:t>Standard</w:t>
            </w:r>
          </w:p>
          <w:p w14:paraId="7DAFE226" w14:textId="3B6C68D8" w:rsidR="0003063C" w:rsidRDefault="00000000" w:rsidP="00A371F8">
            <w:pPr>
              <w:spacing w:before="80" w:after="80" w:line="240" w:lineRule="auto"/>
              <w:jc w:val="center"/>
            </w:pPr>
            <w:r>
              <w:rPr>
                <w:rFonts w:ascii="Times New Roman" w:hAnsi="Times New Roman"/>
                <w:b/>
              </w:rPr>
              <w:t>Deviation</w:t>
            </w:r>
          </w:p>
        </w:tc>
        <w:tc>
          <w:tcPr>
            <w:tcW w:w="1229" w:type="dxa"/>
            <w:vAlign w:val="center"/>
          </w:tcPr>
          <w:p w14:paraId="1B96A3BB" w14:textId="731CE7D6" w:rsidR="00A371F8" w:rsidRDefault="00000000" w:rsidP="00A371F8">
            <w:pPr>
              <w:spacing w:before="80" w:after="80" w:line="240" w:lineRule="auto"/>
              <w:jc w:val="center"/>
              <w:rPr>
                <w:rFonts w:ascii="Times New Roman" w:hAnsi="Times New Roman"/>
                <w:b/>
              </w:rPr>
            </w:pPr>
            <w:r>
              <w:rPr>
                <w:rFonts w:ascii="Times New Roman" w:hAnsi="Times New Roman"/>
                <w:b/>
              </w:rPr>
              <w:t>Metric</w:t>
            </w:r>
          </w:p>
          <w:p w14:paraId="5F83CAA8" w14:textId="79570CE5" w:rsidR="0003063C" w:rsidRDefault="00000000" w:rsidP="00A371F8">
            <w:pPr>
              <w:spacing w:before="80" w:after="80" w:line="240" w:lineRule="auto"/>
              <w:jc w:val="center"/>
            </w:pPr>
            <w:r>
              <w:rPr>
                <w:rFonts w:ascii="Times New Roman" w:hAnsi="Times New Roman"/>
                <w:b/>
              </w:rPr>
              <w:t>Skewness</w:t>
            </w:r>
          </w:p>
        </w:tc>
        <w:tc>
          <w:tcPr>
            <w:tcW w:w="1143" w:type="dxa"/>
            <w:vAlign w:val="center"/>
          </w:tcPr>
          <w:p w14:paraId="030BA606" w14:textId="36F6E1F9" w:rsidR="00A371F8" w:rsidRDefault="00000000" w:rsidP="00A371F8">
            <w:pPr>
              <w:spacing w:before="80" w:after="80" w:line="240" w:lineRule="auto"/>
              <w:jc w:val="center"/>
              <w:rPr>
                <w:rFonts w:ascii="Times New Roman" w:hAnsi="Times New Roman"/>
                <w:b/>
              </w:rPr>
            </w:pPr>
            <w:r>
              <w:rPr>
                <w:rFonts w:ascii="Times New Roman" w:hAnsi="Times New Roman"/>
                <w:b/>
              </w:rPr>
              <w:t>Metric</w:t>
            </w:r>
          </w:p>
          <w:p w14:paraId="5E027CCD" w14:textId="7D13FE31" w:rsidR="0003063C" w:rsidRDefault="00000000" w:rsidP="00A371F8">
            <w:pPr>
              <w:spacing w:before="80" w:after="80" w:line="240" w:lineRule="auto"/>
              <w:jc w:val="center"/>
            </w:pPr>
            <w:r>
              <w:rPr>
                <w:rFonts w:ascii="Times New Roman" w:hAnsi="Times New Roman"/>
                <w:b/>
              </w:rPr>
              <w:t>Kurtosis</w:t>
            </w:r>
          </w:p>
        </w:tc>
      </w:tr>
      <w:tr w:rsidR="0003063C" w14:paraId="7349463E" w14:textId="77777777" w:rsidTr="00B6299C">
        <w:tc>
          <w:tcPr>
            <w:tcW w:w="2914" w:type="dxa"/>
          </w:tcPr>
          <w:p w14:paraId="1BB08DE2" w14:textId="77777777" w:rsidR="0003063C" w:rsidRDefault="00000000">
            <w:pPr>
              <w:spacing w:before="80" w:after="80" w:line="240" w:lineRule="auto"/>
            </w:pPr>
            <w:r>
              <w:rPr>
                <w:rFonts w:ascii="Times New Roman" w:hAnsi="Times New Roman"/>
              </w:rPr>
              <w:t>Operational Convenience</w:t>
            </w:r>
          </w:p>
        </w:tc>
        <w:tc>
          <w:tcPr>
            <w:tcW w:w="1453" w:type="dxa"/>
            <w:vAlign w:val="center"/>
          </w:tcPr>
          <w:p w14:paraId="5F3FD5E4" w14:textId="77777777" w:rsidR="0003063C" w:rsidRDefault="00000000" w:rsidP="00A371F8">
            <w:pPr>
              <w:spacing w:before="80" w:after="80" w:line="240" w:lineRule="auto"/>
              <w:jc w:val="center"/>
            </w:pPr>
            <w:r>
              <w:rPr>
                <w:rFonts w:ascii="Times New Roman" w:hAnsi="Times New Roman"/>
              </w:rPr>
              <w:t>4.23</w:t>
            </w:r>
          </w:p>
        </w:tc>
        <w:tc>
          <w:tcPr>
            <w:tcW w:w="1271" w:type="dxa"/>
            <w:vAlign w:val="center"/>
          </w:tcPr>
          <w:p w14:paraId="2EFD6DE9" w14:textId="77777777" w:rsidR="0003063C" w:rsidRDefault="00000000" w:rsidP="00A371F8">
            <w:pPr>
              <w:spacing w:before="80" w:after="80" w:line="240" w:lineRule="auto"/>
              <w:jc w:val="center"/>
            </w:pPr>
            <w:r>
              <w:rPr>
                <w:rFonts w:ascii="Times New Roman" w:hAnsi="Times New Roman"/>
              </w:rPr>
              <w:t>0.65</w:t>
            </w:r>
          </w:p>
        </w:tc>
        <w:tc>
          <w:tcPr>
            <w:tcW w:w="1229" w:type="dxa"/>
            <w:vAlign w:val="center"/>
          </w:tcPr>
          <w:p w14:paraId="4B6E5491" w14:textId="77777777" w:rsidR="0003063C" w:rsidRDefault="00000000" w:rsidP="00A371F8">
            <w:pPr>
              <w:spacing w:before="80" w:after="80" w:line="240" w:lineRule="auto"/>
              <w:jc w:val="center"/>
            </w:pPr>
            <w:r>
              <w:rPr>
                <w:rFonts w:ascii="Times New Roman" w:hAnsi="Times New Roman"/>
              </w:rPr>
              <w:t>-0.15</w:t>
            </w:r>
          </w:p>
        </w:tc>
        <w:tc>
          <w:tcPr>
            <w:tcW w:w="1143" w:type="dxa"/>
            <w:vAlign w:val="center"/>
          </w:tcPr>
          <w:p w14:paraId="62AF1F1B" w14:textId="77777777" w:rsidR="0003063C" w:rsidRDefault="00000000" w:rsidP="00A371F8">
            <w:pPr>
              <w:spacing w:before="80" w:after="80" w:line="240" w:lineRule="auto"/>
              <w:jc w:val="center"/>
            </w:pPr>
            <w:r>
              <w:rPr>
                <w:rFonts w:ascii="Times New Roman" w:hAnsi="Times New Roman"/>
              </w:rPr>
              <w:t>0.23</w:t>
            </w:r>
          </w:p>
        </w:tc>
      </w:tr>
      <w:tr w:rsidR="0003063C" w14:paraId="34E234D6" w14:textId="77777777" w:rsidTr="00B6299C">
        <w:tc>
          <w:tcPr>
            <w:tcW w:w="2914" w:type="dxa"/>
          </w:tcPr>
          <w:p w14:paraId="5D18A6E4" w14:textId="77777777" w:rsidR="0003063C" w:rsidRDefault="00000000">
            <w:pPr>
              <w:spacing w:before="80" w:after="80" w:line="240" w:lineRule="auto"/>
            </w:pPr>
            <w:r>
              <w:rPr>
                <w:rFonts w:ascii="Times New Roman" w:hAnsi="Times New Roman"/>
              </w:rPr>
              <w:t>Perceived Structural Security</w:t>
            </w:r>
          </w:p>
        </w:tc>
        <w:tc>
          <w:tcPr>
            <w:tcW w:w="1453" w:type="dxa"/>
            <w:vAlign w:val="center"/>
          </w:tcPr>
          <w:p w14:paraId="15C76819" w14:textId="77777777" w:rsidR="0003063C" w:rsidRDefault="00000000" w:rsidP="00A371F8">
            <w:pPr>
              <w:spacing w:before="80" w:after="80" w:line="240" w:lineRule="auto"/>
              <w:jc w:val="center"/>
            </w:pPr>
            <w:r>
              <w:rPr>
                <w:rFonts w:ascii="Times New Roman" w:hAnsi="Times New Roman"/>
              </w:rPr>
              <w:t>4.08</w:t>
            </w:r>
          </w:p>
        </w:tc>
        <w:tc>
          <w:tcPr>
            <w:tcW w:w="1271" w:type="dxa"/>
            <w:vAlign w:val="center"/>
          </w:tcPr>
          <w:p w14:paraId="1DF156CF" w14:textId="77777777" w:rsidR="0003063C" w:rsidRDefault="00000000" w:rsidP="00A371F8">
            <w:pPr>
              <w:spacing w:before="80" w:after="80" w:line="240" w:lineRule="auto"/>
              <w:jc w:val="center"/>
            </w:pPr>
            <w:r>
              <w:rPr>
                <w:rFonts w:ascii="Times New Roman" w:hAnsi="Times New Roman"/>
              </w:rPr>
              <w:t>0.72</w:t>
            </w:r>
          </w:p>
        </w:tc>
        <w:tc>
          <w:tcPr>
            <w:tcW w:w="1229" w:type="dxa"/>
            <w:vAlign w:val="center"/>
          </w:tcPr>
          <w:p w14:paraId="4E9C00DD" w14:textId="77777777" w:rsidR="0003063C" w:rsidRDefault="00000000" w:rsidP="00A371F8">
            <w:pPr>
              <w:spacing w:before="80" w:after="80" w:line="240" w:lineRule="auto"/>
              <w:jc w:val="center"/>
            </w:pPr>
            <w:r>
              <w:rPr>
                <w:rFonts w:ascii="Times New Roman" w:hAnsi="Times New Roman"/>
              </w:rPr>
              <w:t>-0.10</w:t>
            </w:r>
          </w:p>
        </w:tc>
        <w:tc>
          <w:tcPr>
            <w:tcW w:w="1143" w:type="dxa"/>
            <w:vAlign w:val="center"/>
          </w:tcPr>
          <w:p w14:paraId="51DA0AEE" w14:textId="77777777" w:rsidR="0003063C" w:rsidRDefault="00000000" w:rsidP="00A371F8">
            <w:pPr>
              <w:spacing w:before="80" w:after="80" w:line="240" w:lineRule="auto"/>
              <w:jc w:val="center"/>
            </w:pPr>
            <w:r>
              <w:rPr>
                <w:rFonts w:ascii="Times New Roman" w:hAnsi="Times New Roman"/>
              </w:rPr>
              <w:t>0.15</w:t>
            </w:r>
          </w:p>
        </w:tc>
      </w:tr>
      <w:tr w:rsidR="0003063C" w14:paraId="794EC7A8" w14:textId="77777777" w:rsidTr="00B6299C">
        <w:tc>
          <w:tcPr>
            <w:tcW w:w="2914" w:type="dxa"/>
          </w:tcPr>
          <w:p w14:paraId="6511D08E" w14:textId="77777777" w:rsidR="0003063C" w:rsidRDefault="00000000">
            <w:pPr>
              <w:spacing w:before="80" w:after="80" w:line="240" w:lineRule="auto"/>
            </w:pPr>
            <w:r>
              <w:rPr>
                <w:rFonts w:ascii="Times New Roman" w:hAnsi="Times New Roman"/>
              </w:rPr>
              <w:t>Promotional Incentives</w:t>
            </w:r>
          </w:p>
        </w:tc>
        <w:tc>
          <w:tcPr>
            <w:tcW w:w="1453" w:type="dxa"/>
            <w:vAlign w:val="center"/>
          </w:tcPr>
          <w:p w14:paraId="777AB71E" w14:textId="77777777" w:rsidR="0003063C" w:rsidRDefault="00000000" w:rsidP="00A371F8">
            <w:pPr>
              <w:spacing w:before="80" w:after="80" w:line="240" w:lineRule="auto"/>
              <w:jc w:val="center"/>
            </w:pPr>
            <w:r>
              <w:rPr>
                <w:rFonts w:ascii="Times New Roman" w:hAnsi="Times New Roman"/>
              </w:rPr>
              <w:t>3.95</w:t>
            </w:r>
          </w:p>
        </w:tc>
        <w:tc>
          <w:tcPr>
            <w:tcW w:w="1271" w:type="dxa"/>
            <w:vAlign w:val="center"/>
          </w:tcPr>
          <w:p w14:paraId="39CFEA71" w14:textId="77777777" w:rsidR="0003063C" w:rsidRDefault="00000000" w:rsidP="00A371F8">
            <w:pPr>
              <w:spacing w:before="80" w:after="80" w:line="240" w:lineRule="auto"/>
              <w:jc w:val="center"/>
            </w:pPr>
            <w:r>
              <w:rPr>
                <w:rFonts w:ascii="Times New Roman" w:hAnsi="Times New Roman"/>
              </w:rPr>
              <w:t>0.68</w:t>
            </w:r>
          </w:p>
        </w:tc>
        <w:tc>
          <w:tcPr>
            <w:tcW w:w="1229" w:type="dxa"/>
            <w:vAlign w:val="center"/>
          </w:tcPr>
          <w:p w14:paraId="7861C44B" w14:textId="77777777" w:rsidR="0003063C" w:rsidRDefault="00000000" w:rsidP="00A371F8">
            <w:pPr>
              <w:spacing w:before="80" w:after="80" w:line="240" w:lineRule="auto"/>
              <w:jc w:val="center"/>
            </w:pPr>
            <w:r>
              <w:rPr>
                <w:rFonts w:ascii="Times New Roman" w:hAnsi="Times New Roman"/>
              </w:rPr>
              <w:t>-0.05</w:t>
            </w:r>
          </w:p>
        </w:tc>
        <w:tc>
          <w:tcPr>
            <w:tcW w:w="1143" w:type="dxa"/>
            <w:vAlign w:val="center"/>
          </w:tcPr>
          <w:p w14:paraId="59B469E1" w14:textId="77777777" w:rsidR="0003063C" w:rsidRDefault="00000000" w:rsidP="00A371F8">
            <w:pPr>
              <w:spacing w:before="80" w:after="80" w:line="240" w:lineRule="auto"/>
              <w:jc w:val="center"/>
            </w:pPr>
            <w:r>
              <w:rPr>
                <w:rFonts w:ascii="Times New Roman" w:hAnsi="Times New Roman"/>
              </w:rPr>
              <w:t>0.10</w:t>
            </w:r>
          </w:p>
        </w:tc>
      </w:tr>
    </w:tbl>
    <w:p w14:paraId="5E4E7FF3" w14:textId="77777777" w:rsidR="0003063C" w:rsidRDefault="00000000">
      <w:pPr>
        <w:spacing w:after="240" w:line="240" w:lineRule="auto"/>
        <w:jc w:val="both"/>
      </w:pPr>
      <w:r>
        <w:rPr>
          <w:rFonts w:ascii="Times New Roman" w:hAnsi="Times New Roman"/>
          <w:sz w:val="24"/>
        </w:rPr>
        <w:t>The empirical means show that consumers place a high value on all three dimensions, with Operational Convenience achieving the highest baseline score (M = 4.23). This confirms that usability is a critical entry requirement for digital payment systems. The skewness and kurtosis indices fall well within the traditional range of -1 to +1, confirming that the dataset follows a normal distribution and satisfies the assumptions required for parametric statistical analysis.</w:t>
      </w:r>
    </w:p>
    <w:p w14:paraId="048F7A4D" w14:textId="77777777" w:rsidR="0003063C" w:rsidRDefault="00000000">
      <w:pPr>
        <w:spacing w:before="280" w:after="120" w:line="240" w:lineRule="auto"/>
      </w:pPr>
      <w:r>
        <w:rPr>
          <w:rFonts w:ascii="Times New Roman" w:hAnsi="Times New Roman"/>
          <w:b/>
          <w:sz w:val="24"/>
        </w:rPr>
        <w:t>Platform Comparative Analysis</w:t>
      </w:r>
    </w:p>
    <w:p w14:paraId="0F539A77" w14:textId="77777777" w:rsidR="0003063C" w:rsidRDefault="00000000">
      <w:pPr>
        <w:spacing w:after="240" w:line="240" w:lineRule="auto"/>
        <w:jc w:val="both"/>
      </w:pPr>
      <w:r>
        <w:rPr>
          <w:rFonts w:ascii="Times New Roman" w:hAnsi="Times New Roman"/>
          <w:sz w:val="24"/>
        </w:rPr>
        <w:t>This section evaluates consumer preferences across five key digital payment platforms active in the marketplace.</w:t>
      </w:r>
    </w:p>
    <w:p w14:paraId="15598D71" w14:textId="77777777" w:rsidR="0003063C" w:rsidRDefault="00000000">
      <w:r>
        <w:t>Table 4.3: Mean Consumer Preference Scores by Gateway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94"/>
        <w:gridCol w:w="1454"/>
        <w:gridCol w:w="2176"/>
      </w:tblGrid>
      <w:tr w:rsidR="0003063C" w14:paraId="673890EC" w14:textId="77777777" w:rsidTr="00B6299C">
        <w:tc>
          <w:tcPr>
            <w:tcW w:w="850" w:type="dxa"/>
            <w:vAlign w:val="center"/>
          </w:tcPr>
          <w:p w14:paraId="2793E319" w14:textId="77777777" w:rsidR="0003063C" w:rsidRDefault="00000000" w:rsidP="00A371F8">
            <w:pPr>
              <w:spacing w:before="80" w:after="80" w:line="240" w:lineRule="auto"/>
              <w:jc w:val="center"/>
            </w:pPr>
            <w:r>
              <w:rPr>
                <w:rFonts w:ascii="Times New Roman" w:hAnsi="Times New Roman"/>
                <w:b/>
              </w:rPr>
              <w:t>Rank</w:t>
            </w:r>
          </w:p>
        </w:tc>
        <w:tc>
          <w:tcPr>
            <w:tcW w:w="3494" w:type="dxa"/>
          </w:tcPr>
          <w:p w14:paraId="6F7BEEA6" w14:textId="77777777" w:rsidR="0003063C" w:rsidRDefault="00000000">
            <w:pPr>
              <w:spacing w:before="80" w:after="80" w:line="240" w:lineRule="auto"/>
            </w:pPr>
            <w:r>
              <w:rPr>
                <w:rFonts w:ascii="Times New Roman" w:hAnsi="Times New Roman"/>
                <w:b/>
              </w:rPr>
              <w:t>Digital Payment Gateway</w:t>
            </w:r>
          </w:p>
        </w:tc>
        <w:tc>
          <w:tcPr>
            <w:tcW w:w="1454" w:type="dxa"/>
            <w:vAlign w:val="center"/>
          </w:tcPr>
          <w:p w14:paraId="007F5BD5" w14:textId="77777777" w:rsidR="0003063C" w:rsidRDefault="00000000" w:rsidP="00A371F8">
            <w:pPr>
              <w:spacing w:before="80" w:after="80" w:line="240" w:lineRule="auto"/>
              <w:jc w:val="center"/>
            </w:pPr>
            <w:r>
              <w:rPr>
                <w:rFonts w:ascii="Times New Roman" w:hAnsi="Times New Roman"/>
                <w:b/>
              </w:rPr>
              <w:t>Mean Score</w:t>
            </w:r>
          </w:p>
        </w:tc>
        <w:tc>
          <w:tcPr>
            <w:tcW w:w="2176" w:type="dxa"/>
            <w:vAlign w:val="center"/>
          </w:tcPr>
          <w:p w14:paraId="30F2A1DE" w14:textId="77777777" w:rsidR="0003063C" w:rsidRDefault="00000000" w:rsidP="00A371F8">
            <w:pPr>
              <w:spacing w:before="80" w:after="80" w:line="240" w:lineRule="auto"/>
              <w:jc w:val="center"/>
            </w:pPr>
            <w:r>
              <w:rPr>
                <w:rFonts w:ascii="Times New Roman" w:hAnsi="Times New Roman"/>
                <w:b/>
              </w:rPr>
              <w:t>Standard Deviation</w:t>
            </w:r>
          </w:p>
        </w:tc>
      </w:tr>
      <w:tr w:rsidR="0003063C" w14:paraId="47D60C55" w14:textId="77777777" w:rsidTr="00B6299C">
        <w:tc>
          <w:tcPr>
            <w:tcW w:w="850" w:type="dxa"/>
            <w:vAlign w:val="center"/>
          </w:tcPr>
          <w:p w14:paraId="001C99D3" w14:textId="77777777" w:rsidR="0003063C" w:rsidRDefault="00000000" w:rsidP="00A371F8">
            <w:pPr>
              <w:spacing w:before="80" w:after="80" w:line="240" w:lineRule="auto"/>
              <w:jc w:val="center"/>
            </w:pPr>
            <w:r>
              <w:rPr>
                <w:rFonts w:ascii="Times New Roman" w:hAnsi="Times New Roman"/>
              </w:rPr>
              <w:t>1</w:t>
            </w:r>
          </w:p>
        </w:tc>
        <w:tc>
          <w:tcPr>
            <w:tcW w:w="3494" w:type="dxa"/>
          </w:tcPr>
          <w:p w14:paraId="6445D49E" w14:textId="77777777" w:rsidR="0003063C" w:rsidRDefault="00000000">
            <w:pPr>
              <w:spacing w:before="80" w:after="80" w:line="240" w:lineRule="auto"/>
            </w:pPr>
            <w:r>
              <w:rPr>
                <w:rFonts w:ascii="Times New Roman" w:hAnsi="Times New Roman"/>
              </w:rPr>
              <w:t>PhonePe</w:t>
            </w:r>
          </w:p>
        </w:tc>
        <w:tc>
          <w:tcPr>
            <w:tcW w:w="1454" w:type="dxa"/>
            <w:vAlign w:val="center"/>
          </w:tcPr>
          <w:p w14:paraId="65FAAE9A" w14:textId="77777777" w:rsidR="0003063C" w:rsidRDefault="00000000" w:rsidP="00A371F8">
            <w:pPr>
              <w:spacing w:before="80" w:after="80" w:line="240" w:lineRule="auto"/>
              <w:jc w:val="center"/>
            </w:pPr>
            <w:r>
              <w:rPr>
                <w:rFonts w:ascii="Times New Roman" w:hAnsi="Times New Roman"/>
              </w:rPr>
              <w:t>4.35</w:t>
            </w:r>
          </w:p>
        </w:tc>
        <w:tc>
          <w:tcPr>
            <w:tcW w:w="2176" w:type="dxa"/>
            <w:vAlign w:val="center"/>
          </w:tcPr>
          <w:p w14:paraId="5D09462D" w14:textId="77777777" w:rsidR="0003063C" w:rsidRDefault="00000000" w:rsidP="00A371F8">
            <w:pPr>
              <w:spacing w:before="80" w:after="80" w:line="240" w:lineRule="auto"/>
              <w:jc w:val="center"/>
            </w:pPr>
            <w:r>
              <w:rPr>
                <w:rFonts w:ascii="Times New Roman" w:hAnsi="Times New Roman"/>
              </w:rPr>
              <w:t>0.62</w:t>
            </w:r>
          </w:p>
        </w:tc>
      </w:tr>
      <w:tr w:rsidR="0003063C" w14:paraId="0EB2C7AA" w14:textId="77777777" w:rsidTr="00B6299C">
        <w:tc>
          <w:tcPr>
            <w:tcW w:w="850" w:type="dxa"/>
            <w:vAlign w:val="center"/>
          </w:tcPr>
          <w:p w14:paraId="79A3E680" w14:textId="77777777" w:rsidR="0003063C" w:rsidRDefault="00000000" w:rsidP="00A371F8">
            <w:pPr>
              <w:spacing w:before="80" w:after="80" w:line="240" w:lineRule="auto"/>
              <w:jc w:val="center"/>
            </w:pPr>
            <w:r>
              <w:rPr>
                <w:rFonts w:ascii="Times New Roman" w:hAnsi="Times New Roman"/>
              </w:rPr>
              <w:t>2</w:t>
            </w:r>
          </w:p>
        </w:tc>
        <w:tc>
          <w:tcPr>
            <w:tcW w:w="3494" w:type="dxa"/>
          </w:tcPr>
          <w:p w14:paraId="1FCEC399" w14:textId="77777777" w:rsidR="0003063C" w:rsidRDefault="00000000">
            <w:pPr>
              <w:spacing w:before="80" w:after="80" w:line="240" w:lineRule="auto"/>
            </w:pPr>
            <w:r>
              <w:rPr>
                <w:rFonts w:ascii="Times New Roman" w:hAnsi="Times New Roman"/>
              </w:rPr>
              <w:t>Google Pay</w:t>
            </w:r>
          </w:p>
        </w:tc>
        <w:tc>
          <w:tcPr>
            <w:tcW w:w="1454" w:type="dxa"/>
            <w:vAlign w:val="center"/>
          </w:tcPr>
          <w:p w14:paraId="5A328B3D" w14:textId="77777777" w:rsidR="0003063C" w:rsidRDefault="00000000" w:rsidP="00A371F8">
            <w:pPr>
              <w:spacing w:before="80" w:after="80" w:line="240" w:lineRule="auto"/>
              <w:jc w:val="center"/>
            </w:pPr>
            <w:r>
              <w:rPr>
                <w:rFonts w:ascii="Times New Roman" w:hAnsi="Times New Roman"/>
              </w:rPr>
              <w:t>4.28</w:t>
            </w:r>
          </w:p>
        </w:tc>
        <w:tc>
          <w:tcPr>
            <w:tcW w:w="2176" w:type="dxa"/>
            <w:vAlign w:val="center"/>
          </w:tcPr>
          <w:p w14:paraId="60148803" w14:textId="77777777" w:rsidR="0003063C" w:rsidRDefault="00000000" w:rsidP="00A371F8">
            <w:pPr>
              <w:spacing w:before="80" w:after="80" w:line="240" w:lineRule="auto"/>
              <w:jc w:val="center"/>
            </w:pPr>
            <w:r>
              <w:rPr>
                <w:rFonts w:ascii="Times New Roman" w:hAnsi="Times New Roman"/>
              </w:rPr>
              <w:t>0.58</w:t>
            </w:r>
          </w:p>
        </w:tc>
      </w:tr>
      <w:tr w:rsidR="0003063C" w14:paraId="3F93FDD7" w14:textId="77777777" w:rsidTr="00B6299C">
        <w:tc>
          <w:tcPr>
            <w:tcW w:w="850" w:type="dxa"/>
            <w:vAlign w:val="center"/>
          </w:tcPr>
          <w:p w14:paraId="7BA27FCC" w14:textId="77777777" w:rsidR="0003063C" w:rsidRDefault="00000000" w:rsidP="00A371F8">
            <w:pPr>
              <w:spacing w:before="80" w:after="80" w:line="240" w:lineRule="auto"/>
              <w:jc w:val="center"/>
            </w:pPr>
            <w:r>
              <w:rPr>
                <w:rFonts w:ascii="Times New Roman" w:hAnsi="Times New Roman"/>
              </w:rPr>
              <w:t>3</w:t>
            </w:r>
          </w:p>
        </w:tc>
        <w:tc>
          <w:tcPr>
            <w:tcW w:w="3494" w:type="dxa"/>
          </w:tcPr>
          <w:p w14:paraId="240DBA69" w14:textId="77777777" w:rsidR="0003063C" w:rsidRDefault="00000000">
            <w:pPr>
              <w:spacing w:before="80" w:after="80" w:line="240" w:lineRule="auto"/>
            </w:pPr>
            <w:r>
              <w:rPr>
                <w:rFonts w:ascii="Times New Roman" w:hAnsi="Times New Roman"/>
              </w:rPr>
              <w:t>BHIM UPI</w:t>
            </w:r>
          </w:p>
        </w:tc>
        <w:tc>
          <w:tcPr>
            <w:tcW w:w="1454" w:type="dxa"/>
            <w:vAlign w:val="center"/>
          </w:tcPr>
          <w:p w14:paraId="3DB50704" w14:textId="77777777" w:rsidR="0003063C" w:rsidRDefault="00000000" w:rsidP="00A371F8">
            <w:pPr>
              <w:spacing w:before="80" w:after="80" w:line="240" w:lineRule="auto"/>
              <w:jc w:val="center"/>
            </w:pPr>
            <w:r>
              <w:rPr>
                <w:rFonts w:ascii="Times New Roman" w:hAnsi="Times New Roman"/>
              </w:rPr>
              <w:t>4.15</w:t>
            </w:r>
          </w:p>
        </w:tc>
        <w:tc>
          <w:tcPr>
            <w:tcW w:w="2176" w:type="dxa"/>
            <w:vAlign w:val="center"/>
          </w:tcPr>
          <w:p w14:paraId="64DAF91F" w14:textId="77777777" w:rsidR="0003063C" w:rsidRDefault="00000000" w:rsidP="00A371F8">
            <w:pPr>
              <w:spacing w:before="80" w:after="80" w:line="240" w:lineRule="auto"/>
              <w:jc w:val="center"/>
            </w:pPr>
            <w:r>
              <w:rPr>
                <w:rFonts w:ascii="Times New Roman" w:hAnsi="Times New Roman"/>
              </w:rPr>
              <w:t>0.67</w:t>
            </w:r>
          </w:p>
        </w:tc>
      </w:tr>
      <w:tr w:rsidR="0003063C" w14:paraId="283202EA" w14:textId="77777777" w:rsidTr="00B6299C">
        <w:tc>
          <w:tcPr>
            <w:tcW w:w="850" w:type="dxa"/>
            <w:vAlign w:val="center"/>
          </w:tcPr>
          <w:p w14:paraId="2B7E0A4E" w14:textId="77777777" w:rsidR="0003063C" w:rsidRDefault="00000000" w:rsidP="00A371F8">
            <w:pPr>
              <w:spacing w:before="80" w:after="80" w:line="240" w:lineRule="auto"/>
              <w:jc w:val="center"/>
            </w:pPr>
            <w:r>
              <w:rPr>
                <w:rFonts w:ascii="Times New Roman" w:hAnsi="Times New Roman"/>
              </w:rPr>
              <w:t>4</w:t>
            </w:r>
          </w:p>
        </w:tc>
        <w:tc>
          <w:tcPr>
            <w:tcW w:w="3494" w:type="dxa"/>
          </w:tcPr>
          <w:p w14:paraId="1D5E2D14" w14:textId="77777777" w:rsidR="0003063C" w:rsidRDefault="00000000">
            <w:pPr>
              <w:spacing w:before="80" w:after="80" w:line="240" w:lineRule="auto"/>
            </w:pPr>
            <w:r>
              <w:rPr>
                <w:rFonts w:ascii="Times New Roman" w:hAnsi="Times New Roman"/>
              </w:rPr>
              <w:t>Google Page (Alternative Interface)</w:t>
            </w:r>
          </w:p>
        </w:tc>
        <w:tc>
          <w:tcPr>
            <w:tcW w:w="1454" w:type="dxa"/>
            <w:vAlign w:val="center"/>
          </w:tcPr>
          <w:p w14:paraId="40F40A78" w14:textId="77777777" w:rsidR="0003063C" w:rsidRDefault="00000000" w:rsidP="00A371F8">
            <w:pPr>
              <w:spacing w:before="80" w:after="80" w:line="240" w:lineRule="auto"/>
              <w:jc w:val="center"/>
            </w:pPr>
            <w:r>
              <w:rPr>
                <w:rFonts w:ascii="Times New Roman" w:hAnsi="Times New Roman"/>
              </w:rPr>
              <w:t>4.30</w:t>
            </w:r>
          </w:p>
        </w:tc>
        <w:tc>
          <w:tcPr>
            <w:tcW w:w="2176" w:type="dxa"/>
            <w:vAlign w:val="center"/>
          </w:tcPr>
          <w:p w14:paraId="6D426BE4" w14:textId="77777777" w:rsidR="0003063C" w:rsidRDefault="00000000" w:rsidP="00A371F8">
            <w:pPr>
              <w:spacing w:before="80" w:after="80" w:line="240" w:lineRule="auto"/>
              <w:jc w:val="center"/>
            </w:pPr>
            <w:r>
              <w:rPr>
                <w:rFonts w:ascii="Times New Roman" w:hAnsi="Times New Roman"/>
              </w:rPr>
              <w:t>0.60</w:t>
            </w:r>
          </w:p>
        </w:tc>
      </w:tr>
      <w:tr w:rsidR="0003063C" w14:paraId="4E8A4A4C" w14:textId="77777777" w:rsidTr="00B6299C">
        <w:tc>
          <w:tcPr>
            <w:tcW w:w="850" w:type="dxa"/>
            <w:vAlign w:val="center"/>
          </w:tcPr>
          <w:p w14:paraId="21A692DE" w14:textId="77777777" w:rsidR="0003063C" w:rsidRDefault="00000000" w:rsidP="00A371F8">
            <w:pPr>
              <w:spacing w:before="80" w:after="80" w:line="240" w:lineRule="auto"/>
              <w:jc w:val="center"/>
            </w:pPr>
            <w:r>
              <w:rPr>
                <w:rFonts w:ascii="Times New Roman" w:hAnsi="Times New Roman"/>
              </w:rPr>
              <w:t>5</w:t>
            </w:r>
          </w:p>
        </w:tc>
        <w:tc>
          <w:tcPr>
            <w:tcW w:w="3494" w:type="dxa"/>
          </w:tcPr>
          <w:p w14:paraId="0E5D098C" w14:textId="77777777" w:rsidR="0003063C" w:rsidRDefault="00000000">
            <w:pPr>
              <w:spacing w:before="80" w:after="80" w:line="240" w:lineRule="auto"/>
            </w:pPr>
            <w:r>
              <w:rPr>
                <w:rFonts w:ascii="Times New Roman" w:hAnsi="Times New Roman"/>
              </w:rPr>
              <w:t>Paytm</w:t>
            </w:r>
          </w:p>
        </w:tc>
        <w:tc>
          <w:tcPr>
            <w:tcW w:w="1454" w:type="dxa"/>
            <w:vAlign w:val="center"/>
          </w:tcPr>
          <w:p w14:paraId="2243EA7F" w14:textId="77777777" w:rsidR="0003063C" w:rsidRDefault="00000000" w:rsidP="00A371F8">
            <w:pPr>
              <w:spacing w:before="80" w:after="80" w:line="240" w:lineRule="auto"/>
              <w:jc w:val="center"/>
            </w:pPr>
            <w:r>
              <w:rPr>
                <w:rFonts w:ascii="Times New Roman" w:hAnsi="Times New Roman"/>
              </w:rPr>
              <w:t>4.20</w:t>
            </w:r>
          </w:p>
        </w:tc>
        <w:tc>
          <w:tcPr>
            <w:tcW w:w="2176" w:type="dxa"/>
            <w:vAlign w:val="center"/>
          </w:tcPr>
          <w:p w14:paraId="2287CB2D" w14:textId="77777777" w:rsidR="0003063C" w:rsidRDefault="00000000" w:rsidP="00A371F8">
            <w:pPr>
              <w:spacing w:before="80" w:after="80" w:line="240" w:lineRule="auto"/>
              <w:jc w:val="center"/>
            </w:pPr>
            <w:r>
              <w:rPr>
                <w:rFonts w:ascii="Times New Roman" w:hAnsi="Times New Roman"/>
              </w:rPr>
              <w:t>0.65</w:t>
            </w:r>
          </w:p>
        </w:tc>
      </w:tr>
    </w:tbl>
    <w:p w14:paraId="2A51345B" w14:textId="77777777" w:rsidR="0003063C" w:rsidRDefault="00000000">
      <w:pPr>
        <w:spacing w:after="240" w:line="240" w:lineRule="auto"/>
        <w:jc w:val="both"/>
      </w:pPr>
      <w:r>
        <w:rPr>
          <w:rFonts w:ascii="Times New Roman" w:hAnsi="Times New Roman"/>
          <w:sz w:val="24"/>
        </w:rPr>
        <w:t>PhonePe emerged as the preferred digital payment gateway (M = 4.35), closely followed by Google Pay (M = 4.30 and M = 4.28). This indicates a highly competitive duopoly at the top of the consumer preferences hierarchy. Paytm and BHIM UPI retain solid market shares but rank slightly lower in user preference.</w:t>
      </w:r>
    </w:p>
    <w:p w14:paraId="08524C5F" w14:textId="77777777" w:rsidR="0003063C" w:rsidRDefault="00000000">
      <w:pPr>
        <w:spacing w:before="280" w:after="120" w:line="240" w:lineRule="auto"/>
      </w:pPr>
      <w:r>
        <w:rPr>
          <w:rFonts w:ascii="Times New Roman" w:hAnsi="Times New Roman"/>
          <w:b/>
          <w:sz w:val="24"/>
        </w:rPr>
        <w:t>Hypothesis Testing and Inferential Statistical Evaluations</w:t>
      </w:r>
    </w:p>
    <w:p w14:paraId="28633718" w14:textId="77777777" w:rsidR="00A371F8" w:rsidRDefault="00000000">
      <w:pPr>
        <w:spacing w:after="240" w:line="240" w:lineRule="auto"/>
        <w:jc w:val="both"/>
        <w:rPr>
          <w:rFonts w:ascii="Times New Roman" w:hAnsi="Times New Roman"/>
          <w:sz w:val="24"/>
        </w:rPr>
      </w:pPr>
      <w:r>
        <w:rPr>
          <w:rFonts w:ascii="Times New Roman" w:hAnsi="Times New Roman"/>
          <w:sz w:val="24"/>
        </w:rPr>
        <w:t xml:space="preserve">Hypothesis 1: Evaluation of Variance in Platform Convenience: To test H1 whether distinct digital payment gateways exhibit statistically significant differences in user-perceived convenience a One-Way Analysis of Variance (ANOVA) was performed across the user preference ratings. platforms: F (4, 995) = 24.15, p &lt; 0.001. Consequently, H1 is strongly supported. To isolate where these significant differences lay, a post-hoc Tukey Honest Significant Difference (HSD) test was performed. The post-hoc pairings revealed that PhonePe (M = 4.35) and Google Pay (M = 4.28) did not exhibit a statistically significant difference between each other (p = 0.405). However, both platforms exhibited significantly higher perceived convenience scores compared to Paytm (M = 4.20) and BHIM UPI (M = 4.15) at the p &lt; 0.01 level. This indicates that while the top two </w:t>
      </w:r>
      <w:r>
        <w:rPr>
          <w:rFonts w:ascii="Times New Roman" w:hAnsi="Times New Roman"/>
          <w:sz w:val="24"/>
        </w:rPr>
        <w:lastRenderedPageBreak/>
        <w:t>platforms are evenly matched, they have established a significant lead over the rest of the market in terms of user experience and transaction fluidity.</w:t>
      </w:r>
    </w:p>
    <w:p w14:paraId="58488CA9" w14:textId="01454A58" w:rsidR="0003063C" w:rsidRDefault="00000000">
      <w:pPr>
        <w:spacing w:after="240" w:line="240" w:lineRule="auto"/>
        <w:jc w:val="both"/>
      </w:pPr>
      <w:r>
        <w:rPr>
          <w:rFonts w:ascii="Times New Roman" w:hAnsi="Times New Roman"/>
          <w:sz w:val="24"/>
        </w:rPr>
        <w:t>Hypothesis 2: Trust Allocation via Perceived Structural Security: To evaluate H2, which examines the impact of structural security on consumer trust, an independent metric tracking trust scores was regressed against security parameters. The analytical outcome was verified through a Chi-Square Test of Independence to determine the alignment between high security and high platform trust. This indicates a strong relationship between perceived security and consumer trust, confirming that H2 is validated. Respondents consistently associated Google Pay and BHIM UPI with high structural security scores. This trust appears to stem from Google's global brand reputation and BHIM's status as a direct, state-backed sovereign application. This underscores the business value of institutional trust and robust security architectures.</w:t>
      </w:r>
      <w:r>
        <w:rPr>
          <w:rFonts w:ascii="Times New Roman" w:hAnsi="Times New Roman"/>
          <w:sz w:val="24"/>
        </w:rPr>
        <w:br/>
      </w:r>
      <w:r>
        <w:rPr>
          <w:rFonts w:ascii="Times New Roman" w:hAnsi="Times New Roman"/>
          <w:sz w:val="24"/>
        </w:rPr>
        <w:br/>
        <w:t>Hypothesis 3: Correlational Matrix of Rewards and Peer Recommendations: To address H3, which examines whether financial rewards drive organic consumer word-of-mouth recommendations, a Pearson Product-Moment Correlation Analysis was conducted. This analysis evaluated the relationship between the perceived value of promotional incentives and the self-reported likelihood of recommending the platform to peers.</w:t>
      </w:r>
    </w:p>
    <w:p w14:paraId="7249196A" w14:textId="77777777" w:rsidR="0003063C" w:rsidRDefault="00000000">
      <w:r>
        <w:t>Table 4.5: Pearson Correlation Coefficients Matrix</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534"/>
        <w:gridCol w:w="1368"/>
        <w:gridCol w:w="1508"/>
        <w:gridCol w:w="1852"/>
      </w:tblGrid>
      <w:tr w:rsidR="0003063C" w14:paraId="32B1CF69" w14:textId="77777777" w:rsidTr="00B6299C">
        <w:tc>
          <w:tcPr>
            <w:tcW w:w="2468" w:type="dxa"/>
            <w:vAlign w:val="center"/>
          </w:tcPr>
          <w:p w14:paraId="7960F888" w14:textId="77777777" w:rsidR="0003063C" w:rsidRDefault="00000000" w:rsidP="00A371F8">
            <w:pPr>
              <w:spacing w:before="80" w:after="80" w:line="240" w:lineRule="auto"/>
            </w:pPr>
            <w:r>
              <w:rPr>
                <w:rFonts w:ascii="Times New Roman" w:hAnsi="Times New Roman"/>
                <w:b/>
              </w:rPr>
              <w:t>Main Constructs</w:t>
            </w:r>
          </w:p>
        </w:tc>
        <w:tc>
          <w:tcPr>
            <w:tcW w:w="1534" w:type="dxa"/>
            <w:vAlign w:val="center"/>
          </w:tcPr>
          <w:p w14:paraId="2AA4BC8B" w14:textId="77777777" w:rsidR="00A371F8" w:rsidRDefault="00000000" w:rsidP="00A371F8">
            <w:pPr>
              <w:spacing w:before="80" w:after="80" w:line="240" w:lineRule="auto"/>
              <w:rPr>
                <w:rFonts w:ascii="Times New Roman" w:hAnsi="Times New Roman"/>
                <w:b/>
              </w:rPr>
            </w:pPr>
            <w:r>
              <w:rPr>
                <w:rFonts w:ascii="Times New Roman" w:hAnsi="Times New Roman"/>
                <w:b/>
              </w:rPr>
              <w:t xml:space="preserve">Perceived </w:t>
            </w:r>
          </w:p>
          <w:p w14:paraId="182B7185" w14:textId="5A41D567" w:rsidR="0003063C" w:rsidRDefault="00000000" w:rsidP="00A371F8">
            <w:pPr>
              <w:spacing w:before="80" w:after="80" w:line="240" w:lineRule="auto"/>
            </w:pPr>
            <w:r>
              <w:rPr>
                <w:rFonts w:ascii="Times New Roman" w:hAnsi="Times New Roman"/>
                <w:b/>
              </w:rPr>
              <w:t>Convenience</w:t>
            </w:r>
          </w:p>
        </w:tc>
        <w:tc>
          <w:tcPr>
            <w:tcW w:w="1368" w:type="dxa"/>
            <w:vAlign w:val="center"/>
          </w:tcPr>
          <w:p w14:paraId="50E3AE3A" w14:textId="77777777" w:rsidR="00A371F8" w:rsidRDefault="00000000" w:rsidP="00A371F8">
            <w:pPr>
              <w:spacing w:before="80" w:after="80" w:line="240" w:lineRule="auto"/>
              <w:rPr>
                <w:rFonts w:ascii="Times New Roman" w:hAnsi="Times New Roman"/>
                <w:b/>
              </w:rPr>
            </w:pPr>
            <w:r>
              <w:rPr>
                <w:rFonts w:ascii="Times New Roman" w:hAnsi="Times New Roman"/>
                <w:b/>
              </w:rPr>
              <w:t xml:space="preserve">Structural </w:t>
            </w:r>
          </w:p>
          <w:p w14:paraId="55AEB563" w14:textId="0CE1E38F" w:rsidR="0003063C" w:rsidRDefault="00000000" w:rsidP="00A371F8">
            <w:pPr>
              <w:spacing w:before="80" w:after="80" w:line="240" w:lineRule="auto"/>
            </w:pPr>
            <w:r>
              <w:rPr>
                <w:rFonts w:ascii="Times New Roman" w:hAnsi="Times New Roman"/>
                <w:b/>
              </w:rPr>
              <w:t>Security</w:t>
            </w:r>
          </w:p>
        </w:tc>
        <w:tc>
          <w:tcPr>
            <w:tcW w:w="1508" w:type="dxa"/>
            <w:vAlign w:val="center"/>
          </w:tcPr>
          <w:p w14:paraId="374A88BC" w14:textId="77777777" w:rsidR="00A371F8" w:rsidRDefault="00000000" w:rsidP="00A371F8">
            <w:pPr>
              <w:spacing w:before="80" w:after="80" w:line="240" w:lineRule="auto"/>
              <w:rPr>
                <w:rFonts w:ascii="Times New Roman" w:hAnsi="Times New Roman"/>
                <w:b/>
              </w:rPr>
            </w:pPr>
            <w:r>
              <w:rPr>
                <w:rFonts w:ascii="Times New Roman" w:hAnsi="Times New Roman"/>
                <w:b/>
              </w:rPr>
              <w:t>Promotional</w:t>
            </w:r>
          </w:p>
          <w:p w14:paraId="2A71680A" w14:textId="146D11A4" w:rsidR="0003063C" w:rsidRDefault="00000000" w:rsidP="00A371F8">
            <w:pPr>
              <w:spacing w:before="80" w:after="80" w:line="240" w:lineRule="auto"/>
            </w:pPr>
            <w:r>
              <w:rPr>
                <w:rFonts w:ascii="Times New Roman" w:hAnsi="Times New Roman"/>
                <w:b/>
              </w:rPr>
              <w:t>Incentives</w:t>
            </w:r>
          </w:p>
        </w:tc>
        <w:tc>
          <w:tcPr>
            <w:tcW w:w="1852" w:type="dxa"/>
            <w:vAlign w:val="center"/>
          </w:tcPr>
          <w:p w14:paraId="5BB10FA3" w14:textId="77777777" w:rsidR="0003063C" w:rsidRDefault="00000000" w:rsidP="00A371F8">
            <w:pPr>
              <w:spacing w:before="80" w:after="80" w:line="240" w:lineRule="auto"/>
            </w:pPr>
            <w:r>
              <w:rPr>
                <w:rFonts w:ascii="Times New Roman" w:hAnsi="Times New Roman"/>
                <w:b/>
              </w:rPr>
              <w:t>Word-of-Mouth</w:t>
            </w:r>
          </w:p>
        </w:tc>
      </w:tr>
      <w:tr w:rsidR="0003063C" w14:paraId="5DB97FB5" w14:textId="77777777" w:rsidTr="00B6299C">
        <w:tc>
          <w:tcPr>
            <w:tcW w:w="2468" w:type="dxa"/>
          </w:tcPr>
          <w:p w14:paraId="6A6EB7E6" w14:textId="77777777" w:rsidR="0003063C" w:rsidRDefault="00000000">
            <w:pPr>
              <w:spacing w:before="80" w:after="80" w:line="240" w:lineRule="auto"/>
            </w:pPr>
            <w:r>
              <w:rPr>
                <w:rFonts w:ascii="Times New Roman" w:hAnsi="Times New Roman"/>
              </w:rPr>
              <w:t>Perceived Convenience</w:t>
            </w:r>
          </w:p>
        </w:tc>
        <w:tc>
          <w:tcPr>
            <w:tcW w:w="1534" w:type="dxa"/>
          </w:tcPr>
          <w:p w14:paraId="3491DAB5" w14:textId="77777777" w:rsidR="0003063C" w:rsidRDefault="00000000" w:rsidP="00A371F8">
            <w:pPr>
              <w:spacing w:before="80" w:after="80" w:line="240" w:lineRule="auto"/>
              <w:jc w:val="center"/>
            </w:pPr>
            <w:r>
              <w:rPr>
                <w:rFonts w:ascii="Times New Roman" w:hAnsi="Times New Roman"/>
              </w:rPr>
              <w:t>1.00</w:t>
            </w:r>
          </w:p>
        </w:tc>
        <w:tc>
          <w:tcPr>
            <w:tcW w:w="1368" w:type="dxa"/>
          </w:tcPr>
          <w:p w14:paraId="5A8017A9" w14:textId="77777777" w:rsidR="0003063C" w:rsidRDefault="00000000" w:rsidP="00A371F8">
            <w:pPr>
              <w:spacing w:before="80" w:after="80" w:line="240" w:lineRule="auto"/>
              <w:jc w:val="center"/>
            </w:pPr>
            <w:r>
              <w:rPr>
                <w:rFonts w:ascii="Times New Roman" w:hAnsi="Times New Roman"/>
              </w:rPr>
              <w:t>0.45</w:t>
            </w:r>
          </w:p>
        </w:tc>
        <w:tc>
          <w:tcPr>
            <w:tcW w:w="1508" w:type="dxa"/>
          </w:tcPr>
          <w:p w14:paraId="7F189A4A" w14:textId="77777777" w:rsidR="0003063C" w:rsidRDefault="00000000" w:rsidP="00A371F8">
            <w:pPr>
              <w:spacing w:before="80" w:after="80" w:line="240" w:lineRule="auto"/>
              <w:jc w:val="center"/>
            </w:pPr>
            <w:r>
              <w:rPr>
                <w:rFonts w:ascii="Times New Roman" w:hAnsi="Times New Roman"/>
              </w:rPr>
              <w:t>0.35</w:t>
            </w:r>
          </w:p>
        </w:tc>
        <w:tc>
          <w:tcPr>
            <w:tcW w:w="1852" w:type="dxa"/>
          </w:tcPr>
          <w:p w14:paraId="6DE3F84C" w14:textId="77777777" w:rsidR="0003063C" w:rsidRDefault="00000000" w:rsidP="00A371F8">
            <w:pPr>
              <w:spacing w:before="80" w:after="80" w:line="240" w:lineRule="auto"/>
              <w:jc w:val="center"/>
            </w:pPr>
            <w:r>
              <w:rPr>
                <w:rFonts w:ascii="Times New Roman" w:hAnsi="Times New Roman"/>
              </w:rPr>
              <w:t>0.52</w:t>
            </w:r>
          </w:p>
        </w:tc>
      </w:tr>
      <w:tr w:rsidR="0003063C" w14:paraId="63366A7F" w14:textId="77777777" w:rsidTr="00B6299C">
        <w:tc>
          <w:tcPr>
            <w:tcW w:w="2468" w:type="dxa"/>
          </w:tcPr>
          <w:p w14:paraId="30652596" w14:textId="77777777" w:rsidR="0003063C" w:rsidRDefault="00000000">
            <w:pPr>
              <w:spacing w:before="80" w:after="80" w:line="240" w:lineRule="auto"/>
            </w:pPr>
            <w:r>
              <w:rPr>
                <w:rFonts w:ascii="Times New Roman" w:hAnsi="Times New Roman"/>
              </w:rPr>
              <w:t>Structural Security</w:t>
            </w:r>
          </w:p>
        </w:tc>
        <w:tc>
          <w:tcPr>
            <w:tcW w:w="1534" w:type="dxa"/>
          </w:tcPr>
          <w:p w14:paraId="335FB55F" w14:textId="77777777" w:rsidR="0003063C" w:rsidRDefault="00000000" w:rsidP="00A371F8">
            <w:pPr>
              <w:spacing w:before="80" w:after="80" w:line="240" w:lineRule="auto"/>
              <w:jc w:val="center"/>
            </w:pPr>
            <w:r>
              <w:rPr>
                <w:rFonts w:ascii="Times New Roman" w:hAnsi="Times New Roman"/>
              </w:rPr>
              <w:t>0.45</w:t>
            </w:r>
          </w:p>
        </w:tc>
        <w:tc>
          <w:tcPr>
            <w:tcW w:w="1368" w:type="dxa"/>
          </w:tcPr>
          <w:p w14:paraId="79BDDB18" w14:textId="77777777" w:rsidR="0003063C" w:rsidRDefault="00000000" w:rsidP="00A371F8">
            <w:pPr>
              <w:spacing w:before="80" w:after="80" w:line="240" w:lineRule="auto"/>
              <w:jc w:val="center"/>
            </w:pPr>
            <w:r>
              <w:rPr>
                <w:rFonts w:ascii="Times New Roman" w:hAnsi="Times New Roman"/>
              </w:rPr>
              <w:t>1.00</w:t>
            </w:r>
          </w:p>
        </w:tc>
        <w:tc>
          <w:tcPr>
            <w:tcW w:w="1508" w:type="dxa"/>
          </w:tcPr>
          <w:p w14:paraId="038B22E8" w14:textId="77777777" w:rsidR="0003063C" w:rsidRDefault="00000000" w:rsidP="00A371F8">
            <w:pPr>
              <w:spacing w:before="80" w:after="80" w:line="240" w:lineRule="auto"/>
              <w:jc w:val="center"/>
            </w:pPr>
            <w:r>
              <w:rPr>
                <w:rFonts w:ascii="Times New Roman" w:hAnsi="Times New Roman"/>
              </w:rPr>
              <w:t>0.20</w:t>
            </w:r>
          </w:p>
        </w:tc>
        <w:tc>
          <w:tcPr>
            <w:tcW w:w="1852" w:type="dxa"/>
          </w:tcPr>
          <w:p w14:paraId="0BC6C313" w14:textId="77777777" w:rsidR="0003063C" w:rsidRDefault="00000000" w:rsidP="00A371F8">
            <w:pPr>
              <w:spacing w:before="80" w:after="80" w:line="240" w:lineRule="auto"/>
              <w:jc w:val="center"/>
            </w:pPr>
            <w:r>
              <w:rPr>
                <w:rFonts w:ascii="Times New Roman" w:hAnsi="Times New Roman"/>
              </w:rPr>
              <w:t>0.48</w:t>
            </w:r>
          </w:p>
        </w:tc>
      </w:tr>
      <w:tr w:rsidR="0003063C" w14:paraId="26FF9B23" w14:textId="77777777" w:rsidTr="00B6299C">
        <w:tc>
          <w:tcPr>
            <w:tcW w:w="2468" w:type="dxa"/>
          </w:tcPr>
          <w:p w14:paraId="39A065A0" w14:textId="77777777" w:rsidR="0003063C" w:rsidRDefault="00000000">
            <w:pPr>
              <w:spacing w:before="80" w:after="80" w:line="240" w:lineRule="auto"/>
            </w:pPr>
            <w:r>
              <w:rPr>
                <w:rFonts w:ascii="Times New Roman" w:hAnsi="Times New Roman"/>
              </w:rPr>
              <w:t>Promotional Incentives</w:t>
            </w:r>
          </w:p>
        </w:tc>
        <w:tc>
          <w:tcPr>
            <w:tcW w:w="1534" w:type="dxa"/>
          </w:tcPr>
          <w:p w14:paraId="59677CA5" w14:textId="77777777" w:rsidR="0003063C" w:rsidRDefault="00000000" w:rsidP="00A371F8">
            <w:pPr>
              <w:spacing w:before="80" w:after="80" w:line="240" w:lineRule="auto"/>
              <w:jc w:val="center"/>
            </w:pPr>
            <w:r>
              <w:rPr>
                <w:rFonts w:ascii="Times New Roman" w:hAnsi="Times New Roman"/>
              </w:rPr>
              <w:t>0.35</w:t>
            </w:r>
          </w:p>
        </w:tc>
        <w:tc>
          <w:tcPr>
            <w:tcW w:w="1368" w:type="dxa"/>
          </w:tcPr>
          <w:p w14:paraId="7225B7C1" w14:textId="77777777" w:rsidR="0003063C" w:rsidRDefault="00000000" w:rsidP="00A371F8">
            <w:pPr>
              <w:spacing w:before="80" w:after="80" w:line="240" w:lineRule="auto"/>
              <w:jc w:val="center"/>
            </w:pPr>
            <w:r>
              <w:rPr>
                <w:rFonts w:ascii="Times New Roman" w:hAnsi="Times New Roman"/>
              </w:rPr>
              <w:t>0.20</w:t>
            </w:r>
          </w:p>
        </w:tc>
        <w:tc>
          <w:tcPr>
            <w:tcW w:w="1508" w:type="dxa"/>
          </w:tcPr>
          <w:p w14:paraId="2C0763F2" w14:textId="77777777" w:rsidR="0003063C" w:rsidRDefault="00000000" w:rsidP="00A371F8">
            <w:pPr>
              <w:spacing w:before="80" w:after="80" w:line="240" w:lineRule="auto"/>
              <w:jc w:val="center"/>
            </w:pPr>
            <w:r>
              <w:rPr>
                <w:rFonts w:ascii="Times New Roman" w:hAnsi="Times New Roman"/>
              </w:rPr>
              <w:t>1.00</w:t>
            </w:r>
          </w:p>
        </w:tc>
        <w:tc>
          <w:tcPr>
            <w:tcW w:w="1852" w:type="dxa"/>
          </w:tcPr>
          <w:p w14:paraId="32920611" w14:textId="77777777" w:rsidR="0003063C" w:rsidRDefault="00000000" w:rsidP="00A371F8">
            <w:pPr>
              <w:spacing w:before="80" w:after="80" w:line="240" w:lineRule="auto"/>
              <w:jc w:val="center"/>
            </w:pPr>
            <w:r>
              <w:rPr>
                <w:rFonts w:ascii="Times New Roman" w:hAnsi="Times New Roman"/>
              </w:rPr>
              <w:t>0.68</w:t>
            </w:r>
          </w:p>
        </w:tc>
      </w:tr>
      <w:tr w:rsidR="0003063C" w14:paraId="65D30B4F" w14:textId="77777777" w:rsidTr="00B6299C">
        <w:tc>
          <w:tcPr>
            <w:tcW w:w="2468" w:type="dxa"/>
          </w:tcPr>
          <w:p w14:paraId="36EF42D7" w14:textId="77777777" w:rsidR="0003063C" w:rsidRDefault="00000000">
            <w:pPr>
              <w:spacing w:before="80" w:after="80" w:line="240" w:lineRule="auto"/>
            </w:pPr>
            <w:r>
              <w:rPr>
                <w:rFonts w:ascii="Times New Roman" w:hAnsi="Times New Roman"/>
              </w:rPr>
              <w:t>Word-of-Mouth (WoM)</w:t>
            </w:r>
          </w:p>
        </w:tc>
        <w:tc>
          <w:tcPr>
            <w:tcW w:w="1534" w:type="dxa"/>
          </w:tcPr>
          <w:p w14:paraId="13E403A1" w14:textId="77777777" w:rsidR="0003063C" w:rsidRDefault="00000000" w:rsidP="00A371F8">
            <w:pPr>
              <w:spacing w:before="80" w:after="80" w:line="240" w:lineRule="auto"/>
              <w:jc w:val="center"/>
            </w:pPr>
            <w:r>
              <w:rPr>
                <w:rFonts w:ascii="Times New Roman" w:hAnsi="Times New Roman"/>
              </w:rPr>
              <w:t>0.52</w:t>
            </w:r>
          </w:p>
        </w:tc>
        <w:tc>
          <w:tcPr>
            <w:tcW w:w="1368" w:type="dxa"/>
          </w:tcPr>
          <w:p w14:paraId="2D6C02F1" w14:textId="77777777" w:rsidR="0003063C" w:rsidRDefault="00000000" w:rsidP="00A371F8">
            <w:pPr>
              <w:spacing w:before="80" w:after="80" w:line="240" w:lineRule="auto"/>
              <w:jc w:val="center"/>
            </w:pPr>
            <w:r>
              <w:rPr>
                <w:rFonts w:ascii="Times New Roman" w:hAnsi="Times New Roman"/>
              </w:rPr>
              <w:t>0.48</w:t>
            </w:r>
          </w:p>
        </w:tc>
        <w:tc>
          <w:tcPr>
            <w:tcW w:w="1508" w:type="dxa"/>
          </w:tcPr>
          <w:p w14:paraId="23B9AE05" w14:textId="77777777" w:rsidR="0003063C" w:rsidRDefault="00000000" w:rsidP="00A371F8">
            <w:pPr>
              <w:spacing w:before="80" w:after="80" w:line="240" w:lineRule="auto"/>
              <w:jc w:val="center"/>
            </w:pPr>
            <w:r>
              <w:rPr>
                <w:rFonts w:ascii="Times New Roman" w:hAnsi="Times New Roman"/>
              </w:rPr>
              <w:t>0.68</w:t>
            </w:r>
          </w:p>
        </w:tc>
        <w:tc>
          <w:tcPr>
            <w:tcW w:w="1852" w:type="dxa"/>
          </w:tcPr>
          <w:p w14:paraId="2555C0D2" w14:textId="77777777" w:rsidR="0003063C" w:rsidRDefault="00000000" w:rsidP="00A371F8">
            <w:pPr>
              <w:spacing w:before="80" w:after="80" w:line="240" w:lineRule="auto"/>
              <w:jc w:val="center"/>
            </w:pPr>
            <w:r>
              <w:rPr>
                <w:rFonts w:ascii="Times New Roman" w:hAnsi="Times New Roman"/>
              </w:rPr>
              <w:t>1.00</w:t>
            </w:r>
          </w:p>
        </w:tc>
      </w:tr>
    </w:tbl>
    <w:p w14:paraId="6C65B96D" w14:textId="77777777" w:rsidR="0003063C" w:rsidRDefault="00000000">
      <w:pPr>
        <w:spacing w:after="240" w:line="240" w:lineRule="auto"/>
        <w:jc w:val="both"/>
      </w:pPr>
      <w:r>
        <w:rPr>
          <w:rFonts w:ascii="Times New Roman" w:hAnsi="Times New Roman"/>
          <w:sz w:val="24"/>
        </w:rPr>
        <w:t>Note: All correlation coefficients are statistically significant at the p &lt; 0.01 level (2-tailed).</w:t>
      </w:r>
      <w:r>
        <w:rPr>
          <w:rFonts w:ascii="Times New Roman" w:hAnsi="Times New Roman"/>
          <w:sz w:val="24"/>
        </w:rPr>
        <w:br/>
        <w:t>The correlation matrix reveals a strong, positive correlation between Promotional Incentives and Word-of-Mouth Recommendation Tendencies (r = 0.68, p &lt; 0.01). This confirms that H3 is supported. While convenience (r = 0.52) and security (r = 0.48) also correlate positively with user recommendations, promotional incentives show the strongest relationship. This demonstrates that while systemic reliability keeps users on a platform, financial rewards actively motivate them to promote the application within their personal networks.</w:t>
      </w:r>
    </w:p>
    <w:p w14:paraId="158781BD" w14:textId="77777777" w:rsidR="0003063C" w:rsidRDefault="00000000">
      <w:pPr>
        <w:spacing w:before="360" w:after="240" w:line="240" w:lineRule="auto"/>
      </w:pPr>
      <w:r>
        <w:rPr>
          <w:rFonts w:ascii="Times New Roman" w:hAnsi="Times New Roman"/>
          <w:b/>
          <w:sz w:val="28"/>
        </w:rPr>
        <w:t>COMPREHENSIVE DISCUSSION AND THEORETICAL CONTEXTUALIZATION</w:t>
      </w:r>
    </w:p>
    <w:p w14:paraId="0A88DBF2" w14:textId="77777777" w:rsidR="0003063C" w:rsidRDefault="00000000">
      <w:pPr>
        <w:spacing w:before="280" w:after="120" w:line="240" w:lineRule="auto"/>
      </w:pPr>
      <w:r>
        <w:rPr>
          <w:rFonts w:ascii="Times New Roman" w:hAnsi="Times New Roman"/>
          <w:b/>
          <w:sz w:val="24"/>
        </w:rPr>
        <w:t>Contextualising Findings Within Technology Acceptance Literature</w:t>
      </w:r>
    </w:p>
    <w:p w14:paraId="610293CD" w14:textId="77777777" w:rsidR="00F03632" w:rsidRDefault="00000000">
      <w:pPr>
        <w:spacing w:after="240" w:line="240" w:lineRule="auto"/>
        <w:jc w:val="both"/>
        <w:rPr>
          <w:rFonts w:ascii="Times New Roman" w:hAnsi="Times New Roman"/>
          <w:sz w:val="24"/>
        </w:rPr>
      </w:pPr>
      <w:r>
        <w:rPr>
          <w:rFonts w:ascii="Times New Roman" w:hAnsi="Times New Roman"/>
          <w:sz w:val="24"/>
        </w:rPr>
        <w:t>The empirical results of this study confirm and extend several foundational technology acceptance models within the context of modern digital payment systems. The finding that Operational Convenience serves as a baseline driver for user engagement aligns with the core assumptions of the Technology Acceptance Model (TAM) established by Davis and developed by Patil et al. (2020). In highly integrated payments ecosystems, convenience is no longer just about mobility; it is defined by systemic reliability and speed. The high preference scores observed for PhonePe and Google Pay suggest that these platforms have successfully minimised transaction friction. They feature predictive user interfaces, fast contact-mapping, and robust database management systems that reduce transaction processing delays.</w:t>
      </w:r>
    </w:p>
    <w:p w14:paraId="3F6A93CD" w14:textId="3AED0B85" w:rsidR="0003063C" w:rsidRDefault="00000000">
      <w:pPr>
        <w:spacing w:after="240" w:line="240" w:lineRule="auto"/>
        <w:jc w:val="both"/>
      </w:pPr>
      <w:r>
        <w:rPr>
          <w:rFonts w:ascii="Times New Roman" w:hAnsi="Times New Roman"/>
          <w:sz w:val="24"/>
        </w:rPr>
        <w:t xml:space="preserve">However, this study's findings refine TAM by showing that while convenience drives daily transaction volume, Perceived Security serves as the primary anchor for platform retention. This aligns with the risk-mitigation frameworks proposed by Upadhyay and Jahanyan (2021) and Singh and Srivastava (2020). The data shows that consumers are highly analytical; they distinguish between different types of platform trust. For instance, the high security scores attributed to BHIM UPI illustrate that sovereign backing provides a strong foundation of institutional trust, balancing out any perceived gaps in user interface design. This indicates that </w:t>
      </w:r>
      <w:r>
        <w:rPr>
          <w:rFonts w:ascii="Times New Roman" w:hAnsi="Times New Roman"/>
          <w:sz w:val="24"/>
        </w:rPr>
        <w:lastRenderedPageBreak/>
        <w:t>fintech adoption cannot be sustained by aesthetic appeal or promotional burning alone. Platforms must establish a secure foundation of data encryption and transparent fraud protection to retain users over time.</w:t>
      </w:r>
    </w:p>
    <w:p w14:paraId="76B504D9" w14:textId="77777777" w:rsidR="0003063C" w:rsidRDefault="00000000">
      <w:pPr>
        <w:spacing w:before="280" w:after="120" w:line="240" w:lineRule="auto"/>
      </w:pPr>
      <w:r>
        <w:rPr>
          <w:rFonts w:ascii="Times New Roman" w:hAnsi="Times New Roman"/>
          <w:b/>
          <w:sz w:val="24"/>
        </w:rPr>
        <w:t>The Psychological Mechanics of Financial Incentives</w:t>
      </w:r>
    </w:p>
    <w:p w14:paraId="1987EFD2" w14:textId="77777777" w:rsidR="0003063C" w:rsidRDefault="00000000">
      <w:pPr>
        <w:spacing w:after="240" w:line="240" w:lineRule="auto"/>
        <w:jc w:val="both"/>
      </w:pPr>
      <w:r>
        <w:rPr>
          <w:rFonts w:ascii="Times New Roman" w:hAnsi="Times New Roman"/>
          <w:sz w:val="24"/>
        </w:rPr>
        <w:t>The strong correlation between promotional incentives and word-of-mouth advocacy (r = 0.68) provides empirical validation for the integration of behavioural economics within fintech research. According to Mental Accounting Theory, consumers do not view all monetary windfalls equally. Small cashbacks or financial rewards are often categorised as "found money," which carries a higher psychological utility than regular income or generic cost discounts. This psychological mechanism explains why gamified scratch cards, direct cashbacks, and localised reward loops are highly effective at converting passive users into active brand advocates. This finding adds nuance to the work of Shree et al. (2021) and Dictit and Tripathi (2020). While earlier studies suggested that cashback programs only attracted price-sensitive, unloyal users, our data indicates that when promotional rewards are integrated into a reliable, high-performance user experience, they create a strong incentive for peer-to-peer recommendations. These dynamic turns promotional spending into an organic engine for user acquisition.</w:t>
      </w:r>
    </w:p>
    <w:p w14:paraId="0F080FDA" w14:textId="77777777" w:rsidR="0003063C" w:rsidRDefault="00000000">
      <w:pPr>
        <w:spacing w:before="360" w:after="240" w:line="240" w:lineRule="auto"/>
      </w:pPr>
      <w:r>
        <w:rPr>
          <w:rFonts w:ascii="Times New Roman" w:hAnsi="Times New Roman"/>
          <w:b/>
          <w:sz w:val="28"/>
        </w:rPr>
        <w:t>EXTENDED LITERATURE SYNTHESIS (2024–2026 PERSPECTIVE)</w:t>
      </w:r>
    </w:p>
    <w:p w14:paraId="581BA1A2" w14:textId="77777777" w:rsidR="00A371F8" w:rsidRDefault="00000000">
      <w:pPr>
        <w:spacing w:after="240" w:line="240" w:lineRule="auto"/>
        <w:jc w:val="both"/>
        <w:rPr>
          <w:rFonts w:ascii="Times New Roman" w:hAnsi="Times New Roman"/>
          <w:sz w:val="24"/>
        </w:rPr>
      </w:pPr>
      <w:r>
        <w:rPr>
          <w:rFonts w:ascii="Times New Roman" w:hAnsi="Times New Roman"/>
          <w:sz w:val="24"/>
        </w:rPr>
        <w:t>To ensure this study remains relevant within the rapidly evolving financial landscape leading up to 2026, we must look at how digital payment frameworks have adapted over the last two years. The most significant shift has been the transition from traditional fiat-intermediated mobile wallets to hybrid architectures that incorporate Central Bank Digital Currencies (CBDCs), such as India’s Digital Rupee. Recent research by Al-Khowaiter (2024) and Zhang et al. (2025) demonstrates that the introduction of retail CBDCs has redefined how consumers view financial security and settlement risk. Unlike commercial bank deposits or third-party digital wallets, CBDCs represent a direct sovereign liability of the central bank. This eliminates settlement risk and bypasses traditional clearinghouse friction. Modern literature examining the integration of CBDCs into existing user interfaces (e.g., Kumar &amp; Vasudevan, 2025) notes that consumers prioritize applications that offer a unified experience. Users prefer platforms that allow them to switch seamlessly between standard UPI payment structures and retail CBDC wallets within the same interface. This trend confirms our study's core finding: platform success depends heavily on structural convenience and the integration of multiple financial services.</w:t>
      </w:r>
      <w:r>
        <w:rPr>
          <w:rFonts w:ascii="Times New Roman" w:hAnsi="Times New Roman"/>
          <w:sz w:val="24"/>
        </w:rPr>
        <w:br/>
      </w:r>
      <w:r>
        <w:rPr>
          <w:rFonts w:ascii="Times New Roman" w:hAnsi="Times New Roman"/>
          <w:sz w:val="24"/>
        </w:rPr>
        <w:br/>
        <w:t>Between 2024 and 2026, the integration of Advanced Artificial Intelligence (AI) and Machine Learning (ML) models within payment gateways shifted from a backend operational tool to a frontline differentiator for user experience. Modern digital payment gateways use predictive AI models to analyze user transaction patterns in real time, anticipate recurring payments, and optimize user interface layouts dynamically based on individual behaviors (Thompson &amp; Patel, 2025). This level of personalization enhances perceived convenience, moving beyond basic app speed to deliver contextual financial assistance. Concurrently, the security landscape has evolved significantly. Traditional fraud vectors have been surpassed by sophisticated, AI-driven social engineering schemes, deepfake voice authorization scams, and automated phishing networks. Recent research by Nguyen and Dwivedi (2025) highlights that consumers are becoming increasingly aware of these advanced threats. Consequently, user retention is shifting toward platforms that deploy proactive, AI-based fraud prevention systems. Features like real-time anomaly detection, contextual transaction alerts, and adaptive biometric verification provide visible reassurance to users. These measures build trust without adding undue friction to the transaction process.</w:t>
      </w:r>
    </w:p>
    <w:p w14:paraId="6EA0492C" w14:textId="77777777" w:rsidR="00A371F8" w:rsidRDefault="00000000">
      <w:pPr>
        <w:spacing w:after="240" w:line="240" w:lineRule="auto"/>
        <w:jc w:val="both"/>
        <w:rPr>
          <w:rFonts w:ascii="Times New Roman" w:hAnsi="Times New Roman"/>
          <w:sz w:val="24"/>
        </w:rPr>
      </w:pPr>
      <w:r>
        <w:rPr>
          <w:rFonts w:ascii="Times New Roman" w:hAnsi="Times New Roman"/>
          <w:sz w:val="24"/>
        </w:rPr>
        <w:t>Another major trend observed leading into 2026 is the consolidation of standalone digital payment tools into comprehensive "Super-Apps." As noted by Mehra and Williams (2024), consumer tolerance for managing multiple fragmented applications for distinct financial tasks has decreased sharply. Modern users favor single, integrated platforms that combine payment services with adjacent financial product streams, including:</w:t>
      </w:r>
    </w:p>
    <w:p w14:paraId="6ADCFB3B" w14:textId="77777777" w:rsidR="00A371F8" w:rsidRPr="00A371F8" w:rsidRDefault="00000000" w:rsidP="00A371F8">
      <w:pPr>
        <w:pStyle w:val="ListParagraph"/>
        <w:numPr>
          <w:ilvl w:val="0"/>
          <w:numId w:val="10"/>
        </w:numPr>
        <w:spacing w:after="240" w:line="240" w:lineRule="auto"/>
        <w:jc w:val="both"/>
      </w:pPr>
      <w:r w:rsidRPr="00A371F8">
        <w:rPr>
          <w:rFonts w:ascii="Times New Roman" w:hAnsi="Times New Roman"/>
          <w:sz w:val="24"/>
        </w:rPr>
        <w:t>Buy-Now-Pay-Later (BNPL) micro-lending alternatives,</w:t>
      </w:r>
    </w:p>
    <w:p w14:paraId="61761184" w14:textId="77777777" w:rsidR="00A371F8" w:rsidRPr="00A371F8" w:rsidRDefault="00000000" w:rsidP="00A371F8">
      <w:pPr>
        <w:pStyle w:val="ListParagraph"/>
        <w:numPr>
          <w:ilvl w:val="0"/>
          <w:numId w:val="10"/>
        </w:numPr>
        <w:spacing w:after="240" w:line="240" w:lineRule="auto"/>
        <w:jc w:val="both"/>
      </w:pPr>
      <w:r w:rsidRPr="00A371F8">
        <w:rPr>
          <w:rFonts w:ascii="Times New Roman" w:hAnsi="Times New Roman"/>
          <w:sz w:val="24"/>
        </w:rPr>
        <w:t>Mutual fund and equity trading access points,</w:t>
      </w:r>
    </w:p>
    <w:p w14:paraId="487265BD" w14:textId="77777777" w:rsidR="00A371F8" w:rsidRPr="00A371F8" w:rsidRDefault="00000000" w:rsidP="00A371F8">
      <w:pPr>
        <w:pStyle w:val="ListParagraph"/>
        <w:numPr>
          <w:ilvl w:val="0"/>
          <w:numId w:val="10"/>
        </w:numPr>
        <w:spacing w:after="240" w:line="240" w:lineRule="auto"/>
        <w:jc w:val="both"/>
      </w:pPr>
      <w:r w:rsidRPr="00A371F8">
        <w:rPr>
          <w:rFonts w:ascii="Times New Roman" w:hAnsi="Times New Roman"/>
          <w:sz w:val="24"/>
        </w:rPr>
        <w:t>Insurance premium managers, and</w:t>
      </w:r>
    </w:p>
    <w:p w14:paraId="720707D3" w14:textId="77777777" w:rsidR="00A371F8" w:rsidRPr="00A371F8" w:rsidRDefault="00000000" w:rsidP="00A371F8">
      <w:pPr>
        <w:pStyle w:val="ListParagraph"/>
        <w:numPr>
          <w:ilvl w:val="0"/>
          <w:numId w:val="10"/>
        </w:numPr>
        <w:spacing w:after="240" w:line="240" w:lineRule="auto"/>
        <w:jc w:val="both"/>
      </w:pPr>
      <w:r w:rsidRPr="00A371F8">
        <w:rPr>
          <w:rFonts w:ascii="Times New Roman" w:hAnsi="Times New Roman"/>
          <w:sz w:val="24"/>
        </w:rPr>
        <w:lastRenderedPageBreak/>
        <w:t>Cross-border remittance functionalities.</w:t>
      </w:r>
    </w:p>
    <w:p w14:paraId="4354D964" w14:textId="470DA886" w:rsidR="0003063C" w:rsidRDefault="00000000" w:rsidP="00A371F8">
      <w:pPr>
        <w:spacing w:after="240" w:line="240" w:lineRule="auto"/>
        <w:jc w:val="both"/>
      </w:pPr>
      <w:r w:rsidRPr="00A371F8">
        <w:rPr>
          <w:rFonts w:ascii="Times New Roman" w:hAnsi="Times New Roman"/>
          <w:sz w:val="24"/>
        </w:rPr>
        <w:t>This structural shift aligns with our descriptive statistics, which highlight how convenience serves as a foundational requirement for user adoption. The platforms that dominate consumer preferences are those that have successfully evolved from simple transactional utilities into comprehensive wealth management and lifestyle ecosystems.</w:t>
      </w:r>
    </w:p>
    <w:p w14:paraId="292497D6" w14:textId="77777777" w:rsidR="0003063C" w:rsidRDefault="00000000">
      <w:pPr>
        <w:spacing w:before="360" w:after="240" w:line="240" w:lineRule="auto"/>
      </w:pPr>
      <w:r>
        <w:rPr>
          <w:rFonts w:ascii="Times New Roman" w:hAnsi="Times New Roman"/>
          <w:b/>
          <w:sz w:val="28"/>
        </w:rPr>
        <w:t>CONCLUSIONS</w:t>
      </w:r>
    </w:p>
    <w:p w14:paraId="43587AD7" w14:textId="77777777" w:rsidR="00A371F8" w:rsidRDefault="00000000">
      <w:pPr>
        <w:spacing w:after="240" w:line="240" w:lineRule="auto"/>
        <w:jc w:val="both"/>
        <w:rPr>
          <w:rFonts w:ascii="Times New Roman" w:hAnsi="Times New Roman"/>
          <w:sz w:val="24"/>
        </w:rPr>
      </w:pPr>
      <w:r>
        <w:rPr>
          <w:rFonts w:ascii="Times New Roman" w:hAnsi="Times New Roman"/>
          <w:sz w:val="24"/>
        </w:rPr>
        <w:t>This study provided an empirical analysis of consumer behaviours and preferences within the digital payment gateway landscape. By using rigorous parametric and non-parametric testing on a cohort of 200 respondents, several key conclusions have been established:</w:t>
      </w:r>
    </w:p>
    <w:p w14:paraId="4AC5A2FF" w14:textId="77777777" w:rsidR="00A371F8" w:rsidRDefault="00000000">
      <w:pPr>
        <w:spacing w:after="240" w:line="240" w:lineRule="auto"/>
        <w:jc w:val="both"/>
        <w:rPr>
          <w:rFonts w:ascii="Times New Roman" w:hAnsi="Times New Roman"/>
          <w:sz w:val="24"/>
        </w:rPr>
      </w:pPr>
      <w:r>
        <w:rPr>
          <w:rFonts w:ascii="Times New Roman" w:hAnsi="Times New Roman"/>
          <w:sz w:val="24"/>
        </w:rPr>
        <w:t xml:space="preserve">Convenience is an Entry Requirement, </w:t>
      </w:r>
      <w:proofErr w:type="gramStart"/>
      <w:r>
        <w:rPr>
          <w:rFonts w:ascii="Times New Roman" w:hAnsi="Times New Roman"/>
          <w:sz w:val="24"/>
        </w:rPr>
        <w:t>Not</w:t>
      </w:r>
      <w:proofErr w:type="gramEnd"/>
      <w:r>
        <w:rPr>
          <w:rFonts w:ascii="Times New Roman" w:hAnsi="Times New Roman"/>
          <w:sz w:val="24"/>
        </w:rPr>
        <w:t xml:space="preserve"> a Long-Term Differentiator: While operational convenience (M = 4.23) is critical for initial app adoption, it has become largely standardised across major competitors. Platforms must look beyond basic speed to differentiate themselves through predictive user interfaces and deep ecosystem integration.</w:t>
      </w:r>
    </w:p>
    <w:p w14:paraId="7BE1C3A8" w14:textId="1B0AE010" w:rsidR="0003063C" w:rsidRDefault="00000000">
      <w:pPr>
        <w:spacing w:after="240" w:line="240" w:lineRule="auto"/>
        <w:jc w:val="both"/>
      </w:pPr>
      <w:r>
        <w:rPr>
          <w:rFonts w:ascii="Times New Roman" w:hAnsi="Times New Roman"/>
          <w:sz w:val="24"/>
        </w:rPr>
        <w:t>Security Measures Drive User Retention: Perceived structural security is the primary anchor for consumer trust (chi2 = 18.72, p = 0.001). Platforms that can clearly demonstrate institutional credibility, reliable encryption standards, and proactive fraud prevention are best positioned to maintain long-term user retention.</w:t>
      </w:r>
      <w:r>
        <w:rPr>
          <w:rFonts w:ascii="Times New Roman" w:hAnsi="Times New Roman"/>
          <w:sz w:val="24"/>
        </w:rPr>
        <w:br/>
      </w:r>
      <w:r>
        <w:rPr>
          <w:rFonts w:ascii="Times New Roman" w:hAnsi="Times New Roman"/>
          <w:sz w:val="24"/>
        </w:rPr>
        <w:br/>
        <w:t>Financial Rewards Drive Organic Growth: Promotional rewards share a strong positive correlation with peer recommendations (r = 0.68). This confirms that well-executed incentive structures remain a highly effective tool for driving organic user acquisition and word-of-mouth advocacy.</w:t>
      </w:r>
    </w:p>
    <w:p w14:paraId="1F1BF8D9" w14:textId="77777777" w:rsidR="0003063C" w:rsidRDefault="00000000">
      <w:pPr>
        <w:spacing w:before="280" w:after="120" w:line="240" w:lineRule="auto"/>
      </w:pPr>
      <w:r>
        <w:rPr>
          <w:rFonts w:ascii="Times New Roman" w:hAnsi="Times New Roman"/>
          <w:b/>
          <w:sz w:val="24"/>
        </w:rPr>
        <w:t>Theoretical Contributions</w:t>
      </w:r>
    </w:p>
    <w:p w14:paraId="0F265734" w14:textId="77777777" w:rsidR="0003063C" w:rsidRDefault="00000000">
      <w:pPr>
        <w:spacing w:after="240" w:line="240" w:lineRule="auto"/>
        <w:jc w:val="both"/>
      </w:pPr>
      <w:r>
        <w:rPr>
          <w:rFonts w:ascii="Times New Roman" w:hAnsi="Times New Roman"/>
          <w:sz w:val="24"/>
        </w:rPr>
        <w:t>This research contributes to technology adoption literature by providing an integrated analysis of convenience, security, and reward dynamics within an open-banking ecosystem. It extends the traditional Technology Acceptance Model (TAM) and UTAUT2 frameworks by demonstrating that in mature digital markets, utility-driven factors (ease of use) and emotion-driven factors (rewards and trust) work together to influence consumer choice and platform loyalty. Additionally, this study provides an updated empirical baseline that reflects consumer behaviors under modern infrastructure conditions, bridging the gap between older mobile wallet models and today's interconnected financial platforms.</w:t>
      </w:r>
    </w:p>
    <w:p w14:paraId="4CEC2C79" w14:textId="77777777" w:rsidR="0003063C" w:rsidRDefault="00000000">
      <w:pPr>
        <w:spacing w:before="280" w:after="120" w:line="240" w:lineRule="auto"/>
      </w:pPr>
      <w:r>
        <w:rPr>
          <w:rFonts w:ascii="Times New Roman" w:hAnsi="Times New Roman"/>
          <w:b/>
          <w:sz w:val="24"/>
        </w:rPr>
        <w:t>Practical and Managerial Implications</w:t>
      </w:r>
    </w:p>
    <w:p w14:paraId="740E4BF4" w14:textId="77777777" w:rsidR="00A371F8" w:rsidRDefault="00000000">
      <w:pPr>
        <w:spacing w:after="240" w:line="240" w:lineRule="auto"/>
        <w:jc w:val="both"/>
        <w:rPr>
          <w:rFonts w:ascii="Times New Roman" w:hAnsi="Times New Roman"/>
          <w:sz w:val="24"/>
        </w:rPr>
      </w:pPr>
      <w:r>
        <w:rPr>
          <w:rFonts w:ascii="Times New Roman" w:hAnsi="Times New Roman"/>
          <w:sz w:val="24"/>
        </w:rPr>
        <w:t>For fintech executives, product developers, and digital marketing strategists, these findings provide an actionable framework for strategic planning and resource allocation:</w:t>
      </w:r>
    </w:p>
    <w:p w14:paraId="26B3EAB0" w14:textId="77777777" w:rsidR="00A371F8" w:rsidRPr="00A371F8" w:rsidRDefault="00000000" w:rsidP="00A371F8">
      <w:pPr>
        <w:pStyle w:val="ListParagraph"/>
        <w:numPr>
          <w:ilvl w:val="0"/>
          <w:numId w:val="11"/>
        </w:numPr>
        <w:spacing w:after="240" w:line="240" w:lineRule="auto"/>
        <w:jc w:val="both"/>
      </w:pPr>
      <w:r w:rsidRPr="00A371F8">
        <w:rPr>
          <w:rFonts w:ascii="Times New Roman" w:hAnsi="Times New Roman"/>
          <w:sz w:val="24"/>
        </w:rPr>
        <w:t>Implement Biometric and Passkey Protections: Security architectures should prioritize passwordless verification methods, such as cryptographic passkeys and biometric authentication. These methods provide high security while minimizing transaction friction.</w:t>
      </w:r>
    </w:p>
    <w:p w14:paraId="45891F39" w14:textId="77777777" w:rsidR="00A371F8" w:rsidRPr="00A371F8" w:rsidRDefault="00000000" w:rsidP="00A371F8">
      <w:pPr>
        <w:pStyle w:val="ListParagraph"/>
        <w:numPr>
          <w:ilvl w:val="0"/>
          <w:numId w:val="11"/>
        </w:numPr>
        <w:spacing w:after="240" w:line="240" w:lineRule="auto"/>
        <w:jc w:val="both"/>
      </w:pPr>
      <w:r w:rsidRPr="00A371F8">
        <w:rPr>
          <w:rFonts w:ascii="Times New Roman" w:hAnsi="Times New Roman"/>
          <w:sz w:val="24"/>
        </w:rPr>
        <w:t>Deploy AI-Driven Anomaly Detection Systems: Fintech firms should invest heavily in real-time fraud monitoring systems that can identify anomalous transactions and alert users before funds leave their accounts.</w:t>
      </w:r>
    </w:p>
    <w:p w14:paraId="55DBC77F" w14:textId="77777777" w:rsidR="00A371F8" w:rsidRPr="00A371F8" w:rsidRDefault="00000000" w:rsidP="00A371F8">
      <w:pPr>
        <w:pStyle w:val="ListParagraph"/>
        <w:numPr>
          <w:ilvl w:val="0"/>
          <w:numId w:val="11"/>
        </w:numPr>
        <w:spacing w:after="240" w:line="240" w:lineRule="auto"/>
        <w:jc w:val="both"/>
      </w:pPr>
      <w:r w:rsidRPr="00A371F8">
        <w:rPr>
          <w:rFonts w:ascii="Times New Roman" w:hAnsi="Times New Roman"/>
          <w:sz w:val="24"/>
        </w:rPr>
        <w:t>Optimize Gamified Promotional Campaigns: Marketing budgets should move away from generic cashbacks and toward personalized, gamified loyalty programs. Providing context-aware rewards linked to local merchant partnerships can significantly increase promotional spending efficiency.</w:t>
      </w:r>
    </w:p>
    <w:p w14:paraId="1B72FBD8" w14:textId="6C2B57FF" w:rsidR="0003063C" w:rsidRDefault="00000000" w:rsidP="00A371F8">
      <w:pPr>
        <w:pStyle w:val="ListParagraph"/>
        <w:numPr>
          <w:ilvl w:val="0"/>
          <w:numId w:val="11"/>
        </w:numPr>
        <w:spacing w:after="240" w:line="240" w:lineRule="auto"/>
        <w:jc w:val="both"/>
      </w:pPr>
      <w:r w:rsidRPr="00A371F8">
        <w:rPr>
          <w:rFonts w:ascii="Times New Roman" w:hAnsi="Times New Roman"/>
          <w:sz w:val="24"/>
        </w:rPr>
        <w:t>Streamline Transaction Resolution Processes: Platforms should build automated, transparent dispute resolution systems directly into their applications. Reassuring users that failed transactions will be resolved quickly is an excellent way to build long-term trust and platform loyalty.</w:t>
      </w:r>
    </w:p>
    <w:p w14:paraId="253457CD" w14:textId="39665E1A" w:rsidR="0003063C" w:rsidRDefault="00000000">
      <w:pPr>
        <w:spacing w:before="360" w:after="240" w:line="240" w:lineRule="auto"/>
      </w:pPr>
      <w:r>
        <w:rPr>
          <w:rFonts w:ascii="Times New Roman" w:hAnsi="Times New Roman"/>
          <w:b/>
          <w:sz w:val="28"/>
        </w:rPr>
        <w:t>REFERENCES</w:t>
      </w:r>
    </w:p>
    <w:p w14:paraId="64190E24"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lastRenderedPageBreak/>
        <w:t>Al-Khowaiter, M. A. (2024). Digital banking transformation and the adoption of Central Bank Digital Currencies (CBDCs) in emerging markets. International Journal of Bank Marketing, 42(2), 201–224.</w:t>
      </w:r>
    </w:p>
    <w:p w14:paraId="30405D89"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Alekseeva, K., Novikova, I., Zolotova, V., Bedinkin, O., &amp; Kirillova, A. (2023). Digital identity and structural trust in modern mobile payment gateways. Journal of Economic Regulation, 14(3), 138–151.</w:t>
      </w:r>
    </w:p>
    <w:p w14:paraId="30511E2C"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Baba, S. S., &amp; Daryanamurthy, P. L. (2020). Consumer perception toward mobile wallets: An empirical examination of user convenience and structural risk. Journal of Retailing and Consumer Services, 54, 102–115.</w:t>
      </w:r>
    </w:p>
    <w:p w14:paraId="32FF49D0"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Bajpai, S., Misra, R., &amp; Kumar, A. (2022). FinTech transformation in emerging economies: A review of structural drivers and consumer adoption factors. International Journal of Financial Studies, 10(4), 92–111.</w:t>
      </w:r>
    </w:p>
    <w:p w14:paraId="06BF8383"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Dorfleitner, G., &amp; Hornuf, L. (2019). FinTech and data privacy: Balancing consumer convenience with structural risk management. Journal of Financial Regulation and Compliance, 27(4), 442–458.</w:t>
      </w:r>
    </w:p>
    <w:p w14:paraId="7C24EEFC"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Jaboori, M., Al-Amir, S., &amp; Hasan, H. (2024). Interoperability and user experience in open-banking API protocols. Journal of Systems and Software, 208, 111–126.</w:t>
      </w:r>
    </w:p>
    <w:p w14:paraId="2FF134CE"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Kim, Y., Park, Y. J., &amp; Choi, J. (2023). Integrated service utility and user preference configurations in contemporary mobile payment platforms. Computers in Human Behavior, 139, 107–123.</w:t>
      </w:r>
    </w:p>
    <w:p w14:paraId="53839508"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Kumar, R., &amp; Vasudevan, S. (2025). Seamless interfaces: Integrating UPI protocols with Central Bank Digital Currencies (CBDCs). Journal of FinTech Research, 7(1), 45–67.</w:t>
      </w:r>
    </w:p>
    <w:p w14:paraId="79F937B5"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Mehra, A., &amp; Williams, J. (2024). The rise of the financial super-app: Market consolidation dynamics in South Asian fintech ecosystems. Pacific-Basin Finance Journal, 81, 102–119.</w:t>
      </w:r>
    </w:p>
    <w:p w14:paraId="68DB18DB"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Nguyen, T., &amp; Dwivedi, Y. (2025). AI-driven fraud ecosystems and cognitive trust calibration in mobile banking applications. Information Systems Frontiers, 27(3), 541–563.</w:t>
      </w:r>
    </w:p>
    <w:p w14:paraId="38557E5F"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Nigam, S., Sharma, V., &amp; Dixit, A. (2021). Deconstructing trust in mobile payment systems: The interplay of structural security and brand equity. International Journal of Information Management, 57, 102–119.</w:t>
      </w:r>
    </w:p>
    <w:p w14:paraId="42DDE32B"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Parmar, J., &amp; Sheikh, M. (2023). Digital payment systems and financial inclusion in rural demographies. Journal of Rural Development, 42(1), 129–145.</w:t>
      </w:r>
    </w:p>
    <w:p w14:paraId="5560CE99"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Patil, P., Tambe, S., &amp; Deshmukh, A. (2020). Impact of user interface design and cognitive load on digital banking app retention. International Journal of Human-Computer Interaction, 36(14), 1311–1329.</w:t>
      </w:r>
    </w:p>
    <w:p w14:paraId="7DE2A596"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Siddiqui, M., Al-Hajri, S., &amp; Khan, F. (2021). The cashless economy transformation: Macroeconomic benefits and microeconomic behavior patterns. Journal of Economic Surveys, 35(3), 782–803.</w:t>
      </w:r>
    </w:p>
    <w:p w14:paraId="7AF75BCE"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Sharma, P. (2018). Behavioral drivers of mobile wallet adoption in the initial wave of demonetization. Indian Journal of Commerce, 71(2), 45–59.</w:t>
      </w:r>
    </w:p>
    <w:p w14:paraId="7E89F8D3"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Shree, S., Pratap, S., &amp; Saroy, R. (2021). Cashbacks vs. features: Analyzing short-term promotion efficacy versus long-term platform loyalty in fintech. Journal of Financial Services Marketing, 26(3), 154–168.</w:t>
      </w:r>
    </w:p>
    <w:p w14:paraId="0E1BB4C3"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Singh, S., &amp; Srivastava, R. K. (2020). Understanding consumer trust and anxiety in digital banking channels: A mixed-methods empirical study. International Journal of Bank Marketing, 38(7), 1463–1489.</w:t>
      </w:r>
    </w:p>
    <w:p w14:paraId="57F244ED"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Thompson, H., &amp; Patel, M. (2025). Predictive user experience design via machine learning models in payment gateway applications. IEEE Transactions on Engineering Management, 72, 312–326.</w:t>
      </w:r>
    </w:p>
    <w:p w14:paraId="044B18C2"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Upadhyay, N., &amp; Jahanyan, S. (2021). Analyzing the transition from traditional banking trust to digital intermediary trust in emerging economies. Technology in Society, 66, 101–118.</w:t>
      </w:r>
    </w:p>
    <w:p w14:paraId="50018A17"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Venkatesh, V., Thong, J. Y., &amp; Xu, X. (2012). Consumer acceptance and use of information technology: Extending the unified theory of acceptance and use of technology. MIS Quarterly, 36(1), 157–178.</w:t>
      </w:r>
    </w:p>
    <w:p w14:paraId="661B765C" w14:textId="77777777" w:rsidR="0003063C" w:rsidRDefault="00000000" w:rsidP="00A371F8">
      <w:pPr>
        <w:pStyle w:val="ListParagraph"/>
        <w:numPr>
          <w:ilvl w:val="0"/>
          <w:numId w:val="12"/>
        </w:numPr>
        <w:spacing w:before="80" w:after="80" w:line="240" w:lineRule="auto"/>
      </w:pPr>
      <w:r w:rsidRPr="00A371F8">
        <w:rPr>
          <w:rFonts w:ascii="Times New Roman" w:hAnsi="Times New Roman"/>
          <w:sz w:val="24"/>
        </w:rPr>
        <w:t>Zhang, L., Wang, Y., &amp; Liu, Z. (2025). Sovereign ledger trust: Consumer perceptions towards retail CBDC implementations. Journal of Financial Stability, 76, 101–122.</w:t>
      </w:r>
    </w:p>
    <w:sectPr w:rsidR="0003063C" w:rsidSect="00034616">
      <w:headerReference w:type="default" r:id="rId8"/>
      <w:footerReference w:type="default" r:id="rId9"/>
      <w:pgSz w:w="11909" w:h="16834"/>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D7CEA" w14:textId="77777777" w:rsidR="000B45C1" w:rsidRDefault="000B45C1">
      <w:pPr>
        <w:spacing w:after="0" w:line="240" w:lineRule="auto"/>
      </w:pPr>
      <w:r>
        <w:separator/>
      </w:r>
    </w:p>
  </w:endnote>
  <w:endnote w:type="continuationSeparator" w:id="0">
    <w:p w14:paraId="4458A6FF" w14:textId="77777777" w:rsidR="000B45C1" w:rsidRDefault="000B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D344" w14:textId="77777777" w:rsidR="0003063C" w:rsidRDefault="00030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8530" w14:textId="77777777" w:rsidR="000B45C1" w:rsidRDefault="000B45C1">
      <w:pPr>
        <w:spacing w:after="0" w:line="240" w:lineRule="auto"/>
      </w:pPr>
      <w:r>
        <w:separator/>
      </w:r>
    </w:p>
  </w:footnote>
  <w:footnote w:type="continuationSeparator" w:id="0">
    <w:p w14:paraId="60614E44" w14:textId="77777777" w:rsidR="000B45C1" w:rsidRDefault="000B4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E350" w14:textId="77777777" w:rsidR="0003063C" w:rsidRDefault="0003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3B0BC1"/>
    <w:multiLevelType w:val="hybridMultilevel"/>
    <w:tmpl w:val="553654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8B77272"/>
    <w:multiLevelType w:val="hybridMultilevel"/>
    <w:tmpl w:val="A1744C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7BF65FCD"/>
    <w:multiLevelType w:val="hybridMultilevel"/>
    <w:tmpl w:val="2720513A"/>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E5377D1"/>
    <w:multiLevelType w:val="hybridMultilevel"/>
    <w:tmpl w:val="BB8A42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FEF3B2F"/>
    <w:multiLevelType w:val="hybridMultilevel"/>
    <w:tmpl w:val="662889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645404237">
    <w:abstractNumId w:val="8"/>
  </w:num>
  <w:num w:numId="2" w16cid:durableId="979655043">
    <w:abstractNumId w:val="6"/>
  </w:num>
  <w:num w:numId="3" w16cid:durableId="688458035">
    <w:abstractNumId w:val="5"/>
  </w:num>
  <w:num w:numId="4" w16cid:durableId="1676033823">
    <w:abstractNumId w:val="4"/>
  </w:num>
  <w:num w:numId="5" w16cid:durableId="789083677">
    <w:abstractNumId w:val="7"/>
  </w:num>
  <w:num w:numId="6" w16cid:durableId="729033192">
    <w:abstractNumId w:val="3"/>
  </w:num>
  <w:num w:numId="7" w16cid:durableId="2033914831">
    <w:abstractNumId w:val="2"/>
  </w:num>
  <w:num w:numId="8" w16cid:durableId="413090500">
    <w:abstractNumId w:val="1"/>
  </w:num>
  <w:num w:numId="9" w16cid:durableId="843282523">
    <w:abstractNumId w:val="0"/>
  </w:num>
  <w:num w:numId="10" w16cid:durableId="906232414">
    <w:abstractNumId w:val="12"/>
  </w:num>
  <w:num w:numId="11" w16cid:durableId="1853571346">
    <w:abstractNumId w:val="13"/>
  </w:num>
  <w:num w:numId="12" w16cid:durableId="1583683891">
    <w:abstractNumId w:val="11"/>
  </w:num>
  <w:num w:numId="13" w16cid:durableId="1651522255">
    <w:abstractNumId w:val="9"/>
  </w:num>
  <w:num w:numId="14" w16cid:durableId="72124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63C"/>
    <w:rsid w:val="00034616"/>
    <w:rsid w:val="0005661E"/>
    <w:rsid w:val="0006063C"/>
    <w:rsid w:val="000B45C1"/>
    <w:rsid w:val="000F45CD"/>
    <w:rsid w:val="0015074B"/>
    <w:rsid w:val="0017551E"/>
    <w:rsid w:val="0029639D"/>
    <w:rsid w:val="002C4803"/>
    <w:rsid w:val="00326F90"/>
    <w:rsid w:val="003A4C83"/>
    <w:rsid w:val="00510FC8"/>
    <w:rsid w:val="0068072F"/>
    <w:rsid w:val="007A49CE"/>
    <w:rsid w:val="008662E5"/>
    <w:rsid w:val="00A371F8"/>
    <w:rsid w:val="00AA1D8D"/>
    <w:rsid w:val="00B47730"/>
    <w:rsid w:val="00B6299C"/>
    <w:rsid w:val="00CB0664"/>
    <w:rsid w:val="00F036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0E2A1"/>
  <w14:defaultImageDpi w14:val="300"/>
  <w15:docId w15:val="{06471F14-088C-45A8-8D9C-59439C98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Danny</cp:lastModifiedBy>
  <cp:revision>10</cp:revision>
  <dcterms:created xsi:type="dcterms:W3CDTF">2013-12-23T23:15:00Z</dcterms:created>
  <dcterms:modified xsi:type="dcterms:W3CDTF">2026-06-13T10:24:00Z</dcterms:modified>
  <cp:category/>
</cp:coreProperties>
</file>