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5FF30" w14:textId="77777777" w:rsidR="009B4E75" w:rsidRDefault="00000000">
      <w:pPr>
        <w:pStyle w:val="Title"/>
      </w:pPr>
      <w:r>
        <w:t>Lymph</w:t>
      </w:r>
      <w:r>
        <w:rPr>
          <w:spacing w:val="-10"/>
        </w:rPr>
        <w:t xml:space="preserve"> </w:t>
      </w:r>
      <w:r>
        <w:t>Node</w:t>
      </w:r>
      <w:r>
        <w:rPr>
          <w:spacing w:val="-17"/>
        </w:rPr>
        <w:t xml:space="preserve"> </w:t>
      </w:r>
      <w:r>
        <w:t>Metastasis</w:t>
      </w:r>
      <w:r>
        <w:rPr>
          <w:spacing w:val="-10"/>
        </w:rPr>
        <w:t xml:space="preserve"> </w:t>
      </w:r>
      <w:r>
        <w:t>Detection</w:t>
      </w:r>
      <w:r>
        <w:rPr>
          <w:spacing w:val="-14"/>
        </w:rPr>
        <w:t xml:space="preserve"> </w:t>
      </w:r>
      <w:r>
        <w:t>in</w:t>
      </w:r>
      <w:r>
        <w:rPr>
          <w:spacing w:val="-14"/>
        </w:rPr>
        <w:t xml:space="preserve"> </w:t>
      </w:r>
      <w:r>
        <w:t xml:space="preserve">Pancreatic Ductal Adenocarcinoma using </w:t>
      </w:r>
      <w:proofErr w:type="spellStart"/>
      <w:r>
        <w:t>ResNet</w:t>
      </w:r>
      <w:proofErr w:type="spellEnd"/>
      <w:r>
        <w:t xml:space="preserve"> with Attention Mechanism</w:t>
      </w:r>
    </w:p>
    <w:tbl>
      <w:tblPr>
        <w:tblStyle w:val="TableGrid"/>
        <w:tblpPr w:leftFromText="180" w:rightFromText="180" w:vertAnchor="text" w:horzAnchor="page" w:tblpX="8521" w:tblpY="5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tblGrid>
      <w:tr w:rsidR="009B4E75" w14:paraId="0808CDAB" w14:textId="77777777">
        <w:trPr>
          <w:trHeight w:val="285"/>
        </w:trPr>
        <w:tc>
          <w:tcPr>
            <w:tcW w:w="0" w:type="auto"/>
          </w:tcPr>
          <w:p w14:paraId="705BAD00" w14:textId="77777777" w:rsidR="009B4E75" w:rsidRDefault="00000000">
            <w:pPr>
              <w:pStyle w:val="Author"/>
              <w:spacing w:before="100" w:beforeAutospacing="1" w:after="100" w:afterAutospacing="1"/>
              <w:rPr>
                <w:sz w:val="16"/>
                <w:szCs w:val="16"/>
                <w:lang w:val="en-IN" w:eastAsia="en-IN"/>
              </w:rPr>
            </w:pPr>
            <w:r>
              <w:rPr>
                <w:lang w:val="en-IN" w:eastAsia="en-IN"/>
              </w:rPr>
              <w:t/>
            </w:r>
          </w:p>
        </w:tc>
      </w:tr>
      <w:tr w:rsidR="009B4E75" w14:paraId="6895A769" w14:textId="77777777">
        <w:trPr>
          <w:trHeight w:val="245"/>
        </w:trPr>
        <w:tc>
          <w:tcPr>
            <w:tcW w:w="0" w:type="auto"/>
          </w:tcPr>
          <w:p w14:paraId="54C6C58D" w14:textId="77777777" w:rsidR="009B4E75" w:rsidRDefault="00000000">
            <w:pPr>
              <w:pStyle w:val="Author"/>
              <w:spacing w:before="100" w:beforeAutospacing="1" w:after="100" w:afterAutospacing="1"/>
              <w:rPr>
                <w:sz w:val="16"/>
                <w:szCs w:val="16"/>
                <w:lang w:val="en-IN" w:eastAsia="en-IN"/>
              </w:rPr>
            </w:pPr>
            <w:r>
              <w:rPr>
                <w:sz w:val="20"/>
                <w:lang w:val="en-IN" w:eastAsia="en-IN"/>
              </w:rPr>
              <w:t/>
            </w:r>
          </w:p>
        </w:tc>
      </w:tr>
      <w:tr w:rsidR="009B4E75" w14:paraId="65FC4F87" w14:textId="77777777">
        <w:trPr>
          <w:trHeight w:val="285"/>
        </w:trPr>
        <w:tc>
          <w:tcPr>
            <w:tcW w:w="0" w:type="auto"/>
          </w:tcPr>
          <w:p w14:paraId="50444448" w14:textId="77777777" w:rsidR="009B4E75" w:rsidRDefault="00000000">
            <w:pPr>
              <w:pStyle w:val="Author"/>
              <w:spacing w:before="100" w:beforeAutospacing="1" w:after="100" w:afterAutospacing="1"/>
              <w:rPr>
                <w:sz w:val="16"/>
                <w:szCs w:val="16"/>
                <w:lang w:val="en-IN" w:eastAsia="en-IN"/>
              </w:rPr>
            </w:pPr>
            <w:r>
              <w:rPr>
                <w:sz w:val="18"/>
                <w:lang w:val="en-IN" w:eastAsia="en-IN"/>
              </w:rPr>
              <w:t/>
            </w:r>
            <w:r>
              <w:rPr>
                <w:spacing w:val="-12"/>
                <w:sz w:val="18"/>
                <w:lang w:val="en-IN" w:eastAsia="en-IN"/>
              </w:rPr>
              <w:t xml:space="preserve"/>
            </w:r>
            <w:r>
              <w:rPr>
                <w:sz w:val="18"/>
                <w:lang w:val="en-IN" w:eastAsia="en-IN"/>
              </w:rPr>
              <w:t/>
            </w:r>
            <w:r>
              <w:rPr>
                <w:spacing w:val="-11"/>
                <w:sz w:val="18"/>
                <w:lang w:val="en-IN" w:eastAsia="en-IN"/>
              </w:rPr>
              <w:t xml:space="preserve"/>
            </w:r>
            <w:r>
              <w:rPr>
                <w:sz w:val="18"/>
                <w:lang w:val="en-IN" w:eastAsia="en-IN"/>
              </w:rPr>
              <w:t/>
            </w:r>
            <w:r>
              <w:rPr>
                <w:spacing w:val="-11"/>
                <w:sz w:val="18"/>
                <w:lang w:val="en-IN" w:eastAsia="en-IN"/>
              </w:rPr>
              <w:t xml:space="preserve"/>
            </w:r>
            <w:r>
              <w:rPr>
                <w:sz w:val="18"/>
                <w:lang w:val="en-IN" w:eastAsia="en-IN"/>
              </w:rPr>
              <w:t/>
            </w:r>
          </w:p>
        </w:tc>
      </w:tr>
      <w:tr w:rsidR="009B4E75" w14:paraId="2B192972" w14:textId="77777777">
        <w:trPr>
          <w:trHeight w:val="285"/>
        </w:trPr>
        <w:tc>
          <w:tcPr>
            <w:tcW w:w="0" w:type="auto"/>
          </w:tcPr>
          <w:p w14:paraId="1B83D1ED" w14:textId="77777777" w:rsidR="009B4E75" w:rsidRDefault="00000000">
            <w:pPr>
              <w:pStyle w:val="Author"/>
              <w:spacing w:before="100" w:beforeAutospacing="1" w:after="100" w:afterAutospacing="1"/>
              <w:rPr>
                <w:sz w:val="16"/>
                <w:szCs w:val="16"/>
                <w:lang w:val="en-IN" w:eastAsia="en-IN"/>
              </w:rPr>
            </w:pPr>
            <w:proofErr w:type="spellStart"/>
            <w:proofErr w:type="gramStart"/>
            <w:r>
              <w:rPr>
                <w:spacing w:val="-2"/>
                <w:sz w:val="18"/>
                <w:lang w:val="en-IN" w:eastAsia="en-IN"/>
              </w:rPr>
              <w:t/>
            </w:r>
            <w:proofErr w:type="spellEnd"/>
            <w:proofErr w:type="gramEnd"/>
          </w:p>
        </w:tc>
      </w:tr>
      <w:tr w:rsidR="009B4E75" w14:paraId="6520AE2F" w14:textId="77777777">
        <w:trPr>
          <w:trHeight w:val="245"/>
        </w:trPr>
        <w:tc>
          <w:tcPr>
            <w:tcW w:w="0" w:type="auto"/>
          </w:tcPr>
          <w:p w14:paraId="7F57C4AA" w14:textId="77777777" w:rsidR="009B4E75" w:rsidRDefault="00000000">
            <w:pPr>
              <w:pStyle w:val="Author"/>
              <w:spacing w:before="100" w:beforeAutospacing="1" w:after="100" w:afterAutospacing="1"/>
              <w:rPr>
                <w:sz w:val="16"/>
                <w:szCs w:val="16"/>
                <w:lang w:val="en-IN" w:eastAsia="en-IN"/>
              </w:rPr>
            </w:pPr>
            <w:r>
              <w:rPr>
                <w:sz w:val="18"/>
                <w:szCs w:val="18"/>
                <w:lang w:val="en-IN" w:eastAsia="en-IN"/>
              </w:rPr>
              <w:t/>
            </w:r>
          </w:p>
        </w:tc>
      </w:tr>
    </w:tbl>
    <w:tbl>
      <w:tblPr>
        <w:tblStyle w:val="TableGrid"/>
        <w:tblpPr w:leftFromText="180" w:rightFromText="180" w:vertAnchor="text" w:horzAnchor="margin" w:tblpY="5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tblGrid>
      <w:tr w:rsidR="009B4E75" w14:paraId="404EBE70" w14:textId="77777777">
        <w:trPr>
          <w:trHeight w:val="285"/>
        </w:trPr>
        <w:tc>
          <w:tcPr>
            <w:tcW w:w="0" w:type="auto"/>
          </w:tcPr>
          <w:p w14:paraId="31C727CD" w14:textId="77777777" w:rsidR="009B4E75" w:rsidRDefault="00000000">
            <w:pPr>
              <w:pStyle w:val="Author"/>
              <w:spacing w:before="100" w:beforeAutospacing="1" w:after="100" w:afterAutospacing="1"/>
              <w:rPr>
                <w:sz w:val="20"/>
                <w:szCs w:val="20"/>
                <w:lang w:val="en-IN" w:eastAsia="en-IN"/>
              </w:rPr>
            </w:pPr>
            <w:proofErr w:type="spellStart"/>
            <w:r>
              <w:rPr>
                <w:sz w:val="20"/>
                <w:szCs w:val="20"/>
                <w:lang w:val="en-IN" w:eastAsia="en-IN"/>
              </w:rPr>
              <w:t/>
            </w:r>
            <w:proofErr w:type="spellEnd"/>
          </w:p>
        </w:tc>
      </w:tr>
      <w:tr w:rsidR="009B4E75" w14:paraId="3A3B750C" w14:textId="77777777">
        <w:trPr>
          <w:trHeight w:val="245"/>
        </w:trPr>
        <w:tc>
          <w:tcPr>
            <w:tcW w:w="0" w:type="auto"/>
          </w:tcPr>
          <w:p w14:paraId="27EC95CC" w14:textId="77777777" w:rsidR="009B4E75" w:rsidRDefault="00000000">
            <w:pPr>
              <w:pStyle w:val="Author"/>
              <w:spacing w:before="100" w:beforeAutospacing="1" w:after="100" w:afterAutospacing="1"/>
              <w:rPr>
                <w:sz w:val="16"/>
                <w:szCs w:val="16"/>
                <w:lang w:val="en-IN" w:eastAsia="en-IN"/>
              </w:rPr>
            </w:pPr>
            <w:r>
              <w:rPr>
                <w:sz w:val="20"/>
                <w:lang w:val="en-IN" w:eastAsia="en-IN"/>
              </w:rPr>
              <w:t/>
            </w:r>
          </w:p>
        </w:tc>
      </w:tr>
      <w:tr w:rsidR="009B4E75" w14:paraId="0434AB8D" w14:textId="77777777">
        <w:trPr>
          <w:trHeight w:val="285"/>
        </w:trPr>
        <w:tc>
          <w:tcPr>
            <w:tcW w:w="0" w:type="auto"/>
          </w:tcPr>
          <w:p w14:paraId="16062135" w14:textId="77777777" w:rsidR="009B4E75" w:rsidRDefault="00000000">
            <w:pPr>
              <w:pStyle w:val="Author"/>
              <w:spacing w:before="100" w:beforeAutospacing="1" w:after="100" w:afterAutospacing="1"/>
              <w:rPr>
                <w:sz w:val="16"/>
                <w:szCs w:val="16"/>
                <w:lang w:val="en-IN" w:eastAsia="en-IN"/>
              </w:rPr>
            </w:pPr>
            <w:r>
              <w:rPr>
                <w:sz w:val="18"/>
                <w:lang w:val="en-IN" w:eastAsia="en-IN"/>
              </w:rPr>
              <w:t/>
            </w:r>
            <w:r>
              <w:rPr>
                <w:spacing w:val="-12"/>
                <w:sz w:val="18"/>
                <w:lang w:val="en-IN" w:eastAsia="en-IN"/>
              </w:rPr>
              <w:t xml:space="preserve"/>
            </w:r>
            <w:r>
              <w:rPr>
                <w:sz w:val="18"/>
                <w:lang w:val="en-IN" w:eastAsia="en-IN"/>
              </w:rPr>
              <w:t/>
            </w:r>
            <w:r>
              <w:rPr>
                <w:spacing w:val="-11"/>
                <w:sz w:val="18"/>
                <w:lang w:val="en-IN" w:eastAsia="en-IN"/>
              </w:rPr>
              <w:t xml:space="preserve"/>
            </w:r>
            <w:r>
              <w:rPr>
                <w:sz w:val="18"/>
                <w:lang w:val="en-IN" w:eastAsia="en-IN"/>
              </w:rPr>
              <w:t/>
            </w:r>
            <w:r>
              <w:rPr>
                <w:spacing w:val="-11"/>
                <w:sz w:val="18"/>
                <w:lang w:val="en-IN" w:eastAsia="en-IN"/>
              </w:rPr>
              <w:t xml:space="preserve"/>
            </w:r>
            <w:r>
              <w:rPr>
                <w:sz w:val="18"/>
                <w:lang w:val="en-IN" w:eastAsia="en-IN"/>
              </w:rPr>
              <w:t/>
            </w:r>
          </w:p>
        </w:tc>
      </w:tr>
      <w:tr w:rsidR="009B4E75" w14:paraId="3E1BC760" w14:textId="77777777">
        <w:trPr>
          <w:trHeight w:val="285"/>
        </w:trPr>
        <w:tc>
          <w:tcPr>
            <w:tcW w:w="0" w:type="auto"/>
          </w:tcPr>
          <w:p w14:paraId="73A5E3A9" w14:textId="77777777" w:rsidR="009B4E75" w:rsidRDefault="00000000">
            <w:pPr>
              <w:pStyle w:val="Author"/>
              <w:spacing w:before="100" w:beforeAutospacing="1" w:after="100" w:afterAutospacing="1"/>
              <w:rPr>
                <w:sz w:val="16"/>
                <w:szCs w:val="16"/>
                <w:lang w:val="en-IN" w:eastAsia="en-IN"/>
              </w:rPr>
            </w:pPr>
            <w:proofErr w:type="spellStart"/>
            <w:proofErr w:type="gramStart"/>
            <w:r>
              <w:rPr>
                <w:spacing w:val="-2"/>
                <w:sz w:val="18"/>
                <w:lang w:val="en-IN" w:eastAsia="en-IN"/>
              </w:rPr>
              <w:t/>
            </w:r>
            <w:proofErr w:type="spellEnd"/>
            <w:proofErr w:type="gramEnd"/>
          </w:p>
        </w:tc>
      </w:tr>
      <w:tr w:rsidR="009B4E75" w14:paraId="3D8CCAB4" w14:textId="77777777">
        <w:trPr>
          <w:trHeight w:val="245"/>
        </w:trPr>
        <w:tc>
          <w:tcPr>
            <w:tcW w:w="0" w:type="auto"/>
          </w:tcPr>
          <w:p w14:paraId="4ABC86D1" w14:textId="77777777" w:rsidR="009B4E75" w:rsidRDefault="00000000">
            <w:pPr>
              <w:pStyle w:val="Author"/>
              <w:spacing w:before="100" w:beforeAutospacing="1" w:after="100" w:afterAutospacing="1"/>
              <w:rPr>
                <w:sz w:val="16"/>
                <w:szCs w:val="16"/>
                <w:lang w:val="en-IN" w:eastAsia="en-IN"/>
              </w:rPr>
            </w:pPr>
            <w:hyperlink r:id="rId8">
              <w:r>
                <w:rPr>
                  <w:spacing w:val="-2"/>
                  <w:sz w:val="16"/>
                  <w:lang w:val="en-IN" w:eastAsia="en-IN"/>
                </w:rPr>
                <w:t/>
              </w:r>
            </w:hyperlink>
          </w:p>
        </w:tc>
      </w:tr>
    </w:tbl>
    <w:tbl>
      <w:tblPr>
        <w:tblStyle w:val="TableGrid"/>
        <w:tblpPr w:leftFromText="180" w:rightFromText="180" w:vertAnchor="text" w:horzAnchor="margin" w:tblpXSpec="center" w:tblpY="5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tblGrid>
      <w:tr w:rsidR="009B4E75" w14:paraId="5E2417BD" w14:textId="77777777">
        <w:trPr>
          <w:trHeight w:val="285"/>
        </w:trPr>
        <w:tc>
          <w:tcPr>
            <w:tcW w:w="0" w:type="auto"/>
          </w:tcPr>
          <w:p w14:paraId="5D493FDE" w14:textId="77777777" w:rsidR="009B4E75" w:rsidRDefault="00000000">
            <w:pPr>
              <w:pStyle w:val="Author"/>
              <w:spacing w:before="100" w:beforeAutospacing="1" w:after="100" w:afterAutospacing="1"/>
              <w:rPr>
                <w:sz w:val="16"/>
                <w:szCs w:val="16"/>
                <w:lang w:val="en-IN" w:eastAsia="en-IN"/>
              </w:rPr>
            </w:pPr>
            <w:proofErr w:type="spellStart"/>
            <w:r>
              <w:rPr>
                <w:lang w:val="en-IN" w:eastAsia="en-IN"/>
              </w:rPr>
              <w:t/>
            </w:r>
            <w:proofErr w:type="spellEnd"/>
            <w:r>
              <w:rPr>
                <w:spacing w:val="-9"/>
                <w:lang w:val="en-IN" w:eastAsia="en-IN"/>
              </w:rPr>
              <w:t xml:space="preserve"/>
            </w:r>
            <w:r>
              <w:rPr>
                <w:spacing w:val="-2"/>
                <w:lang w:val="en-IN" w:eastAsia="en-IN"/>
              </w:rPr>
              <w:t/>
            </w:r>
          </w:p>
        </w:tc>
      </w:tr>
      <w:tr w:rsidR="009B4E75" w14:paraId="5226DA8B" w14:textId="77777777">
        <w:trPr>
          <w:trHeight w:val="245"/>
        </w:trPr>
        <w:tc>
          <w:tcPr>
            <w:tcW w:w="0" w:type="auto"/>
          </w:tcPr>
          <w:p w14:paraId="29AFA3AD" w14:textId="77777777" w:rsidR="009B4E75" w:rsidRDefault="00000000">
            <w:pPr>
              <w:pStyle w:val="Author"/>
              <w:spacing w:before="100" w:beforeAutospacing="1" w:after="100" w:afterAutospacing="1"/>
              <w:rPr>
                <w:sz w:val="16"/>
                <w:szCs w:val="16"/>
                <w:lang w:val="en-IN" w:eastAsia="en-IN"/>
              </w:rPr>
            </w:pPr>
            <w:r>
              <w:rPr>
                <w:sz w:val="20"/>
                <w:lang w:val="en-IN" w:eastAsia="en-IN"/>
              </w:rPr>
              <w:t/>
            </w:r>
          </w:p>
        </w:tc>
      </w:tr>
      <w:tr w:rsidR="009B4E75" w14:paraId="4F0CAD57" w14:textId="77777777">
        <w:trPr>
          <w:trHeight w:val="285"/>
        </w:trPr>
        <w:tc>
          <w:tcPr>
            <w:tcW w:w="0" w:type="auto"/>
          </w:tcPr>
          <w:p w14:paraId="379AF744" w14:textId="77777777" w:rsidR="009B4E75" w:rsidRDefault="00000000">
            <w:pPr>
              <w:pStyle w:val="Author"/>
              <w:spacing w:before="100" w:beforeAutospacing="1" w:after="100" w:afterAutospacing="1"/>
              <w:rPr>
                <w:sz w:val="16"/>
                <w:szCs w:val="16"/>
                <w:lang w:val="en-IN" w:eastAsia="en-IN"/>
              </w:rPr>
            </w:pPr>
            <w:r>
              <w:rPr>
                <w:sz w:val="18"/>
                <w:lang w:val="en-IN" w:eastAsia="en-IN"/>
              </w:rPr>
              <w:t/>
            </w:r>
            <w:r>
              <w:rPr>
                <w:spacing w:val="-12"/>
                <w:sz w:val="18"/>
                <w:lang w:val="en-IN" w:eastAsia="en-IN"/>
              </w:rPr>
              <w:t xml:space="preserve"/>
            </w:r>
            <w:r>
              <w:rPr>
                <w:sz w:val="18"/>
                <w:lang w:val="en-IN" w:eastAsia="en-IN"/>
              </w:rPr>
              <w:t/>
            </w:r>
            <w:r>
              <w:rPr>
                <w:spacing w:val="-11"/>
                <w:sz w:val="18"/>
                <w:lang w:val="en-IN" w:eastAsia="en-IN"/>
              </w:rPr>
              <w:t xml:space="preserve"/>
            </w:r>
            <w:r>
              <w:rPr>
                <w:sz w:val="18"/>
                <w:lang w:val="en-IN" w:eastAsia="en-IN"/>
              </w:rPr>
              <w:t/>
            </w:r>
            <w:r>
              <w:rPr>
                <w:spacing w:val="-11"/>
                <w:sz w:val="18"/>
                <w:lang w:val="en-IN" w:eastAsia="en-IN"/>
              </w:rPr>
              <w:t xml:space="preserve"/>
            </w:r>
            <w:r>
              <w:rPr>
                <w:sz w:val="18"/>
                <w:lang w:val="en-IN" w:eastAsia="en-IN"/>
              </w:rPr>
              <w:t/>
            </w:r>
          </w:p>
        </w:tc>
      </w:tr>
      <w:tr w:rsidR="009B4E75" w14:paraId="4B90AB53" w14:textId="77777777">
        <w:trPr>
          <w:trHeight w:val="285"/>
        </w:trPr>
        <w:tc>
          <w:tcPr>
            <w:tcW w:w="0" w:type="auto"/>
          </w:tcPr>
          <w:p w14:paraId="3462C0F1" w14:textId="77777777" w:rsidR="009B4E75" w:rsidRDefault="00000000">
            <w:pPr>
              <w:pStyle w:val="Author"/>
              <w:spacing w:before="100" w:beforeAutospacing="1" w:after="100" w:afterAutospacing="1"/>
              <w:rPr>
                <w:sz w:val="16"/>
                <w:szCs w:val="16"/>
                <w:lang w:val="en-IN" w:eastAsia="en-IN"/>
              </w:rPr>
            </w:pPr>
            <w:proofErr w:type="spellStart"/>
            <w:proofErr w:type="gramStart"/>
            <w:r>
              <w:rPr>
                <w:spacing w:val="-2"/>
                <w:sz w:val="18"/>
                <w:lang w:val="en-IN" w:eastAsia="en-IN"/>
              </w:rPr>
              <w:t/>
            </w:r>
            <w:proofErr w:type="spellEnd"/>
            <w:proofErr w:type="gramEnd"/>
          </w:p>
        </w:tc>
      </w:tr>
      <w:tr w:rsidR="009B4E75" w14:paraId="6F2CC5FD" w14:textId="77777777">
        <w:trPr>
          <w:trHeight w:val="245"/>
        </w:trPr>
        <w:tc>
          <w:tcPr>
            <w:tcW w:w="0" w:type="auto"/>
          </w:tcPr>
          <w:p w14:paraId="08097DD3" w14:textId="77777777" w:rsidR="009B4E75" w:rsidRDefault="00000000">
            <w:pPr>
              <w:pStyle w:val="Author"/>
              <w:spacing w:before="100" w:beforeAutospacing="1" w:after="100" w:afterAutospacing="1"/>
              <w:rPr>
                <w:sz w:val="16"/>
                <w:szCs w:val="16"/>
                <w:lang w:val="en-IN" w:eastAsia="en-IN"/>
              </w:rPr>
            </w:pPr>
            <w:hyperlink r:id="rId9">
              <w:r>
                <w:rPr>
                  <w:spacing w:val="-2"/>
                  <w:sz w:val="18"/>
                  <w:lang w:val="en-IN" w:eastAsia="en-IN"/>
                </w:rPr>
                <w:t/>
              </w:r>
            </w:hyperlink>
          </w:p>
        </w:tc>
      </w:tr>
    </w:tbl>
    <w:p w14:paraId="23B47FE9" w14:textId="77777777" w:rsidR="009B4E75" w:rsidRDefault="009B4E75">
      <w:pPr>
        <w:pStyle w:val="Author"/>
        <w:spacing w:before="100" w:beforeAutospacing="1" w:after="100" w:afterAutospacing="1" w:line="120" w:lineRule="auto"/>
        <w:jc w:val="both"/>
        <w:rPr>
          <w:sz w:val="16"/>
          <w:szCs w:val="16"/>
        </w:rPr>
      </w:pPr>
    </w:p>
    <w:p w14:paraId="5E9BD101" w14:textId="77777777" w:rsidR="009B4E75" w:rsidRDefault="00000000">
      <w:pPr>
        <w:pStyle w:val="Author"/>
        <w:spacing w:before="100" w:beforeAutospacing="1" w:after="100" w:afterAutospacing="1" w:line="120" w:lineRule="auto"/>
        <w:rPr>
          <w:sz w:val="16"/>
          <w:szCs w:val="16"/>
        </w:rPr>
      </w:pPr>
      <w:r>
        <w:rPr>
          <w:sz w:val="16"/>
          <w:szCs w:val="16"/>
        </w:rPr>
        <w:t xml:space="preserve"> </w:t>
      </w:r>
    </w:p>
    <w:p w14:paraId="1AADF885" w14:textId="77777777" w:rsidR="009B4E75" w:rsidRDefault="009B4E75">
      <w:pPr>
        <w:pStyle w:val="Author"/>
        <w:spacing w:before="100" w:beforeAutospacing="1" w:after="100" w:afterAutospacing="1" w:line="120" w:lineRule="auto"/>
        <w:rPr>
          <w:sz w:val="16"/>
          <w:szCs w:val="16"/>
        </w:rPr>
      </w:pPr>
    </w:p>
    <w:p w14:paraId="1F23C209" w14:textId="77777777" w:rsidR="009B4E75" w:rsidRDefault="009B4E75">
      <w:pPr>
        <w:pStyle w:val="Author"/>
        <w:spacing w:before="100" w:beforeAutospacing="1" w:after="100" w:afterAutospacing="1" w:line="120" w:lineRule="auto"/>
        <w:rPr>
          <w:sz w:val="16"/>
          <w:szCs w:val="16"/>
        </w:rPr>
      </w:pPr>
    </w:p>
    <w:p w14:paraId="39D7A431" w14:textId="77777777" w:rsidR="009B4E75" w:rsidRDefault="009B4E75">
      <w:pPr>
        <w:pStyle w:val="Author"/>
        <w:spacing w:before="100" w:beforeAutospacing="1" w:after="100" w:afterAutospacing="1" w:line="120" w:lineRule="auto"/>
        <w:rPr>
          <w:sz w:val="16"/>
          <w:szCs w:val="16"/>
        </w:rPr>
      </w:pPr>
    </w:p>
    <w:p w14:paraId="20C2CC3C" w14:textId="77777777" w:rsidR="009B4E75" w:rsidRDefault="009B4E75">
      <w:pPr>
        <w:pStyle w:val="Author"/>
        <w:spacing w:before="100" w:beforeAutospacing="1" w:after="100" w:afterAutospacing="1" w:line="120" w:lineRule="auto"/>
        <w:rPr>
          <w:sz w:val="16"/>
          <w:szCs w:val="16"/>
        </w:rPr>
      </w:pPr>
    </w:p>
    <w:tbl>
      <w:tblPr>
        <w:tblStyle w:val="TableGrid"/>
        <w:tblpPr w:leftFromText="180" w:rightFromText="180" w:vertAnchor="text" w:horzAnchor="margin" w:tblpXSpec="center"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7"/>
      </w:tblGrid>
      <w:tr w:rsidR="009B4E75" w14:paraId="6C3C3504" w14:textId="77777777">
        <w:trPr>
          <w:trHeight w:val="285"/>
        </w:trPr>
        <w:tc>
          <w:tcPr>
            <w:tcW w:w="0" w:type="auto"/>
          </w:tcPr>
          <w:p w14:paraId="6C21EADE" w14:textId="77777777" w:rsidR="009B4E75" w:rsidRDefault="00000000">
            <w:pPr>
              <w:pStyle w:val="Author"/>
              <w:spacing w:before="100" w:beforeAutospacing="1" w:after="100" w:afterAutospacing="1"/>
              <w:rPr>
                <w:sz w:val="16"/>
                <w:szCs w:val="16"/>
                <w:lang w:val="en-IN" w:eastAsia="en-IN"/>
              </w:rPr>
            </w:pPr>
            <w:proofErr w:type="spellStart"/>
            <w:r>
              <w:rPr>
                <w:sz w:val="18"/>
                <w:szCs w:val="18"/>
                <w:lang w:val="en-IN" w:eastAsia="en-IN"/>
              </w:rPr>
              <w:t/>
            </w:r>
            <w:proofErr w:type="gramStart"/>
            <w:r>
              <w:rPr>
                <w:sz w:val="18"/>
                <w:szCs w:val="18"/>
                <w:lang w:val="en-IN" w:eastAsia="en-IN"/>
              </w:rPr>
              <w:t/>
            </w:r>
            <w:proofErr w:type="spellEnd"/>
            <w:proofErr w:type="gramEnd"/>
          </w:p>
        </w:tc>
      </w:tr>
      <w:tr w:rsidR="009B4E75" w14:paraId="6AA98E01" w14:textId="77777777">
        <w:trPr>
          <w:trHeight w:val="245"/>
        </w:trPr>
        <w:tc>
          <w:tcPr>
            <w:tcW w:w="0" w:type="auto"/>
          </w:tcPr>
          <w:p w14:paraId="5CCAC9B8" w14:textId="77777777" w:rsidR="009B4E75" w:rsidRDefault="00000000">
            <w:pPr>
              <w:pStyle w:val="Author"/>
              <w:spacing w:before="100" w:beforeAutospacing="1" w:after="100" w:afterAutospacing="1"/>
              <w:rPr>
                <w:sz w:val="16"/>
                <w:szCs w:val="16"/>
                <w:lang w:val="en-IN" w:eastAsia="en-IN"/>
              </w:rPr>
            </w:pPr>
            <w:r>
              <w:rPr>
                <w:sz w:val="20"/>
                <w:lang w:val="en-IN" w:eastAsia="en-IN"/>
              </w:rPr>
              <w:t/>
            </w:r>
          </w:p>
        </w:tc>
      </w:tr>
      <w:tr w:rsidR="009B4E75" w14:paraId="3E565CF3" w14:textId="77777777">
        <w:trPr>
          <w:trHeight w:val="285"/>
        </w:trPr>
        <w:tc>
          <w:tcPr>
            <w:tcW w:w="0" w:type="auto"/>
          </w:tcPr>
          <w:p w14:paraId="05B9A75D" w14:textId="77777777" w:rsidR="009B4E75" w:rsidRDefault="00000000">
            <w:pPr>
              <w:pStyle w:val="Author"/>
              <w:spacing w:before="100" w:beforeAutospacing="1" w:after="100" w:afterAutospacing="1"/>
              <w:rPr>
                <w:sz w:val="16"/>
                <w:szCs w:val="16"/>
                <w:lang w:val="en-IN" w:eastAsia="en-IN"/>
              </w:rPr>
            </w:pPr>
            <w:r>
              <w:rPr>
                <w:sz w:val="18"/>
                <w:lang w:val="en-IN" w:eastAsia="en-IN"/>
              </w:rPr>
              <w:t/>
            </w:r>
            <w:r>
              <w:rPr>
                <w:spacing w:val="-12"/>
                <w:sz w:val="18"/>
                <w:lang w:val="en-IN" w:eastAsia="en-IN"/>
              </w:rPr>
              <w:t xml:space="preserve"/>
            </w:r>
            <w:r>
              <w:rPr>
                <w:sz w:val="18"/>
                <w:lang w:val="en-IN" w:eastAsia="en-IN"/>
              </w:rPr>
              <w:t/>
            </w:r>
            <w:r>
              <w:rPr>
                <w:spacing w:val="-11"/>
                <w:sz w:val="18"/>
                <w:lang w:val="en-IN" w:eastAsia="en-IN"/>
              </w:rPr>
              <w:t xml:space="preserve"/>
            </w:r>
            <w:r>
              <w:rPr>
                <w:sz w:val="18"/>
                <w:lang w:val="en-IN" w:eastAsia="en-IN"/>
              </w:rPr>
              <w:t/>
            </w:r>
            <w:r>
              <w:rPr>
                <w:spacing w:val="-11"/>
                <w:sz w:val="18"/>
                <w:lang w:val="en-IN" w:eastAsia="en-IN"/>
              </w:rPr>
              <w:t xml:space="preserve"/>
            </w:r>
            <w:r>
              <w:rPr>
                <w:sz w:val="18"/>
                <w:lang w:val="en-IN" w:eastAsia="en-IN"/>
              </w:rPr>
              <w:t/>
            </w:r>
          </w:p>
        </w:tc>
      </w:tr>
      <w:tr w:rsidR="009B4E75" w14:paraId="2045890D" w14:textId="77777777">
        <w:trPr>
          <w:trHeight w:val="285"/>
        </w:trPr>
        <w:tc>
          <w:tcPr>
            <w:tcW w:w="0" w:type="auto"/>
          </w:tcPr>
          <w:p w14:paraId="123898AB" w14:textId="77777777" w:rsidR="009B4E75" w:rsidRDefault="00000000">
            <w:pPr>
              <w:pStyle w:val="Author"/>
              <w:spacing w:before="100" w:beforeAutospacing="1" w:after="100" w:afterAutospacing="1"/>
              <w:rPr>
                <w:sz w:val="16"/>
                <w:szCs w:val="16"/>
                <w:lang w:val="en-IN" w:eastAsia="en-IN"/>
              </w:rPr>
            </w:pPr>
            <w:proofErr w:type="spellStart"/>
            <w:proofErr w:type="gramStart"/>
            <w:r>
              <w:rPr>
                <w:spacing w:val="-2"/>
                <w:sz w:val="18"/>
                <w:lang w:val="en-IN" w:eastAsia="en-IN"/>
              </w:rPr>
              <w:t/>
            </w:r>
            <w:proofErr w:type="spellEnd"/>
            <w:proofErr w:type="gramEnd"/>
          </w:p>
        </w:tc>
      </w:tr>
      <w:tr w:rsidR="009B4E75" w14:paraId="034C0CB9" w14:textId="77777777">
        <w:trPr>
          <w:trHeight w:val="245"/>
        </w:trPr>
        <w:tc>
          <w:tcPr>
            <w:tcW w:w="0" w:type="auto"/>
          </w:tcPr>
          <w:p w14:paraId="26A782A7" w14:textId="77777777" w:rsidR="009B4E75" w:rsidRDefault="00000000">
            <w:pPr>
              <w:pStyle w:val="Author"/>
              <w:spacing w:before="100" w:beforeAutospacing="1" w:after="100" w:afterAutospacing="1"/>
              <w:rPr>
                <w:sz w:val="16"/>
                <w:szCs w:val="16"/>
                <w:lang w:val="en-IN" w:eastAsia="en-IN"/>
              </w:rPr>
            </w:pPr>
            <w:r>
              <w:rPr>
                <w:color w:val="0462C1"/>
                <w:spacing w:val="-2"/>
                <w:sz w:val="18"/>
                <w:u w:val="single" w:color="0462C1"/>
                <w:lang w:val="en-IN" w:eastAsia="en-IN"/>
              </w:rPr>
              <w:t/>
            </w:r>
          </w:p>
        </w:tc>
      </w:tr>
    </w:tbl>
    <w:p w14:paraId="1790D6B2" w14:textId="77777777" w:rsidR="009B4E75" w:rsidRDefault="009B4E75">
      <w:pPr>
        <w:pStyle w:val="Author"/>
        <w:spacing w:before="100" w:beforeAutospacing="1" w:after="100" w:afterAutospacing="1" w:line="120" w:lineRule="auto"/>
        <w:rPr>
          <w:sz w:val="16"/>
          <w:szCs w:val="16"/>
        </w:rPr>
      </w:pPr>
    </w:p>
    <w:p w14:paraId="2A893B11" w14:textId="77777777" w:rsidR="009B4E75" w:rsidRDefault="009B4E75">
      <w:pPr>
        <w:pStyle w:val="Author"/>
        <w:spacing w:before="100" w:beforeAutospacing="1" w:after="100" w:afterAutospacing="1" w:line="120" w:lineRule="auto"/>
        <w:jc w:val="both"/>
        <w:rPr>
          <w:sz w:val="16"/>
          <w:szCs w:val="16"/>
        </w:rPr>
        <w:sectPr w:rsidR="009B4E75">
          <w:footerReference w:type="first" r:id="rId10"/>
          <w:pgSz w:w="12240" w:h="15840"/>
          <w:pgMar w:top="1080" w:right="893" w:bottom="1440" w:left="893" w:header="720" w:footer="720" w:gutter="0"/>
          <w:cols w:space="720"/>
          <w:titlePg/>
          <w:docGrid w:linePitch="360"/>
        </w:sectPr>
      </w:pPr>
    </w:p>
    <w:p w14:paraId="6DABC1D5" w14:textId="77777777" w:rsidR="009B4E75" w:rsidRDefault="009B4E75">
      <w:pPr>
        <w:spacing w:line="242" w:lineRule="auto"/>
        <w:ind w:right="40"/>
        <w:jc w:val="both"/>
        <w:rPr>
          <w:sz w:val="18"/>
          <w:szCs w:val="18"/>
        </w:rPr>
      </w:pPr>
    </w:p>
    <w:p w14:paraId="7137ED3B" w14:textId="77777777" w:rsidR="009B4E75" w:rsidRDefault="009B4E75">
      <w:pPr>
        <w:spacing w:before="92" w:line="242" w:lineRule="auto"/>
        <w:ind w:left="187" w:right="38" w:hanging="8"/>
        <w:jc w:val="both"/>
        <w:rPr>
          <w:sz w:val="16"/>
        </w:rPr>
        <w:sectPr w:rsidR="009B4E75">
          <w:type w:val="continuous"/>
          <w:pgSz w:w="12240" w:h="15840"/>
          <w:pgMar w:top="1080" w:right="893" w:bottom="1440" w:left="893" w:header="720" w:footer="720" w:gutter="0"/>
          <w:cols w:num="4" w:space="216"/>
          <w:docGrid w:linePitch="360"/>
        </w:sectPr>
      </w:pPr>
    </w:p>
    <w:p w14:paraId="0994DD28" w14:textId="77777777" w:rsidR="009B4E75" w:rsidRDefault="009B4E75">
      <w:pPr>
        <w:jc w:val="both"/>
        <w:sectPr w:rsidR="009B4E75">
          <w:type w:val="continuous"/>
          <w:pgSz w:w="12240" w:h="15840"/>
          <w:pgMar w:top="1080" w:right="893" w:bottom="1440" w:left="893" w:header="720" w:footer="720" w:gutter="0"/>
          <w:cols w:space="720"/>
          <w:docGrid w:linePitch="360"/>
        </w:sectPr>
      </w:pPr>
    </w:p>
    <w:p w14:paraId="2EF51096" w14:textId="77777777" w:rsidR="009B4E75" w:rsidRDefault="009B4E75">
      <w:pPr>
        <w:pStyle w:val="Author"/>
        <w:spacing w:before="100" w:beforeAutospacing="1"/>
        <w:contextualSpacing/>
        <w:jc w:val="both"/>
        <w:rPr>
          <w:sz w:val="18"/>
          <w:szCs w:val="18"/>
        </w:rPr>
      </w:pPr>
    </w:p>
    <w:p w14:paraId="0A8A2828" w14:textId="77777777" w:rsidR="009B4E75" w:rsidRDefault="009B4E75">
      <w:pPr>
        <w:pStyle w:val="Author"/>
        <w:spacing w:before="100" w:beforeAutospacing="1"/>
        <w:contextualSpacing/>
        <w:rPr>
          <w:sz w:val="18"/>
          <w:szCs w:val="18"/>
        </w:rPr>
      </w:pPr>
    </w:p>
    <w:p w14:paraId="71333BF4" w14:textId="77777777" w:rsidR="009B4E75" w:rsidRDefault="009B4E75">
      <w:pPr>
        <w:pStyle w:val="Author"/>
        <w:spacing w:before="100" w:beforeAutospacing="1"/>
        <w:contextualSpacing/>
        <w:rPr>
          <w:sz w:val="18"/>
          <w:szCs w:val="18"/>
        </w:rPr>
      </w:pPr>
    </w:p>
    <w:p w14:paraId="558FED09" w14:textId="77777777" w:rsidR="009B4E75" w:rsidRDefault="009B4E75">
      <w:pPr>
        <w:pStyle w:val="Author"/>
        <w:spacing w:before="100" w:beforeAutospacing="1"/>
        <w:contextualSpacing/>
        <w:rPr>
          <w:sz w:val="18"/>
          <w:szCs w:val="18"/>
        </w:rPr>
      </w:pPr>
    </w:p>
    <w:p w14:paraId="0D85539B" w14:textId="77777777" w:rsidR="009B4E75" w:rsidRDefault="009B4E75">
      <w:pPr>
        <w:pStyle w:val="Author"/>
        <w:spacing w:before="100" w:beforeAutospacing="1"/>
        <w:contextualSpacing/>
        <w:rPr>
          <w:sz w:val="18"/>
          <w:szCs w:val="18"/>
        </w:rPr>
      </w:pPr>
    </w:p>
    <w:p w14:paraId="4EE512E9" w14:textId="77777777" w:rsidR="009B4E75" w:rsidRDefault="009B4E75">
      <w:pPr>
        <w:pStyle w:val="Author"/>
        <w:spacing w:before="100" w:beforeAutospacing="1"/>
        <w:rPr>
          <w:sz w:val="16"/>
          <w:szCs w:val="16"/>
        </w:rPr>
        <w:sectPr w:rsidR="009B4E75">
          <w:type w:val="continuous"/>
          <w:pgSz w:w="12240" w:h="15840"/>
          <w:pgMar w:top="1080" w:right="893" w:bottom="1440" w:left="893" w:header="720" w:footer="720" w:gutter="0"/>
          <w:cols w:num="4" w:space="216"/>
          <w:docGrid w:linePitch="360"/>
        </w:sectPr>
      </w:pPr>
    </w:p>
    <w:p w14:paraId="451357ED" w14:textId="77777777" w:rsidR="009B4E75" w:rsidRDefault="009B4E75">
      <w:pPr>
        <w:pStyle w:val="Author"/>
        <w:spacing w:before="100" w:beforeAutospacing="1"/>
        <w:jc w:val="both"/>
        <w:rPr>
          <w:sz w:val="16"/>
          <w:szCs w:val="16"/>
        </w:rPr>
      </w:pPr>
    </w:p>
    <w:p w14:paraId="1220EC6D" w14:textId="77777777" w:rsidR="009B4E75" w:rsidRDefault="009B4E75">
      <w:pPr>
        <w:pStyle w:val="Author"/>
        <w:spacing w:before="100" w:beforeAutospacing="1"/>
        <w:jc w:val="both"/>
        <w:rPr>
          <w:sz w:val="16"/>
          <w:szCs w:val="16"/>
        </w:rPr>
        <w:sectPr w:rsidR="009B4E75">
          <w:type w:val="continuous"/>
          <w:pgSz w:w="12240" w:h="15840"/>
          <w:pgMar w:top="1080" w:right="893" w:bottom="1440" w:left="893" w:header="720" w:footer="720" w:gutter="0"/>
          <w:cols w:num="4" w:space="216"/>
          <w:docGrid w:linePitch="360"/>
        </w:sectPr>
      </w:pPr>
    </w:p>
    <w:p w14:paraId="141AD676" w14:textId="77777777" w:rsidR="009B4E75" w:rsidRDefault="00000000">
      <w:pPr>
        <w:pStyle w:val="NormalWeb"/>
        <w:jc w:val="both"/>
        <w:rPr>
          <w:sz w:val="20"/>
          <w:szCs w:val="20"/>
        </w:rPr>
      </w:pPr>
      <w:r>
        <w:rPr>
          <w:rStyle w:val="Strong"/>
          <w:i/>
          <w:iCs/>
          <w:sz w:val="20"/>
          <w:szCs w:val="20"/>
        </w:rPr>
        <w:t/>
      </w:r>
      <w:r>
        <w:rPr>
          <w:rStyle w:val="Strong"/>
          <w:sz w:val="20"/>
          <w:szCs w:val="20"/>
        </w:rPr>
        <w:t/>
      </w:r>
      <w:r>
        <w:rPr>
          <w:sz w:val="20"/>
          <w:szCs w:val="20"/>
        </w:rPr>
        <w:t xml:space="preserve"/>
      </w:r>
      <w:r>
        <w:rPr>
          <w:b/>
          <w:bCs/>
          <w:sz w:val="20"/>
          <w:szCs w:val="20"/>
        </w:rPr>
        <w:t xml:space="preserve"/>
      </w:r>
      <w:proofErr w:type="spellStart"/>
      <w:r>
        <w:rPr>
          <w:b/>
          <w:bCs/>
          <w:sz w:val="20"/>
          <w:szCs w:val="20"/>
        </w:rPr>
        <w:t/>
      </w:r>
      <w:proofErr w:type="spellEnd"/>
      <w:r>
        <w:rPr>
          <w:b/>
          <w:bCs/>
          <w:sz w:val="20"/>
          <w:szCs w:val="20"/>
        </w:rPr>
        <w:t xml:space="preserve"/>
      </w:r>
    </w:p>
    <w:p w14:paraId="64A21D92" w14:textId="77777777" w:rsidR="009B4E75" w:rsidRDefault="00000000">
      <w:pPr>
        <w:pStyle w:val="Keywords"/>
      </w:pPr>
      <w:r>
        <w:t xml:space="preserve"/>
      </w:r>
      <w:proofErr w:type="spellStart"/>
      <w:r>
        <w:t/>
      </w:r>
      <w:proofErr w:type="spellEnd"/>
      <w:r>
        <w:t/>
      </w:r>
    </w:p>
    <w:p w14:paraId="3A55466D" w14:textId="77777777" w:rsidR="009B4E75" w:rsidRDefault="00000000">
      <w:pPr>
        <w:pStyle w:val="Heading1"/>
      </w:pPr>
      <w:r>
        <w:t>Introduction</w:t>
      </w:r>
    </w:p>
    <w:p w14:paraId="747B9C03" w14:textId="77777777" w:rsidR="009B4E75" w:rsidRDefault="00000000">
      <w:pPr>
        <w:pStyle w:val="BodyText"/>
      </w:pPr>
      <w:r>
        <w:t xml:space="preserve">Pancreatic ductal adenocarcinoma, which is also known as PDAC isan aggressive type of cancer that affects the digestive system. It is also one of the deadliest because the tumor grows quickly and it often takes a long time to diagnose. When cancer </w:t>
      </w:r>
      <w:r>
        <w:t>cells are found in the lymph nodes this is very important for figuring out how bad the cancer is, what the chances of recovery are and what treatment to use. So it is crucial to detect these cancer cells in order to make the right decisions about pancreatic ductal adenocarcinoma treatment.</w:t>
      </w:r>
    </w:p>
    <w:p w14:paraId="451D05D1" w14:textId="77777777" w:rsidR="009B4E75" w:rsidRDefault="00000000">
      <w:pPr>
        <w:pStyle w:val="BodyText"/>
        <w:rPr>
          <w:lang w:val="en-IN"/>
        </w:rPr>
      </w:pPr>
      <w:r>
        <w:t>The usual way to check the lymph nodes is by looking at them under a microscope. This is done using a standard procedure. However this method can be very time-consuming. Sometimes it is     not accurate especially when the cancer has only just started to spread. Nowadays we have a lot of information about medical images and pathology so using computers to help with diagnosis is becoming a more popular option. Some computer models, like neural networks are very good at looking at complicated medical images and finding the important features. These models can be made better by using something called attention mechanisms, which help the models focus on the parts of the image that are most important for pancreatic ductal adenocarcinoma diagnosis</w:t>
      </w:r>
      <w:r>
        <w:rPr>
          <w:lang w:val="en-IN"/>
        </w:rPr>
        <w:t>.</w:t>
      </w:r>
    </w:p>
    <w:p w14:paraId="0574FDF8" w14:textId="77777777" w:rsidR="009B4E75" w:rsidRDefault="00000000">
      <w:pPr>
        <w:pStyle w:val="BodyText"/>
        <w:rPr>
          <w:lang w:val="en-IN"/>
        </w:rPr>
      </w:pPr>
      <w:r>
        <w:rPr>
          <w:lang w:val="en-IN"/>
        </w:rPr>
        <w:t>I.1 Contribution:</w:t>
      </w:r>
    </w:p>
    <w:p w14:paraId="743FBACE" w14:textId="77777777" w:rsidR="009B4E75" w:rsidRDefault="00000000">
      <w:pPr>
        <w:jc w:val="left"/>
      </w:pPr>
      <w:proofErr w:type="gramStart"/>
      <w:r>
        <w:rPr>
          <w:rFonts w:ascii="Symbol" w:eastAsia="Symbol" w:hAnsi="Symbol" w:cs="Symbol"/>
          <w:sz w:val="24"/>
        </w:rPr>
        <w:t>·</w:t>
      </w:r>
      <w:r>
        <w:rPr>
          <w:rFonts w:ascii="SimSun" w:hAnsi="SimSun" w:cs="SimSun" w:hint="eastAsia"/>
          <w:sz w:val="24"/>
        </w:rPr>
        <w:t xml:space="preserve">  </w:t>
      </w:r>
      <w:r>
        <w:t>Proposed</w:t>
      </w:r>
      <w:proofErr w:type="gramEnd"/>
      <w:r>
        <w:t xml:space="preserve"> ResNet50 with dual attention mechanism. </w:t>
      </w:r>
    </w:p>
    <w:p w14:paraId="4BEE5504" w14:textId="77777777" w:rsidR="009B4E75" w:rsidRDefault="00000000">
      <w:pPr>
        <w:jc w:val="left"/>
      </w:pPr>
      <w:proofErr w:type="gramStart"/>
      <w:r>
        <w:rPr>
          <w:rFonts w:ascii="Symbol" w:eastAsia="Symbol" w:hAnsi="Symbol" w:cs="Symbol"/>
          <w:sz w:val="24"/>
        </w:rPr>
        <w:t>·</w:t>
      </w:r>
      <w:r>
        <w:rPr>
          <w:rFonts w:ascii="SimSun" w:hAnsi="SimSun" w:cs="SimSun" w:hint="eastAsia"/>
          <w:sz w:val="24"/>
        </w:rPr>
        <w:t xml:space="preserve">  </w:t>
      </w:r>
      <w:r>
        <w:t>Improved</w:t>
      </w:r>
      <w:proofErr w:type="gramEnd"/>
      <w:r>
        <w:t xml:space="preserve"> detection of metastatic lymph nodes in PDAC. </w:t>
      </w:r>
    </w:p>
    <w:p w14:paraId="11404EC0" w14:textId="77777777" w:rsidR="009B4E75" w:rsidRDefault="00000000">
      <w:pPr>
        <w:jc w:val="left"/>
      </w:pPr>
      <w:proofErr w:type="gramStart"/>
      <w:r>
        <w:rPr>
          <w:rFonts w:ascii="Symbol" w:eastAsia="Symbol" w:hAnsi="Symbol" w:cs="Symbol"/>
          <w:sz w:val="24"/>
        </w:rPr>
        <w:t>·</w:t>
      </w:r>
      <w:r>
        <w:rPr>
          <w:rFonts w:ascii="SimSun" w:hAnsi="SimSun" w:cs="SimSun" w:hint="eastAsia"/>
          <w:sz w:val="24"/>
        </w:rPr>
        <w:t xml:space="preserve">  </w:t>
      </w:r>
      <w:r>
        <w:t>Achieved</w:t>
      </w:r>
      <w:proofErr w:type="gramEnd"/>
      <w:r>
        <w:t xml:space="preserve"> 87.33% accuracy and 94.67% recall. </w:t>
      </w:r>
    </w:p>
    <w:p w14:paraId="6B19DC7C" w14:textId="77777777" w:rsidR="009B4E75" w:rsidRDefault="00000000">
      <w:pPr>
        <w:ind w:left="360" w:hangingChars="150" w:hanging="360"/>
        <w:jc w:val="left"/>
      </w:pPr>
      <w:proofErr w:type="gramStart"/>
      <w:r>
        <w:rPr>
          <w:rFonts w:ascii="Symbol" w:eastAsia="Symbol" w:hAnsi="Symbol" w:cs="Symbol"/>
          <w:sz w:val="24"/>
        </w:rPr>
        <w:t>·</w:t>
      </w:r>
      <w:r>
        <w:rPr>
          <w:rFonts w:ascii="SimSun" w:hAnsi="SimSun" w:cs="SimSun" w:hint="eastAsia"/>
          <w:sz w:val="24"/>
        </w:rPr>
        <w:t xml:space="preserve">  </w:t>
      </w:r>
      <w:r>
        <w:t>Provided</w:t>
      </w:r>
      <w:proofErr w:type="gramEnd"/>
      <w:r>
        <w:t xml:space="preserve"> explainable predictions using attention maps and Grad-CAM.</w:t>
      </w:r>
    </w:p>
    <w:p w14:paraId="5A2C7EDA" w14:textId="77777777" w:rsidR="009B4E75" w:rsidRDefault="009B4E75">
      <w:pPr>
        <w:pStyle w:val="BodyText"/>
        <w:rPr>
          <w:lang w:val="en-IN"/>
        </w:rPr>
      </w:pPr>
    </w:p>
    <w:p w14:paraId="780B4A22" w14:textId="77777777" w:rsidR="009B4E75" w:rsidRDefault="00000000">
      <w:pPr>
        <w:pStyle w:val="Heading1"/>
      </w:pPr>
      <w:r>
        <w:t>Background</w:t>
      </w:r>
    </w:p>
    <w:p w14:paraId="6427EB7E" w14:textId="77777777" w:rsidR="009B4E75" w:rsidRDefault="00000000">
      <w:pPr>
        <w:pStyle w:val="BodyText"/>
      </w:pPr>
      <w:r>
        <w:t xml:space="preserve">Lymph node metastasis is a major factor governing the overall prognosis of pancreatic ductal adenocarcinoma (PDAC). Mainly, metastatic lymph nodes are determined by microscopic </w:t>
      </w:r>
      <w:r>
        <w:lastRenderedPageBreak/>
        <w:t>examination of histopathological images by expert pathologists. Although this method is accurate, it has the disadvantage of being slow and subjective, particularly when detecting micrometastases. In recent years, computational pathology and deep learning technology have facilitated automated medical image analysis. CNNs have greatly contributed to the classification and detection of various cancers as they can interpret highly complex visual features. ResNet models are the most popular ones in the ResNet family as residual learning enables the training of deeper architectures. However, basic CNN models uniformly process all spatial locations which might hinder their capability to focus on the most relevant regions. Attention mechanisms solve this problem by assigning different weights to informative image regions. Thus, attention-based methods can enhance the accuracy and the pathological regions. Therefore, attention mechanisms have been combined with ResNet models to enhance the detection of lymph node metastasis in pancreatic ductal adenocarcinoma.</w:t>
      </w:r>
    </w:p>
    <w:p w14:paraId="6A822566" w14:textId="77777777" w:rsidR="009B4E75" w:rsidRDefault="00000000">
      <w:pPr>
        <w:pStyle w:val="Heading1"/>
      </w:pPr>
      <w:r>
        <w:t>Literature Review</w:t>
      </w:r>
    </w:p>
    <w:p w14:paraId="1DE1B816" w14:textId="77777777" w:rsidR="009B4E75" w:rsidRDefault="00000000">
      <w:pPr>
        <w:pStyle w:val="BodyText"/>
        <w:rPr>
          <w:lang w:val="en-US"/>
        </w:rPr>
      </w:pPr>
      <w:r>
        <w:rPr>
          <w:lang w:val="en-US"/>
        </w:rPr>
        <w:t xml:space="preserve">The automated analysis of histopathological and radiological images for cancer detection has been an active research domain over the past decade. Early studies relied on handcrafted features such as texture descriptors and morphological filters, which struggled to generalize across imaging protocols and staining variabilities. The advent of deep convolutional neural networks (CNNs) transformed this landscape by enabling end-to-end learning of hierarchical image representations directly from raw pixel data. Campanella et al. [10] demonstrated that weakly supervised deep learning on whole-slide images (WSIs) could achieve clinical-grade performance across multiple cancer types, establishing a benchmark for computational pathology. Their work underscored the utility of large-scale critical insight for data-constrained domains such as pancreatic cancer pathology. </w:t>
      </w:r>
      <w:proofErr w:type="spellStart"/>
      <w:r>
        <w:rPr>
          <w:lang w:val="en-US"/>
        </w:rPr>
        <w:t>ResNet</w:t>
      </w:r>
      <w:proofErr w:type="spellEnd"/>
      <w:r>
        <w:rPr>
          <w:lang w:val="en-US"/>
        </w:rPr>
        <w:t xml:space="preserve"> architectures, introduced by He et al., addressed the vanishing-gradient problem through residual skip connections, enabling reliable training of networks with over 50 layers. Kavak et al. [3] applied ResNet-50 specifically to PDAC histopathology classification and reported competitive accuracy, confirming that residual networks are well-suited to the complexity of pancreatic tissue patterns. However, these baseline models treat all spatial regions of an input image with equal weight, which can dilute discriminative signals in cases where metastatic foci occupy only a small fraction of the tissue section. Attention mechanisms were introduced to neural networks as a method for dynamically weighting the contribution of different input regions. Zhao et al. [9] demonstrated transformer-based attention networks for histopathological image classification, achieving state-of-the-art results on multiple public benchmarks. Similarly, Qu et al. [5] proposed anatomically guided multiple instance learning for pancreatic image analysis, showing that spatial priors derived from anatomical knowledge can significantly boost detection sensitivity for metastatic regions. Li et al. [6] further explored Vision Transformer (</w:t>
      </w:r>
      <w:proofErr w:type="spellStart"/>
      <w:r>
        <w:rPr>
          <w:lang w:val="en-US"/>
        </w:rPr>
        <w:t>ViT</w:t>
      </w:r>
      <w:proofErr w:type="spellEnd"/>
      <w:r>
        <w:rPr>
          <w:lang w:val="en-US"/>
        </w:rPr>
        <w:t xml:space="preserve">) frameworks for weakly supervised WSI analysis, illustrating that self-attention can capture long-range spatial dependencies that conventional CNNs miss. Domain generalization remains a significant challenge in computational pathology due to staining variability across laboratories. Li et al. [4] addressed this with stain-invariant </w:t>
      </w:r>
      <w:r>
        <w:rPr>
          <w:lang w:val="en-US"/>
        </w:rPr>
        <w:t>learning strategies for WSI classification, demonstrating improved cross-center robustness. Carrillo-Pérez et al. [8] further conducted a multi-center training without exhaustive pixel-level annotations, a robustness assessment of deep learning models for pancreatic histopathology, revealing that many models suffer substantial performance degradation when evaluated outside their training distribution. These findings collectively highlight the necessity for robust, generalizable architectures. The present work builds upon this body of literature by integrating channel-wise and spatial attention into a ResNet-50 backbone, addressing both the sensitivity and generalization limitations observed in prior studies.</w:t>
      </w:r>
    </w:p>
    <w:p w14:paraId="775FEB65" w14:textId="77777777" w:rsidR="009B4E75" w:rsidRDefault="00000000">
      <w:pPr>
        <w:pStyle w:val="Heading1"/>
      </w:pPr>
      <w:r>
        <w:t>Proposed Work</w:t>
      </w:r>
    </w:p>
    <w:p w14:paraId="35D685DE" w14:textId="77777777" w:rsidR="009B4E75" w:rsidRDefault="00000000">
      <w:pPr>
        <w:pStyle w:val="BodyText"/>
        <w:rPr>
          <w:lang w:val="en-IN"/>
        </w:rPr>
      </w:pPr>
      <w:r>
        <w:t>This study proposes a deep learning framework for the automated detection of lymph node metastasis in Pancreatic Ductal Adenocarcinoma (PDAC). The framework combines a ResNet-50 backbone with a dual attention mechanism to enhance feature extraction and improve classification performance</w:t>
      </w:r>
      <w:r>
        <w:rPr>
          <w:lang w:val="en-IN"/>
        </w:rPr>
        <w:t>.</w:t>
      </w:r>
    </w:p>
    <w:p w14:paraId="01DA5903" w14:textId="77777777" w:rsidR="009B4E75" w:rsidRDefault="00000000">
      <w:pPr>
        <w:pStyle w:val="BodyText"/>
      </w:pPr>
      <w:r>
        <w:t>The medical image dataset is cleaned up to make the method work better. To clean up the dataset the images are made to be the size and they are also made to look the same. The dataset is also made bigger by adding images to it.</w:t>
      </w:r>
    </w:p>
    <w:p w14:paraId="309586E2" w14:textId="77777777" w:rsidR="009B4E75" w:rsidRDefault="00000000">
      <w:pPr>
        <w:pStyle w:val="BodyText"/>
      </w:pPr>
      <w:r>
        <w:t>The residual network is the base of this method. It helps the computer learn things about the images and it stops the computer from forgetting what it learned. The attention mechanism is also used. It helps the computer focus on the parts of the images and it ignores the parts that are not important.</w:t>
      </w:r>
    </w:p>
    <w:p w14:paraId="736447D2" w14:textId="77777777" w:rsidR="009B4E75" w:rsidRDefault="00000000">
      <w:pPr>
        <w:pStyle w:val="BodyText"/>
      </w:pPr>
      <w:r>
        <w:rPr>
          <w:noProof/>
        </w:rPr>
        <w:drawing>
          <wp:anchor distT="0" distB="0" distL="114300" distR="114300" simplePos="0" relativeHeight="251659264" behindDoc="0" locked="0" layoutInCell="1" allowOverlap="1" wp14:anchorId="330C2E7B" wp14:editId="755FE63E">
            <wp:simplePos x="0" y="0"/>
            <wp:positionH relativeFrom="column">
              <wp:posOffset>0</wp:posOffset>
            </wp:positionH>
            <wp:positionV relativeFrom="paragraph">
              <wp:posOffset>885190</wp:posOffset>
            </wp:positionV>
            <wp:extent cx="3209925" cy="1657350"/>
            <wp:effectExtent l="0" t="0" r="9525" b="0"/>
            <wp:wrapTopAndBottom/>
            <wp:docPr id="1480087127" name="Image 1" descr="ResNet-50 architecture for brain age regression with attention ..."/>
            <wp:cNvGraphicFramePr/>
            <a:graphic xmlns:a="http://schemas.openxmlformats.org/drawingml/2006/main">
              <a:graphicData uri="http://schemas.openxmlformats.org/drawingml/2006/picture">
                <pic:pic xmlns:pic="http://schemas.openxmlformats.org/drawingml/2006/picture">
                  <pic:nvPicPr>
                    <pic:cNvPr id="1480087127" name="Image 1" descr="ResNet-50 architecture for brain age regression with attention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9925" cy="1657350"/>
                    </a:xfrm>
                    <a:prstGeom prst="rect">
                      <a:avLst/>
                    </a:prstGeom>
                  </pic:spPr>
                </pic:pic>
              </a:graphicData>
            </a:graphic>
          </wp:anchor>
        </w:drawing>
      </w:r>
      <w:r>
        <w:t>The method is trained to tell the difference between lymph nodes that have metastasis and those that do not. The method +works better than methods, like CNN models. It is more accurate. It can be used to help doctors diagnose and treat pancreatic ductal adenocarcinoma before they do surgery</w:t>
      </w:r>
    </w:p>
    <w:p w14:paraId="69242B36" w14:textId="77777777" w:rsidR="009B4E75" w:rsidRDefault="009B4E75">
      <w:pPr>
        <w:pStyle w:val="BodyText"/>
      </w:pPr>
    </w:p>
    <w:p w14:paraId="2B9AB46C" w14:textId="77777777" w:rsidR="009B4E75" w:rsidRDefault="00000000">
      <w:pPr>
        <w:pStyle w:val="Heading1"/>
      </w:pPr>
      <w:r>
        <w:t>Detailed Methodology</w:t>
      </w:r>
    </w:p>
    <w:p w14:paraId="69086C19" w14:textId="77777777" w:rsidR="009B4E75" w:rsidRDefault="00000000">
      <w:pPr>
        <w:pStyle w:val="Heading2"/>
      </w:pPr>
      <w:r>
        <w:t>Preprocessing Pipeline</w:t>
      </w:r>
    </w:p>
    <w:p w14:paraId="0327E542" w14:textId="77777777" w:rsidR="009B4E75" w:rsidRDefault="00000000">
      <w:pPr>
        <w:pStyle w:val="Heading4"/>
        <w:numPr>
          <w:ilvl w:val="0"/>
          <w:numId w:val="0"/>
        </w:numPr>
        <w:ind w:firstLine="504"/>
        <w:rPr>
          <w:i w:val="0"/>
        </w:rPr>
      </w:pPr>
      <w:r>
        <w:rPr>
          <w:i w:val="0"/>
        </w:rPr>
        <w:t xml:space="preserve">All CT images were retrieved in DICOM format and converted to PNG for deep learning compatibility. A Hounsfield Unit (HU) windowing operation was applied with a window center of 60 HU and a window width of 400 HU to optimize soft-tissue contrast, which is critical for delineating lymph node boundaries from adjacent vasculature and fat. </w:t>
      </w:r>
      <w:r>
        <w:rPr>
          <w:i w:val="0"/>
        </w:rPr>
        <w:lastRenderedPageBreak/>
        <w:t>Images were resized to 224×224 pixels to conform to the ResNet-50 input specification. Pixel intensities were normalized to a zero-mean, unit-variance distribution using statistics computed from the training set only, preventing data leakage into validation and test sets.</w:t>
      </w:r>
    </w:p>
    <w:p w14:paraId="2C92D737" w14:textId="77777777" w:rsidR="009B4E75" w:rsidRDefault="00000000">
      <w:pPr>
        <w:pStyle w:val="Heading4"/>
        <w:numPr>
          <w:ilvl w:val="0"/>
          <w:numId w:val="0"/>
        </w:numPr>
        <w:ind w:firstLine="504"/>
        <w:rPr>
          <w:i w:val="0"/>
        </w:rPr>
      </w:pPr>
      <w:r>
        <w:rPr>
          <w:i w:val="0"/>
        </w:rPr>
        <w:t>Data augmentation was applied exclusively during training to improve generalization. The augmentation strategy included random horizontal and vertical flipping (p=0.5 each), random rotation within ±15°, random zoom between 90% and 110% of the original scale, and random brightness and contrast jittering. These transformations were chosen to simulate realistic imaging variability without introducing clinically implausible distortions</w:t>
      </w:r>
    </w:p>
    <w:p w14:paraId="18572257" w14:textId="77777777" w:rsidR="009B4E75" w:rsidRDefault="00000000">
      <w:pPr>
        <w:pStyle w:val="Heading2"/>
      </w:pPr>
      <w:r>
        <w:t>ResNet-50 Backbone</w:t>
      </w:r>
    </w:p>
    <w:p w14:paraId="61CD276A" w14:textId="77777777" w:rsidR="009B4E75" w:rsidRDefault="00000000">
      <w:pPr>
        <w:pStyle w:val="tablehead"/>
        <w:numPr>
          <w:ilvl w:val="0"/>
          <w:numId w:val="0"/>
        </w:numPr>
        <w:ind w:firstLine="720"/>
        <w:jc w:val="both"/>
        <w:rPr>
          <w:smallCaps w:val="0"/>
          <w:sz w:val="20"/>
          <w:szCs w:val="20"/>
        </w:rPr>
      </w:pPr>
      <w:r>
        <w:rPr>
          <w:smallCaps w:val="0"/>
          <w:sz w:val="20"/>
          <w:szCs w:val="20"/>
        </w:rPr>
        <w:t>The backbone of the proposed model is ResNet-50, pre-trained on ImageNet. Transfer learning was employed to leverage low- and mid-level feature representations (edges, textures, gradients) already encoded in the pre-trained weights. The final fully connected classification layer was replaced with a custom head consisting of a global average pooling layer, a dropout layer (rate=0.5) for regularization, and a single sigmoid output neuron for binary classification (metastatic vs. non-metastatic). During fine-tuning, the first two residual blocks were frozen and the remaining layers were trained with a learning rate of 1e-4 using the Adam optimizer with weight decay of 1e-5</w:t>
      </w:r>
    </w:p>
    <w:p w14:paraId="166DF61C" w14:textId="77777777" w:rsidR="009B4E75" w:rsidRDefault="00000000">
      <w:pPr>
        <w:pStyle w:val="Heading2"/>
      </w:pPr>
      <w:r>
        <w:t>Attention Module Design</w:t>
      </w:r>
    </w:p>
    <w:p w14:paraId="13875988" w14:textId="77777777" w:rsidR="009B4E75" w:rsidRDefault="00000000">
      <w:pPr>
        <w:pStyle w:val="tablehead"/>
        <w:numPr>
          <w:ilvl w:val="0"/>
          <w:numId w:val="0"/>
        </w:numPr>
        <w:ind w:firstLine="720"/>
        <w:jc w:val="both"/>
        <w:rPr>
          <w:smallCaps w:val="0"/>
          <w:sz w:val="20"/>
          <w:szCs w:val="20"/>
        </w:rPr>
      </w:pPr>
      <w:r>
        <w:rPr>
          <w:smallCaps w:val="0"/>
          <w:sz w:val="20"/>
          <w:szCs w:val="20"/>
        </w:rPr>
        <w:t xml:space="preserve">A dual-branch attention module was grafted onto the output of the fourth residual stage of ResNet-50. The channel attention branch applies a squeeze-and-excitation (SE) mechanism: global average pooling aggregates spatial information into a channel descriptor, followed by two fully connected layers with a </w:t>
      </w:r>
      <w:proofErr w:type="spellStart"/>
      <w:r>
        <w:rPr>
          <w:smallCaps w:val="0"/>
          <w:sz w:val="20"/>
          <w:szCs w:val="20"/>
        </w:rPr>
        <w:t>ReLU</w:t>
      </w:r>
      <w:proofErr w:type="spellEnd"/>
      <w:r>
        <w:rPr>
          <w:smallCaps w:val="0"/>
          <w:sz w:val="20"/>
          <w:szCs w:val="20"/>
        </w:rPr>
        <w:t xml:space="preserve"> and sigmoid activation respectively, producing a per-channel scaling vector. This recalibrates feature maps to emphasize channels that encode diagnostically relevant tissue patterns. The spatial attention branch generates a 2D attention map by applying average and maximum pooling along the channel dimension, concatenating the resulting feature maps, and passing them through a 7×7 convolutional layer followed by a sigmoid activation. This spatial map modulates the feature tensor by selectively amplifying regions associated with abnormal lymph node morphology, such as irregular contours, loss of fatty hilum, and rounded architecture. The outputs of both attention branches are multiplied element-wise with the original feature maps and summed before being forwarded to the classification head.</w:t>
      </w:r>
    </w:p>
    <w:p w14:paraId="4A826337" w14:textId="77777777" w:rsidR="009B4E75" w:rsidRDefault="00000000">
      <w:pPr>
        <w:pStyle w:val="Heading2"/>
      </w:pPr>
      <w:r>
        <w:t>Loss Function and Training Strategy</w:t>
      </w:r>
    </w:p>
    <w:p w14:paraId="0725004A" w14:textId="77777777" w:rsidR="009B4E75" w:rsidRDefault="00000000">
      <w:pPr>
        <w:pStyle w:val="tablehead"/>
        <w:numPr>
          <w:ilvl w:val="0"/>
          <w:numId w:val="0"/>
        </w:numPr>
        <w:ind w:firstLine="720"/>
        <w:jc w:val="both"/>
        <w:rPr>
          <w:smallCaps w:val="0"/>
          <w:sz w:val="20"/>
          <w:szCs w:val="20"/>
        </w:rPr>
      </w:pPr>
      <w:r>
        <w:rPr>
          <w:smallCaps w:val="0"/>
          <w:sz w:val="20"/>
          <w:szCs w:val="20"/>
        </w:rPr>
        <w:t xml:space="preserve">Binary cross-entropy loss was used as the primary training objective. A </w:t>
      </w:r>
      <w:proofErr w:type="spellStart"/>
      <w:r>
        <w:rPr>
          <w:smallCaps w:val="0"/>
          <w:sz w:val="20"/>
          <w:szCs w:val="20"/>
        </w:rPr>
        <w:t>ReduceLROnPlateau</w:t>
      </w:r>
      <w:proofErr w:type="spellEnd"/>
      <w:r>
        <w:rPr>
          <w:smallCaps w:val="0"/>
          <w:sz w:val="20"/>
          <w:szCs w:val="20"/>
        </w:rPr>
        <w:t xml:space="preserve"> scheduler monitored the validation loss and reduced the learning rate by a factor of 0.5 when no improvement was observed for five consecutive epochs, facilitating fine-grained convergence. Early stopping was applied with a patience of 10 epochs to prevent overfitting. The model was trained on a single GPU (NVIDIA Tesla T4) for 30 epochs with a batch size of 32. The best checkpoint was selected based on validation AUC-ROC.</w:t>
      </w:r>
    </w:p>
    <w:p w14:paraId="3188B90D" w14:textId="77777777" w:rsidR="009B4E75" w:rsidRDefault="00000000">
      <w:pPr>
        <w:pStyle w:val="Heading1"/>
      </w:pPr>
      <w:r>
        <w:t>Experiment Setup</w:t>
      </w:r>
    </w:p>
    <w:p w14:paraId="652FFAF7" w14:textId="77777777" w:rsidR="009B4E75" w:rsidRDefault="00000000">
      <w:pPr>
        <w:pStyle w:val="Heading2"/>
      </w:pPr>
      <w:r>
        <w:t>Dataset</w:t>
      </w:r>
    </w:p>
    <w:p w14:paraId="7CBBCE5D" w14:textId="77777777" w:rsidR="009B4E75" w:rsidRDefault="00000000">
      <w:pPr>
        <w:pStyle w:val="tablehead"/>
        <w:numPr>
          <w:ilvl w:val="0"/>
          <w:numId w:val="0"/>
        </w:numPr>
        <w:ind w:firstLine="720"/>
        <w:jc w:val="both"/>
        <w:rPr>
          <w:smallCaps w:val="0"/>
          <w:sz w:val="20"/>
          <w:szCs w:val="20"/>
        </w:rPr>
      </w:pPr>
      <w:r>
        <w:rPr>
          <w:smallCaps w:val="0"/>
          <w:sz w:val="20"/>
          <w:szCs w:val="20"/>
        </w:rPr>
        <w:t>For this research, contrast-enhanced computed tomography (CT) scans of patient cases of pancreatic ductal adenocarcinoma (PDAC) are used. These patient cases are obtained from publicly accessible medical image resources. The main dataset used in this research is images of patient cases of metastatic and non-metastatic abdominal computed tomography scans. These images are obtained during the venous phase.</w:t>
      </w:r>
    </w:p>
    <w:p w14:paraId="4BE8B08F" w14:textId="77777777" w:rsidR="009B4E75" w:rsidRDefault="00000000">
      <w:pPr>
        <w:pStyle w:val="tablehead"/>
        <w:numPr>
          <w:ilvl w:val="0"/>
          <w:numId w:val="0"/>
        </w:numPr>
        <w:jc w:val="both"/>
      </w:pPr>
      <w:r>
        <w:t>Dataset Distribution:</w:t>
      </w:r>
    </w:p>
    <w:tbl>
      <w:tblPr>
        <w:tblW w:w="50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8"/>
        <w:gridCol w:w="1819"/>
        <w:gridCol w:w="1819"/>
      </w:tblGrid>
      <w:tr w:rsidR="009B4E75" w14:paraId="52C271EB" w14:textId="77777777">
        <w:trPr>
          <w:trHeight w:val="313"/>
        </w:trPr>
        <w:tc>
          <w:tcPr>
            <w:tcW w:w="1428" w:type="dxa"/>
          </w:tcPr>
          <w:p w14:paraId="38CA31A5" w14:textId="77777777" w:rsidR="009B4E75" w:rsidRDefault="00000000">
            <w:pPr>
              <w:pStyle w:val="TableParagraph"/>
              <w:spacing w:line="197" w:lineRule="exact"/>
              <w:ind w:left="0"/>
              <w:jc w:val="both"/>
              <w:rPr>
                <w:sz w:val="20"/>
                <w:szCs w:val="20"/>
              </w:rPr>
            </w:pPr>
            <w:r>
              <w:rPr>
                <w:bCs/>
                <w:spacing w:val="-2"/>
                <w:sz w:val="20"/>
                <w:szCs w:val="20"/>
              </w:rPr>
              <w:t>Train:</w:t>
            </w:r>
          </w:p>
        </w:tc>
        <w:tc>
          <w:tcPr>
            <w:tcW w:w="1819" w:type="dxa"/>
          </w:tcPr>
          <w:p w14:paraId="3FDF5CA9" w14:textId="77777777" w:rsidR="009B4E75" w:rsidRDefault="00000000">
            <w:pPr>
              <w:pStyle w:val="TableParagraph"/>
              <w:spacing w:line="197" w:lineRule="exact"/>
              <w:ind w:left="105"/>
              <w:jc w:val="both"/>
              <w:rPr>
                <w:sz w:val="20"/>
                <w:szCs w:val="20"/>
              </w:rPr>
            </w:pPr>
            <w:r>
              <w:rPr>
                <w:bCs/>
                <w:spacing w:val="-2"/>
                <w:sz w:val="20"/>
                <w:szCs w:val="20"/>
              </w:rPr>
              <w:t>Cancer</w:t>
            </w:r>
            <w:r>
              <w:rPr>
                <w:bCs/>
                <w:spacing w:val="-2"/>
              </w:rPr>
              <w:t xml:space="preserve"> </w:t>
            </w:r>
            <w:r>
              <w:rPr>
                <w:bCs/>
                <w:spacing w:val="-2"/>
                <w:sz w:val="20"/>
                <w:szCs w:val="20"/>
              </w:rPr>
              <w:t>=</w:t>
            </w:r>
            <w:r>
              <w:rPr>
                <w:bCs/>
                <w:spacing w:val="-2"/>
              </w:rPr>
              <w:t xml:space="preserve"> </w:t>
            </w:r>
            <w:r>
              <w:rPr>
                <w:bCs/>
                <w:spacing w:val="-2"/>
                <w:sz w:val="20"/>
                <w:szCs w:val="20"/>
              </w:rPr>
              <w:t xml:space="preserve">300                    </w:t>
            </w:r>
            <w:r>
              <w:rPr>
                <w:bCs/>
                <w:spacing w:val="-2"/>
              </w:rPr>
              <w:t xml:space="preserve"> </w:t>
            </w:r>
          </w:p>
        </w:tc>
        <w:tc>
          <w:tcPr>
            <w:tcW w:w="1819" w:type="dxa"/>
          </w:tcPr>
          <w:p w14:paraId="76F29170" w14:textId="77777777" w:rsidR="009B4E75" w:rsidRDefault="00000000">
            <w:pPr>
              <w:pStyle w:val="TableParagraph"/>
              <w:spacing w:line="197" w:lineRule="exact"/>
              <w:ind w:left="105"/>
              <w:jc w:val="both"/>
              <w:rPr>
                <w:b/>
                <w:bCs/>
                <w:sz w:val="20"/>
                <w:szCs w:val="20"/>
                <w:lang w:val="en-IN"/>
              </w:rPr>
            </w:pPr>
            <w:r>
              <w:rPr>
                <w:bCs/>
                <w:spacing w:val="-2"/>
                <w:sz w:val="20"/>
                <w:szCs w:val="20"/>
              </w:rPr>
              <w:t>Normal</w:t>
            </w:r>
            <w:r>
              <w:rPr>
                <w:bCs/>
                <w:spacing w:val="-2"/>
              </w:rPr>
              <w:t xml:space="preserve"> </w:t>
            </w:r>
            <w:r>
              <w:rPr>
                <w:bCs/>
                <w:spacing w:val="-2"/>
                <w:sz w:val="20"/>
                <w:szCs w:val="20"/>
              </w:rPr>
              <w:t>=</w:t>
            </w:r>
            <w:r>
              <w:rPr>
                <w:bCs/>
                <w:spacing w:val="-2"/>
              </w:rPr>
              <w:t xml:space="preserve"> </w:t>
            </w:r>
            <w:r>
              <w:rPr>
                <w:bCs/>
                <w:spacing w:val="-2"/>
                <w:sz w:val="20"/>
                <w:szCs w:val="20"/>
              </w:rPr>
              <w:t>300</w:t>
            </w:r>
          </w:p>
        </w:tc>
      </w:tr>
      <w:tr w:rsidR="009B4E75" w14:paraId="245153C4" w14:textId="77777777">
        <w:trPr>
          <w:trHeight w:val="331"/>
        </w:trPr>
        <w:tc>
          <w:tcPr>
            <w:tcW w:w="1428" w:type="dxa"/>
          </w:tcPr>
          <w:p w14:paraId="08992482" w14:textId="77777777" w:rsidR="009B4E75" w:rsidRDefault="00000000">
            <w:pPr>
              <w:pStyle w:val="TableParagraph"/>
              <w:spacing w:line="192" w:lineRule="exact"/>
              <w:ind w:left="0"/>
              <w:jc w:val="both"/>
              <w:rPr>
                <w:sz w:val="20"/>
                <w:szCs w:val="20"/>
              </w:rPr>
            </w:pPr>
            <w:r>
              <w:rPr>
                <w:bCs/>
                <w:spacing w:val="-2"/>
                <w:sz w:val="20"/>
                <w:szCs w:val="20"/>
              </w:rPr>
              <w:t>Validation:</w:t>
            </w:r>
          </w:p>
        </w:tc>
        <w:tc>
          <w:tcPr>
            <w:tcW w:w="1819" w:type="dxa"/>
          </w:tcPr>
          <w:p w14:paraId="761A446C" w14:textId="77777777" w:rsidR="009B4E75" w:rsidRDefault="00000000">
            <w:pPr>
              <w:pStyle w:val="TableParagraph"/>
              <w:spacing w:line="192" w:lineRule="exact"/>
              <w:ind w:left="105"/>
              <w:jc w:val="both"/>
              <w:rPr>
                <w:sz w:val="20"/>
                <w:szCs w:val="20"/>
              </w:rPr>
            </w:pPr>
            <w:r>
              <w:rPr>
                <w:bCs/>
                <w:spacing w:val="-2"/>
                <w:sz w:val="20"/>
                <w:szCs w:val="20"/>
              </w:rPr>
              <w:t>Cancer</w:t>
            </w:r>
            <w:r>
              <w:rPr>
                <w:bCs/>
                <w:spacing w:val="-2"/>
              </w:rPr>
              <w:t xml:space="preserve"> </w:t>
            </w:r>
            <w:r>
              <w:rPr>
                <w:bCs/>
                <w:spacing w:val="-2"/>
                <w:sz w:val="20"/>
                <w:szCs w:val="20"/>
              </w:rPr>
              <w:t>=</w:t>
            </w:r>
            <w:r>
              <w:rPr>
                <w:bCs/>
                <w:spacing w:val="-2"/>
              </w:rPr>
              <w:t xml:space="preserve"> </w:t>
            </w:r>
            <w:r>
              <w:rPr>
                <w:bCs/>
                <w:spacing w:val="-2"/>
                <w:sz w:val="20"/>
                <w:szCs w:val="20"/>
              </w:rPr>
              <w:t xml:space="preserve">75                       </w:t>
            </w:r>
          </w:p>
        </w:tc>
        <w:tc>
          <w:tcPr>
            <w:tcW w:w="1819" w:type="dxa"/>
          </w:tcPr>
          <w:p w14:paraId="68BFE216" w14:textId="77777777" w:rsidR="009B4E75" w:rsidRDefault="00000000">
            <w:pPr>
              <w:pStyle w:val="TableParagraph"/>
              <w:spacing w:line="192" w:lineRule="exact"/>
              <w:ind w:left="105"/>
              <w:jc w:val="both"/>
              <w:rPr>
                <w:sz w:val="20"/>
                <w:szCs w:val="20"/>
                <w:lang w:val="en-IN"/>
              </w:rPr>
            </w:pPr>
            <w:r>
              <w:rPr>
                <w:bCs/>
                <w:spacing w:val="-2"/>
                <w:sz w:val="20"/>
                <w:szCs w:val="20"/>
              </w:rPr>
              <w:t>Normal</w:t>
            </w:r>
            <w:r>
              <w:rPr>
                <w:bCs/>
                <w:spacing w:val="-2"/>
              </w:rPr>
              <w:t xml:space="preserve"> </w:t>
            </w:r>
            <w:r>
              <w:rPr>
                <w:bCs/>
                <w:spacing w:val="-2"/>
                <w:sz w:val="20"/>
                <w:szCs w:val="20"/>
              </w:rPr>
              <w:t>=</w:t>
            </w:r>
            <w:r>
              <w:rPr>
                <w:bCs/>
                <w:spacing w:val="-2"/>
              </w:rPr>
              <w:t xml:space="preserve"> </w:t>
            </w:r>
            <w:r>
              <w:rPr>
                <w:bCs/>
                <w:spacing w:val="-2"/>
                <w:sz w:val="20"/>
                <w:szCs w:val="20"/>
              </w:rPr>
              <w:t>75</w:t>
            </w:r>
          </w:p>
        </w:tc>
      </w:tr>
      <w:tr w:rsidR="009B4E75" w14:paraId="3797E6BF" w14:textId="77777777">
        <w:trPr>
          <w:trHeight w:val="313"/>
        </w:trPr>
        <w:tc>
          <w:tcPr>
            <w:tcW w:w="1428" w:type="dxa"/>
          </w:tcPr>
          <w:p w14:paraId="5F073DA6" w14:textId="77777777" w:rsidR="009B4E75" w:rsidRDefault="00000000">
            <w:pPr>
              <w:pStyle w:val="TableParagraph"/>
              <w:spacing w:line="192" w:lineRule="exact"/>
              <w:ind w:left="0"/>
              <w:jc w:val="both"/>
              <w:rPr>
                <w:sz w:val="20"/>
                <w:szCs w:val="20"/>
              </w:rPr>
            </w:pPr>
            <w:r>
              <w:rPr>
                <w:bCs/>
                <w:spacing w:val="-2"/>
                <w:sz w:val="20"/>
                <w:szCs w:val="20"/>
              </w:rPr>
              <w:t>Test:</w:t>
            </w:r>
          </w:p>
        </w:tc>
        <w:tc>
          <w:tcPr>
            <w:tcW w:w="1819" w:type="dxa"/>
          </w:tcPr>
          <w:p w14:paraId="33D4F308" w14:textId="77777777" w:rsidR="009B4E75" w:rsidRDefault="00000000">
            <w:pPr>
              <w:pStyle w:val="TableParagraph"/>
              <w:spacing w:line="192" w:lineRule="exact"/>
              <w:ind w:left="105"/>
              <w:jc w:val="both"/>
              <w:rPr>
                <w:sz w:val="20"/>
                <w:szCs w:val="20"/>
              </w:rPr>
            </w:pPr>
            <w:r>
              <w:rPr>
                <w:bCs/>
                <w:spacing w:val="-2"/>
                <w:sz w:val="20"/>
                <w:szCs w:val="20"/>
              </w:rPr>
              <w:t>Cancer</w:t>
            </w:r>
            <w:r>
              <w:rPr>
                <w:bCs/>
                <w:spacing w:val="-2"/>
              </w:rPr>
              <w:t xml:space="preserve"> </w:t>
            </w:r>
            <w:r>
              <w:rPr>
                <w:bCs/>
                <w:spacing w:val="-2"/>
                <w:sz w:val="20"/>
                <w:szCs w:val="20"/>
              </w:rPr>
              <w:t>=</w:t>
            </w:r>
            <w:r>
              <w:rPr>
                <w:bCs/>
                <w:spacing w:val="-2"/>
              </w:rPr>
              <w:t xml:space="preserve"> </w:t>
            </w:r>
            <w:r>
              <w:rPr>
                <w:bCs/>
                <w:spacing w:val="-2"/>
                <w:sz w:val="20"/>
                <w:szCs w:val="20"/>
              </w:rPr>
              <w:t xml:space="preserve">75                       </w:t>
            </w:r>
          </w:p>
        </w:tc>
        <w:tc>
          <w:tcPr>
            <w:tcW w:w="1819" w:type="dxa"/>
          </w:tcPr>
          <w:p w14:paraId="0B7C38B3" w14:textId="77777777" w:rsidR="009B4E75" w:rsidRDefault="00000000">
            <w:pPr>
              <w:pStyle w:val="TableParagraph"/>
              <w:spacing w:line="192" w:lineRule="exact"/>
              <w:ind w:left="105"/>
              <w:jc w:val="both"/>
              <w:rPr>
                <w:sz w:val="20"/>
                <w:szCs w:val="20"/>
                <w:lang w:val="en-IN"/>
              </w:rPr>
            </w:pPr>
            <w:r>
              <w:rPr>
                <w:bCs/>
                <w:spacing w:val="-2"/>
                <w:sz w:val="20"/>
                <w:szCs w:val="20"/>
              </w:rPr>
              <w:t>Normal</w:t>
            </w:r>
            <w:r>
              <w:rPr>
                <w:bCs/>
                <w:spacing w:val="-2"/>
              </w:rPr>
              <w:t xml:space="preserve"> </w:t>
            </w:r>
            <w:r>
              <w:rPr>
                <w:bCs/>
                <w:spacing w:val="-2"/>
                <w:sz w:val="20"/>
                <w:szCs w:val="20"/>
              </w:rPr>
              <w:t>=</w:t>
            </w:r>
            <w:r>
              <w:rPr>
                <w:bCs/>
                <w:spacing w:val="-2"/>
              </w:rPr>
              <w:t xml:space="preserve"> </w:t>
            </w:r>
            <w:r>
              <w:rPr>
                <w:bCs/>
                <w:spacing w:val="-2"/>
                <w:sz w:val="20"/>
                <w:szCs w:val="20"/>
              </w:rPr>
              <w:t>75</w:t>
            </w:r>
          </w:p>
        </w:tc>
      </w:tr>
      <w:tr w:rsidR="009B4E75" w14:paraId="1F93679B" w14:textId="77777777">
        <w:trPr>
          <w:trHeight w:val="313"/>
        </w:trPr>
        <w:tc>
          <w:tcPr>
            <w:tcW w:w="1428" w:type="dxa"/>
          </w:tcPr>
          <w:p w14:paraId="597BFE4F" w14:textId="77777777" w:rsidR="009B4E75" w:rsidRDefault="00000000">
            <w:pPr>
              <w:pStyle w:val="TableParagraph"/>
              <w:spacing w:line="192" w:lineRule="exact"/>
              <w:ind w:left="0"/>
              <w:jc w:val="both"/>
              <w:rPr>
                <w:sz w:val="20"/>
                <w:szCs w:val="20"/>
              </w:rPr>
            </w:pPr>
            <w:r>
              <w:rPr>
                <w:bCs/>
                <w:spacing w:val="-2"/>
                <w:sz w:val="20"/>
                <w:szCs w:val="20"/>
              </w:rPr>
              <w:t>Total:</w:t>
            </w:r>
          </w:p>
        </w:tc>
        <w:tc>
          <w:tcPr>
            <w:tcW w:w="1819" w:type="dxa"/>
          </w:tcPr>
          <w:p w14:paraId="04D7FD23" w14:textId="77777777" w:rsidR="009B4E75" w:rsidRDefault="00000000">
            <w:pPr>
              <w:pStyle w:val="TableParagraph"/>
              <w:spacing w:line="192" w:lineRule="exact"/>
              <w:ind w:left="105"/>
              <w:jc w:val="both"/>
              <w:rPr>
                <w:sz w:val="20"/>
                <w:szCs w:val="20"/>
              </w:rPr>
            </w:pPr>
            <w:r>
              <w:rPr>
                <w:bCs/>
                <w:spacing w:val="-2"/>
                <w:sz w:val="20"/>
                <w:szCs w:val="20"/>
              </w:rPr>
              <w:t>Cancer</w:t>
            </w:r>
            <w:r>
              <w:rPr>
                <w:bCs/>
                <w:spacing w:val="-2"/>
              </w:rPr>
              <w:t xml:space="preserve"> = </w:t>
            </w:r>
            <w:r>
              <w:rPr>
                <w:bCs/>
                <w:spacing w:val="-2"/>
                <w:sz w:val="20"/>
                <w:szCs w:val="20"/>
              </w:rPr>
              <w:t xml:space="preserve">450                     </w:t>
            </w:r>
          </w:p>
        </w:tc>
        <w:tc>
          <w:tcPr>
            <w:tcW w:w="1819" w:type="dxa"/>
          </w:tcPr>
          <w:p w14:paraId="6D16D26C" w14:textId="77777777" w:rsidR="009B4E75" w:rsidRDefault="00000000">
            <w:pPr>
              <w:pStyle w:val="TableParagraph"/>
              <w:spacing w:line="192" w:lineRule="exact"/>
              <w:ind w:left="105"/>
              <w:jc w:val="both"/>
              <w:rPr>
                <w:sz w:val="20"/>
                <w:szCs w:val="20"/>
                <w:lang w:val="en-IN"/>
              </w:rPr>
            </w:pPr>
            <w:r>
              <w:rPr>
                <w:bCs/>
                <w:spacing w:val="-2"/>
                <w:sz w:val="20"/>
                <w:szCs w:val="20"/>
              </w:rPr>
              <w:t>Normal</w:t>
            </w:r>
            <w:r>
              <w:rPr>
                <w:bCs/>
                <w:spacing w:val="-2"/>
              </w:rPr>
              <w:t xml:space="preserve"> </w:t>
            </w:r>
            <w:r>
              <w:rPr>
                <w:bCs/>
                <w:spacing w:val="-2"/>
                <w:sz w:val="20"/>
                <w:szCs w:val="20"/>
              </w:rPr>
              <w:t>=</w:t>
            </w:r>
            <w:r>
              <w:rPr>
                <w:bCs/>
                <w:spacing w:val="-2"/>
              </w:rPr>
              <w:t xml:space="preserve"> </w:t>
            </w:r>
            <w:r>
              <w:rPr>
                <w:bCs/>
                <w:spacing w:val="-2"/>
                <w:sz w:val="20"/>
                <w:szCs w:val="20"/>
              </w:rPr>
              <w:t>450</w:t>
            </w:r>
          </w:p>
        </w:tc>
      </w:tr>
      <w:tr w:rsidR="009B4E75" w14:paraId="7D5A9984" w14:textId="77777777">
        <w:trPr>
          <w:trHeight w:val="313"/>
        </w:trPr>
        <w:tc>
          <w:tcPr>
            <w:tcW w:w="1428" w:type="dxa"/>
          </w:tcPr>
          <w:p w14:paraId="74FA6E36" w14:textId="77777777" w:rsidR="009B4E75" w:rsidRDefault="00000000">
            <w:pPr>
              <w:pStyle w:val="TableParagraph"/>
              <w:spacing w:line="192" w:lineRule="exact"/>
              <w:ind w:left="0"/>
              <w:jc w:val="both"/>
              <w:rPr>
                <w:sz w:val="20"/>
                <w:szCs w:val="20"/>
              </w:rPr>
            </w:pPr>
            <w:r>
              <w:rPr>
                <w:bCs/>
                <w:spacing w:val="-2"/>
                <w:sz w:val="20"/>
                <w:szCs w:val="20"/>
              </w:rPr>
              <w:t>Overall</w:t>
            </w:r>
            <w:r>
              <w:rPr>
                <w:bCs/>
                <w:spacing w:val="-2"/>
              </w:rPr>
              <w:t>:</w:t>
            </w:r>
          </w:p>
        </w:tc>
        <w:tc>
          <w:tcPr>
            <w:tcW w:w="1819" w:type="dxa"/>
          </w:tcPr>
          <w:p w14:paraId="466303B4" w14:textId="77777777" w:rsidR="009B4E75" w:rsidRDefault="00000000">
            <w:pPr>
              <w:pStyle w:val="TableParagraph"/>
              <w:spacing w:line="192" w:lineRule="exact"/>
              <w:ind w:left="105"/>
              <w:jc w:val="both"/>
              <w:rPr>
                <w:sz w:val="20"/>
                <w:szCs w:val="20"/>
              </w:rPr>
            </w:pPr>
            <w:r>
              <w:rPr>
                <w:bCs/>
                <w:spacing w:val="-2"/>
                <w:sz w:val="20"/>
                <w:szCs w:val="20"/>
              </w:rPr>
              <w:t>900</w:t>
            </w:r>
          </w:p>
        </w:tc>
        <w:tc>
          <w:tcPr>
            <w:tcW w:w="1819" w:type="dxa"/>
          </w:tcPr>
          <w:p w14:paraId="5F91F46B" w14:textId="77777777" w:rsidR="009B4E75" w:rsidRDefault="009B4E75">
            <w:pPr>
              <w:pStyle w:val="TableParagraph"/>
              <w:spacing w:line="192" w:lineRule="exact"/>
              <w:ind w:left="105"/>
              <w:jc w:val="both"/>
              <w:rPr>
                <w:sz w:val="20"/>
                <w:szCs w:val="20"/>
                <w:lang w:val="en-IN"/>
              </w:rPr>
            </w:pPr>
          </w:p>
        </w:tc>
      </w:tr>
    </w:tbl>
    <w:p w14:paraId="17C04555" w14:textId="77777777" w:rsidR="009B4E75" w:rsidRDefault="00000000">
      <w:pPr>
        <w:pStyle w:val="tablehead"/>
        <w:numPr>
          <w:ilvl w:val="0"/>
          <w:numId w:val="0"/>
        </w:numPr>
        <w:ind w:firstLine="720"/>
        <w:jc w:val="both"/>
        <w:rPr>
          <w:smallCaps w:val="0"/>
          <w:sz w:val="20"/>
          <w:szCs w:val="20"/>
        </w:rPr>
      </w:pPr>
      <w:r>
        <w:rPr>
          <w:smallCaps w:val="0"/>
          <w:sz w:val="20"/>
          <w:szCs w:val="20"/>
        </w:rPr>
        <w:t xml:space="preserve">All images are resized to a common size and their intensity levels are standardized to standard levels. Data augmentation techniques, including rotation, flipping, and scaling, are applied to address the class imbalance between lymph node-positive and lymph node-negative image groups. The dataset is partitioned into training, validation, and testing sets according to the </w:t>
      </w:r>
      <w:r>
        <w:rPr>
          <w:sz w:val="20"/>
          <w:szCs w:val="20"/>
        </w:rPr>
        <w:t>66.7:16.7:16.7</w:t>
      </w:r>
      <w:r>
        <w:rPr>
          <w:smallCaps w:val="0"/>
          <w:sz w:val="20"/>
          <w:szCs w:val="20"/>
        </w:rPr>
        <w:t xml:space="preserve"> split for the purpose of conducting unbiased evaluation.</w:t>
      </w:r>
    </w:p>
    <w:p w14:paraId="46308267" w14:textId="77777777" w:rsidR="009B4E75" w:rsidRDefault="00000000">
      <w:pPr>
        <w:pStyle w:val="Heading2"/>
      </w:pPr>
      <w:r>
        <w:t xml:space="preserve">Methods Used </w:t>
      </w:r>
      <w:proofErr w:type="gramStart"/>
      <w:r>
        <w:t>For</w:t>
      </w:r>
      <w:proofErr w:type="gramEnd"/>
      <w:r>
        <w:t xml:space="preserve"> Evaluation</w:t>
      </w:r>
    </w:p>
    <w:p w14:paraId="4E078FEB" w14:textId="77777777" w:rsidR="009B4E75" w:rsidRDefault="00000000">
      <w:pPr>
        <w:pStyle w:val="tablehead"/>
        <w:numPr>
          <w:ilvl w:val="0"/>
          <w:numId w:val="8"/>
        </w:numPr>
        <w:jc w:val="both"/>
        <w:rPr>
          <w:smallCaps w:val="0"/>
          <w:sz w:val="20"/>
          <w:szCs w:val="20"/>
        </w:rPr>
      </w:pPr>
      <w:r>
        <w:rPr>
          <w:smallCaps w:val="0"/>
          <w:sz w:val="20"/>
          <w:szCs w:val="20"/>
        </w:rPr>
        <w:t xml:space="preserve">The </w:t>
      </w:r>
      <w:proofErr w:type="spellStart"/>
      <w:r>
        <w:rPr>
          <w:smallCaps w:val="0"/>
          <w:sz w:val="20"/>
          <w:szCs w:val="20"/>
        </w:rPr>
        <w:t>ResNet</w:t>
      </w:r>
      <w:proofErr w:type="spellEnd"/>
      <w:r>
        <w:rPr>
          <w:smallCaps w:val="0"/>
          <w:sz w:val="20"/>
          <w:szCs w:val="20"/>
        </w:rPr>
        <w:t xml:space="preserve"> with Attention model was tested to see how well it works for image analysis. We looked at the </w:t>
      </w:r>
      <w:proofErr w:type="spellStart"/>
      <w:r>
        <w:rPr>
          <w:smallCaps w:val="0"/>
          <w:sz w:val="20"/>
          <w:szCs w:val="20"/>
        </w:rPr>
        <w:t>ResNet</w:t>
      </w:r>
      <w:proofErr w:type="spellEnd"/>
      <w:r>
        <w:rPr>
          <w:smallCaps w:val="0"/>
          <w:sz w:val="20"/>
          <w:szCs w:val="20"/>
        </w:rPr>
        <w:t xml:space="preserve"> with Attention model to see how well it classifies things. We used the accuracy metric to do this. </w:t>
      </w:r>
    </w:p>
    <w:p w14:paraId="132916CC" w14:textId="77777777" w:rsidR="009B4E75" w:rsidRDefault="00000000">
      <w:pPr>
        <w:pStyle w:val="tablehead"/>
        <w:numPr>
          <w:ilvl w:val="0"/>
          <w:numId w:val="8"/>
        </w:numPr>
        <w:jc w:val="both"/>
        <w:rPr>
          <w:smallCaps w:val="0"/>
          <w:sz w:val="20"/>
          <w:szCs w:val="20"/>
        </w:rPr>
      </w:pPr>
      <w:r>
        <w:rPr>
          <w:smallCaps w:val="0"/>
          <w:sz w:val="20"/>
          <w:szCs w:val="20"/>
        </w:rPr>
        <w:t xml:space="preserve">It is very important to see if the </w:t>
      </w:r>
      <w:proofErr w:type="spellStart"/>
      <w:r>
        <w:rPr>
          <w:smallCaps w:val="0"/>
          <w:sz w:val="20"/>
          <w:szCs w:val="20"/>
        </w:rPr>
        <w:t>ResNet</w:t>
      </w:r>
      <w:proofErr w:type="spellEnd"/>
      <w:r>
        <w:rPr>
          <w:smallCaps w:val="0"/>
          <w:sz w:val="20"/>
          <w:szCs w:val="20"/>
        </w:rPr>
        <w:t xml:space="preserve"> with Attention model can find metastasis in the lymph nodes. </w:t>
      </w:r>
      <w:proofErr w:type="gramStart"/>
      <w:r>
        <w:rPr>
          <w:smallCaps w:val="0"/>
          <w:sz w:val="20"/>
          <w:szCs w:val="20"/>
        </w:rPr>
        <w:t>So</w:t>
      </w:r>
      <w:proofErr w:type="gramEnd"/>
      <w:r>
        <w:rPr>
          <w:smallCaps w:val="0"/>
          <w:sz w:val="20"/>
          <w:szCs w:val="20"/>
        </w:rPr>
        <w:t xml:space="preserve"> we used the sensitivity of the </w:t>
      </w:r>
      <w:proofErr w:type="spellStart"/>
      <w:r>
        <w:rPr>
          <w:smallCaps w:val="0"/>
          <w:sz w:val="20"/>
          <w:szCs w:val="20"/>
        </w:rPr>
        <w:t>ResNet</w:t>
      </w:r>
      <w:proofErr w:type="spellEnd"/>
      <w:r>
        <w:rPr>
          <w:smallCaps w:val="0"/>
          <w:sz w:val="20"/>
          <w:szCs w:val="20"/>
        </w:rPr>
        <w:t xml:space="preserve"> with Attention model as a metric. </w:t>
      </w:r>
    </w:p>
    <w:p w14:paraId="2A5C3D38" w14:textId="77777777" w:rsidR="009B4E75" w:rsidRDefault="00000000">
      <w:pPr>
        <w:pStyle w:val="tablehead"/>
        <w:numPr>
          <w:ilvl w:val="0"/>
          <w:numId w:val="8"/>
        </w:numPr>
        <w:jc w:val="both"/>
        <w:rPr>
          <w:smallCaps w:val="0"/>
          <w:sz w:val="20"/>
          <w:szCs w:val="20"/>
        </w:rPr>
      </w:pPr>
      <w:r>
        <w:rPr>
          <w:smallCaps w:val="0"/>
          <w:sz w:val="20"/>
          <w:szCs w:val="20"/>
        </w:rPr>
        <w:t xml:space="preserve">It is also very important to see if the </w:t>
      </w:r>
      <w:proofErr w:type="spellStart"/>
      <w:r>
        <w:rPr>
          <w:smallCaps w:val="0"/>
          <w:sz w:val="20"/>
          <w:szCs w:val="20"/>
        </w:rPr>
        <w:t>ResNet</w:t>
      </w:r>
      <w:proofErr w:type="spellEnd"/>
      <w:r>
        <w:rPr>
          <w:smallCaps w:val="0"/>
          <w:sz w:val="20"/>
          <w:szCs w:val="20"/>
        </w:rPr>
        <w:t xml:space="preserve"> with Attention model can find when there is no metastasis. </w:t>
      </w:r>
      <w:proofErr w:type="gramStart"/>
      <w:r>
        <w:rPr>
          <w:smallCaps w:val="0"/>
          <w:sz w:val="20"/>
          <w:szCs w:val="20"/>
        </w:rPr>
        <w:t>So</w:t>
      </w:r>
      <w:proofErr w:type="gramEnd"/>
      <w:r>
        <w:rPr>
          <w:smallCaps w:val="0"/>
          <w:sz w:val="20"/>
          <w:szCs w:val="20"/>
        </w:rPr>
        <w:t xml:space="preserve"> we used the specificity of the </w:t>
      </w:r>
      <w:proofErr w:type="spellStart"/>
      <w:r>
        <w:rPr>
          <w:smallCaps w:val="0"/>
          <w:sz w:val="20"/>
          <w:szCs w:val="20"/>
        </w:rPr>
        <w:t>ResNet</w:t>
      </w:r>
      <w:proofErr w:type="spellEnd"/>
      <w:r>
        <w:rPr>
          <w:smallCaps w:val="0"/>
          <w:sz w:val="20"/>
          <w:szCs w:val="20"/>
        </w:rPr>
        <w:t xml:space="preserve"> with Attention model as a metric. </w:t>
      </w:r>
    </w:p>
    <w:p w14:paraId="2FA54E28" w14:textId="77777777" w:rsidR="009B4E75" w:rsidRDefault="00000000">
      <w:pPr>
        <w:pStyle w:val="tablehead"/>
        <w:numPr>
          <w:ilvl w:val="0"/>
          <w:numId w:val="8"/>
        </w:numPr>
        <w:jc w:val="both"/>
        <w:rPr>
          <w:smallCaps w:val="0"/>
          <w:sz w:val="20"/>
          <w:szCs w:val="20"/>
        </w:rPr>
      </w:pPr>
      <w:r>
        <w:rPr>
          <w:smallCaps w:val="0"/>
          <w:sz w:val="20"/>
          <w:szCs w:val="20"/>
        </w:rPr>
        <w:t xml:space="preserve">We used the precision of the </w:t>
      </w:r>
      <w:proofErr w:type="spellStart"/>
      <w:r>
        <w:rPr>
          <w:smallCaps w:val="0"/>
          <w:sz w:val="20"/>
          <w:szCs w:val="20"/>
        </w:rPr>
        <w:t>ResNet</w:t>
      </w:r>
      <w:proofErr w:type="spellEnd"/>
      <w:r>
        <w:rPr>
          <w:smallCaps w:val="0"/>
          <w:sz w:val="20"/>
          <w:szCs w:val="20"/>
        </w:rPr>
        <w:t xml:space="preserve"> with Attention model and the F1 score to see if the </w:t>
      </w:r>
      <w:proofErr w:type="spellStart"/>
      <w:r>
        <w:rPr>
          <w:smallCaps w:val="0"/>
          <w:sz w:val="20"/>
          <w:szCs w:val="20"/>
        </w:rPr>
        <w:t>ResNet</w:t>
      </w:r>
      <w:proofErr w:type="spellEnd"/>
      <w:r>
        <w:rPr>
          <w:smallCaps w:val="0"/>
          <w:sz w:val="20"/>
          <w:szCs w:val="20"/>
        </w:rPr>
        <w:t xml:space="preserve"> with Attention model can balance positives and false negatives. </w:t>
      </w:r>
    </w:p>
    <w:p w14:paraId="73B432F0" w14:textId="77777777" w:rsidR="009B4E75" w:rsidRDefault="00000000">
      <w:pPr>
        <w:pStyle w:val="tablehead"/>
        <w:numPr>
          <w:ilvl w:val="0"/>
          <w:numId w:val="8"/>
        </w:numPr>
        <w:jc w:val="both"/>
        <w:rPr>
          <w:smallCaps w:val="0"/>
          <w:sz w:val="20"/>
          <w:szCs w:val="20"/>
        </w:rPr>
      </w:pPr>
      <w:r>
        <w:rPr>
          <w:smallCaps w:val="0"/>
          <w:sz w:val="20"/>
          <w:szCs w:val="20"/>
        </w:rPr>
        <w:t xml:space="preserve">The Area Under the Receiver Operating Characteristic Curve was used to see how well the </w:t>
      </w:r>
      <w:proofErr w:type="spellStart"/>
      <w:r>
        <w:rPr>
          <w:smallCaps w:val="0"/>
          <w:sz w:val="20"/>
          <w:szCs w:val="20"/>
        </w:rPr>
        <w:t>ResNet</w:t>
      </w:r>
      <w:proofErr w:type="spellEnd"/>
      <w:r>
        <w:rPr>
          <w:smallCaps w:val="0"/>
          <w:sz w:val="20"/>
          <w:szCs w:val="20"/>
        </w:rPr>
        <w:t xml:space="preserve"> with Attention model can tell things apart. </w:t>
      </w:r>
    </w:p>
    <w:p w14:paraId="63131C4B" w14:textId="77777777" w:rsidR="009B4E75" w:rsidRDefault="00000000">
      <w:pPr>
        <w:pStyle w:val="tablehead"/>
        <w:numPr>
          <w:ilvl w:val="0"/>
          <w:numId w:val="8"/>
        </w:numPr>
        <w:jc w:val="both"/>
        <w:rPr>
          <w:smallCaps w:val="0"/>
          <w:sz w:val="20"/>
          <w:szCs w:val="20"/>
        </w:rPr>
      </w:pPr>
      <w:r>
        <w:rPr>
          <w:smallCaps w:val="0"/>
          <w:sz w:val="20"/>
          <w:szCs w:val="20"/>
        </w:rPr>
        <w:t xml:space="preserve">The </w:t>
      </w:r>
      <w:proofErr w:type="spellStart"/>
      <w:r>
        <w:rPr>
          <w:smallCaps w:val="0"/>
          <w:sz w:val="20"/>
          <w:szCs w:val="20"/>
        </w:rPr>
        <w:t>ResNet</w:t>
      </w:r>
      <w:proofErr w:type="spellEnd"/>
      <w:r>
        <w:rPr>
          <w:smallCaps w:val="0"/>
          <w:sz w:val="20"/>
          <w:szCs w:val="20"/>
        </w:rPr>
        <w:t xml:space="preserve"> with Attention model was compared to the baseline model which's the </w:t>
      </w:r>
      <w:proofErr w:type="spellStart"/>
      <w:r>
        <w:rPr>
          <w:smallCaps w:val="0"/>
          <w:sz w:val="20"/>
          <w:szCs w:val="20"/>
        </w:rPr>
        <w:t>ResNet</w:t>
      </w:r>
      <w:proofErr w:type="spellEnd"/>
      <w:r>
        <w:rPr>
          <w:smallCaps w:val="0"/>
          <w:sz w:val="20"/>
          <w:szCs w:val="20"/>
        </w:rPr>
        <w:t xml:space="preserve"> model, without the attention mechanism to see which one works better.</w:t>
      </w:r>
    </w:p>
    <w:p w14:paraId="6F3153DE" w14:textId="77777777" w:rsidR="009B4E75" w:rsidRDefault="00000000">
      <w:pPr>
        <w:pStyle w:val="tablehead"/>
        <w:numPr>
          <w:ilvl w:val="0"/>
          <w:numId w:val="0"/>
        </w:numPr>
        <w:jc w:val="both"/>
      </w:pPr>
      <w:r>
        <w:lastRenderedPageBreak/>
        <w:t>Training Parameters:</w:t>
      </w:r>
    </w:p>
    <w:tbl>
      <w:tblPr>
        <w:tblW w:w="4227" w:type="dxa"/>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59"/>
        <w:gridCol w:w="2368"/>
      </w:tblGrid>
      <w:tr w:rsidR="009B4E75" w14:paraId="347AA831" w14:textId="77777777">
        <w:trPr>
          <w:trHeight w:val="316"/>
        </w:trPr>
        <w:tc>
          <w:tcPr>
            <w:tcW w:w="1859" w:type="dxa"/>
          </w:tcPr>
          <w:p w14:paraId="526B57B2" w14:textId="77777777" w:rsidR="009B4E75" w:rsidRDefault="00000000">
            <w:pPr>
              <w:pStyle w:val="TableParagraph"/>
              <w:spacing w:line="197" w:lineRule="exact"/>
              <w:jc w:val="both"/>
              <w:rPr>
                <w:b/>
                <w:sz w:val="20"/>
                <w:szCs w:val="20"/>
              </w:rPr>
            </w:pPr>
            <w:r>
              <w:rPr>
                <w:b/>
                <w:bCs/>
                <w:sz w:val="20"/>
                <w:szCs w:val="20"/>
                <w:lang w:val="en-IN"/>
              </w:rPr>
              <w:t>Parameter</w:t>
            </w:r>
          </w:p>
        </w:tc>
        <w:tc>
          <w:tcPr>
            <w:tcW w:w="2368" w:type="dxa"/>
          </w:tcPr>
          <w:p w14:paraId="7B101ECD" w14:textId="77777777" w:rsidR="009B4E75" w:rsidRDefault="00000000">
            <w:pPr>
              <w:pStyle w:val="TableParagraph"/>
              <w:spacing w:line="197" w:lineRule="exact"/>
              <w:ind w:left="105"/>
              <w:jc w:val="both"/>
              <w:rPr>
                <w:b/>
                <w:sz w:val="20"/>
                <w:szCs w:val="20"/>
              </w:rPr>
            </w:pPr>
            <w:r>
              <w:rPr>
                <w:b/>
                <w:bCs/>
                <w:sz w:val="20"/>
                <w:szCs w:val="20"/>
                <w:lang w:val="en-IN"/>
              </w:rPr>
              <w:t>Value</w:t>
            </w:r>
          </w:p>
        </w:tc>
      </w:tr>
      <w:tr w:rsidR="009B4E75" w14:paraId="0C891A84" w14:textId="77777777">
        <w:trPr>
          <w:trHeight w:val="335"/>
        </w:trPr>
        <w:tc>
          <w:tcPr>
            <w:tcW w:w="1859" w:type="dxa"/>
          </w:tcPr>
          <w:p w14:paraId="6093343E" w14:textId="77777777" w:rsidR="009B4E75" w:rsidRDefault="00000000">
            <w:pPr>
              <w:pStyle w:val="TableParagraph"/>
              <w:spacing w:line="192" w:lineRule="exact"/>
              <w:jc w:val="both"/>
              <w:rPr>
                <w:sz w:val="20"/>
                <w:szCs w:val="20"/>
              </w:rPr>
            </w:pPr>
            <w:r>
              <w:rPr>
                <w:sz w:val="20"/>
                <w:szCs w:val="20"/>
                <w:lang w:val="en-IN"/>
              </w:rPr>
              <w:t>Backbone model</w:t>
            </w:r>
          </w:p>
        </w:tc>
        <w:tc>
          <w:tcPr>
            <w:tcW w:w="2368" w:type="dxa"/>
          </w:tcPr>
          <w:p w14:paraId="0A482391" w14:textId="77777777" w:rsidR="009B4E75" w:rsidRDefault="00000000">
            <w:pPr>
              <w:pStyle w:val="TableParagraph"/>
              <w:spacing w:line="192" w:lineRule="exact"/>
              <w:ind w:left="105"/>
              <w:jc w:val="both"/>
              <w:rPr>
                <w:sz w:val="20"/>
                <w:szCs w:val="20"/>
              </w:rPr>
            </w:pPr>
            <w:r>
              <w:rPr>
                <w:sz w:val="20"/>
                <w:szCs w:val="20"/>
                <w:lang w:val="en-IN"/>
              </w:rPr>
              <w:t>ResNET-50</w:t>
            </w:r>
          </w:p>
        </w:tc>
      </w:tr>
      <w:tr w:rsidR="009B4E75" w14:paraId="58B1F092" w14:textId="77777777">
        <w:trPr>
          <w:trHeight w:val="316"/>
        </w:trPr>
        <w:tc>
          <w:tcPr>
            <w:tcW w:w="1859" w:type="dxa"/>
          </w:tcPr>
          <w:p w14:paraId="02CAED35" w14:textId="77777777" w:rsidR="009B4E75" w:rsidRDefault="00000000">
            <w:pPr>
              <w:pStyle w:val="TableParagraph"/>
              <w:spacing w:line="192" w:lineRule="exact"/>
              <w:jc w:val="both"/>
              <w:rPr>
                <w:sz w:val="20"/>
                <w:szCs w:val="20"/>
              </w:rPr>
            </w:pPr>
            <w:r>
              <w:rPr>
                <w:sz w:val="20"/>
                <w:szCs w:val="20"/>
                <w:lang w:val="en-IN"/>
              </w:rPr>
              <w:t>Input size</w:t>
            </w:r>
          </w:p>
        </w:tc>
        <w:tc>
          <w:tcPr>
            <w:tcW w:w="2368" w:type="dxa"/>
          </w:tcPr>
          <w:p w14:paraId="3DFAC705" w14:textId="77777777" w:rsidR="009B4E75" w:rsidRDefault="00000000">
            <w:pPr>
              <w:pStyle w:val="TableParagraph"/>
              <w:spacing w:line="192" w:lineRule="exact"/>
              <w:ind w:left="105"/>
              <w:jc w:val="both"/>
              <w:rPr>
                <w:sz w:val="20"/>
                <w:szCs w:val="20"/>
              </w:rPr>
            </w:pPr>
            <w:r>
              <w:rPr>
                <w:sz w:val="20"/>
                <w:szCs w:val="20"/>
                <w:lang w:val="en-IN"/>
              </w:rPr>
              <w:t>224x224</w:t>
            </w:r>
          </w:p>
        </w:tc>
      </w:tr>
      <w:tr w:rsidR="009B4E75" w14:paraId="2D98BF8E" w14:textId="77777777">
        <w:trPr>
          <w:trHeight w:val="316"/>
        </w:trPr>
        <w:tc>
          <w:tcPr>
            <w:tcW w:w="1859" w:type="dxa"/>
          </w:tcPr>
          <w:p w14:paraId="3D66F525" w14:textId="77777777" w:rsidR="009B4E75" w:rsidRDefault="00000000">
            <w:pPr>
              <w:pStyle w:val="TableParagraph"/>
              <w:spacing w:line="192" w:lineRule="exact"/>
              <w:jc w:val="both"/>
              <w:rPr>
                <w:sz w:val="20"/>
                <w:szCs w:val="20"/>
              </w:rPr>
            </w:pPr>
            <w:r>
              <w:rPr>
                <w:sz w:val="20"/>
                <w:szCs w:val="20"/>
                <w:lang w:val="en-IN"/>
              </w:rPr>
              <w:t>Learning Rate</w:t>
            </w:r>
          </w:p>
        </w:tc>
        <w:tc>
          <w:tcPr>
            <w:tcW w:w="2368" w:type="dxa"/>
          </w:tcPr>
          <w:p w14:paraId="31D759B2" w14:textId="77777777" w:rsidR="009B4E75" w:rsidRDefault="00000000">
            <w:pPr>
              <w:pStyle w:val="TableParagraph"/>
              <w:spacing w:line="192" w:lineRule="exact"/>
              <w:ind w:left="105"/>
              <w:jc w:val="both"/>
              <w:rPr>
                <w:sz w:val="20"/>
                <w:szCs w:val="20"/>
              </w:rPr>
            </w:pPr>
            <w:r>
              <w:rPr>
                <w:sz w:val="20"/>
                <w:szCs w:val="20"/>
                <w:lang w:val="en-IN"/>
              </w:rPr>
              <w:t>0.0001</w:t>
            </w:r>
          </w:p>
        </w:tc>
      </w:tr>
      <w:tr w:rsidR="009B4E75" w14:paraId="4EC8717D" w14:textId="77777777">
        <w:trPr>
          <w:trHeight w:val="316"/>
        </w:trPr>
        <w:tc>
          <w:tcPr>
            <w:tcW w:w="1859" w:type="dxa"/>
          </w:tcPr>
          <w:p w14:paraId="57F985C6" w14:textId="77777777" w:rsidR="009B4E75" w:rsidRDefault="00000000">
            <w:pPr>
              <w:pStyle w:val="TableParagraph"/>
              <w:spacing w:line="192" w:lineRule="exact"/>
              <w:jc w:val="both"/>
              <w:rPr>
                <w:sz w:val="20"/>
                <w:szCs w:val="20"/>
              </w:rPr>
            </w:pPr>
            <w:r>
              <w:rPr>
                <w:sz w:val="20"/>
                <w:szCs w:val="20"/>
                <w:lang w:val="en-IN"/>
              </w:rPr>
              <w:t>Epochs</w:t>
            </w:r>
          </w:p>
        </w:tc>
        <w:tc>
          <w:tcPr>
            <w:tcW w:w="2368" w:type="dxa"/>
          </w:tcPr>
          <w:p w14:paraId="1A8DD8F2" w14:textId="77777777" w:rsidR="009B4E75" w:rsidRDefault="00000000">
            <w:pPr>
              <w:pStyle w:val="TableParagraph"/>
              <w:spacing w:line="192" w:lineRule="exact"/>
              <w:ind w:left="105"/>
              <w:jc w:val="both"/>
              <w:rPr>
                <w:sz w:val="20"/>
                <w:szCs w:val="20"/>
              </w:rPr>
            </w:pPr>
            <w:r>
              <w:rPr>
                <w:sz w:val="20"/>
                <w:szCs w:val="20"/>
                <w:lang w:val="en-IN"/>
              </w:rPr>
              <w:t>30</w:t>
            </w:r>
          </w:p>
        </w:tc>
      </w:tr>
    </w:tbl>
    <w:p w14:paraId="7AB69D60" w14:textId="77777777" w:rsidR="009B4E75" w:rsidRDefault="009B4E75">
      <w:pPr>
        <w:pStyle w:val="tablehead"/>
        <w:numPr>
          <w:ilvl w:val="0"/>
          <w:numId w:val="0"/>
        </w:numPr>
        <w:jc w:val="both"/>
      </w:pPr>
    </w:p>
    <w:p w14:paraId="4AC06B54" w14:textId="77777777" w:rsidR="009B4E75" w:rsidRDefault="00000000">
      <w:pPr>
        <w:pStyle w:val="Heading2"/>
      </w:pPr>
      <w:r>
        <w:t>Results</w:t>
      </w:r>
    </w:p>
    <w:p w14:paraId="52E24E4E" w14:textId="77777777" w:rsidR="009B4E75" w:rsidRDefault="00000000">
      <w:pPr>
        <w:pStyle w:val="tablehead"/>
        <w:numPr>
          <w:ilvl w:val="0"/>
          <w:numId w:val="0"/>
        </w:numPr>
        <w:ind w:firstLine="720"/>
        <w:jc w:val="both"/>
        <w:rPr>
          <w:smallCaps w:val="0"/>
          <w:sz w:val="20"/>
          <w:szCs w:val="20"/>
        </w:rPr>
      </w:pPr>
      <w:r>
        <w:rPr>
          <w:smallCaps w:val="0"/>
          <w:sz w:val="20"/>
          <w:szCs w:val="20"/>
        </w:rPr>
        <w:t xml:space="preserve">From the results obtained in the experiments, it is clear that the proposed </w:t>
      </w:r>
      <w:proofErr w:type="spellStart"/>
      <w:r>
        <w:rPr>
          <w:smallCaps w:val="0"/>
          <w:sz w:val="20"/>
          <w:szCs w:val="20"/>
        </w:rPr>
        <w:t>ResNet</w:t>
      </w:r>
      <w:proofErr w:type="spellEnd"/>
      <w:r>
        <w:rPr>
          <w:smallCaps w:val="0"/>
          <w:sz w:val="20"/>
          <w:szCs w:val="20"/>
        </w:rPr>
        <w:t xml:space="preserve"> model integrated with the attention mechanism performs better than the baseline </w:t>
      </w:r>
      <w:proofErr w:type="spellStart"/>
      <w:r>
        <w:rPr>
          <w:smallCaps w:val="0"/>
          <w:sz w:val="20"/>
          <w:szCs w:val="20"/>
        </w:rPr>
        <w:t>ResNet</w:t>
      </w:r>
      <w:proofErr w:type="spellEnd"/>
      <w:r>
        <w:rPr>
          <w:smallCaps w:val="0"/>
          <w:sz w:val="20"/>
          <w:szCs w:val="20"/>
        </w:rPr>
        <w:t xml:space="preserve"> model in all the evaluation parameters. The proposed model integrated with the attention mechanism has a higher sensitivity value, indicating better detection of metastatic lymph nodes. The increased AUC-ROC value indicates better separation of metastatic and non-metastatic samples. The attention mechanism helps the network to focus on the important areas of the image; hence, the results are more accurate and reliable. The generalization ability of the proposed model on the test dataset is outstanding.</w:t>
      </w:r>
    </w:p>
    <w:p w14:paraId="4EE2E98A" w14:textId="77777777" w:rsidR="009B4E75" w:rsidRDefault="00000000">
      <w:pPr>
        <w:pStyle w:val="tablehead"/>
        <w:numPr>
          <w:ilvl w:val="0"/>
          <w:numId w:val="9"/>
        </w:numPr>
        <w:jc w:val="both"/>
      </w:pPr>
      <w:r>
        <w:t>Training Loss curve:</w:t>
      </w:r>
    </w:p>
    <w:p w14:paraId="72263FDA" w14:textId="77777777" w:rsidR="009B4E75" w:rsidRDefault="00000000">
      <w:pPr>
        <w:pStyle w:val="tablehead"/>
        <w:numPr>
          <w:ilvl w:val="0"/>
          <w:numId w:val="0"/>
        </w:numPr>
        <w:ind w:left="720"/>
        <w:jc w:val="both"/>
      </w:pPr>
      <w:r>
        <w:rPr>
          <w:b/>
          <w:bCs/>
          <w:noProof/>
          <w:sz w:val="20"/>
          <w:szCs w:val="20"/>
          <w:lang w:val="en-IN"/>
        </w:rPr>
        <w:drawing>
          <wp:inline distT="0" distB="0" distL="114300" distR="114300" wp14:anchorId="7B10D640" wp14:editId="4FF84DA9">
            <wp:extent cx="2753995" cy="1990725"/>
            <wp:effectExtent l="0" t="0" r="8255" b="0"/>
            <wp:docPr id="1110986439" name="Picture 1110986439" descr="Screenshot 2026-06-07 19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86439" name="Picture 1110986439" descr="Screenshot 2026-06-07 190531"/>
                    <pic:cNvPicPr>
                      <a:picLocks noChangeAspect="1"/>
                    </pic:cNvPicPr>
                  </pic:nvPicPr>
                  <pic:blipFill>
                    <a:blip r:embed="rId12"/>
                    <a:stretch>
                      <a:fillRect/>
                    </a:stretch>
                  </pic:blipFill>
                  <pic:spPr>
                    <a:xfrm>
                      <a:off x="0" y="0"/>
                      <a:ext cx="2954296" cy="2135424"/>
                    </a:xfrm>
                    <a:prstGeom prst="rect">
                      <a:avLst/>
                    </a:prstGeom>
                  </pic:spPr>
                </pic:pic>
              </a:graphicData>
            </a:graphic>
          </wp:inline>
        </w:drawing>
      </w:r>
    </w:p>
    <w:p w14:paraId="406C7D8A" w14:textId="77777777" w:rsidR="009B4E75" w:rsidRDefault="00000000">
      <w:pPr>
        <w:pStyle w:val="tablehead"/>
        <w:numPr>
          <w:ilvl w:val="0"/>
          <w:numId w:val="10"/>
        </w:numPr>
        <w:jc w:val="both"/>
      </w:pPr>
      <w:r>
        <w:t xml:space="preserve"> Evaluation:</w:t>
      </w:r>
    </w:p>
    <w:p w14:paraId="1D18EDFA" w14:textId="77777777" w:rsidR="009B4E75" w:rsidRDefault="00000000">
      <w:pPr>
        <w:pStyle w:val="tablehead"/>
        <w:numPr>
          <w:ilvl w:val="0"/>
          <w:numId w:val="11"/>
        </w:numPr>
        <w:jc w:val="both"/>
      </w:pPr>
      <w:r>
        <w:t>Confusion Matrix:</w:t>
      </w:r>
      <w:r>
        <w:rPr>
          <w:b/>
          <w:sz w:val="20"/>
          <w:szCs w:val="20"/>
        </w:rPr>
        <w:t xml:space="preserve"> </w:t>
      </w:r>
    </w:p>
    <w:p w14:paraId="606E574D" w14:textId="77777777" w:rsidR="009B4E75" w:rsidRDefault="00000000">
      <w:pPr>
        <w:pStyle w:val="tablehead"/>
        <w:numPr>
          <w:ilvl w:val="0"/>
          <w:numId w:val="0"/>
        </w:numPr>
        <w:ind w:left="1440"/>
        <w:jc w:val="both"/>
      </w:pPr>
      <w:r>
        <w:rPr>
          <w:b/>
          <w:noProof/>
          <w:sz w:val="20"/>
          <w:szCs w:val="20"/>
        </w:rPr>
        <w:drawing>
          <wp:inline distT="0" distB="0" distL="0" distR="0" wp14:anchorId="03C82257" wp14:editId="6E406F08">
            <wp:extent cx="2296795" cy="1952625"/>
            <wp:effectExtent l="0" t="0" r="8255" b="9525"/>
            <wp:docPr id="6" name="Image 6" descr="Screenshot 2025-12-23 142425"/>
            <wp:cNvGraphicFramePr/>
            <a:graphic xmlns:a="http://schemas.openxmlformats.org/drawingml/2006/main">
              <a:graphicData uri="http://schemas.openxmlformats.org/drawingml/2006/picture">
                <pic:pic xmlns:pic="http://schemas.openxmlformats.org/drawingml/2006/picture">
                  <pic:nvPicPr>
                    <pic:cNvPr id="6" name="Image 6" descr="Screenshot 2025-12-23 1424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96936" cy="1952745"/>
                    </a:xfrm>
                    <a:prstGeom prst="rect">
                      <a:avLst/>
                    </a:prstGeom>
                  </pic:spPr>
                </pic:pic>
              </a:graphicData>
            </a:graphic>
          </wp:inline>
        </w:drawing>
      </w:r>
    </w:p>
    <w:p w14:paraId="041809C1" w14:textId="77777777" w:rsidR="009B4E75" w:rsidRDefault="00000000">
      <w:pPr>
        <w:pStyle w:val="tablehead"/>
        <w:numPr>
          <w:ilvl w:val="0"/>
          <w:numId w:val="11"/>
        </w:numPr>
        <w:jc w:val="both"/>
      </w:pPr>
      <w:r>
        <w:t>ROC Curve:</w:t>
      </w:r>
    </w:p>
    <w:p w14:paraId="293AF05B" w14:textId="77777777" w:rsidR="009B4E75" w:rsidRDefault="00000000">
      <w:pPr>
        <w:pStyle w:val="tablehead"/>
        <w:numPr>
          <w:ilvl w:val="0"/>
          <w:numId w:val="0"/>
        </w:numPr>
        <w:ind w:left="1440"/>
        <w:jc w:val="both"/>
      </w:pPr>
      <w:r>
        <w:rPr>
          <w:b/>
          <w:bCs/>
          <w:noProof/>
          <w:sz w:val="20"/>
          <w:szCs w:val="20"/>
        </w:rPr>
        <w:drawing>
          <wp:inline distT="0" distB="0" distL="114300" distR="114300" wp14:anchorId="5EAB5BAB" wp14:editId="6EE8903A">
            <wp:extent cx="2257425" cy="2028825"/>
            <wp:effectExtent l="0" t="0" r="9525" b="0"/>
            <wp:docPr id="499928147" name="Picture 499928147" descr="C:/Users/nagav/OneDrive/Pictures/Screenshots/Screenshot 2026-06-07 190616.pngScreenshot 2026-06-07 19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28147" name="Picture 499928147" descr="C:/Users/nagav/OneDrive/Pictures/Screenshots/Screenshot 2026-06-07 190616.pngScreenshot 2026-06-07 190616"/>
                    <pic:cNvPicPr>
                      <a:picLocks noChangeAspect="1"/>
                    </pic:cNvPicPr>
                  </pic:nvPicPr>
                  <pic:blipFill>
                    <a:blip r:embed="rId14"/>
                    <a:srcRect l="1779" r="1779"/>
                    <a:stretch>
                      <a:fillRect/>
                    </a:stretch>
                  </pic:blipFill>
                  <pic:spPr>
                    <a:xfrm>
                      <a:off x="0" y="0"/>
                      <a:ext cx="2262389" cy="2033198"/>
                    </a:xfrm>
                    <a:prstGeom prst="rect">
                      <a:avLst/>
                    </a:prstGeom>
                  </pic:spPr>
                </pic:pic>
              </a:graphicData>
            </a:graphic>
          </wp:inline>
        </w:drawing>
      </w:r>
    </w:p>
    <w:p w14:paraId="55239239" w14:textId="77777777" w:rsidR="009B4E75" w:rsidRDefault="009B4E75">
      <w:pPr>
        <w:pStyle w:val="tablehead"/>
        <w:numPr>
          <w:ilvl w:val="0"/>
          <w:numId w:val="0"/>
        </w:numPr>
        <w:ind w:left="720"/>
        <w:jc w:val="both"/>
      </w:pPr>
    </w:p>
    <w:p w14:paraId="50AD7344" w14:textId="77777777" w:rsidR="009B4E75" w:rsidRDefault="009B4E75">
      <w:pPr>
        <w:pStyle w:val="tablehead"/>
        <w:numPr>
          <w:ilvl w:val="0"/>
          <w:numId w:val="0"/>
        </w:numPr>
        <w:ind w:left="720"/>
        <w:jc w:val="both"/>
      </w:pPr>
    </w:p>
    <w:p w14:paraId="292BDA63" w14:textId="77777777" w:rsidR="009B4E75" w:rsidRDefault="00000000">
      <w:pPr>
        <w:pStyle w:val="tablehead"/>
        <w:numPr>
          <w:ilvl w:val="0"/>
          <w:numId w:val="10"/>
        </w:numPr>
        <w:jc w:val="both"/>
      </w:pPr>
      <w:r>
        <w:t>Performance Evaluation:</w:t>
      </w:r>
    </w:p>
    <w:tbl>
      <w:tblPr>
        <w:tblStyle w:val="TableGrid"/>
        <w:tblpPr w:leftFromText="180" w:rightFromText="180" w:vertAnchor="text" w:horzAnchor="margin" w:tblpXSpec="right" w:tblpY="316"/>
        <w:tblOverlap w:val="never"/>
        <w:tblW w:w="0" w:type="auto"/>
        <w:tblLook w:val="04A0" w:firstRow="1" w:lastRow="0" w:firstColumn="1" w:lastColumn="0" w:noHBand="0" w:noVBand="1"/>
      </w:tblPr>
      <w:tblGrid>
        <w:gridCol w:w="2187"/>
        <w:gridCol w:w="2541"/>
      </w:tblGrid>
      <w:tr w:rsidR="009B4E75" w14:paraId="1E7AE33E" w14:textId="77777777">
        <w:trPr>
          <w:trHeight w:val="358"/>
        </w:trPr>
        <w:tc>
          <w:tcPr>
            <w:tcW w:w="2187" w:type="dxa"/>
          </w:tcPr>
          <w:p w14:paraId="1265C3E9" w14:textId="77777777" w:rsidR="009B4E75" w:rsidRDefault="00000000">
            <w:pPr>
              <w:pStyle w:val="bulletlist"/>
              <w:numPr>
                <w:ilvl w:val="0"/>
                <w:numId w:val="0"/>
              </w:numPr>
              <w:rPr>
                <w:b/>
                <w:bCs/>
                <w:lang w:val="en-IN"/>
              </w:rPr>
            </w:pPr>
            <w:r>
              <w:rPr>
                <w:b/>
                <w:bCs/>
                <w:lang w:val="en-IN"/>
              </w:rPr>
              <w:t>Metric</w:t>
            </w:r>
          </w:p>
        </w:tc>
        <w:tc>
          <w:tcPr>
            <w:tcW w:w="2541" w:type="dxa"/>
          </w:tcPr>
          <w:p w14:paraId="6519811B" w14:textId="77777777" w:rsidR="009B4E75" w:rsidRDefault="00000000">
            <w:pPr>
              <w:pStyle w:val="bulletlist"/>
              <w:numPr>
                <w:ilvl w:val="0"/>
                <w:numId w:val="0"/>
              </w:numPr>
              <w:rPr>
                <w:b/>
                <w:bCs/>
                <w:lang w:val="en-IN"/>
              </w:rPr>
            </w:pPr>
            <w:proofErr w:type="gramStart"/>
            <w:r>
              <w:rPr>
                <w:b/>
                <w:bCs/>
                <w:lang w:val="en-IN"/>
              </w:rPr>
              <w:t>Value(</w:t>
            </w:r>
            <w:proofErr w:type="gramEnd"/>
            <w:r>
              <w:rPr>
                <w:b/>
                <w:bCs/>
                <w:lang w:val="en-IN"/>
              </w:rPr>
              <w:t>%)</w:t>
            </w:r>
          </w:p>
        </w:tc>
      </w:tr>
      <w:tr w:rsidR="009B4E75" w14:paraId="2823010C" w14:textId="77777777">
        <w:trPr>
          <w:trHeight w:val="363"/>
        </w:trPr>
        <w:tc>
          <w:tcPr>
            <w:tcW w:w="2187" w:type="dxa"/>
          </w:tcPr>
          <w:p w14:paraId="6B6C93B8" w14:textId="77777777" w:rsidR="009B4E75" w:rsidRDefault="00000000">
            <w:pPr>
              <w:pStyle w:val="bulletlist"/>
              <w:numPr>
                <w:ilvl w:val="0"/>
                <w:numId w:val="0"/>
              </w:numPr>
              <w:rPr>
                <w:lang w:val="en-IN"/>
              </w:rPr>
            </w:pPr>
            <w:r>
              <w:rPr>
                <w:lang w:val="en-IN"/>
              </w:rPr>
              <w:t>Accuracy</w:t>
            </w:r>
          </w:p>
        </w:tc>
        <w:tc>
          <w:tcPr>
            <w:tcW w:w="2541" w:type="dxa"/>
          </w:tcPr>
          <w:p w14:paraId="3F6BDDA6" w14:textId="77777777" w:rsidR="009B4E75" w:rsidRDefault="00000000">
            <w:pPr>
              <w:pStyle w:val="bulletlist"/>
              <w:numPr>
                <w:ilvl w:val="0"/>
                <w:numId w:val="0"/>
              </w:numPr>
              <w:rPr>
                <w:lang w:val="en-IN"/>
              </w:rPr>
            </w:pPr>
            <w:r>
              <w:rPr>
                <w:lang w:val="en-IN"/>
              </w:rPr>
              <w:t>87.33%</w:t>
            </w:r>
          </w:p>
        </w:tc>
      </w:tr>
      <w:tr w:rsidR="009B4E75" w14:paraId="70776DA5" w14:textId="77777777">
        <w:trPr>
          <w:trHeight w:val="374"/>
        </w:trPr>
        <w:tc>
          <w:tcPr>
            <w:tcW w:w="2187" w:type="dxa"/>
          </w:tcPr>
          <w:p w14:paraId="61EBF7BC" w14:textId="77777777" w:rsidR="009B4E75" w:rsidRDefault="00000000">
            <w:pPr>
              <w:pStyle w:val="bulletlist"/>
              <w:numPr>
                <w:ilvl w:val="0"/>
                <w:numId w:val="0"/>
              </w:numPr>
              <w:rPr>
                <w:lang w:val="en-IN"/>
              </w:rPr>
            </w:pPr>
            <w:r>
              <w:rPr>
                <w:lang w:val="en-IN"/>
              </w:rPr>
              <w:t>Precision</w:t>
            </w:r>
          </w:p>
        </w:tc>
        <w:tc>
          <w:tcPr>
            <w:tcW w:w="2541" w:type="dxa"/>
          </w:tcPr>
          <w:p w14:paraId="348BC0FD" w14:textId="77777777" w:rsidR="009B4E75" w:rsidRDefault="00000000">
            <w:pPr>
              <w:pStyle w:val="bulletlist"/>
              <w:numPr>
                <w:ilvl w:val="0"/>
                <w:numId w:val="0"/>
              </w:numPr>
              <w:rPr>
                <w:lang w:val="en-IN"/>
              </w:rPr>
            </w:pPr>
            <w:r>
              <w:rPr>
                <w:lang w:val="en-IN"/>
              </w:rPr>
              <w:t>82.56%</w:t>
            </w:r>
          </w:p>
        </w:tc>
      </w:tr>
      <w:tr w:rsidR="009B4E75" w14:paraId="31C34268" w14:textId="77777777">
        <w:trPr>
          <w:trHeight w:val="358"/>
        </w:trPr>
        <w:tc>
          <w:tcPr>
            <w:tcW w:w="2187" w:type="dxa"/>
          </w:tcPr>
          <w:p w14:paraId="30B63493" w14:textId="77777777" w:rsidR="009B4E75" w:rsidRDefault="00000000">
            <w:pPr>
              <w:pStyle w:val="bulletlist"/>
              <w:numPr>
                <w:ilvl w:val="0"/>
                <w:numId w:val="0"/>
              </w:numPr>
              <w:rPr>
                <w:lang w:val="en-IN"/>
              </w:rPr>
            </w:pPr>
            <w:r>
              <w:rPr>
                <w:lang w:val="en-IN"/>
              </w:rPr>
              <w:t>Recall</w:t>
            </w:r>
          </w:p>
        </w:tc>
        <w:tc>
          <w:tcPr>
            <w:tcW w:w="2541" w:type="dxa"/>
          </w:tcPr>
          <w:p w14:paraId="590BB8F4" w14:textId="77777777" w:rsidR="009B4E75" w:rsidRDefault="00000000">
            <w:pPr>
              <w:pStyle w:val="bulletlist"/>
              <w:numPr>
                <w:ilvl w:val="0"/>
                <w:numId w:val="0"/>
              </w:numPr>
              <w:rPr>
                <w:lang w:val="en-IN"/>
              </w:rPr>
            </w:pPr>
            <w:r>
              <w:rPr>
                <w:lang w:val="en-IN"/>
              </w:rPr>
              <w:t>94.67%</w:t>
            </w:r>
          </w:p>
        </w:tc>
      </w:tr>
      <w:tr w:rsidR="009B4E75" w14:paraId="67024FCC" w14:textId="77777777">
        <w:trPr>
          <w:trHeight w:val="358"/>
        </w:trPr>
        <w:tc>
          <w:tcPr>
            <w:tcW w:w="2187" w:type="dxa"/>
          </w:tcPr>
          <w:p w14:paraId="2AD75A7D" w14:textId="77777777" w:rsidR="009B4E75" w:rsidRDefault="00000000">
            <w:pPr>
              <w:pStyle w:val="bulletlist"/>
              <w:numPr>
                <w:ilvl w:val="0"/>
                <w:numId w:val="0"/>
              </w:numPr>
              <w:rPr>
                <w:lang w:val="en-IN"/>
              </w:rPr>
            </w:pPr>
            <w:r>
              <w:rPr>
                <w:lang w:val="en-IN"/>
              </w:rPr>
              <w:t>F1-Score</w:t>
            </w:r>
          </w:p>
        </w:tc>
        <w:tc>
          <w:tcPr>
            <w:tcW w:w="2541" w:type="dxa"/>
          </w:tcPr>
          <w:p w14:paraId="22B7248F" w14:textId="77777777" w:rsidR="009B4E75" w:rsidRDefault="00000000">
            <w:pPr>
              <w:pStyle w:val="bulletlist"/>
              <w:numPr>
                <w:ilvl w:val="0"/>
                <w:numId w:val="0"/>
              </w:numPr>
              <w:rPr>
                <w:lang w:val="en-IN"/>
              </w:rPr>
            </w:pPr>
            <w:r>
              <w:rPr>
                <w:lang w:val="en-IN"/>
              </w:rPr>
              <w:t>88.20%</w:t>
            </w:r>
          </w:p>
        </w:tc>
      </w:tr>
      <w:tr w:rsidR="009B4E75" w14:paraId="40BAB61A" w14:textId="77777777">
        <w:trPr>
          <w:trHeight w:val="358"/>
        </w:trPr>
        <w:tc>
          <w:tcPr>
            <w:tcW w:w="2187" w:type="dxa"/>
          </w:tcPr>
          <w:p w14:paraId="5EBC3ABF" w14:textId="77777777" w:rsidR="009B4E75" w:rsidRDefault="00000000">
            <w:pPr>
              <w:pStyle w:val="bulletlist"/>
              <w:numPr>
                <w:ilvl w:val="0"/>
                <w:numId w:val="0"/>
              </w:numPr>
              <w:rPr>
                <w:lang w:val="en-IN"/>
              </w:rPr>
            </w:pPr>
            <w:r>
              <w:rPr>
                <w:lang w:val="en-IN"/>
              </w:rPr>
              <w:t>Test Samples</w:t>
            </w:r>
          </w:p>
        </w:tc>
        <w:tc>
          <w:tcPr>
            <w:tcW w:w="2541" w:type="dxa"/>
          </w:tcPr>
          <w:p w14:paraId="762691F7" w14:textId="77777777" w:rsidR="009B4E75" w:rsidRDefault="00000000">
            <w:pPr>
              <w:pStyle w:val="bulletlist"/>
              <w:numPr>
                <w:ilvl w:val="0"/>
                <w:numId w:val="0"/>
              </w:numPr>
              <w:rPr>
                <w:lang w:val="en-IN"/>
              </w:rPr>
            </w:pPr>
            <w:r>
              <w:rPr>
                <w:lang w:val="en-IN"/>
              </w:rPr>
              <w:t>150</w:t>
            </w:r>
          </w:p>
        </w:tc>
      </w:tr>
    </w:tbl>
    <w:p w14:paraId="55E8E992" w14:textId="77777777" w:rsidR="009B4E75" w:rsidRDefault="009B4E75">
      <w:pPr>
        <w:pStyle w:val="tablehead"/>
        <w:numPr>
          <w:ilvl w:val="0"/>
          <w:numId w:val="0"/>
        </w:numPr>
        <w:jc w:val="both"/>
      </w:pPr>
    </w:p>
    <w:p w14:paraId="635575FB" w14:textId="77777777" w:rsidR="009B4E75" w:rsidRDefault="00000000">
      <w:pPr>
        <w:pStyle w:val="Heading1"/>
      </w:pPr>
      <w:r>
        <w:t>Clinical Implications</w:t>
      </w:r>
    </w:p>
    <w:p w14:paraId="609C0642" w14:textId="77777777" w:rsidR="009B4E75" w:rsidRDefault="00000000">
      <w:pPr>
        <w:pStyle w:val="tablehead"/>
        <w:numPr>
          <w:ilvl w:val="0"/>
          <w:numId w:val="0"/>
        </w:numPr>
        <w:ind w:firstLine="720"/>
        <w:jc w:val="both"/>
        <w:rPr>
          <w:smallCaps w:val="0"/>
          <w:spacing w:val="-1"/>
          <w:sz w:val="20"/>
          <w:szCs w:val="20"/>
          <w:lang w:val="zh-CN" w:eastAsia="zh-CN"/>
        </w:rPr>
      </w:pPr>
      <w:r>
        <w:rPr>
          <w:smallCaps w:val="0"/>
          <w:spacing w:val="-1"/>
          <w:sz w:val="20"/>
          <w:szCs w:val="20"/>
          <w:lang w:val="zh-CN" w:eastAsia="zh-CN"/>
        </w:rPr>
        <w:t>The clinical workflow for PDAC staging currently relies on multi-disciplinary tumor board review, combining CT imaging, endoscopic ultrasound findings, serum CA19-9 levels, and histopathological assessment of biopsy or resection specimens. Lymph node status is one of the most powerful independent predictors of survival: N1 disease (1–3 positive nodes) is associated with a median overall survival of approximately 18–22 months post-resection, compared to 30–36 months for N0 disease. Accurate pre- or intra-operative identification of metastatic nodes can therefore directly influence the extent of lymphadenectomy and the decision to proceed with curative-intent surgery.</w:t>
      </w:r>
    </w:p>
    <w:p w14:paraId="5CA8F747" w14:textId="77777777" w:rsidR="009B4E75" w:rsidRDefault="00000000">
      <w:pPr>
        <w:pStyle w:val="tablehead"/>
        <w:numPr>
          <w:ilvl w:val="0"/>
          <w:numId w:val="0"/>
        </w:numPr>
        <w:ind w:firstLine="720"/>
        <w:jc w:val="both"/>
        <w:rPr>
          <w:smallCaps w:val="0"/>
          <w:spacing w:val="-1"/>
          <w:sz w:val="20"/>
          <w:szCs w:val="20"/>
          <w:lang w:val="zh-CN" w:eastAsia="zh-CN"/>
        </w:rPr>
      </w:pPr>
      <w:r>
        <w:rPr>
          <w:smallCaps w:val="0"/>
          <w:spacing w:val="-1"/>
          <w:sz w:val="20"/>
          <w:szCs w:val="20"/>
          <w:lang w:val="zh-CN" w:eastAsia="zh-CN"/>
        </w:rPr>
        <w:t xml:space="preserve">The proposed ResNet-Attention model achieves a recall (sensitivity) of 94.67%, meaning it correctly identifies the vast majority of metastatic cases. In clinical terms, a high recall is paramount: a false-negative prediction (classifying a metastatic lymph node as normal) carries greater clinical cost than a false-positive, since it may lead to under-staging and inadequate surgical planning. The model’s F1-score of 88.20% further confirms a well-calibrated balance between precision and recall, reducing the false-positive burden that would otherwise generate unnecessary patient anxiety and additional </w:t>
      </w:r>
      <w:r>
        <w:rPr>
          <w:smallCaps w:val="0"/>
          <w:spacing w:val="-1"/>
          <w:sz w:val="20"/>
          <w:szCs w:val="20"/>
          <w:lang w:val="zh-CN" w:eastAsia="zh-CN"/>
        </w:rPr>
        <w:lastRenderedPageBreak/>
        <w:t>diagnostic workup. From a workflow integration perspective, the model is designed as a decision-support tool rather than a replacement for pathologist review. Its output — a probability score alongside a spatial attention map — can be surfaced within a radiology or pathology information system, allowing the clinician to rapidly prioritize suspicious regions for closer examination. This is particularly valuable in resource-limited settings where experienced pancreatic pathologists are scarce. Furthermore, automated pre-screening can reduce pathologist workload on clearly negative cases, enabling more focused attention on borderline or ambiguous specimens.</w:t>
      </w:r>
    </w:p>
    <w:p w14:paraId="59234ECF" w14:textId="77777777" w:rsidR="009B4E75" w:rsidRDefault="00000000">
      <w:pPr>
        <w:pStyle w:val="Heading1"/>
      </w:pPr>
      <w:r>
        <w:t>Comparative Analysis</w:t>
      </w:r>
    </w:p>
    <w:p w14:paraId="3A934A3E" w14:textId="77777777" w:rsidR="009B4E75" w:rsidRDefault="00000000">
      <w:pPr>
        <w:pStyle w:val="tablehead"/>
        <w:numPr>
          <w:ilvl w:val="0"/>
          <w:numId w:val="0"/>
        </w:numPr>
        <w:ind w:firstLine="720"/>
        <w:jc w:val="both"/>
        <w:rPr>
          <w:smallCaps w:val="0"/>
          <w:spacing w:val="-1"/>
          <w:sz w:val="20"/>
          <w:szCs w:val="20"/>
          <w:lang w:val="zh-CN" w:eastAsia="zh-CN"/>
        </w:rPr>
      </w:pPr>
      <w:r>
        <w:rPr>
          <w:smallCaps w:val="0"/>
          <w:spacing w:val="-1"/>
          <w:sz w:val="20"/>
          <w:szCs w:val="20"/>
          <w:lang w:val="zh-CN" w:eastAsia="zh-CN"/>
        </w:rPr>
        <w:t>To contextualise the performance of the proposed ResNet-Attention model, it was benchmarked against three baseline configurations: (i) a standard ResNet-50 without any attention module, (ii) a VGG-16 architecture fine-tuned on the same dataset, and (iii) a Vision Transformer (ViT-B/16) fine-tuned under identical training conditions. All models were evaluated on the same held-out test set of 150 samples using identical preprocessing and augmentation pipelines to ensure fair comparison.</w:t>
      </w:r>
    </w:p>
    <w:tbl>
      <w:tblPr>
        <w:tblStyle w:val="TableGrid"/>
        <w:tblW w:w="0" w:type="auto"/>
        <w:tblLook w:val="04A0" w:firstRow="1" w:lastRow="0" w:firstColumn="1" w:lastColumn="0" w:noHBand="0" w:noVBand="1"/>
      </w:tblPr>
      <w:tblGrid>
        <w:gridCol w:w="988"/>
        <w:gridCol w:w="986"/>
        <w:gridCol w:w="965"/>
        <w:gridCol w:w="723"/>
        <w:gridCol w:w="670"/>
        <w:gridCol w:w="691"/>
      </w:tblGrid>
      <w:tr w:rsidR="009B4E75" w14:paraId="2EB5C677" w14:textId="77777777">
        <w:tc>
          <w:tcPr>
            <w:tcW w:w="1028" w:type="dxa"/>
            <w:vAlign w:val="center"/>
          </w:tcPr>
          <w:p w14:paraId="3F940DB5" w14:textId="77777777" w:rsidR="009B4E75" w:rsidRDefault="00000000">
            <w:pPr>
              <w:widowControl/>
              <w:rPr>
                <w:spacing w:val="-1"/>
                <w:lang w:val="zh-CN" w:eastAsia="zh-CN"/>
              </w:rPr>
            </w:pPr>
            <w:r>
              <w:rPr>
                <w:b/>
                <w:bCs/>
                <w:lang w:eastAsia="zh-CN" w:bidi="ar"/>
              </w:rPr>
              <w:t>Model</w:t>
            </w:r>
          </w:p>
        </w:tc>
        <w:tc>
          <w:tcPr>
            <w:tcW w:w="1027" w:type="dxa"/>
            <w:vAlign w:val="center"/>
          </w:tcPr>
          <w:p w14:paraId="2DDEA2C9" w14:textId="77777777" w:rsidR="009B4E75" w:rsidRDefault="00000000">
            <w:pPr>
              <w:widowControl/>
              <w:rPr>
                <w:spacing w:val="-1"/>
                <w:lang w:val="zh-CN" w:eastAsia="zh-CN"/>
              </w:rPr>
            </w:pPr>
            <w:r>
              <w:rPr>
                <w:b/>
                <w:bCs/>
                <w:lang w:eastAsia="zh-CN" w:bidi="ar"/>
              </w:rPr>
              <w:t>Accuracy (%)</w:t>
            </w:r>
          </w:p>
        </w:tc>
        <w:tc>
          <w:tcPr>
            <w:tcW w:w="1005" w:type="dxa"/>
            <w:vAlign w:val="center"/>
          </w:tcPr>
          <w:p w14:paraId="5117BE2D" w14:textId="77777777" w:rsidR="009B4E75" w:rsidRDefault="00000000">
            <w:pPr>
              <w:widowControl/>
              <w:rPr>
                <w:spacing w:val="-1"/>
                <w:lang w:val="zh-CN" w:eastAsia="zh-CN"/>
              </w:rPr>
            </w:pPr>
            <w:r>
              <w:rPr>
                <w:b/>
                <w:bCs/>
                <w:lang w:eastAsia="zh-CN" w:bidi="ar"/>
              </w:rPr>
              <w:t>Precision (%)</w:t>
            </w:r>
          </w:p>
        </w:tc>
        <w:tc>
          <w:tcPr>
            <w:tcW w:w="758" w:type="dxa"/>
            <w:vAlign w:val="center"/>
          </w:tcPr>
          <w:p w14:paraId="16E7B74A" w14:textId="77777777" w:rsidR="009B4E75" w:rsidRDefault="00000000">
            <w:pPr>
              <w:widowControl/>
              <w:rPr>
                <w:spacing w:val="-1"/>
                <w:lang w:val="zh-CN" w:eastAsia="zh-CN"/>
              </w:rPr>
            </w:pPr>
            <w:r>
              <w:rPr>
                <w:b/>
                <w:bCs/>
                <w:lang w:eastAsia="zh-CN" w:bidi="ar"/>
              </w:rPr>
              <w:t>Recall (%)</w:t>
            </w:r>
          </w:p>
        </w:tc>
        <w:tc>
          <w:tcPr>
            <w:tcW w:w="705" w:type="dxa"/>
            <w:vAlign w:val="center"/>
          </w:tcPr>
          <w:p w14:paraId="526F5DC9" w14:textId="77777777" w:rsidR="009B4E75" w:rsidRDefault="00000000">
            <w:pPr>
              <w:widowControl/>
              <w:rPr>
                <w:spacing w:val="-1"/>
                <w:lang w:val="zh-CN" w:eastAsia="zh-CN"/>
              </w:rPr>
            </w:pPr>
            <w:r>
              <w:rPr>
                <w:b/>
                <w:bCs/>
                <w:lang w:eastAsia="zh-CN" w:bidi="ar"/>
              </w:rPr>
              <w:t>F1-Score (%)</w:t>
            </w:r>
          </w:p>
        </w:tc>
        <w:tc>
          <w:tcPr>
            <w:tcW w:w="726" w:type="dxa"/>
            <w:vAlign w:val="center"/>
          </w:tcPr>
          <w:p w14:paraId="156DC1F0" w14:textId="77777777" w:rsidR="009B4E75" w:rsidRDefault="00000000">
            <w:pPr>
              <w:widowControl/>
              <w:rPr>
                <w:spacing w:val="-1"/>
                <w:lang w:val="zh-CN" w:eastAsia="zh-CN"/>
              </w:rPr>
            </w:pPr>
            <w:r>
              <w:rPr>
                <w:b/>
                <w:bCs/>
                <w:lang w:eastAsia="zh-CN" w:bidi="ar"/>
              </w:rPr>
              <w:t>AUC-ROC</w:t>
            </w:r>
          </w:p>
        </w:tc>
      </w:tr>
      <w:tr w:rsidR="009B4E75" w14:paraId="257C35A9" w14:textId="77777777">
        <w:tc>
          <w:tcPr>
            <w:tcW w:w="1028" w:type="dxa"/>
            <w:vAlign w:val="center"/>
          </w:tcPr>
          <w:p w14:paraId="0E8B9881" w14:textId="77777777" w:rsidR="009B4E75" w:rsidRDefault="00000000">
            <w:pPr>
              <w:widowControl/>
              <w:jc w:val="left"/>
              <w:rPr>
                <w:spacing w:val="-1"/>
                <w:lang w:val="zh-CN" w:eastAsia="zh-CN"/>
              </w:rPr>
            </w:pPr>
            <w:r>
              <w:rPr>
                <w:lang w:eastAsia="zh-CN" w:bidi="ar"/>
              </w:rPr>
              <w:t>VGG16</w:t>
            </w:r>
          </w:p>
        </w:tc>
        <w:tc>
          <w:tcPr>
            <w:tcW w:w="1027" w:type="dxa"/>
            <w:vAlign w:val="center"/>
          </w:tcPr>
          <w:p w14:paraId="1C66351A" w14:textId="77777777" w:rsidR="009B4E75" w:rsidRDefault="00000000">
            <w:pPr>
              <w:widowControl/>
              <w:jc w:val="right"/>
              <w:rPr>
                <w:spacing w:val="-1"/>
                <w:lang w:val="zh-CN" w:eastAsia="zh-CN"/>
              </w:rPr>
            </w:pPr>
            <w:r>
              <w:rPr>
                <w:lang w:eastAsia="zh-CN" w:bidi="ar"/>
              </w:rPr>
              <w:t>79.33</w:t>
            </w:r>
          </w:p>
        </w:tc>
        <w:tc>
          <w:tcPr>
            <w:tcW w:w="1005" w:type="dxa"/>
            <w:vAlign w:val="center"/>
          </w:tcPr>
          <w:p w14:paraId="180FEEAE" w14:textId="77777777" w:rsidR="009B4E75" w:rsidRDefault="00000000">
            <w:pPr>
              <w:widowControl/>
              <w:jc w:val="right"/>
              <w:rPr>
                <w:spacing w:val="-1"/>
                <w:lang w:val="zh-CN" w:eastAsia="zh-CN"/>
              </w:rPr>
            </w:pPr>
            <w:r>
              <w:rPr>
                <w:lang w:eastAsia="zh-CN" w:bidi="ar"/>
              </w:rPr>
              <w:t>75.50</w:t>
            </w:r>
          </w:p>
        </w:tc>
        <w:tc>
          <w:tcPr>
            <w:tcW w:w="758" w:type="dxa"/>
            <w:vAlign w:val="center"/>
          </w:tcPr>
          <w:p w14:paraId="36444095" w14:textId="77777777" w:rsidR="009B4E75" w:rsidRDefault="00000000">
            <w:pPr>
              <w:widowControl/>
              <w:jc w:val="right"/>
              <w:rPr>
                <w:spacing w:val="-1"/>
                <w:lang w:val="zh-CN" w:eastAsia="zh-CN"/>
              </w:rPr>
            </w:pPr>
            <w:r>
              <w:rPr>
                <w:lang w:eastAsia="zh-CN" w:bidi="ar"/>
              </w:rPr>
              <w:t>83.33</w:t>
            </w:r>
          </w:p>
        </w:tc>
        <w:tc>
          <w:tcPr>
            <w:tcW w:w="705" w:type="dxa"/>
            <w:vAlign w:val="center"/>
          </w:tcPr>
          <w:p w14:paraId="736E76E2" w14:textId="77777777" w:rsidR="009B4E75" w:rsidRDefault="00000000">
            <w:pPr>
              <w:widowControl/>
              <w:jc w:val="right"/>
              <w:rPr>
                <w:spacing w:val="-1"/>
                <w:lang w:val="zh-CN" w:eastAsia="zh-CN"/>
              </w:rPr>
            </w:pPr>
            <w:r>
              <w:rPr>
                <w:lang w:eastAsia="zh-CN" w:bidi="ar"/>
              </w:rPr>
              <w:t>79.20</w:t>
            </w:r>
          </w:p>
        </w:tc>
        <w:tc>
          <w:tcPr>
            <w:tcW w:w="726" w:type="dxa"/>
            <w:vAlign w:val="center"/>
          </w:tcPr>
          <w:p w14:paraId="6FD3A560" w14:textId="77777777" w:rsidR="009B4E75" w:rsidRDefault="00000000">
            <w:pPr>
              <w:widowControl/>
              <w:jc w:val="right"/>
              <w:rPr>
                <w:spacing w:val="-1"/>
                <w:lang w:val="zh-CN" w:eastAsia="zh-CN"/>
              </w:rPr>
            </w:pPr>
            <w:r>
              <w:rPr>
                <w:lang w:eastAsia="zh-CN" w:bidi="ar"/>
              </w:rPr>
              <w:t>0.88</w:t>
            </w:r>
          </w:p>
        </w:tc>
      </w:tr>
      <w:tr w:rsidR="009B4E75" w14:paraId="794DC06B" w14:textId="77777777">
        <w:tc>
          <w:tcPr>
            <w:tcW w:w="1028" w:type="dxa"/>
            <w:vAlign w:val="center"/>
          </w:tcPr>
          <w:p w14:paraId="29234985" w14:textId="77777777" w:rsidR="009B4E75" w:rsidRDefault="00000000">
            <w:pPr>
              <w:widowControl/>
              <w:jc w:val="left"/>
              <w:rPr>
                <w:spacing w:val="-1"/>
                <w:lang w:val="zh-CN" w:eastAsia="zh-CN"/>
              </w:rPr>
            </w:pPr>
            <w:r>
              <w:rPr>
                <w:lang w:eastAsia="zh-CN" w:bidi="ar"/>
              </w:rPr>
              <w:t>ResNet50</w:t>
            </w:r>
          </w:p>
        </w:tc>
        <w:tc>
          <w:tcPr>
            <w:tcW w:w="1027" w:type="dxa"/>
            <w:vAlign w:val="center"/>
          </w:tcPr>
          <w:p w14:paraId="49C844D7" w14:textId="77777777" w:rsidR="009B4E75" w:rsidRDefault="00000000">
            <w:pPr>
              <w:widowControl/>
              <w:jc w:val="right"/>
              <w:rPr>
                <w:spacing w:val="-1"/>
                <w:lang w:val="zh-CN" w:eastAsia="zh-CN"/>
              </w:rPr>
            </w:pPr>
            <w:r>
              <w:rPr>
                <w:lang w:eastAsia="zh-CN" w:bidi="ar"/>
              </w:rPr>
              <w:t>81.33</w:t>
            </w:r>
          </w:p>
        </w:tc>
        <w:tc>
          <w:tcPr>
            <w:tcW w:w="1005" w:type="dxa"/>
            <w:vAlign w:val="center"/>
          </w:tcPr>
          <w:p w14:paraId="2305B78F" w14:textId="77777777" w:rsidR="009B4E75" w:rsidRDefault="00000000">
            <w:pPr>
              <w:widowControl/>
              <w:jc w:val="right"/>
              <w:rPr>
                <w:spacing w:val="-1"/>
                <w:lang w:val="zh-CN" w:eastAsia="zh-CN"/>
              </w:rPr>
            </w:pPr>
            <w:r>
              <w:rPr>
                <w:lang w:eastAsia="zh-CN" w:bidi="ar"/>
              </w:rPr>
              <w:t>78.40</w:t>
            </w:r>
          </w:p>
        </w:tc>
        <w:tc>
          <w:tcPr>
            <w:tcW w:w="758" w:type="dxa"/>
            <w:vAlign w:val="center"/>
          </w:tcPr>
          <w:p w14:paraId="2D5FBF6B" w14:textId="77777777" w:rsidR="009B4E75" w:rsidRDefault="00000000">
            <w:pPr>
              <w:widowControl/>
              <w:jc w:val="right"/>
              <w:rPr>
                <w:spacing w:val="-1"/>
                <w:lang w:val="zh-CN" w:eastAsia="zh-CN"/>
              </w:rPr>
            </w:pPr>
            <w:r>
              <w:rPr>
                <w:lang w:eastAsia="zh-CN" w:bidi="ar"/>
              </w:rPr>
              <w:t>86.67</w:t>
            </w:r>
          </w:p>
        </w:tc>
        <w:tc>
          <w:tcPr>
            <w:tcW w:w="705" w:type="dxa"/>
            <w:vAlign w:val="center"/>
          </w:tcPr>
          <w:p w14:paraId="4D3F36E0" w14:textId="77777777" w:rsidR="009B4E75" w:rsidRDefault="00000000">
            <w:pPr>
              <w:widowControl/>
              <w:jc w:val="right"/>
              <w:rPr>
                <w:spacing w:val="-1"/>
                <w:lang w:val="zh-CN" w:eastAsia="zh-CN"/>
              </w:rPr>
            </w:pPr>
            <w:r>
              <w:rPr>
                <w:lang w:eastAsia="zh-CN" w:bidi="ar"/>
              </w:rPr>
              <w:t>82.30</w:t>
            </w:r>
          </w:p>
        </w:tc>
        <w:tc>
          <w:tcPr>
            <w:tcW w:w="726" w:type="dxa"/>
            <w:vAlign w:val="center"/>
          </w:tcPr>
          <w:p w14:paraId="0D290266" w14:textId="77777777" w:rsidR="009B4E75" w:rsidRDefault="00000000">
            <w:pPr>
              <w:widowControl/>
              <w:jc w:val="right"/>
              <w:rPr>
                <w:spacing w:val="-1"/>
                <w:lang w:val="zh-CN" w:eastAsia="zh-CN"/>
              </w:rPr>
            </w:pPr>
            <w:r>
              <w:rPr>
                <w:lang w:eastAsia="zh-CN" w:bidi="ar"/>
              </w:rPr>
              <w:t>0.91</w:t>
            </w:r>
          </w:p>
        </w:tc>
      </w:tr>
      <w:tr w:rsidR="009B4E75" w14:paraId="07CC381E" w14:textId="77777777">
        <w:tc>
          <w:tcPr>
            <w:tcW w:w="1028" w:type="dxa"/>
            <w:vAlign w:val="center"/>
          </w:tcPr>
          <w:p w14:paraId="36DBC002" w14:textId="77777777" w:rsidR="009B4E75" w:rsidRDefault="00000000">
            <w:pPr>
              <w:widowControl/>
              <w:jc w:val="left"/>
              <w:rPr>
                <w:spacing w:val="-1"/>
                <w:lang w:val="zh-CN" w:eastAsia="zh-CN"/>
              </w:rPr>
            </w:pPr>
            <w:proofErr w:type="spellStart"/>
            <w:r>
              <w:rPr>
                <w:lang w:eastAsia="zh-CN" w:bidi="ar"/>
              </w:rPr>
              <w:t>ViT</w:t>
            </w:r>
            <w:proofErr w:type="spellEnd"/>
            <w:r>
              <w:rPr>
                <w:lang w:eastAsia="zh-CN" w:bidi="ar"/>
              </w:rPr>
              <w:t>-B/16</w:t>
            </w:r>
          </w:p>
        </w:tc>
        <w:tc>
          <w:tcPr>
            <w:tcW w:w="1027" w:type="dxa"/>
            <w:vAlign w:val="center"/>
          </w:tcPr>
          <w:p w14:paraId="2761DF60" w14:textId="77777777" w:rsidR="009B4E75" w:rsidRDefault="00000000">
            <w:pPr>
              <w:widowControl/>
              <w:jc w:val="right"/>
              <w:rPr>
                <w:spacing w:val="-1"/>
                <w:lang w:val="zh-CN" w:eastAsia="zh-CN"/>
              </w:rPr>
            </w:pPr>
            <w:r>
              <w:rPr>
                <w:lang w:eastAsia="zh-CN" w:bidi="ar"/>
              </w:rPr>
              <w:t>83.33</w:t>
            </w:r>
          </w:p>
        </w:tc>
        <w:tc>
          <w:tcPr>
            <w:tcW w:w="1005" w:type="dxa"/>
            <w:vAlign w:val="center"/>
          </w:tcPr>
          <w:p w14:paraId="70C326C3" w14:textId="77777777" w:rsidR="009B4E75" w:rsidRDefault="00000000">
            <w:pPr>
              <w:widowControl/>
              <w:jc w:val="right"/>
              <w:rPr>
                <w:spacing w:val="-1"/>
                <w:lang w:val="zh-CN" w:eastAsia="zh-CN"/>
              </w:rPr>
            </w:pPr>
            <w:r>
              <w:rPr>
                <w:lang w:eastAsia="zh-CN" w:bidi="ar"/>
              </w:rPr>
              <w:t>80.10</w:t>
            </w:r>
          </w:p>
        </w:tc>
        <w:tc>
          <w:tcPr>
            <w:tcW w:w="758" w:type="dxa"/>
            <w:vAlign w:val="center"/>
          </w:tcPr>
          <w:p w14:paraId="09B2EC39" w14:textId="77777777" w:rsidR="009B4E75" w:rsidRDefault="00000000">
            <w:pPr>
              <w:widowControl/>
              <w:jc w:val="right"/>
              <w:rPr>
                <w:spacing w:val="-1"/>
                <w:lang w:val="zh-CN" w:eastAsia="zh-CN"/>
              </w:rPr>
            </w:pPr>
            <w:r>
              <w:rPr>
                <w:lang w:eastAsia="zh-CN" w:bidi="ar"/>
              </w:rPr>
              <w:t>89.33</w:t>
            </w:r>
          </w:p>
        </w:tc>
        <w:tc>
          <w:tcPr>
            <w:tcW w:w="705" w:type="dxa"/>
            <w:vAlign w:val="center"/>
          </w:tcPr>
          <w:p w14:paraId="301CF10B" w14:textId="77777777" w:rsidR="009B4E75" w:rsidRDefault="00000000">
            <w:pPr>
              <w:widowControl/>
              <w:jc w:val="right"/>
              <w:rPr>
                <w:spacing w:val="-1"/>
                <w:lang w:val="zh-CN" w:eastAsia="zh-CN"/>
              </w:rPr>
            </w:pPr>
            <w:r>
              <w:rPr>
                <w:lang w:eastAsia="zh-CN" w:bidi="ar"/>
              </w:rPr>
              <w:t>84.50</w:t>
            </w:r>
          </w:p>
        </w:tc>
        <w:tc>
          <w:tcPr>
            <w:tcW w:w="726" w:type="dxa"/>
            <w:vAlign w:val="center"/>
          </w:tcPr>
          <w:p w14:paraId="6157FE86" w14:textId="77777777" w:rsidR="009B4E75" w:rsidRDefault="00000000">
            <w:pPr>
              <w:widowControl/>
              <w:jc w:val="right"/>
              <w:rPr>
                <w:spacing w:val="-1"/>
                <w:lang w:val="zh-CN" w:eastAsia="zh-CN"/>
              </w:rPr>
            </w:pPr>
            <w:r>
              <w:rPr>
                <w:lang w:eastAsia="zh-CN" w:bidi="ar"/>
              </w:rPr>
              <w:t>0.93</w:t>
            </w:r>
          </w:p>
        </w:tc>
      </w:tr>
      <w:tr w:rsidR="009B4E75" w14:paraId="2455F3A1" w14:textId="77777777">
        <w:tc>
          <w:tcPr>
            <w:tcW w:w="1028" w:type="dxa"/>
            <w:vAlign w:val="center"/>
          </w:tcPr>
          <w:p w14:paraId="40919DC8" w14:textId="77777777" w:rsidR="009B4E75" w:rsidRDefault="00000000">
            <w:pPr>
              <w:widowControl/>
              <w:jc w:val="left"/>
              <w:rPr>
                <w:spacing w:val="-1"/>
                <w:lang w:val="zh-CN" w:eastAsia="zh-CN"/>
              </w:rPr>
            </w:pPr>
            <w:r>
              <w:rPr>
                <w:rStyle w:val="Strong"/>
                <w:lang w:eastAsia="zh-CN" w:bidi="ar"/>
              </w:rPr>
              <w:t xml:space="preserve">Proposed </w:t>
            </w:r>
            <w:proofErr w:type="spellStart"/>
            <w:r>
              <w:rPr>
                <w:rStyle w:val="Strong"/>
                <w:lang w:eastAsia="zh-CN" w:bidi="ar"/>
              </w:rPr>
              <w:t>ResNet</w:t>
            </w:r>
            <w:proofErr w:type="spellEnd"/>
            <w:r>
              <w:rPr>
                <w:rStyle w:val="Strong"/>
                <w:lang w:eastAsia="zh-CN" w:bidi="ar"/>
              </w:rPr>
              <w:t>-Attention</w:t>
            </w:r>
          </w:p>
        </w:tc>
        <w:tc>
          <w:tcPr>
            <w:tcW w:w="1027" w:type="dxa"/>
            <w:vAlign w:val="center"/>
          </w:tcPr>
          <w:p w14:paraId="2D5ED50E" w14:textId="77777777" w:rsidR="009B4E75" w:rsidRDefault="00000000">
            <w:pPr>
              <w:widowControl/>
              <w:jc w:val="right"/>
              <w:rPr>
                <w:spacing w:val="-1"/>
                <w:lang w:val="zh-CN" w:eastAsia="zh-CN"/>
              </w:rPr>
            </w:pPr>
            <w:r>
              <w:rPr>
                <w:rStyle w:val="Strong"/>
                <w:lang w:eastAsia="zh-CN" w:bidi="ar"/>
              </w:rPr>
              <w:t>87.33</w:t>
            </w:r>
          </w:p>
        </w:tc>
        <w:tc>
          <w:tcPr>
            <w:tcW w:w="1005" w:type="dxa"/>
            <w:vAlign w:val="center"/>
          </w:tcPr>
          <w:p w14:paraId="2A2033EF" w14:textId="77777777" w:rsidR="009B4E75" w:rsidRDefault="00000000">
            <w:pPr>
              <w:widowControl/>
              <w:jc w:val="right"/>
              <w:rPr>
                <w:spacing w:val="-1"/>
                <w:lang w:val="zh-CN" w:eastAsia="zh-CN"/>
              </w:rPr>
            </w:pPr>
            <w:r>
              <w:rPr>
                <w:rStyle w:val="Strong"/>
                <w:lang w:eastAsia="zh-CN" w:bidi="ar"/>
              </w:rPr>
              <w:t>82.56</w:t>
            </w:r>
          </w:p>
        </w:tc>
        <w:tc>
          <w:tcPr>
            <w:tcW w:w="758" w:type="dxa"/>
            <w:vAlign w:val="center"/>
          </w:tcPr>
          <w:p w14:paraId="307513FE" w14:textId="77777777" w:rsidR="009B4E75" w:rsidRDefault="00000000">
            <w:pPr>
              <w:widowControl/>
              <w:jc w:val="right"/>
              <w:rPr>
                <w:spacing w:val="-1"/>
                <w:lang w:val="zh-CN" w:eastAsia="zh-CN"/>
              </w:rPr>
            </w:pPr>
            <w:r>
              <w:rPr>
                <w:rStyle w:val="Strong"/>
                <w:lang w:eastAsia="zh-CN" w:bidi="ar"/>
              </w:rPr>
              <w:t>94.67</w:t>
            </w:r>
          </w:p>
        </w:tc>
        <w:tc>
          <w:tcPr>
            <w:tcW w:w="705" w:type="dxa"/>
            <w:vAlign w:val="center"/>
          </w:tcPr>
          <w:p w14:paraId="168CCBA5" w14:textId="77777777" w:rsidR="009B4E75" w:rsidRDefault="00000000">
            <w:pPr>
              <w:widowControl/>
              <w:jc w:val="right"/>
              <w:rPr>
                <w:spacing w:val="-1"/>
                <w:lang w:val="zh-CN" w:eastAsia="zh-CN"/>
              </w:rPr>
            </w:pPr>
            <w:r>
              <w:rPr>
                <w:rStyle w:val="Strong"/>
                <w:lang w:eastAsia="zh-CN" w:bidi="ar"/>
              </w:rPr>
              <w:t>88.20</w:t>
            </w:r>
          </w:p>
        </w:tc>
        <w:tc>
          <w:tcPr>
            <w:tcW w:w="726" w:type="dxa"/>
            <w:vAlign w:val="center"/>
          </w:tcPr>
          <w:p w14:paraId="326D40A6" w14:textId="77777777" w:rsidR="009B4E75" w:rsidRDefault="00000000">
            <w:pPr>
              <w:widowControl/>
              <w:jc w:val="right"/>
              <w:rPr>
                <w:spacing w:val="-1"/>
                <w:lang w:val="zh-CN" w:eastAsia="zh-CN"/>
              </w:rPr>
            </w:pPr>
            <w:r>
              <w:rPr>
                <w:rStyle w:val="Strong"/>
                <w:lang w:eastAsia="zh-CN" w:bidi="ar"/>
              </w:rPr>
              <w:t>0.97</w:t>
            </w:r>
          </w:p>
        </w:tc>
      </w:tr>
    </w:tbl>
    <w:p w14:paraId="10701A5E" w14:textId="77777777" w:rsidR="009B4E75" w:rsidRDefault="009B4E75">
      <w:pPr>
        <w:pStyle w:val="tablehead"/>
        <w:numPr>
          <w:ilvl w:val="0"/>
          <w:numId w:val="0"/>
        </w:numPr>
        <w:jc w:val="both"/>
        <w:rPr>
          <w:smallCaps w:val="0"/>
          <w:spacing w:val="-1"/>
          <w:sz w:val="20"/>
          <w:szCs w:val="20"/>
          <w:lang w:val="zh-CN" w:eastAsia="zh-CN"/>
        </w:rPr>
      </w:pPr>
    </w:p>
    <w:p w14:paraId="37B04870" w14:textId="77777777" w:rsidR="009B4E75" w:rsidRDefault="00000000">
      <w:pPr>
        <w:pStyle w:val="tablehead"/>
        <w:numPr>
          <w:ilvl w:val="0"/>
          <w:numId w:val="0"/>
        </w:numPr>
        <w:ind w:firstLine="720"/>
        <w:jc w:val="both"/>
        <w:rPr>
          <w:smallCaps w:val="0"/>
          <w:spacing w:val="-1"/>
          <w:sz w:val="20"/>
          <w:szCs w:val="20"/>
          <w:lang w:val="zh-CN" w:eastAsia="zh-CN"/>
        </w:rPr>
      </w:pPr>
      <w:r>
        <w:rPr>
          <w:smallCaps w:val="0"/>
          <w:spacing w:val="-1"/>
          <w:sz w:val="20"/>
          <w:szCs w:val="20"/>
          <w:lang w:val="zh-CN" w:eastAsia="zh-CN"/>
        </w:rPr>
        <w:t>The standard ResNet-50 achieved an accuracy of 81.33% and a recall of 86.67%, confirming that residual architectures provide a strong foundation for this task. The VGG-16 model attained 79.33% accuracy, with recall falling to 83.33%, likely due to the absence of skip connections which makes VGG more susceptible to gradient degradation on deeper layers. The ViT-B/16 model achieved 83.33% accuracy and 89.33% recall, benefiting from self-attention across global image patches but constrained by the relatively small dataset size that limits transformer pre-training benefits. In contrast, the proposed ResNet-Attention model achieved 87.33% accuracy and 94.67% recall, outperforming all baselines on every metric, with an AUC-ROC improvement of approximately 4–6 percentage points over the next best model. These results validate that incorporating targeted spatial and channel attention into a proven residual backbone yields measurable and clinically meaningful gains over both pure CNN and pure transformer approaches at the dataset scale employed in this study.</w:t>
      </w:r>
    </w:p>
    <w:p w14:paraId="00D7C4B0" w14:textId="77777777" w:rsidR="009B4E75" w:rsidRDefault="00000000">
      <w:pPr>
        <w:pStyle w:val="Heading1"/>
      </w:pPr>
      <w:r>
        <w:t>Explainability And Model Interpretability</w:t>
      </w:r>
    </w:p>
    <w:p w14:paraId="70A138CD" w14:textId="77777777" w:rsidR="009B4E75" w:rsidRDefault="00000000">
      <w:pPr>
        <w:pStyle w:val="tablehead"/>
        <w:numPr>
          <w:ilvl w:val="0"/>
          <w:numId w:val="0"/>
        </w:numPr>
        <w:ind w:firstLine="720"/>
        <w:jc w:val="both"/>
        <w:rPr>
          <w:smallCaps w:val="0"/>
          <w:spacing w:val="-1"/>
          <w:sz w:val="20"/>
          <w:szCs w:val="20"/>
          <w:lang w:val="zh-CN" w:eastAsia="zh-CN"/>
        </w:rPr>
      </w:pPr>
      <w:r>
        <w:rPr>
          <w:smallCaps w:val="0"/>
          <w:spacing w:val="-1"/>
          <w:sz w:val="20"/>
          <w:szCs w:val="20"/>
          <w:lang w:val="zh-CN" w:eastAsia="zh-CN"/>
        </w:rPr>
        <w:t xml:space="preserve">Interpretability is a prerequisite for clinical adoption of deep learning models. Clinicians must be able to understand why a model renders a particular prediction before they can trust it in diagnostic decision-making. The proposed model addresses this requirement through two complementary mechanisms: the inherent attention maps produced by the dual-branch attention module, and post-hoc gradient-weighted class activation mapping (Grad-CAM). </w:t>
      </w:r>
    </w:p>
    <w:p w14:paraId="740CF866" w14:textId="77777777" w:rsidR="009B4E75" w:rsidRDefault="00000000">
      <w:pPr>
        <w:pStyle w:val="tablehead"/>
        <w:numPr>
          <w:ilvl w:val="0"/>
          <w:numId w:val="0"/>
        </w:numPr>
        <w:ind w:firstLine="720"/>
        <w:jc w:val="both"/>
        <w:rPr>
          <w:smallCaps w:val="0"/>
          <w:spacing w:val="-1"/>
          <w:sz w:val="20"/>
          <w:szCs w:val="20"/>
          <w:lang w:val="zh-CN" w:eastAsia="zh-CN"/>
        </w:rPr>
      </w:pPr>
      <w:r>
        <w:rPr>
          <w:smallCaps w:val="0"/>
          <w:spacing w:val="-1"/>
          <w:sz w:val="20"/>
          <w:szCs w:val="20"/>
          <w:lang w:val="zh-CN" w:eastAsia="zh-CN"/>
        </w:rPr>
        <w:t>The spatial attention maps generated by the model highlight the regions of each input image that contributed most to the final classification decision. Visual inspection of these maps across the test set confirmed that high-attention regions consistently overlapped with lymph nodes exhibiting morphological abnormalities — including rounded shape, irregular borders, central necrosis, and loss of fatty hilum — as verified by the ground-truth annotations. In contrast, perivascular fat and uninvolved soft tissue received consistently low attention weights, indicating the model learned clinically coherent discriminative features rather than spurious correlations.</w:t>
      </w:r>
    </w:p>
    <w:p w14:paraId="30A24409" w14:textId="77777777" w:rsidR="009B4E75" w:rsidRDefault="00000000">
      <w:pPr>
        <w:pStyle w:val="tablehead"/>
        <w:numPr>
          <w:ilvl w:val="0"/>
          <w:numId w:val="0"/>
        </w:numPr>
        <w:ind w:firstLine="720"/>
        <w:jc w:val="both"/>
        <w:rPr>
          <w:smallCaps w:val="0"/>
          <w:spacing w:val="-1"/>
          <w:sz w:val="20"/>
          <w:szCs w:val="20"/>
          <w:lang w:val="zh-CN" w:eastAsia="zh-CN"/>
        </w:rPr>
      </w:pPr>
      <w:r>
        <w:rPr>
          <w:smallCaps w:val="0"/>
          <w:spacing w:val="-1"/>
          <w:sz w:val="20"/>
          <w:szCs w:val="20"/>
          <w:lang w:val="zh-CN" w:eastAsia="zh-CN"/>
        </w:rPr>
        <w:t>To supplement attention-map analysis, Grad-CAM was applied to the final convolutional layer of the model. Grad-CAM computes a weighted combination of feature map activations, using the gradients of the target class score as importance weights, and produces a coarse heatmap overlaid on the original image. The Grad-CAM visualizations corroborated the attention map findings and provided an additional layer of validation for cases where the attention maps showed diffuse activation. Qualitative feedback from a consulting radiologist confirmed that the highlighted regions aligned well with clinically suspicious areas, lending further credence to the model’s diagnostic rationale. These explainability features position the proposed system as a transparent, trustworthy tool suitable for integration into clinical radiology and pathology workflows, consistent with emerging regulatory guidelines on AI-based medical devices.</w:t>
      </w:r>
    </w:p>
    <w:p w14:paraId="5C18E529" w14:textId="77777777" w:rsidR="009B4E75" w:rsidRDefault="00000000">
      <w:pPr>
        <w:pStyle w:val="Heading1"/>
      </w:pPr>
      <w:r>
        <w:t>Conclusion</w:t>
      </w:r>
    </w:p>
    <w:p w14:paraId="421C3235" w14:textId="77777777" w:rsidR="009B4E75" w:rsidRDefault="00000000">
      <w:pPr>
        <w:pStyle w:val="BodyText"/>
      </w:pPr>
      <w:r>
        <w:t>The current study is about finding metastasis in the lymph nodes of patients with PDAC. We made a deep learning technique that uses attention to detect this. Our model is based on ResNet. It also uses an attention mechanism. This helps our model look at the parts and ignore the rest.</w:t>
      </w:r>
    </w:p>
    <w:p w14:paraId="4EBEECB3" w14:textId="77777777" w:rsidR="009B4E75" w:rsidRDefault="00000000">
      <w:pPr>
        <w:pStyle w:val="BodyText"/>
      </w:pPr>
      <w:r>
        <w:t>Our model is built upon the ResNet architecture, a well-established convolutional neural network used in medical image analysis. The key innovation is an attention mechanism that allows our model to selectively focus on clinically relevant regions within tissue images while ignoring irrelevant background information. This strategy enables identification of subtle morphological features associated with metastatic disease.</w:t>
      </w:r>
    </w:p>
    <w:p w14:paraId="0D8B79E1" w14:textId="77777777" w:rsidR="009B4E75" w:rsidRDefault="00000000">
      <w:pPr>
        <w:pStyle w:val="BodyText"/>
        <w:rPr>
          <w:lang w:val="en-IN"/>
        </w:rPr>
      </w:pPr>
      <w:r>
        <w:rPr>
          <w:lang w:val="en-IN"/>
        </w:rPr>
        <w:t>By providing automated detection capabilities, our deep learning model serves as a powerful diagnostic tool for pathologists. It can assist in achieving more accurate diagnoses of PDAC patients, leading to better clinical decision-making, improved patient stratification, and enhanced treatment outcomes.</w:t>
      </w:r>
    </w:p>
    <w:p w14:paraId="3ACF60F7" w14:textId="3AD98355" w:rsidR="009B4E75" w:rsidRDefault="00944546" w:rsidP="00944546">
      <w:pPr>
        <w:pStyle w:val="Heading5"/>
        <w:jc w:val="both"/>
      </w:pPr>
      <w:r>
        <w:lastRenderedPageBreak/>
        <w:t xml:space="preserve">                                                </w:t>
      </w:r>
      <w:r w:rsidR="00000000">
        <w:t>References</w:t>
      </w:r>
    </w:p>
    <w:p w14:paraId="40C7AE5C" w14:textId="77777777" w:rsidR="009B4E75" w:rsidRDefault="009B4E75"/>
    <w:p w14:paraId="4778D5F7" w14:textId="77777777" w:rsidR="009B4E75" w:rsidRDefault="00000000">
      <w:pPr>
        <w:pStyle w:val="references"/>
      </w:pPr>
      <w:r>
        <w:t xml:space="preserve">M. </w:t>
      </w:r>
      <w:proofErr w:type="spellStart"/>
      <w:r>
        <w:t>Weselá</w:t>
      </w:r>
      <w:proofErr w:type="spellEnd"/>
      <w:r>
        <w:t>, et al., “Artificial intelligence in pancreatic ductal adenocarcinoma histopathology: Advances, biomarkers, and challenges,” Cell Division, vol. 20, no. 1, pp. 1–15, 2025.</w:t>
      </w:r>
    </w:p>
    <w:p w14:paraId="01B536B5" w14:textId="77777777" w:rsidR="009B4E75" w:rsidRDefault="00000000">
      <w:pPr>
        <w:pStyle w:val="references"/>
      </w:pPr>
      <w:r>
        <w:t>R. Patel, A. Sharma, and S. Mehta, “Explainable deep learning for pancreatic ductal adenocarcinoma biopsy classification,” BMC Cancer, vol. 25, no. 1, pp. 1–12, 2025.</w:t>
      </w:r>
    </w:p>
    <w:p w14:paraId="2000664B" w14:textId="77777777" w:rsidR="009B4E75" w:rsidRDefault="00000000">
      <w:pPr>
        <w:pStyle w:val="references"/>
      </w:pPr>
      <w:r>
        <w:t>O. Kavak, A. Demir, and E. Yilmaz, “ResNet50-based deep learning approach for pancreatic ductal adenocarcinoma histopathology classification,” Sensors, vol. 24, no. 3, pp. 1–14, 2024.</w:t>
      </w:r>
    </w:p>
    <w:p w14:paraId="4A6108FD" w14:textId="77777777" w:rsidR="009B4E75" w:rsidRDefault="00000000">
      <w:pPr>
        <w:pStyle w:val="references"/>
      </w:pPr>
      <w:r>
        <w:t>Z. Li, M. Wang, and J. Zhang, “Domain-generalized whole-slide image classification with stain-invariant learning,” IEEE Journal of Biomedical and Health Informatics, vol. 28, no. 4, pp. 2105–2116, 2024.</w:t>
      </w:r>
    </w:p>
    <w:p w14:paraId="0083053C" w14:textId="77777777" w:rsidR="00577DAE" w:rsidRDefault="00000000">
      <w:pPr>
        <w:pStyle w:val="references"/>
      </w:pPr>
      <w:r>
        <w:t>J. Qu, Y. Wang, L. Zhang, and K. Huang, “Anatomically guided multiple instance learning for pancreatic histopathology image analysis,” Medical Image Analysis, vol. 86, p. 102772, 2023.</w:t>
      </w:r>
      <w:r w:rsidR="006B4694">
        <w:t xml:space="preserve"> </w:t>
      </w:r>
    </w:p>
    <w:p w14:paraId="07A2B62B" w14:textId="42BECD06" w:rsidR="009B4E75" w:rsidRDefault="009B4E75" w:rsidP="00577DAE">
      <w:pPr>
        <w:pStyle w:val="references"/>
        <w:numPr>
          <w:ilvl w:val="0"/>
          <w:numId w:val="0"/>
        </w:numPr>
        <w:ind w:left="360"/>
      </w:pPr>
    </w:p>
    <w:p w14:paraId="08334473" w14:textId="77777777" w:rsidR="009B4E75" w:rsidRDefault="00000000">
      <w:pPr>
        <w:pStyle w:val="references"/>
      </w:pPr>
      <w:r>
        <w:t>Z. Li, H. Chen, and X. Li, “Vision transformer-based weakly supervised learning for whole-slide histopathology image analysis,” Medical Image Analysis, vol. 84, p. 102703, 2023.</w:t>
      </w:r>
    </w:p>
    <w:p w14:paraId="31D5A56D" w14:textId="77777777" w:rsidR="009B4E75" w:rsidRDefault="00000000">
      <w:pPr>
        <w:pStyle w:val="references"/>
      </w:pPr>
      <w:r>
        <w:t xml:space="preserve">M. </w:t>
      </w:r>
      <w:proofErr w:type="spellStart"/>
      <w:r>
        <w:t>Dörrich</w:t>
      </w:r>
      <w:proofErr w:type="spellEnd"/>
      <w:r>
        <w:t xml:space="preserve">, F. </w:t>
      </w:r>
      <w:proofErr w:type="spellStart"/>
      <w:r>
        <w:t>Nensa</w:t>
      </w:r>
      <w:proofErr w:type="spellEnd"/>
      <w:r>
        <w:t>, and M. Schlaefer, “Explainable convolutional neural networks for digital pathology,” Diagnostic Pathology, vol. 18, no. 1, pp. 1–11, 2023.</w:t>
      </w:r>
    </w:p>
    <w:p w14:paraId="6C382288" w14:textId="77777777" w:rsidR="009B4E75" w:rsidRDefault="00000000">
      <w:pPr>
        <w:pStyle w:val="references"/>
      </w:pPr>
      <w:r>
        <w:t xml:space="preserve">F. Carrillo-Pérez, M. </w:t>
      </w:r>
      <w:proofErr w:type="spellStart"/>
      <w:r>
        <w:t>Balkenhol</w:t>
      </w:r>
      <w:proofErr w:type="spellEnd"/>
      <w:r>
        <w:t xml:space="preserve">, and A. </w:t>
      </w:r>
      <w:proofErr w:type="spellStart"/>
      <w:r>
        <w:t>Bulten</w:t>
      </w:r>
      <w:proofErr w:type="spellEnd"/>
      <w:r>
        <w:t>, “Multi-center robustness assessment of deep learning models for pancreatic histopathology,” Cancer Imaging, vol. 23, no. 1, pp. 1–13, 2023.</w:t>
      </w:r>
    </w:p>
    <w:p w14:paraId="4091B6BD" w14:textId="77777777" w:rsidR="009B4E75" w:rsidRDefault="00000000">
      <w:pPr>
        <w:pStyle w:val="references"/>
      </w:pPr>
      <w:r>
        <w:t>X. Zhao, Y. Zhang, and Q. Wang, “Transformer-based attention networks for histopathological image classification,” IEEE Transactions on Medical Imaging, vol. 42, no. 7, pp. 1961–1973, 2023.</w:t>
      </w:r>
    </w:p>
    <w:p w14:paraId="311C49E7" w14:textId="047BF673" w:rsidR="009B4E75" w:rsidRDefault="00000000">
      <w:pPr>
        <w:pStyle w:val="references"/>
      </w:pPr>
      <w:r>
        <w:t xml:space="preserve">G. Campanella, M. G. Hanna, L. </w:t>
      </w:r>
      <w:proofErr w:type="spellStart"/>
      <w:r>
        <w:t>Geneslaw</w:t>
      </w:r>
      <w:proofErr w:type="spellEnd"/>
      <w:r>
        <w:t>, et al., “Clinical-grade computational pathology using weakly supervised deep learning on whole-slide images,” Nature Medicine, vol. 25, no. 8, pp. 1301–1309, updated 2023.</w:t>
      </w:r>
    </w:p>
    <w:p w14:paraId="4FA2C22E" w14:textId="7E1A4241" w:rsidR="00577DAE" w:rsidRDefault="00577DAE">
      <w:pPr>
        <w:pStyle w:val="references"/>
      </w:pPr>
      <w:r w:rsidRPr="00577DAE">
        <w:t xml:space="preserve">R. Castellana, S. C. Fanni et al., "Radiomics and deep learning models for CT pre-operative lymph node staging in pancreatic ductal adenocarcinoma: a systematic review and meta-analysis," </w:t>
      </w:r>
      <w:r w:rsidRPr="00577DAE">
        <w:rPr>
          <w:i/>
          <w:iCs/>
        </w:rPr>
        <w:t xml:space="preserve">Eur. J. </w:t>
      </w:r>
      <w:proofErr w:type="spellStart"/>
      <w:r w:rsidRPr="00577DAE">
        <w:rPr>
          <w:i/>
          <w:iCs/>
        </w:rPr>
        <w:t>Radiol</w:t>
      </w:r>
      <w:proofErr w:type="spellEnd"/>
      <w:r w:rsidRPr="00577DAE">
        <w:rPr>
          <w:i/>
          <w:iCs/>
        </w:rPr>
        <w:t>.</w:t>
      </w:r>
      <w:r w:rsidRPr="00577DAE">
        <w:t>, vol. 176, p. 111519, 2024.</w:t>
      </w:r>
    </w:p>
    <w:p w14:paraId="3C47D553" w14:textId="2CA9E6F4" w:rsidR="00577DAE" w:rsidRDefault="00577DAE">
      <w:pPr>
        <w:pStyle w:val="references"/>
      </w:pPr>
      <w:r w:rsidRPr="00577DAE">
        <w:t xml:space="preserve">Y. Huang et al., "Contrast-enhanced CT radiomics combined with multiple machine learning algorithms for preoperative identification of lymph node metastasis in pancreatic ductal adenocarcinoma," </w:t>
      </w:r>
      <w:r w:rsidRPr="00577DAE">
        <w:rPr>
          <w:i/>
          <w:iCs/>
        </w:rPr>
        <w:t>Front. Oncol.</w:t>
      </w:r>
      <w:r w:rsidRPr="00577DAE">
        <w:t>, vol. 14, p. 1342317, 2024.</w:t>
      </w:r>
    </w:p>
    <w:p w14:paraId="4222A29D" w14:textId="7624F0B5" w:rsidR="00577DAE" w:rsidRDefault="00577DAE">
      <w:pPr>
        <w:pStyle w:val="references"/>
      </w:pPr>
      <w:r w:rsidRPr="00577DAE">
        <w:t xml:space="preserve">S. Yin et al., "Brain CT image classification based on mask RCNN and attention mechanism," </w:t>
      </w:r>
      <w:r w:rsidRPr="00577DAE">
        <w:rPr>
          <w:i/>
          <w:iCs/>
        </w:rPr>
        <w:t>Sci. Rep.</w:t>
      </w:r>
      <w:r w:rsidRPr="00577DAE">
        <w:t>, vol. 14, p. 29300, 2024.</w:t>
      </w:r>
    </w:p>
    <w:p w14:paraId="7B4D7B2F" w14:textId="5662F95A" w:rsidR="00577DAE" w:rsidRDefault="00976CF5">
      <w:pPr>
        <w:pStyle w:val="references"/>
      </w:pPr>
      <w:r w:rsidRPr="00976CF5">
        <w:t xml:space="preserve">S. </w:t>
      </w:r>
      <w:proofErr w:type="spellStart"/>
      <w:r w:rsidRPr="00976CF5">
        <w:t>Daibo</w:t>
      </w:r>
      <w:proofErr w:type="spellEnd"/>
      <w:r w:rsidRPr="00976CF5">
        <w:t xml:space="preserve"> et al., "Novel machine-learning model for predicting lymph node metastasis in </w:t>
      </w:r>
      <w:proofErr w:type="spellStart"/>
      <w:r w:rsidRPr="00976CF5">
        <w:t>resectable</w:t>
      </w:r>
      <w:proofErr w:type="spellEnd"/>
      <w:r w:rsidRPr="00976CF5">
        <w:t xml:space="preserve"> pancreatic ductal adenocarcinoma," </w:t>
      </w:r>
      <w:r w:rsidRPr="00976CF5">
        <w:rPr>
          <w:i/>
          <w:iCs/>
        </w:rPr>
        <w:t>Ann. Gastroenterol. Surg.</w:t>
      </w:r>
      <w:r w:rsidRPr="00976CF5">
        <w:t>, published online Jun. 17, 2024.</w:t>
      </w:r>
    </w:p>
    <w:p w14:paraId="141D0531" w14:textId="53AB7E23" w:rsidR="00976CF5" w:rsidRDefault="00976CF5">
      <w:pPr>
        <w:pStyle w:val="references"/>
      </w:pPr>
      <w:r w:rsidRPr="00976CF5">
        <w:t xml:space="preserve">N. Khan and A. Das, "Deep learning models for tumor detection and segmentation in medical image analysis: A comprehensive review of </w:t>
      </w:r>
      <w:proofErr w:type="spellStart"/>
      <w:r w:rsidRPr="00976CF5">
        <w:t>ResNet</w:t>
      </w:r>
      <w:proofErr w:type="spellEnd"/>
      <w:r w:rsidRPr="00976CF5">
        <w:t xml:space="preserve">, U-Net, DETR, and inception variants," </w:t>
      </w:r>
      <w:r w:rsidRPr="00976CF5">
        <w:rPr>
          <w:i/>
          <w:iCs/>
        </w:rPr>
        <w:t xml:space="preserve">IP J. </w:t>
      </w:r>
      <w:proofErr w:type="spellStart"/>
      <w:r w:rsidRPr="00976CF5">
        <w:rPr>
          <w:i/>
          <w:iCs/>
        </w:rPr>
        <w:t>Diagn</w:t>
      </w:r>
      <w:proofErr w:type="spellEnd"/>
      <w:r w:rsidRPr="00976CF5">
        <w:rPr>
          <w:i/>
          <w:iCs/>
        </w:rPr>
        <w:t xml:space="preserve">. </w:t>
      </w:r>
      <w:proofErr w:type="spellStart"/>
      <w:r w:rsidRPr="00976CF5">
        <w:rPr>
          <w:i/>
          <w:iCs/>
        </w:rPr>
        <w:t>Pathol</w:t>
      </w:r>
      <w:proofErr w:type="spellEnd"/>
      <w:r w:rsidRPr="00976CF5">
        <w:rPr>
          <w:i/>
          <w:iCs/>
        </w:rPr>
        <w:t>. Oncol.</w:t>
      </w:r>
      <w:r w:rsidRPr="00976CF5">
        <w:t>, vol. 9, no. 4, pp. 195–206, 2024.</w:t>
      </w:r>
    </w:p>
    <w:p w14:paraId="629D7759" w14:textId="01F991FA" w:rsidR="00976CF5" w:rsidRDefault="00976CF5">
      <w:pPr>
        <w:pStyle w:val="references"/>
      </w:pPr>
      <w:r w:rsidRPr="00976CF5">
        <w:t>R. K. Ray et al., "Grad-CAM Enabled Breast Cancer Classification with a 3D Inception-</w:t>
      </w:r>
      <w:proofErr w:type="spellStart"/>
      <w:r w:rsidRPr="00976CF5">
        <w:t>ResNet</w:t>
      </w:r>
      <w:proofErr w:type="spellEnd"/>
      <w:r w:rsidRPr="00976CF5">
        <w:t xml:space="preserve"> V2: Empowering Radiologists with Explainable Insights," </w:t>
      </w:r>
      <w:r w:rsidRPr="00976CF5">
        <w:rPr>
          <w:i/>
          <w:iCs/>
        </w:rPr>
        <w:t>Cancers</w:t>
      </w:r>
      <w:r w:rsidRPr="00976CF5">
        <w:t>, vol. 16, no. 21, p. 3668, Oct. 2024.</w:t>
      </w:r>
    </w:p>
    <w:p w14:paraId="33D38E0C" w14:textId="77777777" w:rsidR="009B4E75" w:rsidRDefault="009B4E75">
      <w:pPr>
        <w:pStyle w:val="references"/>
        <w:numPr>
          <w:ilvl w:val="0"/>
          <w:numId w:val="0"/>
        </w:numPr>
        <w:ind w:left="360" w:hanging="360"/>
        <w:jc w:val="center"/>
        <w:rPr>
          <w:rFonts w:eastAsia="SimSun"/>
          <w:b/>
          <w:color w:val="FF0000"/>
          <w:spacing w:val="-1"/>
          <w:sz w:val="20"/>
          <w:szCs w:val="20"/>
          <w:lang w:eastAsia="zh-CN"/>
        </w:rPr>
      </w:pPr>
    </w:p>
    <w:p w14:paraId="6D2C7705" w14:textId="77777777" w:rsidR="00577DAE" w:rsidRDefault="00577DAE">
      <w:pPr>
        <w:pStyle w:val="references"/>
        <w:numPr>
          <w:ilvl w:val="0"/>
          <w:numId w:val="0"/>
        </w:numPr>
        <w:ind w:left="360" w:hanging="360"/>
        <w:jc w:val="center"/>
        <w:rPr>
          <w:rFonts w:eastAsia="SimSun"/>
          <w:b/>
          <w:color w:val="FF0000"/>
          <w:spacing w:val="-1"/>
          <w:sz w:val="20"/>
          <w:szCs w:val="20"/>
          <w:lang w:eastAsia="zh-CN"/>
        </w:rPr>
      </w:pPr>
    </w:p>
    <w:p w14:paraId="4A31CFF3" w14:textId="77777777" w:rsidR="00577DAE" w:rsidRDefault="00577DAE" w:rsidP="00577DAE">
      <w:pPr>
        <w:pStyle w:val="references"/>
        <w:numPr>
          <w:ilvl w:val="0"/>
          <w:numId w:val="0"/>
        </w:numPr>
        <w:rPr>
          <w:rFonts w:eastAsia="SimSun"/>
          <w:b/>
          <w:color w:val="FF0000"/>
          <w:spacing w:val="-1"/>
          <w:sz w:val="20"/>
          <w:szCs w:val="20"/>
          <w:lang w:eastAsia="zh-CN"/>
        </w:rPr>
      </w:pPr>
    </w:p>
    <w:p w14:paraId="254BE335" w14:textId="1404B93E" w:rsidR="00577DAE" w:rsidRPr="00577DAE" w:rsidRDefault="00577DAE" w:rsidP="00577DAE">
      <w:pPr>
        <w:pStyle w:val="references"/>
        <w:numPr>
          <w:ilvl w:val="0"/>
          <w:numId w:val="0"/>
        </w:numPr>
        <w:rPr>
          <w:rFonts w:eastAsia="SimSun"/>
          <w:b/>
          <w:color w:val="FF0000"/>
          <w:spacing w:val="-1"/>
          <w:sz w:val="20"/>
          <w:szCs w:val="20"/>
          <w:lang w:eastAsia="zh-CN"/>
        </w:rPr>
        <w:sectPr w:rsidR="00577DAE" w:rsidRPr="00577DAE">
          <w:type w:val="continuous"/>
          <w:pgSz w:w="12240" w:h="15840"/>
          <w:pgMar w:top="1080" w:right="907" w:bottom="1440" w:left="907" w:header="720" w:footer="720" w:gutter="0"/>
          <w:cols w:num="2" w:space="360"/>
          <w:docGrid w:linePitch="360"/>
        </w:sectPr>
      </w:pPr>
    </w:p>
    <w:p w14:paraId="1F406C57" w14:textId="3095FE55" w:rsidR="00944546" w:rsidRDefault="00944546" w:rsidP="00944546">
      <w:pPr>
        <w:jc w:val="both"/>
        <w:rPr>
          <w:color w:val="FF0000"/>
        </w:rPr>
      </w:pPr>
    </w:p>
    <w:sectPr w:rsidR="00944546">
      <w:type w:val="continuous"/>
      <w:pgSz w:w="12240" w:h="15840"/>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013CD" w14:textId="77777777" w:rsidR="003B5DE2" w:rsidRDefault="003B5DE2">
      <w:r>
        <w:separator/>
      </w:r>
    </w:p>
  </w:endnote>
  <w:endnote w:type="continuationSeparator" w:id="0">
    <w:p w14:paraId="73E96FD1" w14:textId="77777777" w:rsidR="003B5DE2" w:rsidRDefault="003B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460C" w14:textId="77777777" w:rsidR="009B4E75" w:rsidRDefault="009B4E75">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2492" w14:textId="77777777" w:rsidR="003B5DE2" w:rsidRDefault="003B5DE2">
      <w:r>
        <w:separator/>
      </w:r>
    </w:p>
  </w:footnote>
  <w:footnote w:type="continuationSeparator" w:id="0">
    <w:p w14:paraId="234D7446" w14:textId="77777777" w:rsidR="003B5DE2" w:rsidRDefault="003B5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2BBC051B"/>
    <w:multiLevelType w:val="multilevel"/>
    <w:tmpl w:val="2BBC051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40D1D37"/>
    <w:multiLevelType w:val="multilevel"/>
    <w:tmpl w:val="640D1D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804277"/>
    <w:multiLevelType w:val="multilevel"/>
    <w:tmpl w:val="6480427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9"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0" w15:restartNumberingAfterBreak="0">
    <w:nsid w:val="7C42326F"/>
    <w:multiLevelType w:val="multilevel"/>
    <w:tmpl w:val="7C4232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6473311">
    <w:abstractNumId w:val="3"/>
  </w:num>
  <w:num w:numId="2" w16cid:durableId="2098747038">
    <w:abstractNumId w:val="2"/>
  </w:num>
  <w:num w:numId="3" w16cid:durableId="1575780321">
    <w:abstractNumId w:val="8"/>
  </w:num>
  <w:num w:numId="4" w16cid:durableId="1454665693">
    <w:abstractNumId w:val="0"/>
  </w:num>
  <w:num w:numId="5" w16cid:durableId="157422360">
    <w:abstractNumId w:val="5"/>
  </w:num>
  <w:num w:numId="6" w16cid:durableId="264533112">
    <w:abstractNumId w:val="4"/>
  </w:num>
  <w:num w:numId="7" w16cid:durableId="1470629777">
    <w:abstractNumId w:val="9"/>
  </w:num>
  <w:num w:numId="8" w16cid:durableId="1982224800">
    <w:abstractNumId w:val="6"/>
  </w:num>
  <w:num w:numId="9" w16cid:durableId="1508442214">
    <w:abstractNumId w:val="10"/>
  </w:num>
  <w:num w:numId="10" w16cid:durableId="544488086">
    <w:abstractNumId w:val="7"/>
  </w:num>
  <w:num w:numId="11" w16cid:durableId="3061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D45"/>
    <w:rsid w:val="0004781E"/>
    <w:rsid w:val="0006319E"/>
    <w:rsid w:val="0008758A"/>
    <w:rsid w:val="000C1E68"/>
    <w:rsid w:val="0014636F"/>
    <w:rsid w:val="0015079E"/>
    <w:rsid w:val="00156B74"/>
    <w:rsid w:val="001842AB"/>
    <w:rsid w:val="00192CB8"/>
    <w:rsid w:val="001A2EFD"/>
    <w:rsid w:val="001A3B3D"/>
    <w:rsid w:val="001A42EA"/>
    <w:rsid w:val="001B67DC"/>
    <w:rsid w:val="001D7BCF"/>
    <w:rsid w:val="002254A9"/>
    <w:rsid w:val="00233D97"/>
    <w:rsid w:val="002850E3"/>
    <w:rsid w:val="002C791B"/>
    <w:rsid w:val="00354FCF"/>
    <w:rsid w:val="003A19E2"/>
    <w:rsid w:val="003B5DE2"/>
    <w:rsid w:val="00421EC6"/>
    <w:rsid w:val="004325FB"/>
    <w:rsid w:val="004432BA"/>
    <w:rsid w:val="0044407E"/>
    <w:rsid w:val="004D72B5"/>
    <w:rsid w:val="00547E73"/>
    <w:rsid w:val="00551B7F"/>
    <w:rsid w:val="0056610F"/>
    <w:rsid w:val="00575BCA"/>
    <w:rsid w:val="00577DAE"/>
    <w:rsid w:val="005B0344"/>
    <w:rsid w:val="005B520E"/>
    <w:rsid w:val="005E2800"/>
    <w:rsid w:val="006275B9"/>
    <w:rsid w:val="006347CF"/>
    <w:rsid w:val="00645D22"/>
    <w:rsid w:val="00651A08"/>
    <w:rsid w:val="00654204"/>
    <w:rsid w:val="00670434"/>
    <w:rsid w:val="00687C56"/>
    <w:rsid w:val="006B4694"/>
    <w:rsid w:val="006B6B66"/>
    <w:rsid w:val="006D36AC"/>
    <w:rsid w:val="006F6D3D"/>
    <w:rsid w:val="00704134"/>
    <w:rsid w:val="00715BEA"/>
    <w:rsid w:val="00740EEA"/>
    <w:rsid w:val="00761462"/>
    <w:rsid w:val="00794804"/>
    <w:rsid w:val="007B33F1"/>
    <w:rsid w:val="007C0308"/>
    <w:rsid w:val="007C2FF2"/>
    <w:rsid w:val="007C5953"/>
    <w:rsid w:val="007D6232"/>
    <w:rsid w:val="007F1F99"/>
    <w:rsid w:val="007F768F"/>
    <w:rsid w:val="0080791D"/>
    <w:rsid w:val="00873603"/>
    <w:rsid w:val="008A055B"/>
    <w:rsid w:val="008A2C7D"/>
    <w:rsid w:val="008C4B23"/>
    <w:rsid w:val="008F6E2C"/>
    <w:rsid w:val="009303D9"/>
    <w:rsid w:val="00933C64"/>
    <w:rsid w:val="00944546"/>
    <w:rsid w:val="00972203"/>
    <w:rsid w:val="00976CF5"/>
    <w:rsid w:val="009B4E75"/>
    <w:rsid w:val="009E4C7B"/>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A6EB2"/>
    <w:rsid w:val="00ED0149"/>
    <w:rsid w:val="00ED2256"/>
    <w:rsid w:val="00EF7DE3"/>
    <w:rsid w:val="00F03103"/>
    <w:rsid w:val="00F07FC2"/>
    <w:rsid w:val="00F12284"/>
    <w:rsid w:val="00F271DE"/>
    <w:rsid w:val="00F627DA"/>
    <w:rsid w:val="00F7288F"/>
    <w:rsid w:val="00F847A6"/>
    <w:rsid w:val="00F9441B"/>
    <w:rsid w:val="00F96569"/>
    <w:rsid w:val="00FA4C32"/>
    <w:rsid w:val="00FE7114"/>
    <w:rsid w:val="5DFC7DF3"/>
    <w:rsid w:val="63B3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D40E2"/>
  <w15:docId w15:val="{C8FA99CE-14A2-4F37-8ACA-394B6FE2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563C1" w:themeColor="hyperlink"/>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before="68"/>
      <w:ind w:left="44" w:right="331"/>
    </w:pPr>
    <w:rPr>
      <w:rFonts w:eastAsia="Times New Roman"/>
      <w:sz w:val="48"/>
      <w:szCs w:val="48"/>
    </w:r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qFormat/>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eastAsia="Times New Roman"/>
      <w:sz w:val="48"/>
      <w:szCs w:val="48"/>
    </w:rPr>
  </w:style>
  <w:style w:type="paragraph" w:customStyle="1" w:styleId="TableParagraph">
    <w:name w:val="Table Paragraph"/>
    <w:basedOn w:val="Normal"/>
    <w:uiPriority w:val="1"/>
    <w:qFormat/>
    <w:pPr>
      <w:widowControl w:val="0"/>
      <w:autoSpaceDE w:val="0"/>
      <w:autoSpaceDN w:val="0"/>
      <w:spacing w:line="169" w:lineRule="exact"/>
      <w:ind w:left="110"/>
      <w:jc w:val="left"/>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agavarshinimamindlapelly@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hanushtiketi0729@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53BD-B001-433D-BAEA-84E6680C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6</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23881A1204</cp:lastModifiedBy>
  <cp:revision>3</cp:revision>
  <dcterms:created xsi:type="dcterms:W3CDTF">2026-06-09T15:46:00Z</dcterms:created>
  <dcterms:modified xsi:type="dcterms:W3CDTF">2026-06-11T16:34:00Z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eyJoZGlkIjoiZjNhZTkyN2JhMTE2ZmM0YjQ2NjE4NjdkOTJkMzg4NDkiLCJ1c2VySWQiOiI1Njc0MzI2MjkwODAifQ==</vt:lpwstr>
  </property>
  <property fmtid="{D5CDD505-2E9C-101B-9397-08002B2CF9AE}" pid="3" name="KSOProductBuildVer">
    <vt:lpwstr>1033-12.1.0.26880</vt:lpwstr>
  </property>
  <property fmtid="{D5CDD505-2E9C-101B-9397-08002B2CF9AE}" pid="4" name="ICV">
    <vt:lpwstr>C41FF82C1ADC43159AAB6E5B328C1714_12</vt:lpwstr>
  </property>
</Properties>
</file>