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41"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ESG VS FINANCIAL PERFORMANCE:TO EXAMINE WHETHER COMPANIES WITH HIGH ESG SCORES ALSO DEMONSTRATE STRONGER FINANCIAL PERFORMANCE — MEASURED USING PROFITABILITY, EFFICIENCY, OR VALUATION RATIOS.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670" w:line="240" w:lineRule="auto"/>
        <w:ind w:right="2955"/>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Nidhin Johny, Asst. Professor,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6" w:line="240" w:lineRule="auto"/>
        <w:ind w:right="3021"/>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Albertian Institute of Management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9" w:line="240" w:lineRule="auto"/>
        <w:jc w:val="center"/>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nidhin</w:t>
      </w:r>
      <w:r w:rsidDel="00000000" w:rsidR="00000000" w:rsidRPr="00000000">
        <w:rPr>
          <w:rFonts w:ascii="Times New Roman" w:cs="Times New Roman" w:eastAsia="Times New Roman" w:hAnsi="Times New Roman"/>
          <w:color w:val="1155cc"/>
          <w:sz w:val="24"/>
          <w:szCs w:val="24"/>
          <w:u w:val="single"/>
          <w:rtl w:val="0"/>
        </w:rPr>
        <w:t xml:space="preserve">@aim.edu.in</w:t>
      </w:r>
      <w:r w:rsidDel="00000000" w:rsidR="00000000" w:rsidRPr="00000000">
        <w:rPr>
          <w:rFonts w:ascii="Times New Roman" w:cs="Times New Roman" w:eastAsia="Times New Roman" w:hAnsi="Times New Roman"/>
          <w:color w:val="1155cc"/>
          <w:sz w:val="24"/>
          <w:szCs w:val="24"/>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9" w:line="240" w:lineRule="auto"/>
        <w:jc w:val="center"/>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704"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Abhishek P J</w:t>
      </w:r>
      <w:r w:rsidDel="00000000" w:rsidR="00000000" w:rsidRPr="00000000">
        <w:rPr>
          <w:rFonts w:ascii="Times New Roman" w:cs="Times New Roman" w:eastAsia="Times New Roman" w:hAnsi="Times New Roman"/>
          <w:color w:val="000000"/>
          <w:sz w:val="24"/>
          <w:szCs w:val="24"/>
          <w:rtl w:val="0"/>
        </w:rPr>
        <w:t xml:space="preserve">, Student,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6" w:line="240" w:lineRule="auto"/>
        <w:ind w:right="305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Albertian Institute of Management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9" w:line="240" w:lineRule="auto"/>
        <w:jc w:val="cente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abhishekjelesh@gmail.com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263" w:line="2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Abstract</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iCs w:val="1"/>
          <w:color w:val="000000"/>
          <w:sz w:val="20"/>
          <w:szCs w:val="20"/>
          <w:rtl w:val="0"/>
        </w:rPr>
        <w:t xml:space="preserve"> </w:t>
      </w:r>
      <w:r w:rsidDel="00000000" w:rsidR="00000000" w:rsidRPr="00000000">
        <w:rPr>
          <w:rFonts w:ascii="Times New Roman" w:cs="Times New Roman" w:eastAsia="Times New Roman" w:hAnsi="Times New Roman"/>
          <w:color w:val="000000"/>
          <w:sz w:val="24"/>
          <w:szCs w:val="24"/>
          <w:rtl w:val="0"/>
        </w:rPr>
        <w:t xml:space="preserve">The study examines the relationship between Environmental, Social, and Governance (ESG) performance and the financial performance of JSW Infrastructure Ltd., a major player in India’s port and logistics sector, at a time when sustainability considerations are increasingly influencing corporate strategy, investor preferences, and regulatory frameworks. Using secondary data from Sustainalytics and the company’s annual reports, the research evaluates financial performance through profitability, efficiency, liquidity, and valuation ratios, supported by comparative and common-size financial statements to track structural changes over five years. Correlation and regression analyses are employed to determine whether ESG risk scores—where lower scores indicate stronger ESG performance—are associated with variations in net profit. The findings show fluctuating profitability and efficiency ratios but an overall improving financial trajectory, alongside expanding asset bases and strengthening liquidity. Statistical results indicate a negative relationship between ESG risk and net profit, suggesting that stronger ESG performance aligns with higher profitability for the company. The study concludes that integrating ESG practices can enhance long-term financial value in capital-intensive sectors such as infrastructure, while also offering insights for corporate managers, investors, and policymakers seeking a balance between sustainability commitments and financial outcomes in the Indian context.</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421" w:line="229" w:lineRule="auto"/>
        <w:ind w:left="116" w:right="324" w:firstLine="4.000000000000003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INTRODUCTION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117"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 global business landscape has undergone a major shift as companies are increasingly evaluated not only on traditional financial metrics but also on their commitment to sustainability and responsible governance. Environmental, Social, and Governance (ESG) performance has emerged as a critical framework for understanding how responsibly a company operates and how effectively it manages long-term risks. With rising concerns over climate change, ethical business conduct, and social welfare, stakeholders such as investors, regulators, and consumers now place significant value on ESG indicators when assessing a company’s overall health and future potential.</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growing emphasis on ESG has sparked worldwide academic and corporate interest in understanding whether strong ESG performance translates into superior financial outcomes. While many studies suggest that sustainable practices improve profitability, reduce operational risks, and enhance reputation, others argue that ESG initiatives may increase short-term costs or fail to produce immediate financial benefits. This ongoing debate highlights the need for company-specific research, especially within emerging markets like India, where sustainability disclosure frameworks are still evolving and industries operate under unique economic and regulatory pressures.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context, JSW Infrastructure Ltd., one of India’s rapidly growing port and logistics companies, presents an ideal case for exploring the ESG–financial performance relationship. Operating in a sector that is both capital-intensive and environmentally sensitive, the company faces the dual challenge of achieving economic growth while adhering to sustainability expectations. This study examines whether variations in JSW Infrastructure’s ESG risk scores are associated with changes in financial performance, using ratio analysis, comparative financial statements, and statistical tools such as correlation and regression. The research provides valuable insights into whether responsible business practices can drive financial value in India’s infrastructure sector and offers guidance to investors, policymakers, and corporate leaders navigating the shift toward sustainability-driven performance evaluation.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6" w:lineRule="auto"/>
        <w:ind w:left="116" w:right="4"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LITERATURE REVIEW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Financial performance shortfall, ESG controversies, and ESG performance: Evidence from firms around the world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DasGupta, 2022</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investigates how firms react to financial performance shortfalls by improving their ESG practices as a means to preserve legitimacy. It also explores whether ESG controversies play a mediating role in shaping such responses. The study finds that declining financial performance motivates firms to enhance their ESG efforts. However, when companies face significant ESG controversies, their ability to engage in strong ESG initiatives weakens. Even so, controversies partially mediate the relationship between financial shortfalls and ESG performance, indicating that they indirectly influence firms’ sustainability strategies.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ESG factors and corporate financial performance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Ghassan H. Mardini</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This study examines how environmental, social, and governance (ESG) dimensions influence corporate financial performance (CFP) across 7,081 non-financial firms from 35 countries between 2012 and 2020. The analysis reveals that ESG factors collectively strengthen both market-based (Tobin’s Q) and accounting-based (ROA and ROE) performance indicators. Firms with robust environmental and governance practices tend to improve market valuation, while the social component shows a negative relationship with performance, suggesting possible cost implications and reputational effects. The research contributes by offering broad empirical insights into the independent and combined effects of ESG dimensions on financial outcomes globally.</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ESG risk and financial performance of the Indian financial firms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Mohit Saini, Barkha Dhingra, Mahender Yadav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stakeholder theory, this study evaluates the relationship between ESG risk levels and financial performance for 57 Indian financial firms in the year 2021. Using data from Prowess IQ and Sustainalytics, and employing OLS regression, the results indicate a significant negative correlation between ESG risk and firm profitability. Companies with higher ESG risks show weaker financial returns. The findings highlight the need for financial institutions to actively reduce ESG risks to sustain profitability and strengthen stakeholder confidence. This study bridges a crucial research gap by addressing ESG risk within India’s financial industry.</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Good for the planet, good for the wallet: The ESG impact on financial performance in India</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Amar Rao , Vishal Dagar , Kazi Sohag , Leila Dagher , Tauhidul Islam Tanin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assesses the relationship between ESG practices and financial performance among Nifty 50 companies in India from 2015 to 2022 using fixed-effects panel quantile regression. Results demonstrate that ESG’s impact on profitability varies across the ROE distribution. The environmental and governance dimensions consistently exert a negative effect on ROE across most quantiles, while the social pillar shows weak or insignificant influence. These findings underline the complex nature of ESG–performance dynamics and provide valuable implications for investors, corporate managers, and policymakers seeking to balance sustainability goals with financial outcomes.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business value of ESG performance: the Indian context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Hemlata Chelawat &amp;Indra Vardhan Trivedi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86" w:lineRule="auto"/>
        <w:ind w:lef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paper explores the influence of ESG performance on corporate financial results in India, addressing a gap in research from emerging economies. Using panel regression models, the study finds that companies demonstrating higher ESG performance experience improved financial outcomes. Enhanced sustainability practices appear to reduce business risks and strengthen profitability. The findings emphasize the growing importance of ESG integration for investors, regulators, and management in developing markets such as India.</w:t>
      </w:r>
    </w:p>
    <w:p w:rsidR="00000000" w:rsidDel="00000000" w:rsidP="00000000" w:rsidRDefault="00000000" w:rsidRPr="00000000" w14:paraId="00000024">
      <w:pPr>
        <w:widowControl w:val="0"/>
        <w:ind w:left="113" w:right="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ind w:left="113" w:right="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of ESG score on financial performance of Indian firms: static and dynamic panel regression analysis</w:t>
      </w:r>
    </w:p>
    <w:p w:rsidR="00000000" w:rsidDel="00000000" w:rsidP="00000000" w:rsidRDefault="00000000" w:rsidRPr="00000000" w14:paraId="00000026">
      <w:pPr>
        <w:widowControl w:val="0"/>
        <w:ind w:left="113" w:right="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ind w:left="113" w:righ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Rupamanjari Sinha Ray, Sandeep Goel </w:t>
      </w:r>
    </w:p>
    <w:p w:rsidR="00000000" w:rsidDel="00000000" w:rsidP="00000000" w:rsidRDefault="00000000" w:rsidRPr="00000000" w14:paraId="00000028">
      <w:pPr>
        <w:widowControl w:val="0"/>
        <w:ind w:left="113" w:right="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influence of ESG scores on financial indicators among 48 Indian firms listed in the BSE-100 index between 2011 and 2019. Employing static and dynamic panel regression models, the analysis incorporates variables such as ROA, ROE, firm size, market capitalization, Tobin’s Q, and share price. The findings indicate that ESG performance affects these financial variables, though often with a time lag. Importantly, a long-term positive association is observed between ESG disclosures and share price, suggesting that ESG serves as a forward-looking measure of firm value and risk management in developing economies.</w:t>
      </w:r>
    </w:p>
    <w:p w:rsidR="00000000" w:rsidDel="00000000" w:rsidP="00000000" w:rsidRDefault="00000000" w:rsidRPr="00000000" w14:paraId="0000002A">
      <w:pPr>
        <w:widowControl w:val="0"/>
        <w:ind w:left="113" w:right="2"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widowControl w:val="0"/>
        <w:ind w:left="113" w:righ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ESG measures and financial performance of logistics companies </w:t>
      </w:r>
    </w:p>
    <w:p w:rsidR="00000000" w:rsidDel="00000000" w:rsidP="00000000" w:rsidRDefault="00000000" w:rsidRPr="00000000" w14:paraId="0000002C">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Jitendra Nenavani, Asha Prasuna, S.N.V. Siva Kumar &amp; Alivelu Kasturi</w:t>
      </w:r>
    </w:p>
    <w:p w:rsidR="00000000" w:rsidDel="00000000" w:rsidP="00000000" w:rsidRDefault="00000000" w:rsidRPr="00000000" w14:paraId="0000002E">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explores the link between ESG compliance and financial performance in the logistics industry, which plays a pivotal role in global trade. The study acknowledges the sector’s contribution to carbon emissions and sustainability challenges but also its ongoing transition towards greener technologies. Using panel data models, the study analyses how ESG investment affects profitability in logistics and supply chain firms. Findings indicate mixed results, highlighting that while ESG efforts improve environmental responsibility, their immediate financial returns vary across firms. Managerial insights focus on balancing sustainability and profitability in a post-pandemic economy.</w:t>
      </w:r>
    </w:p>
    <w:p w:rsidR="00000000" w:rsidDel="00000000" w:rsidP="00000000" w:rsidRDefault="00000000" w:rsidRPr="00000000" w14:paraId="00000030">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Unveiling the financial effect of ESG disclosure on financial performance in India: climate-sensitive corporates’ perspective </w:t>
      </w:r>
    </w:p>
    <w:p w:rsidR="00000000" w:rsidDel="00000000" w:rsidP="00000000" w:rsidRDefault="00000000" w:rsidRPr="00000000" w14:paraId="00000032">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 Gopal Maji, Prachi Lohia </w:t>
      </w:r>
    </w:p>
    <w:p w:rsidR="00000000" w:rsidDel="00000000" w:rsidP="00000000" w:rsidRDefault="00000000" w:rsidRPr="00000000" w14:paraId="00000034">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examines how ESG disclosure influences firm performance, considering the moderating role of climate sensitivity across industries. The analysis reveals that ESG disclosure positively affects financial outcomes, with governance showing the strongest influence. Moreover, the relationship between ESG disclosure and performance is moderated by industry type—firms in less climate-sensitive sectors benefit more from ESG reporting. The results confirm the value-enhancing role of transparent ESG communication, particularly for industries with lower environmental exposure.</w:t>
      </w:r>
    </w:p>
    <w:p w:rsidR="00000000" w:rsidDel="00000000" w:rsidP="00000000" w:rsidRDefault="00000000" w:rsidRPr="00000000" w14:paraId="00000036">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ind w:left="113" w:righ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of ESG on financial performance: An Indian perspective</w:t>
      </w:r>
    </w:p>
    <w:p w:rsidR="00000000" w:rsidDel="00000000" w:rsidP="00000000" w:rsidRDefault="00000000" w:rsidRPr="00000000" w14:paraId="00000038">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Vidhi, Joseph Durai Selvam </w:t>
      </w:r>
    </w:p>
    <w:p w:rsidR="00000000" w:rsidDel="00000000" w:rsidP="00000000" w:rsidRDefault="00000000" w:rsidRPr="00000000" w14:paraId="0000003A">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explores the relationship between ESG performance and financial results in Indian companies from a corporate viewpoint. By using ROA and Tobin’s Q as accounting-based and market-based indicators respectively, the study employs correlation and regression analyses to determine the linkages. Results confirm a positive connection between ESG initiatives and firm performance, underscoring how sustainable practices can enhance shareholder value. The findings encourage Indian companies to integrate ESG principles as part of their long-term value creation strategy.</w:t>
      </w:r>
    </w:p>
    <w:p w:rsidR="00000000" w:rsidDel="00000000" w:rsidP="00000000" w:rsidRDefault="00000000" w:rsidRPr="00000000" w14:paraId="0000003C">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ind w:left="113" w:righ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Analysis of corporate sustainability performance and corporate financial performance causal linkage in the Indian context </w:t>
      </w:r>
    </w:p>
    <w:p w:rsidR="00000000" w:rsidDel="00000000" w:rsidP="00000000" w:rsidRDefault="00000000" w:rsidRPr="00000000" w14:paraId="0000003E">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Milind Kumar Jha &amp;K. Rangarajan </w:t>
      </w:r>
    </w:p>
    <w:p w:rsidR="00000000" w:rsidDel="00000000" w:rsidP="00000000" w:rsidRDefault="00000000" w:rsidRPr="00000000" w14:paraId="00000040">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investigates the bidirectional relationship between corporate sustainability performance (CSP) and financial performance (CFP) for the top 500 Indian firms from 2008 to 2018. Using Granger causality and panel regression, the findings suggest limited causal linkage between CSP and CFP overall. However, at a disaggregated level, certain ESG dimensions show negative associations with profitability. The study concludes that Indian firms do not yet experience consistent financial benefits from sustainability investments, offering insights for policymakers and corporate strategists.</w:t>
      </w:r>
    </w:p>
    <w:p w:rsidR="00000000" w:rsidDel="00000000" w:rsidP="00000000" w:rsidRDefault="00000000" w:rsidRPr="00000000" w14:paraId="00000042">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ind w:left="113" w:righ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 empirical study of supply chain sustainability with financial performances of Indian firms </w:t>
      </w:r>
    </w:p>
    <w:p w:rsidR="00000000" w:rsidDel="00000000" w:rsidP="00000000" w:rsidRDefault="00000000" w:rsidRPr="00000000" w14:paraId="00000044">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Nikunj Sachin &amp; R. Rajesh </w:t>
      </w:r>
    </w:p>
    <w:p w:rsidR="00000000" w:rsidDel="00000000" w:rsidP="00000000" w:rsidRDefault="00000000" w:rsidRPr="00000000" w14:paraId="00000046">
      <w:pPr>
        <w:widowControl w:val="0"/>
        <w:ind w:left="113"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ind w:left="113"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empirically evaluates how sustainable supply chain practices influence the financial performance of 25 Indian firms listed with ESG scores on Bloomberg. Using Partial Least Squares (PLS) regression, the analysis indicates that sustainable practices in the supply chain may not directly enhance financial returns as measured by ROA and ROE. The study highlights the importance of aligning ESG efforts with profitability strategies and calls for extended research across developing economies to capture broader insights on sustainable supply chain management.</w:t>
      </w:r>
    </w:p>
    <w:p w:rsidR="00000000" w:rsidDel="00000000" w:rsidP="00000000" w:rsidRDefault="00000000" w:rsidRPr="00000000" w14:paraId="00000048">
      <w:pPr>
        <w:widowControl w:val="0"/>
        <w:ind w:left="114" w:right="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left="113" w:right="5" w:firstLine="3.0000000000000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left="119"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Research Objectives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left="119"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widowControl w:val="0"/>
        <w:spacing w:line="229" w:lineRule="auto"/>
        <w:ind w:left="835" w:right="81" w:hanging="350"/>
        <w:rPr>
          <w:rFonts w:ascii="Times New Roman" w:cs="Times New Roman" w:eastAsia="Times New Roman" w:hAnsi="Times New Roman"/>
          <w:b w:val="1"/>
          <w:bCs w:val="1"/>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PRIMARY OBJECTIVE</w:t>
      </w:r>
    </w:p>
    <w:p w:rsidR="00000000" w:rsidDel="00000000" w:rsidP="00000000" w:rsidRDefault="00000000" w:rsidRPr="00000000" w14:paraId="0000004D">
      <w:pPr>
        <w:widowControl w:val="0"/>
        <w:ind w:left="835" w:right="81" w:hanging="350"/>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To examine whether there is any relationship between the ESG score and the financial performance of JSW Infrastructure Ltd</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04E">
      <w:pPr>
        <w:widowControl w:val="0"/>
        <w:ind w:left="835" w:right="81" w:hanging="350"/>
        <w:jc w:val="both"/>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F">
      <w:pPr>
        <w:widowControl w:val="0"/>
        <w:ind w:left="835" w:right="81" w:hanging="350"/>
        <w:jc w:val="both"/>
        <w:rPr>
          <w:rFonts w:ascii="Noto Sans Symbols" w:cs="Noto Sans Symbols" w:eastAsia="Noto Sans Symbols" w:hAnsi="Noto Sans Symbols"/>
          <w:b w:val="1"/>
          <w:bCs w:val="1"/>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SECONDARY OBJECTIVE</w:t>
      </w:r>
      <w:r w:rsidDel="00000000" w:rsidR="00000000" w:rsidRPr="00000000">
        <w:rPr>
          <w:rtl w:val="0"/>
        </w:rPr>
      </w:r>
    </w:p>
    <w:p w:rsidR="00000000" w:rsidDel="00000000" w:rsidP="00000000" w:rsidRDefault="00000000" w:rsidRPr="00000000" w14:paraId="00000050">
      <w:pPr>
        <w:widowControl w:val="0"/>
        <w:tabs>
          <w:tab w:val="left" w:leader="none" w:pos="7607"/>
        </w:tabs>
        <w:ind w:left="835" w:right="81" w:hanging="350"/>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To analyze the overall financial performance of JSW Infrastructure Ltd. using profitability, efficiency, and valuation ratios.</w:t>
      </w:r>
    </w:p>
    <w:p w:rsidR="00000000" w:rsidDel="00000000" w:rsidP="00000000" w:rsidRDefault="00000000" w:rsidRPr="00000000" w14:paraId="00000051">
      <w:pPr>
        <w:widowControl w:val="0"/>
        <w:ind w:left="835" w:right="81"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assess the correlation between the ESG risk score and the company’s financial performance, specifically its net profit.</w:t>
      </w:r>
    </w:p>
    <w:p w:rsidR="00000000" w:rsidDel="00000000" w:rsidP="00000000" w:rsidRDefault="00000000" w:rsidRPr="00000000" w14:paraId="00000052">
      <w:pPr>
        <w:widowControl w:val="0"/>
        <w:ind w:left="835" w:right="81"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determine the impact of ESG performance on financial outcomes using regression analysis.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02" w:line="240" w:lineRule="auto"/>
        <w:ind w:left="11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02" w:line="240" w:lineRule="auto"/>
        <w:ind w:left="11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Research Method and Data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02" w:line="240" w:lineRule="auto"/>
        <w:ind w:left="11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adopts a quantitative research approach based entirely on secondary data to examine the relationship between ESG performance and the financial performance of JSW Infrastructure Ltd. The ESG risk scores are obtained from Sustainalytics, while financial data such as profitability, efficiency, and valuation ratios are collected from the company’s annual reports. The financial strength and position of the company are analyzed through ratio analysis, comparative balance sheets, and common-size statements to understand trends and performance over time. To determine the relationship between ESG performance and financial outcomes, correlation and regression analyses are conducted, considering the ESG risk score as the independent variable and net profit as the dependent variable. The results aim to provide insights into whether stronger ESG performance contributes to improved financial results and sustainable value creation.</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570" w:line="240" w:lineRule="auto"/>
        <w:ind w:left="116"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570" w:line="240" w:lineRule="auto"/>
        <w:ind w:left="116"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570" w:line="240" w:lineRule="auto"/>
        <w:ind w:left="11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Data Analysis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348" w:line="240" w:lineRule="auto"/>
        <w:ind w:left="12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RATIO ANALYSIS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48" w:line="240" w:lineRule="auto"/>
        <w:ind w:left="12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Return on Assets (ROA)</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bl>
      <w:tblPr>
        <w:tblStyle w:val="Table1"/>
        <w:tblpPr w:leftFromText="180" w:rightFromText="180" w:topFromText="0" w:bottomFromText="0" w:vertAnchor="text" w:horzAnchor="text" w:tblpX="0" w:tblpY="1096"/>
        <w:tblW w:w="72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5"/>
        <w:gridCol w:w="1805"/>
        <w:gridCol w:w="1805"/>
        <w:gridCol w:w="1805"/>
        <w:tblGridChange w:id="0">
          <w:tblGrid>
            <w:gridCol w:w="1805"/>
            <w:gridCol w:w="1805"/>
            <w:gridCol w:w="1805"/>
            <w:gridCol w:w="1805"/>
          </w:tblGrid>
        </w:tblGridChange>
      </w:tblGrid>
      <w:tr>
        <w:trPr>
          <w:cantSplit w:val="0"/>
          <w:trHeight w:val="274" w:hRule="atLeast"/>
          <w:tblHeader w:val="0"/>
        </w:trPr>
        <w:tc>
          <w:tcPr/>
          <w:p w:rsidR="00000000" w:rsidDel="00000000" w:rsidP="00000000" w:rsidRDefault="00000000" w:rsidRPr="00000000" w14:paraId="0000005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p w:rsidR="00000000" w:rsidDel="00000000" w:rsidP="00000000" w:rsidRDefault="00000000" w:rsidRPr="00000000" w14:paraId="0000005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 Profit</w:t>
            </w:r>
          </w:p>
        </w:tc>
        <w:tc>
          <w:tcPr/>
          <w:p w:rsidR="00000000" w:rsidDel="00000000" w:rsidP="00000000" w:rsidRDefault="00000000" w:rsidRPr="00000000" w14:paraId="0000005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Assets</w:t>
            </w:r>
          </w:p>
        </w:tc>
        <w:tc>
          <w:tcPr/>
          <w:p w:rsidR="00000000" w:rsidDel="00000000" w:rsidP="00000000" w:rsidRDefault="00000000" w:rsidRPr="00000000" w14:paraId="0000005F">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ROA</w:t>
            </w:r>
          </w:p>
        </w:tc>
      </w:tr>
      <w:tr>
        <w:trPr>
          <w:cantSplit w:val="0"/>
          <w:trHeight w:val="239" w:hRule="atLeast"/>
          <w:tblHeader w:val="0"/>
        </w:trPr>
        <w:tc>
          <w:tcPr/>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9,898.81</w:t>
            </w:r>
          </w:p>
        </w:tc>
        <w:tc>
          <w:tcPr/>
          <w:p w:rsidR="00000000" w:rsidDel="00000000" w:rsidP="00000000" w:rsidRDefault="00000000" w:rsidRPr="00000000" w14:paraId="0000006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1,95,893.76</w:t>
            </w:r>
          </w:p>
        </w:tc>
        <w:tc>
          <w:tcPr/>
          <w:p w:rsidR="00000000" w:rsidDel="00000000" w:rsidP="00000000" w:rsidRDefault="00000000" w:rsidRPr="00000000" w14:paraId="000000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r>
      <w:tr>
        <w:trPr>
          <w:cantSplit w:val="0"/>
          <w:trHeight w:val="329" w:hRule="atLeast"/>
          <w:tblHeader w:val="0"/>
        </w:trPr>
        <w:tc>
          <w:tcPr/>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14,054.28</w:t>
            </w:r>
          </w:p>
        </w:tc>
        <w:tc>
          <w:tcPr/>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4,80,805.52</w:t>
            </w:r>
          </w:p>
        </w:tc>
        <w:tc>
          <w:tcPr/>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r>
      <w:tr>
        <w:trPr>
          <w:cantSplit w:val="0"/>
          <w:trHeight w:val="277" w:hRule="atLeast"/>
          <w:tblHeader w:val="0"/>
        </w:trPr>
        <w:tc>
          <w:tcPr/>
          <w:p w:rsidR="00000000" w:rsidDel="00000000" w:rsidP="00000000" w:rsidRDefault="00000000" w:rsidRPr="00000000" w14:paraId="0000006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6,706.55</w:t>
            </w:r>
          </w:p>
        </w:tc>
        <w:tc>
          <w:tcPr/>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5,05,231.08</w:t>
            </w:r>
          </w:p>
        </w:tc>
        <w:tc>
          <w:tcPr/>
          <w:p w:rsidR="00000000" w:rsidDel="00000000" w:rsidP="00000000" w:rsidRDefault="00000000" w:rsidRPr="00000000" w14:paraId="000000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25" w:hRule="atLeast"/>
          <w:tblHeader w:val="0"/>
        </w:trPr>
        <w:tc>
          <w:tcPr/>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28,721</w:t>
            </w:r>
          </w:p>
        </w:tc>
        <w:tc>
          <w:tcPr/>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8,32,798</w:t>
            </w:r>
          </w:p>
        </w:tc>
        <w:tc>
          <w:tcPr/>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tc>
      </w:tr>
      <w:tr>
        <w:trPr>
          <w:cantSplit w:val="0"/>
          <w:trHeight w:val="187" w:hRule="atLeast"/>
          <w:tblHeader w:val="0"/>
        </w:trPr>
        <w:tc>
          <w:tcPr/>
          <w:p w:rsidR="00000000" w:rsidDel="00000000" w:rsidP="00000000" w:rsidRDefault="00000000" w:rsidRPr="00000000" w14:paraId="000000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39,139</w:t>
            </w:r>
          </w:p>
        </w:tc>
        <w:tc>
          <w:tcPr/>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9,19,339</w:t>
            </w:r>
          </w:p>
        </w:tc>
        <w:tc>
          <w:tcPr/>
          <w:p w:rsidR="00000000" w:rsidDel="00000000" w:rsidP="00000000" w:rsidRDefault="00000000" w:rsidRPr="00000000" w14:paraId="000000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In Lakhs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4"/>
          <w:szCs w:val="24"/>
        </w:rPr>
      </w:pPr>
      <w:bookmarkStart w:colFirst="0" w:colLast="0" w:name="_heading=h.e9jqzvg7jcb9" w:id="0"/>
      <w:bookmarkEnd w:id="0"/>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826"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16" w:line="234" w:lineRule="auto"/>
        <w:ind w:left="473" w:right="174"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p w:rsidR="00000000" w:rsidDel="00000000" w:rsidP="00000000" w:rsidRDefault="00000000" w:rsidRPr="00000000" w14:paraId="0000007F">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company's Return on Assets (ROA) fluctuated from 2021 to 2025, initially strong at 5.05% in 2021, dropping to a low of 1.33% in 2023, and then recovering to 4.26% by 2025, indicating a bounce back in asset efficiency after a period of decline.</w:t>
      </w:r>
    </w:p>
    <w:p w:rsidR="00000000" w:rsidDel="00000000" w:rsidP="00000000" w:rsidRDefault="00000000" w:rsidRPr="00000000" w14:paraId="00000080">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Return on Equity (ROE)</w:t>
      </w:r>
    </w:p>
    <w:p w:rsidR="00000000" w:rsidDel="00000000" w:rsidP="00000000" w:rsidRDefault="00000000" w:rsidRPr="00000000" w14:paraId="00000082">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ROE = Net profit / Shareholders’ Equity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Lakhs</w:t>
      </w:r>
    </w:p>
    <w:tbl>
      <w:tblPr>
        <w:tblStyle w:val="Table2"/>
        <w:tblpPr w:leftFromText="180" w:rightFromText="180" w:topFromText="0" w:bottomFromText="0" w:vertAnchor="text" w:horzAnchor="text" w:tblpX="0" w:tblpY="244"/>
        <w:tblW w:w="71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1843"/>
        <w:gridCol w:w="1701"/>
        <w:gridCol w:w="1843"/>
        <w:tblGridChange w:id="0">
          <w:tblGrid>
            <w:gridCol w:w="1809"/>
            <w:gridCol w:w="1843"/>
            <w:gridCol w:w="1701"/>
            <w:gridCol w:w="1843"/>
          </w:tblGrid>
        </w:tblGridChange>
      </w:tblGrid>
      <w:tr>
        <w:trPr>
          <w:cantSplit w:val="0"/>
          <w:trHeight w:val="551" w:hRule="atLeast"/>
          <w:tblHeader w:val="0"/>
        </w:trPr>
        <w:tc>
          <w:tcPr/>
          <w:p w:rsidR="00000000" w:rsidDel="00000000" w:rsidP="00000000" w:rsidRDefault="00000000" w:rsidRPr="00000000" w14:paraId="0000008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p w:rsidR="00000000" w:rsidDel="00000000" w:rsidP="00000000" w:rsidRDefault="00000000" w:rsidRPr="00000000" w14:paraId="0000008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 Profit</w:t>
            </w:r>
          </w:p>
        </w:tc>
        <w:tc>
          <w:tcPr/>
          <w:p w:rsidR="00000000" w:rsidDel="00000000" w:rsidP="00000000" w:rsidRDefault="00000000" w:rsidRPr="00000000" w14:paraId="0000008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Shareholders’ Equity</w:t>
            </w:r>
          </w:p>
        </w:tc>
        <w:tc>
          <w:tcPr/>
          <w:p w:rsidR="00000000" w:rsidDel="00000000" w:rsidP="00000000" w:rsidRDefault="00000000" w:rsidRPr="00000000" w14:paraId="00000089">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ROE</w:t>
            </w:r>
          </w:p>
        </w:tc>
      </w:tr>
      <w:tr>
        <w:trPr>
          <w:cantSplit w:val="0"/>
          <w:trHeight w:val="306" w:hRule="atLeast"/>
          <w:tblHeader w:val="0"/>
        </w:trPr>
        <w:tc>
          <w:tcPr/>
          <w:p w:rsidR="00000000" w:rsidDel="00000000" w:rsidP="00000000" w:rsidRDefault="00000000" w:rsidRPr="00000000" w14:paraId="000000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0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9,898.81</w:t>
            </w:r>
          </w:p>
        </w:tc>
        <w:tc>
          <w:tcPr/>
          <w:p w:rsidR="00000000" w:rsidDel="00000000" w:rsidP="00000000" w:rsidRDefault="00000000" w:rsidRPr="00000000" w14:paraId="000000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1,20,069.88</w:t>
            </w:r>
          </w:p>
        </w:tc>
        <w:tc>
          <w:tcPr/>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8.24%</w:t>
            </w:r>
          </w:p>
        </w:tc>
      </w:tr>
      <w:tr>
        <w:trPr>
          <w:cantSplit w:val="0"/>
          <w:trHeight w:val="317" w:hRule="atLeast"/>
          <w:tblHeader w:val="0"/>
        </w:trPr>
        <w:tc>
          <w:tcPr/>
          <w:p w:rsidR="00000000" w:rsidDel="00000000" w:rsidP="00000000" w:rsidRDefault="00000000" w:rsidRPr="00000000" w14:paraId="000000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0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14,054.28</w:t>
            </w:r>
          </w:p>
        </w:tc>
        <w:tc>
          <w:tcPr/>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1,39,249.47</w:t>
            </w:r>
          </w:p>
        </w:tc>
        <w:tc>
          <w:tcPr/>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10.09%</w:t>
            </w:r>
          </w:p>
        </w:tc>
      </w:tr>
      <w:tr>
        <w:trPr>
          <w:cantSplit w:val="0"/>
          <w:trHeight w:val="317" w:hRule="atLeast"/>
          <w:tblHeader w:val="0"/>
        </w:trPr>
        <w:tc>
          <w:tcPr/>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6,706.55</w:t>
            </w:r>
          </w:p>
        </w:tc>
        <w:tc>
          <w:tcPr/>
          <w:p w:rsidR="00000000" w:rsidDel="00000000" w:rsidP="00000000" w:rsidRDefault="00000000" w:rsidRPr="00000000" w14:paraId="000000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1,60,276.44</w:t>
            </w:r>
          </w:p>
        </w:tc>
        <w:tc>
          <w:tcPr/>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r>
      <w:tr>
        <w:trPr>
          <w:cantSplit w:val="0"/>
          <w:trHeight w:val="317" w:hRule="atLeast"/>
          <w:tblHeader w:val="0"/>
        </w:trPr>
        <w:tc>
          <w:tcPr/>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28,721</w:t>
            </w:r>
          </w:p>
        </w:tc>
        <w:tc>
          <w:tcPr/>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4,79,674</w:t>
            </w:r>
          </w:p>
        </w:tc>
        <w:tc>
          <w:tcPr/>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w:t>
            </w:r>
          </w:p>
        </w:tc>
      </w:tr>
      <w:tr>
        <w:trPr>
          <w:cantSplit w:val="0"/>
          <w:trHeight w:val="306" w:hRule="atLeast"/>
          <w:tblHeader w:val="0"/>
        </w:trPr>
        <w:tc>
          <w:tcPr/>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39,139</w:t>
            </w:r>
          </w:p>
        </w:tc>
        <w:tc>
          <w:tcPr/>
          <w:p w:rsidR="00000000" w:rsidDel="00000000" w:rsidP="00000000" w:rsidRDefault="00000000" w:rsidRPr="00000000" w14:paraId="000000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5,14,453</w:t>
            </w:r>
          </w:p>
        </w:tc>
        <w:tc>
          <w:tcPr/>
          <w:p w:rsidR="00000000" w:rsidDel="00000000" w:rsidP="00000000" w:rsidRDefault="00000000" w:rsidRPr="00000000" w14:paraId="000000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p>
        </w:tc>
      </w:tr>
    </w:tbl>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INTERPRETATION</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company's Return on Equity (ROE) fluctuated, peaking at 10.09% in 2022, then dropping to 4.18% in 2023, before recovering to 7.61% by 2025. This shows a period of declining efficiency in using shareholder funds, followed by a strong rebound.</w:t>
      </w:r>
    </w:p>
    <w:p w:rsidR="00000000" w:rsidDel="00000000" w:rsidP="00000000" w:rsidRDefault="00000000" w:rsidRPr="00000000" w14:paraId="000000A8">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 Profit Margin</w:t>
      </w:r>
    </w:p>
    <w:p w:rsidR="00000000" w:rsidDel="00000000" w:rsidP="00000000" w:rsidRDefault="00000000" w:rsidRPr="00000000" w14:paraId="000000AA">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Net Profit Margin = Net Profit / Revenue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lakhs</w:t>
      </w:r>
    </w:p>
    <w:tbl>
      <w:tblPr>
        <w:tblStyle w:val="Table3"/>
        <w:tblpPr w:leftFromText="180" w:rightFromText="180" w:topFromText="0" w:bottomFromText="0" w:vertAnchor="text" w:horzAnchor="text" w:tblpX="0" w:tblpY="381"/>
        <w:tblW w:w="71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1843"/>
        <w:gridCol w:w="1701"/>
        <w:gridCol w:w="1843"/>
        <w:tblGridChange w:id="0">
          <w:tblGrid>
            <w:gridCol w:w="1809"/>
            <w:gridCol w:w="1843"/>
            <w:gridCol w:w="1701"/>
            <w:gridCol w:w="1843"/>
          </w:tblGrid>
        </w:tblGridChange>
      </w:tblGrid>
      <w:tr>
        <w:trPr>
          <w:cantSplit w:val="0"/>
          <w:trHeight w:val="315" w:hRule="atLeast"/>
          <w:tblHeader w:val="0"/>
        </w:trPr>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 Profit</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Revenue</w:t>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 Profit Margin</w:t>
            </w:r>
          </w:p>
        </w:tc>
      </w:tr>
      <w:tr>
        <w:trPr>
          <w:cantSplit w:val="0"/>
          <w:trHeight w:val="304" w:hRule="atLeast"/>
          <w:tblHeader w:val="0"/>
        </w:trPr>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9,898.81</w:t>
            </w:r>
          </w:p>
        </w:tc>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32,025.89</w:t>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r>
        <w:trPr>
          <w:cantSplit w:val="0"/>
          <w:trHeight w:val="315" w:hRule="atLeast"/>
          <w:tblHeader w:val="0"/>
        </w:trPr>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14,054.28</w:t>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45,797.24</w:t>
            </w:r>
          </w:p>
        </w:tc>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30.69%</w:t>
            </w:r>
          </w:p>
        </w:tc>
      </w:tr>
      <w:tr>
        <w:trPr>
          <w:cantSplit w:val="0"/>
          <w:trHeight w:val="315" w:hRule="atLeast"/>
          <w:tblHeader w:val="0"/>
        </w:trPr>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6,706.55</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53,158.17</w:t>
            </w:r>
          </w:p>
        </w:tc>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w:t>
            </w:r>
          </w:p>
        </w:tc>
      </w:tr>
      <w:tr>
        <w:trPr>
          <w:cantSplit w:val="0"/>
          <w:trHeight w:val="315" w:hRule="atLeast"/>
          <w:tblHeader w:val="0"/>
        </w:trPr>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28,721</w:t>
            </w:r>
          </w:p>
        </w:tc>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53,438</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w:t>
            </w:r>
          </w:p>
        </w:tc>
      </w:tr>
      <w:tr>
        <w:trPr>
          <w:cantSplit w:val="0"/>
          <w:trHeight w:val="304" w:hRule="atLeast"/>
          <w:tblHeader w:val="0"/>
        </w:trPr>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39,139</w:t>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51,993</w:t>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75.27%</w:t>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143"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net profit margin of JSW Infrastructure was at a stable level of about 30% in 2021-2022. It then halved as of 2023 to 12.62%, probably because of the economic strains of the post-pandemic period such as Cost-effecting supply chain disruptions in the world, even when the revenue is growing. Nevertheless, the company has made an impressive recovery and tremendous growth in 2024. It has a high operational efficiency and recovery of 2025 (75.27%), and 53.7%. profitability, which may be through efficient cost management or better market conditions.</w:t>
      </w:r>
    </w:p>
    <w:p w:rsidR="00000000" w:rsidDel="00000000" w:rsidP="00000000" w:rsidRDefault="00000000" w:rsidRPr="00000000" w14:paraId="000000D1">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Asset Turnover Ratio</w:t>
      </w:r>
    </w:p>
    <w:p w:rsidR="00000000" w:rsidDel="00000000" w:rsidP="00000000" w:rsidRDefault="00000000" w:rsidRPr="00000000" w14:paraId="000000D3">
      <w:pPr>
        <w:spacing w:after="143" w:lineRule="auto"/>
        <w:rPr>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Asset Turnover = Revenue / Total Assets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Lakhs</w:t>
      </w:r>
    </w:p>
    <w:tbl>
      <w:tblPr>
        <w:tblStyle w:val="Table4"/>
        <w:tblpPr w:leftFromText="180" w:rightFromText="180" w:topFromText="0" w:bottomFromText="0" w:vertAnchor="text" w:horzAnchor="text" w:tblpX="0" w:tblpY="284"/>
        <w:tblW w:w="71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1843"/>
        <w:gridCol w:w="1701"/>
        <w:gridCol w:w="1843"/>
        <w:tblGridChange w:id="0">
          <w:tblGrid>
            <w:gridCol w:w="1809"/>
            <w:gridCol w:w="1843"/>
            <w:gridCol w:w="1701"/>
            <w:gridCol w:w="1843"/>
          </w:tblGrid>
        </w:tblGridChange>
      </w:tblGrid>
      <w:tr>
        <w:trPr>
          <w:cantSplit w:val="0"/>
          <w:trHeight w:val="431" w:hRule="atLeast"/>
          <w:tblHeader w:val="0"/>
        </w:trPr>
        <w:tc>
          <w:tcPr/>
          <w:p w:rsidR="00000000" w:rsidDel="00000000" w:rsidP="00000000" w:rsidRDefault="00000000" w:rsidRPr="00000000" w14:paraId="000000D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p w:rsidR="00000000" w:rsidDel="00000000" w:rsidP="00000000" w:rsidRDefault="00000000" w:rsidRPr="00000000" w14:paraId="000000D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Revenue</w:t>
            </w:r>
          </w:p>
        </w:tc>
        <w:tc>
          <w:tcPr/>
          <w:p w:rsidR="00000000" w:rsidDel="00000000" w:rsidP="00000000" w:rsidRDefault="00000000" w:rsidRPr="00000000" w14:paraId="000000D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Assets</w:t>
            </w:r>
          </w:p>
        </w:tc>
        <w:tc>
          <w:tcPr/>
          <w:p w:rsidR="00000000" w:rsidDel="00000000" w:rsidP="00000000" w:rsidRDefault="00000000" w:rsidRPr="00000000" w14:paraId="000000D9">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Asset Turnover</w:t>
            </w:r>
          </w:p>
        </w:tc>
      </w:tr>
      <w:tr>
        <w:trPr>
          <w:cantSplit w:val="0"/>
          <w:trHeight w:val="416" w:hRule="atLeast"/>
          <w:tblHeader w:val="0"/>
        </w:trPr>
        <w:tc>
          <w:tcPr/>
          <w:p w:rsidR="00000000" w:rsidDel="00000000" w:rsidP="00000000" w:rsidRDefault="00000000" w:rsidRPr="00000000" w14:paraId="000000D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0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32,025.89</w:t>
            </w:r>
          </w:p>
        </w:tc>
        <w:tc>
          <w:tcPr/>
          <w:p w:rsidR="00000000" w:rsidDel="00000000" w:rsidP="00000000" w:rsidRDefault="00000000" w:rsidRPr="00000000" w14:paraId="000000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1,95,893.76</w:t>
            </w:r>
          </w:p>
        </w:tc>
        <w:tc>
          <w:tcPr/>
          <w:p w:rsidR="00000000" w:rsidDel="00000000" w:rsidP="00000000" w:rsidRDefault="00000000" w:rsidRPr="00000000" w14:paraId="000000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0.1635</w:t>
            </w:r>
          </w:p>
        </w:tc>
      </w:tr>
      <w:tr>
        <w:trPr>
          <w:cantSplit w:val="0"/>
          <w:trHeight w:val="431" w:hRule="atLeast"/>
          <w:tblHeader w:val="0"/>
        </w:trPr>
        <w:tc>
          <w:tcPr/>
          <w:p w:rsidR="00000000" w:rsidDel="00000000" w:rsidP="00000000" w:rsidRDefault="00000000" w:rsidRPr="00000000" w14:paraId="000000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0D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45,797.24</w:t>
            </w:r>
          </w:p>
        </w:tc>
        <w:tc>
          <w:tcPr/>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4,80,805.52</w:t>
            </w:r>
          </w:p>
        </w:tc>
        <w:tc>
          <w:tcPr/>
          <w:p w:rsidR="00000000" w:rsidDel="00000000" w:rsidP="00000000" w:rsidRDefault="00000000" w:rsidRPr="00000000" w14:paraId="000000E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0.0952</w:t>
            </w:r>
          </w:p>
        </w:tc>
      </w:tr>
      <w:tr>
        <w:trPr>
          <w:cantSplit w:val="0"/>
          <w:trHeight w:val="431" w:hRule="atLeast"/>
          <w:tblHeader w:val="0"/>
        </w:trPr>
        <w:tc>
          <w:tcPr/>
          <w:p w:rsidR="00000000" w:rsidDel="00000000" w:rsidP="00000000" w:rsidRDefault="00000000" w:rsidRPr="00000000" w14:paraId="000000E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0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53,158.17</w:t>
            </w:r>
          </w:p>
        </w:tc>
        <w:tc>
          <w:tcPr/>
          <w:p w:rsidR="00000000" w:rsidDel="00000000" w:rsidP="00000000" w:rsidRDefault="00000000" w:rsidRPr="00000000" w14:paraId="000000E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5,05,231.08</w:t>
            </w:r>
          </w:p>
        </w:tc>
        <w:tc>
          <w:tcPr/>
          <w:p w:rsidR="00000000" w:rsidDel="00000000" w:rsidP="00000000" w:rsidRDefault="00000000" w:rsidRPr="00000000" w14:paraId="000000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0.1052</w:t>
            </w:r>
          </w:p>
        </w:tc>
      </w:tr>
      <w:tr>
        <w:trPr>
          <w:cantSplit w:val="0"/>
          <w:trHeight w:val="431" w:hRule="atLeast"/>
          <w:tblHeader w:val="0"/>
        </w:trPr>
        <w:tc>
          <w:tcPr/>
          <w:p w:rsidR="00000000" w:rsidDel="00000000" w:rsidP="00000000" w:rsidRDefault="00000000" w:rsidRPr="00000000" w14:paraId="000000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0E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53,438</w:t>
            </w:r>
          </w:p>
        </w:tc>
        <w:tc>
          <w:tcPr/>
          <w:p w:rsidR="00000000" w:rsidDel="00000000" w:rsidP="00000000" w:rsidRDefault="00000000" w:rsidRPr="00000000" w14:paraId="000000E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8,32,798</w:t>
            </w:r>
          </w:p>
        </w:tc>
        <w:tc>
          <w:tcPr/>
          <w:p w:rsidR="00000000" w:rsidDel="00000000" w:rsidP="00000000" w:rsidRDefault="00000000" w:rsidRPr="00000000" w14:paraId="000000E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0.0642</w:t>
            </w:r>
          </w:p>
        </w:tc>
      </w:tr>
      <w:tr>
        <w:trPr>
          <w:cantSplit w:val="0"/>
          <w:trHeight w:val="416" w:hRule="atLeast"/>
          <w:tblHeader w:val="0"/>
        </w:trPr>
        <w:tc>
          <w:tcPr/>
          <w:p w:rsidR="00000000" w:rsidDel="00000000" w:rsidP="00000000" w:rsidRDefault="00000000" w:rsidRPr="00000000" w14:paraId="000000E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p w:rsidR="00000000" w:rsidDel="00000000" w:rsidP="00000000" w:rsidRDefault="00000000" w:rsidRPr="00000000" w14:paraId="000000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51,993</w:t>
            </w:r>
          </w:p>
        </w:tc>
        <w:tc>
          <w:tcPr/>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9,19,339</w:t>
            </w:r>
          </w:p>
        </w:tc>
        <w:tc>
          <w:tcPr/>
          <w:p w:rsidR="00000000" w:rsidDel="00000000" w:rsidP="00000000" w:rsidRDefault="00000000" w:rsidRPr="00000000" w14:paraId="000000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0.0566</w:t>
            </w:r>
          </w:p>
        </w:tc>
      </w:tr>
    </w:tbl>
    <w:p w:rsidR="00000000" w:rsidDel="00000000" w:rsidP="00000000" w:rsidRDefault="00000000" w:rsidRPr="00000000" w14:paraId="000000EE">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p w:rsidR="00000000" w:rsidDel="00000000" w:rsidP="00000000" w:rsidRDefault="00000000" w:rsidRPr="00000000" w14:paraId="000000F4">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Asset Turnover Ratio shows that JSW Infrastructure has a downward trend in Asset Turnover Ratio since 16.35% in 2021 to 5.66% in 2025. This trend indicates that the capacity of the company to create is declining. The asset base revenue of this company has been reducing during this period. The notable increase in total assets, especially in 2022 and further on, signifies substantial capital investments. But the revenue generation has not been able to keep Janes of this asset. growth, which causes an inefficient utilization of such assets to generate revenue. This perhaps is a characteristic of a company with long-term investments in new or expanded infrastructure, in which the entire revenue-generating potential of these assets can take time to materialize.</w:t>
      </w:r>
    </w:p>
    <w:p w:rsidR="00000000" w:rsidDel="00000000" w:rsidP="00000000" w:rsidRDefault="00000000" w:rsidRPr="00000000" w14:paraId="000000F6">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Debt-to-Equity Ratio</w:t>
      </w:r>
    </w:p>
    <w:p w:rsidR="00000000" w:rsidDel="00000000" w:rsidP="00000000" w:rsidRDefault="00000000" w:rsidRPr="00000000" w14:paraId="000000F8">
      <w:pPr>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Debt-to-Equity Ratio = Total Debt / Shareholders Equity</w:t>
      </w:r>
    </w:p>
    <w:p w:rsidR="00000000" w:rsidDel="00000000" w:rsidP="00000000" w:rsidRDefault="00000000" w:rsidRPr="00000000" w14:paraId="000000FA">
      <w:pPr>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Lakhs</w:t>
      </w:r>
    </w:p>
    <w:tbl>
      <w:tblPr>
        <w:tblStyle w:val="Table5"/>
        <w:tblpPr w:leftFromText="180" w:rightFromText="180" w:topFromText="0" w:bottomFromText="0" w:vertAnchor="text" w:horzAnchor="text" w:tblpX="0" w:tblpY="284"/>
        <w:tblW w:w="71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1775"/>
        <w:gridCol w:w="2410"/>
        <w:gridCol w:w="1701"/>
        <w:tblGridChange w:id="0">
          <w:tblGrid>
            <w:gridCol w:w="1310"/>
            <w:gridCol w:w="1775"/>
            <w:gridCol w:w="2410"/>
            <w:gridCol w:w="1701"/>
          </w:tblGrid>
        </w:tblGridChange>
      </w:tblGrid>
      <w:tr>
        <w:trPr>
          <w:cantSplit w:val="0"/>
          <w:trHeight w:val="382" w:hRule="atLeast"/>
          <w:tblHeader w:val="0"/>
        </w:trPr>
        <w:tc>
          <w:tcPr/>
          <w:p w:rsidR="00000000" w:rsidDel="00000000" w:rsidP="00000000" w:rsidRDefault="00000000" w:rsidRPr="00000000" w14:paraId="000000F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p w:rsidR="00000000" w:rsidDel="00000000" w:rsidP="00000000" w:rsidRDefault="00000000" w:rsidRPr="00000000" w14:paraId="000000F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Debt</w:t>
            </w:r>
          </w:p>
        </w:tc>
        <w:tc>
          <w:tcPr/>
          <w:p w:rsidR="00000000" w:rsidDel="00000000" w:rsidP="00000000" w:rsidRDefault="00000000" w:rsidRPr="00000000" w14:paraId="000000F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Shareholders’ Equity</w:t>
            </w:r>
          </w:p>
        </w:tc>
        <w:tc>
          <w:tcPr/>
          <w:p w:rsidR="00000000" w:rsidDel="00000000" w:rsidP="00000000" w:rsidRDefault="00000000" w:rsidRPr="00000000" w14:paraId="000000FF">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Debt-to-Equity Ratio</w:t>
            </w:r>
          </w:p>
        </w:tc>
      </w:tr>
      <w:tr>
        <w:trPr>
          <w:cantSplit w:val="0"/>
          <w:trHeight w:val="368" w:hRule="atLeast"/>
          <w:tblHeader w:val="0"/>
        </w:trPr>
        <w:tc>
          <w:tcPr/>
          <w:p w:rsidR="00000000" w:rsidDel="00000000" w:rsidP="00000000" w:rsidRDefault="00000000" w:rsidRPr="00000000" w14:paraId="000001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1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22,47,949</w:t>
            </w:r>
          </w:p>
        </w:tc>
        <w:tc>
          <w:tcPr/>
          <w:p w:rsidR="00000000" w:rsidDel="00000000" w:rsidP="00000000" w:rsidRDefault="00000000" w:rsidRPr="00000000" w14:paraId="000001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1,20,069.88</w:t>
            </w:r>
          </w:p>
        </w:tc>
        <w:tc>
          <w:tcPr/>
          <w:p w:rsidR="00000000" w:rsidDel="00000000" w:rsidP="00000000" w:rsidRDefault="00000000" w:rsidRPr="00000000" w14:paraId="000001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w:t>
            </w:r>
          </w:p>
        </w:tc>
      </w:tr>
      <w:tr>
        <w:trPr>
          <w:cantSplit w:val="0"/>
          <w:trHeight w:val="382" w:hRule="atLeast"/>
          <w:tblHeader w:val="0"/>
        </w:trPr>
        <w:tc>
          <w:tcPr/>
          <w:p w:rsidR="00000000" w:rsidDel="00000000" w:rsidP="00000000" w:rsidRDefault="00000000" w:rsidRPr="00000000" w14:paraId="000001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1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3,15,674.22</w:t>
            </w:r>
          </w:p>
        </w:tc>
        <w:tc>
          <w:tcPr/>
          <w:p w:rsidR="00000000" w:rsidDel="00000000" w:rsidP="00000000" w:rsidRDefault="00000000" w:rsidRPr="00000000" w14:paraId="000001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1,39,249.47</w:t>
            </w:r>
          </w:p>
        </w:tc>
        <w:tc>
          <w:tcPr/>
          <w:p w:rsidR="00000000" w:rsidDel="00000000" w:rsidP="00000000" w:rsidRDefault="00000000" w:rsidRPr="00000000" w14:paraId="000001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r>
        <w:trPr>
          <w:cantSplit w:val="0"/>
          <w:trHeight w:val="382" w:hRule="atLeast"/>
          <w:tblHeader w:val="0"/>
        </w:trPr>
        <w:tc>
          <w:tcPr/>
          <w:p w:rsidR="00000000" w:rsidDel="00000000" w:rsidP="00000000" w:rsidRDefault="00000000" w:rsidRPr="00000000" w14:paraId="000001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1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3,25,963.02</w:t>
            </w:r>
          </w:p>
        </w:tc>
        <w:tc>
          <w:tcPr/>
          <w:p w:rsidR="00000000" w:rsidDel="00000000" w:rsidP="00000000" w:rsidRDefault="00000000" w:rsidRPr="00000000" w14:paraId="000001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1,60,276.44</w:t>
            </w:r>
          </w:p>
        </w:tc>
        <w:tc>
          <w:tcPr/>
          <w:p w:rsidR="00000000" w:rsidDel="00000000" w:rsidP="00000000" w:rsidRDefault="00000000" w:rsidRPr="00000000" w14:paraId="000001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r>
      <w:tr>
        <w:trPr>
          <w:cantSplit w:val="0"/>
          <w:trHeight w:val="382" w:hRule="atLeast"/>
          <w:tblHeader w:val="0"/>
        </w:trPr>
        <w:tc>
          <w:tcPr/>
          <w:p w:rsidR="00000000" w:rsidDel="00000000" w:rsidP="00000000" w:rsidRDefault="00000000" w:rsidRPr="00000000" w14:paraId="000001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1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3,31,092</w:t>
            </w:r>
          </w:p>
        </w:tc>
        <w:tc>
          <w:tcPr/>
          <w:p w:rsidR="00000000" w:rsidDel="00000000" w:rsidP="00000000" w:rsidRDefault="00000000" w:rsidRPr="00000000" w14:paraId="000001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4,79,674</w:t>
            </w:r>
          </w:p>
        </w:tc>
        <w:tc>
          <w:tcPr/>
          <w:p w:rsidR="00000000" w:rsidDel="00000000" w:rsidP="00000000" w:rsidRDefault="00000000" w:rsidRPr="00000000" w14:paraId="000001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w:t>
            </w:r>
          </w:p>
        </w:tc>
      </w:tr>
      <w:tr>
        <w:trPr>
          <w:cantSplit w:val="0"/>
          <w:trHeight w:val="368" w:hRule="atLeast"/>
          <w:tblHeader w:val="0"/>
        </w:trPr>
        <w:tc>
          <w:tcPr/>
          <w:p w:rsidR="00000000" w:rsidDel="00000000" w:rsidP="00000000" w:rsidRDefault="00000000" w:rsidRPr="00000000" w14:paraId="000001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p w:rsidR="00000000" w:rsidDel="00000000" w:rsidP="00000000" w:rsidRDefault="00000000" w:rsidRPr="00000000" w14:paraId="000001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3,40,433</w:t>
            </w:r>
          </w:p>
        </w:tc>
        <w:tc>
          <w:tcPr/>
          <w:p w:rsidR="00000000" w:rsidDel="00000000" w:rsidP="00000000" w:rsidRDefault="00000000" w:rsidRPr="00000000" w14:paraId="000001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5,14,453</w:t>
            </w:r>
          </w:p>
        </w:tc>
        <w:tc>
          <w:tcPr/>
          <w:p w:rsidR="00000000" w:rsidDel="00000000" w:rsidP="00000000" w:rsidRDefault="00000000" w:rsidRPr="00000000" w14:paraId="000001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r>
    </w:tbl>
    <w:p w:rsidR="00000000" w:rsidDel="00000000" w:rsidP="00000000" w:rsidRDefault="00000000" w:rsidRPr="00000000" w14:paraId="00000114">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p w:rsidR="00000000" w:rsidDel="00000000" w:rsidP="00000000" w:rsidRDefault="00000000" w:rsidRPr="00000000" w14:paraId="0000011F">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Debt levels of JSW Infrastructure are growing largely between 2021 and 2022 because of investments in expansion projects. Nevertheless, the company has achieved significant improvement in cutting its debt burden since. The debt-to-equity ratio of the company has decreased to. enhanced significantly, which means improved financial health and minimized risk. This implies that the company has been able to control its debt and is in a successful stage. stable growth path. </w:t>
      </w:r>
    </w:p>
    <w:p w:rsidR="00000000" w:rsidDel="00000000" w:rsidP="00000000" w:rsidRDefault="00000000" w:rsidRPr="00000000" w14:paraId="00000121">
      <w:pPr>
        <w:ind w:left="-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CORRELATION</w:t>
      </w:r>
    </w:p>
    <w:p w:rsidR="00000000" w:rsidDel="00000000" w:rsidP="00000000" w:rsidRDefault="00000000" w:rsidRPr="00000000" w14:paraId="00000122">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between Profitability and ESG Risk</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Profit in Crores</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tbl>
      <w:tblPr>
        <w:tblStyle w:val="Table6"/>
        <w:tblW w:w="6940.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2154"/>
        <w:gridCol w:w="3827"/>
        <w:tblGridChange w:id="0">
          <w:tblGrid>
            <w:gridCol w:w="960"/>
            <w:gridCol w:w="2154"/>
            <w:gridCol w:w="3827"/>
          </w:tblGrid>
        </w:tblGridChange>
      </w:tblGrid>
      <w:tr>
        <w:trPr>
          <w:cantSplit w:val="0"/>
          <w:trHeight w:val="288" w:hRule="atLeast"/>
          <w:tblHeader w:val="0"/>
        </w:trPr>
        <w:tc>
          <w:tcPr>
            <w:vAlign w:val="bottom"/>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vAlign w:val="bottom"/>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 PROFIT</w:t>
            </w:r>
          </w:p>
        </w:tc>
        <w:tc>
          <w:tcPr>
            <w:vAlign w:val="bottom"/>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ESG RISK SCORE</w:t>
            </w:r>
          </w:p>
        </w:tc>
      </w:tr>
      <w:tr>
        <w:trPr>
          <w:cantSplit w:val="0"/>
          <w:trHeight w:val="288" w:hRule="atLeast"/>
          <w:tblHeader w:val="0"/>
        </w:trPr>
        <w:tc>
          <w:tcPr>
            <w:vAlign w:val="bottom"/>
          </w:tcPr>
          <w:p w:rsidR="00000000" w:rsidDel="00000000" w:rsidP="00000000" w:rsidRDefault="00000000" w:rsidRPr="00000000" w14:paraId="000001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vAlign w:val="bottom"/>
          </w:tcPr>
          <w:p w:rsidR="00000000" w:rsidDel="00000000" w:rsidP="00000000" w:rsidRDefault="00000000" w:rsidRPr="00000000" w14:paraId="000001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67.07</w:t>
            </w:r>
          </w:p>
        </w:tc>
        <w:tc>
          <w:tcPr>
            <w:vAlign w:val="bottom"/>
          </w:tcPr>
          <w:p w:rsidR="00000000" w:rsidDel="00000000" w:rsidP="00000000" w:rsidRDefault="00000000" w:rsidRPr="00000000" w14:paraId="000001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r>
      <w:tr>
        <w:trPr>
          <w:cantSplit w:val="0"/>
          <w:trHeight w:val="288" w:hRule="atLeast"/>
          <w:tblHeader w:val="0"/>
        </w:trPr>
        <w:tc>
          <w:tcPr>
            <w:vAlign w:val="bottom"/>
          </w:tcPr>
          <w:p w:rsidR="00000000" w:rsidDel="00000000" w:rsidP="00000000" w:rsidRDefault="00000000" w:rsidRPr="00000000" w14:paraId="000001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w:t>
            </w:r>
          </w:p>
        </w:tc>
        <w:tc>
          <w:tcPr>
            <w:vAlign w:val="bottom"/>
          </w:tcPr>
          <w:p w:rsidR="00000000" w:rsidDel="00000000" w:rsidP="00000000" w:rsidRDefault="00000000" w:rsidRPr="00000000" w14:paraId="0000012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287.21</w:t>
            </w:r>
          </w:p>
        </w:tc>
        <w:tc>
          <w:tcPr>
            <w:vAlign w:val="bottom"/>
          </w:tcPr>
          <w:p w:rsidR="00000000" w:rsidDel="00000000" w:rsidP="00000000" w:rsidRDefault="00000000" w:rsidRPr="00000000" w14:paraId="000001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r>
        <w:trPr>
          <w:cantSplit w:val="0"/>
          <w:trHeight w:val="288" w:hRule="atLeast"/>
          <w:tblHeader w:val="0"/>
        </w:trPr>
        <w:tc>
          <w:tcPr>
            <w:vAlign w:val="bottom"/>
          </w:tcPr>
          <w:p w:rsidR="00000000" w:rsidDel="00000000" w:rsidP="00000000" w:rsidRDefault="00000000" w:rsidRPr="00000000" w14:paraId="000001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w:t>
            </w:r>
          </w:p>
        </w:tc>
        <w:tc>
          <w:tcPr>
            <w:vAlign w:val="bottom"/>
          </w:tcPr>
          <w:p w:rsidR="00000000" w:rsidDel="00000000" w:rsidP="00000000" w:rsidRDefault="00000000" w:rsidRPr="00000000" w14:paraId="000001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391.39</w:t>
            </w:r>
          </w:p>
        </w:tc>
        <w:tc>
          <w:tcPr>
            <w:vAlign w:val="bottom"/>
          </w:tcPr>
          <w:p w:rsidR="00000000" w:rsidDel="00000000" w:rsidP="00000000" w:rsidRDefault="00000000" w:rsidRPr="00000000" w14:paraId="000001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r>
    </w:tbl>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w:t>
      </w:r>
    </w:p>
    <w:p w:rsidR="00000000" w:rsidDel="00000000" w:rsidP="00000000" w:rsidRDefault="00000000" w:rsidRPr="00000000" w14:paraId="00000135">
      <w:pPr>
        <w:tabs>
          <w:tab w:val="left" w:leader="none" w:pos="1752"/>
        </w:tabs>
        <w:rPr>
          <w:rFonts w:ascii="Times New Roman" w:cs="Times New Roman" w:eastAsia="Times New Roman" w:hAnsi="Times New Roman"/>
          <w:sz w:val="24"/>
          <w:szCs w:val="24"/>
        </w:rPr>
      </w:pPr>
      <w:r w:rsidDel="00000000" w:rsidR="00000000" w:rsidRPr="00000000">
        <w:rPr>
          <w:rtl w:val="0"/>
        </w:rPr>
      </w:r>
    </w:p>
    <w:tbl>
      <w:tblPr>
        <w:tblStyle w:val="Table7"/>
        <w:tblW w:w="6940.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656"/>
        <w:gridCol w:w="3827"/>
        <w:tblGridChange w:id="0">
          <w:tblGrid>
            <w:gridCol w:w="1458"/>
            <w:gridCol w:w="1656"/>
            <w:gridCol w:w="3827"/>
          </w:tblGrid>
        </w:tblGridChange>
      </w:tblGrid>
      <w:tr>
        <w:trPr>
          <w:cantSplit w:val="0"/>
          <w:trHeight w:val="288" w:hRule="atLeast"/>
          <w:tblHeader w:val="0"/>
        </w:trPr>
        <w:tc>
          <w:tcPr>
            <w:vAlign w:val="bottom"/>
          </w:tcPr>
          <w:p w:rsidR="00000000" w:rsidDel="00000000" w:rsidP="00000000" w:rsidRDefault="00000000" w:rsidRPr="00000000" w14:paraId="00000136">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c>
          <w:tcPr>
            <w:vAlign w:val="bottom"/>
          </w:tcPr>
          <w:p w:rsidR="00000000" w:rsidDel="00000000" w:rsidP="00000000" w:rsidRDefault="00000000" w:rsidRPr="00000000" w14:paraId="00000137">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NET PROFIT</w:t>
            </w:r>
            <w:r w:rsidDel="00000000" w:rsidR="00000000" w:rsidRPr="00000000">
              <w:rPr>
                <w:rtl w:val="0"/>
              </w:rPr>
            </w:r>
          </w:p>
        </w:tc>
        <w:tc>
          <w:tcPr>
            <w:vAlign w:val="bottom"/>
          </w:tcPr>
          <w:p w:rsidR="00000000" w:rsidDel="00000000" w:rsidP="00000000" w:rsidRDefault="00000000" w:rsidRPr="00000000" w14:paraId="00000138">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ESG RISK SCORE</w:t>
            </w:r>
            <w:r w:rsidDel="00000000" w:rsidR="00000000" w:rsidRPr="00000000">
              <w:rPr>
                <w:rtl w:val="0"/>
              </w:rPr>
            </w:r>
          </w:p>
        </w:tc>
      </w:tr>
      <w:tr>
        <w:trPr>
          <w:cantSplit w:val="0"/>
          <w:trHeight w:val="288" w:hRule="atLeast"/>
          <w:tblHeader w:val="0"/>
        </w:trPr>
        <w:tc>
          <w:tcPr>
            <w:vAlign w:val="bottom"/>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 PROFIT</w:t>
            </w:r>
          </w:p>
        </w:tc>
        <w:tc>
          <w:tcPr>
            <w:vAlign w:val="bottom"/>
          </w:tcPr>
          <w:p w:rsidR="00000000" w:rsidDel="00000000" w:rsidP="00000000" w:rsidRDefault="00000000" w:rsidRPr="00000000" w14:paraId="0000013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bottom"/>
          </w:tcPr>
          <w:p w:rsidR="00000000" w:rsidDel="00000000" w:rsidP="00000000" w:rsidRDefault="00000000" w:rsidRPr="00000000" w14:paraId="0000013B">
            <w:pPr>
              <w:jc w:val="right"/>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Align w:val="bottom"/>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ESG RISK SCORE</w:t>
            </w:r>
          </w:p>
        </w:tc>
        <w:tc>
          <w:tcPr>
            <w:vAlign w:val="bottom"/>
          </w:tcPr>
          <w:p w:rsidR="00000000" w:rsidDel="00000000" w:rsidP="00000000" w:rsidRDefault="00000000" w:rsidRPr="00000000" w14:paraId="0000013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-0.37230858</w:t>
            </w:r>
          </w:p>
        </w:tc>
        <w:tc>
          <w:tcPr>
            <w:vAlign w:val="bottom"/>
          </w:tcPr>
          <w:p w:rsidR="00000000" w:rsidDel="00000000" w:rsidP="00000000" w:rsidRDefault="00000000" w:rsidRPr="00000000" w14:paraId="000001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13F">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p w:rsidR="00000000" w:rsidDel="00000000" w:rsidP="00000000" w:rsidRDefault="00000000" w:rsidRPr="00000000" w14:paraId="00000141">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tabs>
          <w:tab w:val="left" w:leader="none" w:pos="57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correlation coefficient of Net Profit and ESG Risk Score is -0.37 which is below one. shows that there is a moderate negative correlation between the two variables. This means that as the profitability of the company is higher, the ESG risk is likely to be reduced.</w:t>
      </w:r>
    </w:p>
    <w:p w:rsidR="00000000" w:rsidDel="00000000" w:rsidP="00000000" w:rsidRDefault="00000000" w:rsidRPr="00000000" w14:paraId="00000143">
      <w:pPr>
        <w:tabs>
          <w:tab w:val="left" w:leader="none" w:pos="571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tabs>
          <w:tab w:val="left" w:leader="none" w:pos="57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over the period observed: </w:t>
      </w:r>
    </w:p>
    <w:p w:rsidR="00000000" w:rsidDel="00000000" w:rsidP="00000000" w:rsidRDefault="00000000" w:rsidRPr="00000000" w14:paraId="00000145">
      <w:pPr>
        <w:tabs>
          <w:tab w:val="left" w:leader="none" w:pos="571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tabs>
          <w:tab w:val="left" w:leader="none" w:pos="57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 profit rose sharply from ₹67.07 crores in 2023 to ₹391.39 crores in 2025, indicating substantial financial growth. Meanwhile, the ESG Risk Score dropped from 23.2 to 12.3, showing a marked improvement in the company’s sustainability and governance performance.</w:t>
      </w:r>
    </w:p>
    <w:p w:rsidR="00000000" w:rsidDel="00000000" w:rsidP="00000000" w:rsidRDefault="00000000" w:rsidRPr="00000000" w14:paraId="00000147">
      <w:pPr>
        <w:tabs>
          <w:tab w:val="left" w:leader="none" w:pos="571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tabs>
          <w:tab w:val="left" w:leader="none" w:pos="57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trend suggests that higher profitability is associated with stronger ESG performance—likely due to better operational efficiency, more resources allocated toward sustainability practices, and improved risk management frameworks.</w:t>
      </w:r>
    </w:p>
    <w:p w:rsidR="00000000" w:rsidDel="00000000" w:rsidP="00000000" w:rsidRDefault="00000000" w:rsidRPr="00000000" w14:paraId="00000149">
      <w:pPr>
        <w:tabs>
          <w:tab w:val="left" w:leader="none" w:pos="571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tabs>
          <w:tab w:val="left" w:leader="none" w:pos="571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REGRESSION</w:t>
      </w:r>
    </w:p>
    <w:p w:rsidR="00000000" w:rsidDel="00000000" w:rsidP="00000000" w:rsidRDefault="00000000" w:rsidRPr="00000000" w14:paraId="00000150">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Profit in Crores</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tbl>
      <w:tblPr>
        <w:tblStyle w:val="Table8"/>
        <w:tblW w:w="6940.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2154"/>
        <w:gridCol w:w="3827"/>
        <w:tblGridChange w:id="0">
          <w:tblGrid>
            <w:gridCol w:w="960"/>
            <w:gridCol w:w="2154"/>
            <w:gridCol w:w="3827"/>
          </w:tblGrid>
        </w:tblGridChange>
      </w:tblGrid>
      <w:tr>
        <w:trPr>
          <w:cantSplit w:val="0"/>
          <w:trHeight w:val="288" w:hRule="atLeast"/>
          <w:tblHeader w:val="0"/>
        </w:trPr>
        <w:tc>
          <w:tcPr>
            <w:vAlign w:val="bottom"/>
          </w:tcPr>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vAlign w:val="bottom"/>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 PROFIT</w:t>
            </w:r>
          </w:p>
        </w:tc>
        <w:tc>
          <w:tcPr>
            <w:vAlign w:val="bottom"/>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ESG RISK SCORE</w:t>
            </w:r>
          </w:p>
        </w:tc>
      </w:tr>
      <w:tr>
        <w:trPr>
          <w:cantSplit w:val="0"/>
          <w:trHeight w:val="288" w:hRule="atLeast"/>
          <w:tblHeader w:val="0"/>
        </w:trPr>
        <w:tc>
          <w:tcPr>
            <w:vAlign w:val="bottom"/>
          </w:tcPr>
          <w:p w:rsidR="00000000" w:rsidDel="00000000" w:rsidP="00000000" w:rsidRDefault="00000000" w:rsidRPr="00000000" w14:paraId="000001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vAlign w:val="bottom"/>
          </w:tcPr>
          <w:p w:rsidR="00000000" w:rsidDel="00000000" w:rsidP="00000000" w:rsidRDefault="00000000" w:rsidRPr="00000000" w14:paraId="000001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67.07</w:t>
            </w:r>
          </w:p>
        </w:tc>
        <w:tc>
          <w:tcPr>
            <w:vAlign w:val="bottom"/>
          </w:tcPr>
          <w:p w:rsidR="00000000" w:rsidDel="00000000" w:rsidP="00000000" w:rsidRDefault="00000000" w:rsidRPr="00000000" w14:paraId="000001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r>
      <w:tr>
        <w:trPr>
          <w:cantSplit w:val="0"/>
          <w:trHeight w:val="288" w:hRule="atLeast"/>
          <w:tblHeader w:val="0"/>
        </w:trPr>
        <w:tc>
          <w:tcPr>
            <w:vAlign w:val="bottom"/>
          </w:tcPr>
          <w:p w:rsidR="00000000" w:rsidDel="00000000" w:rsidP="00000000" w:rsidRDefault="00000000" w:rsidRPr="00000000" w14:paraId="000001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w:t>
            </w:r>
          </w:p>
        </w:tc>
        <w:tc>
          <w:tcPr>
            <w:vAlign w:val="bottom"/>
          </w:tcPr>
          <w:p w:rsidR="00000000" w:rsidDel="00000000" w:rsidP="00000000" w:rsidRDefault="00000000" w:rsidRPr="00000000" w14:paraId="000001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287.21</w:t>
            </w:r>
          </w:p>
        </w:tc>
        <w:tc>
          <w:tcPr>
            <w:vAlign w:val="bottom"/>
          </w:tcPr>
          <w:p w:rsidR="00000000" w:rsidDel="00000000" w:rsidP="00000000" w:rsidRDefault="00000000" w:rsidRPr="00000000" w14:paraId="000001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r>
        <w:trPr>
          <w:cantSplit w:val="0"/>
          <w:trHeight w:val="288" w:hRule="atLeast"/>
          <w:tblHeader w:val="0"/>
        </w:trPr>
        <w:tc>
          <w:tcPr>
            <w:vAlign w:val="bottom"/>
          </w:tcPr>
          <w:p w:rsidR="00000000" w:rsidDel="00000000" w:rsidP="00000000" w:rsidRDefault="00000000" w:rsidRPr="00000000" w14:paraId="000001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w:t>
            </w:r>
          </w:p>
        </w:tc>
        <w:tc>
          <w:tcPr>
            <w:vAlign w:val="bottom"/>
          </w:tcPr>
          <w:p w:rsidR="00000000" w:rsidDel="00000000" w:rsidP="00000000" w:rsidRDefault="00000000" w:rsidRPr="00000000" w14:paraId="000001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391.39</w:t>
            </w:r>
          </w:p>
        </w:tc>
        <w:tc>
          <w:tcPr>
            <w:vAlign w:val="bottom"/>
          </w:tcPr>
          <w:p w:rsidR="00000000" w:rsidDel="00000000" w:rsidP="00000000" w:rsidRDefault="00000000" w:rsidRPr="00000000" w14:paraId="000001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r>
    </w:tbl>
    <w:p w:rsidR="00000000" w:rsidDel="00000000" w:rsidP="00000000" w:rsidRDefault="00000000" w:rsidRPr="00000000" w14:paraId="0000015F">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tabs>
          <w:tab w:val="left" w:leader="none" w:pos="1752"/>
        </w:tabs>
        <w:jc w:val="both"/>
        <w:rPr>
          <w:rFonts w:ascii="Times New Roman" w:cs="Times New Roman" w:eastAsia="Times New Roman" w:hAnsi="Times New Roman"/>
          <w:sz w:val="24"/>
          <w:szCs w:val="24"/>
        </w:rPr>
      </w:pPr>
      <w:r w:rsidDel="00000000" w:rsidR="00000000" w:rsidRPr="00000000">
        <w:rPr/>
        <w:drawing>
          <wp:inline distB="0" distT="0" distL="0" distR="0">
            <wp:extent cx="6019800" cy="3124200"/>
            <wp:docPr id="1302115741"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63">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tabs>
          <w:tab w:val="left" w:leader="none" w:pos="175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p w:rsidR="00000000" w:rsidDel="00000000" w:rsidP="00000000" w:rsidRDefault="00000000" w:rsidRPr="00000000" w14:paraId="00000165">
      <w:pPr>
        <w:tabs>
          <w:tab w:val="left" w:leader="none" w:pos="175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is:</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ESG Risk Score = -0.0222 × Net Profit + 28.015</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R² value of 0.1386.</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indicates a negative relationship between Net Profit and ESG Risk Score — as the company’s profitability increases, its ESG (Environmental, Social, and Governance) risk tends to decrease.</w:t>
      </w:r>
    </w:p>
    <w:p w:rsidR="00000000" w:rsidDel="00000000" w:rsidP="00000000" w:rsidRDefault="00000000" w:rsidRPr="00000000" w14:paraId="0000016D">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between 2023 and 2025, </w:t>
      </w:r>
    </w:p>
    <w:p w:rsidR="00000000" w:rsidDel="00000000" w:rsidP="00000000" w:rsidRDefault="00000000" w:rsidRPr="00000000" w14:paraId="0000016F">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JSW Infrastructure’s Net Profit increased significantly from ₹67.07 crore to ₹391.39 crore, while its ESG Risk Score reduced from 23.2 to 12.3. </w:t>
      </w:r>
    </w:p>
    <w:p w:rsidR="00000000" w:rsidDel="00000000" w:rsidP="00000000" w:rsidRDefault="00000000" w:rsidRPr="00000000" w14:paraId="00000170">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trend suggests that as the company improved its financial performance, it likely also enhanced its sustainability practices or governance quality, resulting in lower ESG-related risks.</w:t>
      </w:r>
    </w:p>
    <w:p w:rsidR="00000000" w:rsidDel="00000000" w:rsidP="00000000" w:rsidRDefault="00000000" w:rsidRPr="00000000" w14:paraId="00000172">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R² value of 0.1386 (13.86%) means that only a small portion of the variation in ESG Risk Score is explained by Net Profit alone. Other factors — such as environmental policies, social impact initiatives, or external ratings methodology — also play important roles.</w:t>
      </w:r>
    </w:p>
    <w:p w:rsidR="00000000" w:rsidDel="00000000" w:rsidP="00000000" w:rsidRDefault="00000000" w:rsidRPr="00000000" w14:paraId="00000174">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Insights</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negative relationship between Net Profit and ESG Risk Score — as profits rise, ESG risk tends to decline.</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 Profit was also rising in the timeframe of 2023-2025, with the figure growing at 67.07 to 391.39 crores. Risk Score had decreased to 12.3 and 23.2, which means that the sustainability performance improved.</w:t>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(ESG Risk Score = -0.0222 × Net Profit + 28.015) shows that higher profitability is associated with lower ESG risk.</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R² value of 0.1386 suggests that only around 14% of ESG variation is explained by profit; other operational, environmental, and governance factors also influence ESG risk.</w:t>
      </w:r>
    </w:p>
    <w:p w:rsidR="00000000" w:rsidDel="00000000" w:rsidP="00000000" w:rsidRDefault="00000000" w:rsidRPr="00000000" w14:paraId="0000017E">
      <w:pPr>
        <w:tabs>
          <w:tab w:val="left" w:leader="none" w:pos="1752"/>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F">
      <w:pPr>
        <w:tabs>
          <w:tab w:val="left" w:leader="none" w:pos="1752"/>
        </w:tabs>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p>
    <w:p w:rsidR="00000000" w:rsidDel="00000000" w:rsidP="00000000" w:rsidRDefault="00000000" w:rsidRPr="00000000" w14:paraId="00000180">
      <w:pPr>
        <w:tabs>
          <w:tab w:val="left" w:leader="none" w:pos="1752"/>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1">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 Analysis (Profitability, Efficiency, and Valuation Ratios) </w:t>
      </w:r>
    </w:p>
    <w:p w:rsidR="00000000" w:rsidDel="00000000" w:rsidP="00000000" w:rsidRDefault="00000000" w:rsidRPr="00000000" w14:paraId="00000182">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profitability ratios indicate steady improvement in the company’s earning capacity over the study period, supported by consistent growth in net profit and efficient cost management.</w:t>
      </w:r>
    </w:p>
    <w:p w:rsidR="00000000" w:rsidDel="00000000" w:rsidP="00000000" w:rsidRDefault="00000000" w:rsidRPr="00000000" w14:paraId="00000184">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Efficiency ratios show effective utilization of assets, with better turnover of working capital and improved collection efficiency. </w:t>
      </w:r>
    </w:p>
    <w:p w:rsidR="00000000" w:rsidDel="00000000" w:rsidP="00000000" w:rsidRDefault="00000000" w:rsidRPr="00000000" w14:paraId="00000186">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Valuation ratios highlight increasing investor confidence, reflecting the company’s strengthening financial position and market value over time. </w:t>
      </w:r>
    </w:p>
    <w:p w:rsidR="00000000" w:rsidDel="00000000" w:rsidP="00000000" w:rsidRDefault="00000000" w:rsidRPr="00000000" w14:paraId="00000188">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JSW Infrastructure demonstrated sustained operational and financial efficiency, contributing to long-term stability and profitability.</w:t>
      </w:r>
    </w:p>
    <w:p w:rsidR="00000000" w:rsidDel="00000000" w:rsidP="00000000" w:rsidRDefault="00000000" w:rsidRPr="00000000" w14:paraId="0000018A">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Analysis </w:t>
      </w:r>
    </w:p>
    <w:p w:rsidR="00000000" w:rsidDel="00000000" w:rsidP="00000000" w:rsidRDefault="00000000" w:rsidRPr="00000000" w14:paraId="0000018C">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correlation coefficient between Net Profit and ESG Risk Score was –0.37, indicating a moderate negative relationship.</w:t>
      </w:r>
    </w:p>
    <w:p w:rsidR="00000000" w:rsidDel="00000000" w:rsidP="00000000" w:rsidRDefault="00000000" w:rsidRPr="00000000" w14:paraId="0000018E">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means that as JSW Infrastructure’s profits increased, its ESG risk decreased— suggesting that better financial performance was accompanied by improved sustainability and governance practices. </w:t>
      </w:r>
    </w:p>
    <w:p w:rsidR="00000000" w:rsidDel="00000000" w:rsidP="00000000" w:rsidRDefault="00000000" w:rsidRPr="00000000" w14:paraId="00000190">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correlation reinforces that financially strong companies tend to invest more effectively in ESG initiatives, leading to reduced environmental and social risks.</w:t>
      </w:r>
    </w:p>
    <w:p w:rsidR="00000000" w:rsidDel="00000000" w:rsidP="00000000" w:rsidRDefault="00000000" w:rsidRPr="00000000" w14:paraId="00000192">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w:t>
      </w:r>
    </w:p>
    <w:p w:rsidR="00000000" w:rsidDel="00000000" w:rsidP="00000000" w:rsidRDefault="00000000" w:rsidRPr="00000000" w14:paraId="00000194">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(ESG Risk Score = –0.0222 × Net Profit + 28.015) confirmed a negative relationship between ESG risk and profitability. </w:t>
      </w:r>
    </w:p>
    <w:p w:rsidR="00000000" w:rsidDel="00000000" w:rsidP="00000000" w:rsidRDefault="00000000" w:rsidRPr="00000000" w14:paraId="00000196">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R² value of 0.1386 (13.86%) shows that profitability explains a small but meaningful part of ESG risk variation—indicating that while profit growth aligns with better ESG outcomes, other operational and policy factors also play major roles. </w:t>
      </w:r>
    </w:p>
    <w:p w:rsidR="00000000" w:rsidDel="00000000" w:rsidP="00000000" w:rsidRDefault="00000000" w:rsidRPr="00000000" w14:paraId="00000198">
      <w:pPr>
        <w:tabs>
          <w:tab w:val="left" w:leader="none" w:pos="1752"/>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tabs>
          <w:tab w:val="left" w:leader="none" w:pos="175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suggest that as JSW Infrastructure improved its profits between 2023 and 2025, it simultaneously enhanced its ESG standards, contributing to lower overall risk and stronger long-term sustainability.</w:t>
      </w:r>
    </w:p>
    <w:p w:rsidR="00000000" w:rsidDel="00000000" w:rsidP="00000000" w:rsidRDefault="00000000" w:rsidRPr="00000000" w14:paraId="0000019A">
      <w:pPr>
        <w:tabs>
          <w:tab w:val="left" w:leader="none" w:pos="1752"/>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B">
      <w:pPr>
        <w:tabs>
          <w:tab w:val="left" w:leader="none" w:pos="1752"/>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SUGGESTIONS</w:t>
      </w:r>
    </w:p>
    <w:p w:rsidR="00000000" w:rsidDel="00000000" w:rsidP="00000000" w:rsidRDefault="00000000" w:rsidRPr="00000000" w14:paraId="0000019C">
      <w:pPr>
        <w:tabs>
          <w:tab w:val="left" w:leader="none" w:pos="1752"/>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 ESG Integration into Core Strategy: </w:t>
      </w:r>
    </w:p>
    <w:p w:rsidR="00000000" w:rsidDel="00000000" w:rsidP="00000000" w:rsidRDefault="00000000" w:rsidRPr="00000000" w14:paraId="0000019E">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moderate negative relationship between ESG risk and profitability indicates that financial success supports better ESG outcomes. JSW Infrastructure should further integrate ESG principles into its business strategy by investing in cleaner technologies, renewable energy use, and sustainable port operations to sustain long-term growth. </w:t>
      </w:r>
    </w:p>
    <w:p w:rsidR="00000000" w:rsidDel="00000000" w:rsidP="00000000" w:rsidRDefault="00000000" w:rsidRPr="00000000" w14:paraId="0000019F">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Improve Operational Efficiency:</w:t>
      </w:r>
    </w:p>
    <w:p w:rsidR="00000000" w:rsidDel="00000000" w:rsidP="00000000" w:rsidRDefault="00000000" w:rsidRPr="00000000" w14:paraId="000001A1">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Common-size and ratio analyses reveal scope for improvement in operating expense management. The company should adopt process automation, better resource utilization, and digital systems to reduce operating and administrative costs while improving service efficiency. </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Increase Transparency and ESG Reporting:</w:t>
      </w:r>
    </w:p>
    <w:p w:rsidR="00000000" w:rsidDel="00000000" w:rsidP="00000000" w:rsidRDefault="00000000" w:rsidRPr="00000000" w14:paraId="000001A3">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Expanding the scope and quality of ESG disclosures can strengthen stakeholder confidence and attract responsible investors. Clear reporting on sustainability goals, carbon reduction, community development, and governance practices will enhance the company’s market credibility. </w:t>
      </w:r>
    </w:p>
    <w:p w:rsidR="00000000" w:rsidDel="00000000" w:rsidP="00000000" w:rsidRDefault="00000000" w:rsidRPr="00000000" w14:paraId="000001A4">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Diversify Income Sources: </w:t>
      </w:r>
    </w:p>
    <w:p w:rsidR="00000000" w:rsidDel="00000000" w:rsidP="00000000" w:rsidRDefault="00000000" w:rsidRPr="00000000" w14:paraId="000001A6">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statements show reliance on core operations for revenue. The company can explore value-added logistics services, green infrastructure projects, and digital port solutions to diversify revenue streams and strengthen financial resilience.</w:t>
      </w:r>
    </w:p>
    <w:p w:rsidR="00000000" w:rsidDel="00000000" w:rsidP="00000000" w:rsidRDefault="00000000" w:rsidRPr="00000000" w14:paraId="000001A7">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Sustain Profit–ESG Synergy: </w:t>
      </w:r>
    </w:p>
    <w:p w:rsidR="00000000" w:rsidDel="00000000" w:rsidP="00000000" w:rsidRDefault="00000000" w:rsidRPr="00000000" w14:paraId="000001A9">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and correlation results show that profitability and ESG performance move in a complementary direction. The company should continue to align profit generation with sustainable practices to maintain this positive synergy and ensure long-term stakeholder value creation. </w:t>
      </w:r>
    </w:p>
    <w:p w:rsidR="00000000" w:rsidDel="00000000" w:rsidP="00000000" w:rsidRDefault="00000000" w:rsidRPr="00000000" w14:paraId="000001AA">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Foster Innovation for Sustainable Growth: </w:t>
      </w:r>
    </w:p>
    <w:p w:rsidR="00000000" w:rsidDel="00000000" w:rsidP="00000000" w:rsidRDefault="00000000" w:rsidRPr="00000000" w14:paraId="000001AC">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should encourage innovation in operational and environmental practices, such as adopting smart port technologies and energy-efficient systems. Innovative approaches can enhance performance while reducing environmental impact. </w:t>
      </w:r>
    </w:p>
    <w:p w:rsidR="00000000" w:rsidDel="00000000" w:rsidP="00000000" w:rsidRDefault="00000000" w:rsidRPr="00000000" w14:paraId="000001AD">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 Employee Welfare and Skill Development: </w:t>
      </w:r>
    </w:p>
    <w:p w:rsidR="00000000" w:rsidDel="00000000" w:rsidP="00000000" w:rsidRDefault="00000000" w:rsidRPr="00000000" w14:paraId="000001AF">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employee welfare, training, and skill development can increase productivity and strengthen the social dimension of ESG performance. A motivated and skilled workforce contributes directly to higher efficiency and organizational sustainability. </w:t>
      </w:r>
    </w:p>
    <w:p w:rsidR="00000000" w:rsidDel="00000000" w:rsidP="00000000" w:rsidRDefault="00000000" w:rsidRPr="00000000" w14:paraId="000001B0">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2"/>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Strengthen Stakeholder Engagement: </w:t>
      </w:r>
    </w:p>
    <w:p w:rsidR="00000000" w:rsidDel="00000000" w:rsidP="00000000" w:rsidRDefault="00000000" w:rsidRPr="00000000" w14:paraId="000001B2">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JSW Infrastructure should actively collaborate with stakeholders — including investors, local communities, and environmental agencies — to align business goals with broader sustainability objectives. This engagement builds trust and reinforces the company’s commitment to responsible growth.</w:t>
      </w:r>
    </w:p>
    <w:p w:rsidR="00000000" w:rsidDel="00000000" w:rsidP="00000000" w:rsidRDefault="00000000" w:rsidRPr="00000000" w14:paraId="000001B3">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tabs>
          <w:tab w:val="left" w:leader="none" w:pos="1752"/>
        </w:tabs>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OF THE STUDY</w:t>
      </w:r>
    </w:p>
    <w:p w:rsidR="00000000" w:rsidDel="00000000" w:rsidP="00000000" w:rsidRDefault="00000000" w:rsidRPr="00000000" w14:paraId="000001B5">
      <w:pPr>
        <w:tabs>
          <w:tab w:val="left" w:leader="none" w:pos="1752"/>
        </w:tabs>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6">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examined the relationship between Environmental, Social, and Governance (ESG) performance and the financial performance of JSW Infrastructure Ltd. using both accounting and statistical tools. The analysis of financial ratios, comparative balance sheets, and common-size statements revealed that the company has shown consistent growth in assets, revenue, and profitability, supported by efficient operations and better cost control. However, high finance costs occasionally affected margins, highlighting the need for stronger debt management. The correlation and regression analyses indicated a moderate negative relationship between ESG risk scores and profitability, suggesting that as the company’s financial performance improves, its ESG risk declines. This finding demonstrates that financial strength enables greater investment in sustainable and responsible business practices. Overall, the study concludes that ESG and financial performance are interlinked—companies that actively integrate sustainability and governance principles into their operations are more likely to achieve long-term profitability, resilience, and stakeholder trust.</w:t>
      </w:r>
    </w:p>
    <w:p w:rsidR="00000000" w:rsidDel="00000000" w:rsidP="00000000" w:rsidRDefault="00000000" w:rsidRPr="00000000" w14:paraId="000001B7">
      <w:pPr>
        <w:tabs>
          <w:tab w:val="left" w:leader="none" w:pos="1752"/>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tabs>
          <w:tab w:val="left" w:leader="none" w:pos="1752"/>
        </w:tabs>
        <w:ind w:left="360" w:firstLine="0"/>
        <w:rPr>
          <w:rFonts w:ascii="Times New Roman" w:cs="Times New Roman" w:eastAsia="Times New Roman" w:hAnsi="Times New Roman"/>
          <w:b w:val="1"/>
          <w:bCs w:val="1"/>
          <w:sz w:val="24"/>
          <w:szCs w:val="24"/>
        </w:rPr>
      </w:pPr>
      <w:bookmarkStart w:colFirst="0" w:colLast="0" w:name="_heading=h.qlmjcnhukvj0" w:id="1"/>
      <w:bookmarkEnd w:id="1"/>
      <w:r w:rsidDel="00000000" w:rsidR="00000000" w:rsidRPr="00000000">
        <w:rPr>
          <w:rFonts w:ascii="Times New Roman" w:cs="Times New Roman" w:eastAsia="Times New Roman" w:hAnsi="Times New Roman"/>
          <w:b w:val="1"/>
          <w:bCs w:val="1"/>
          <w:sz w:val="24"/>
          <w:szCs w:val="24"/>
          <w:rtl w:val="0"/>
        </w:rPr>
        <w:t xml:space="preserve">BIBLIOGRAPHY</w:t>
      </w:r>
    </w:p>
    <w:p w:rsidR="00000000" w:rsidDel="00000000" w:rsidP="00000000" w:rsidRDefault="00000000" w:rsidRPr="00000000" w14:paraId="000001B9">
      <w:pPr>
        <w:tabs>
          <w:tab w:val="left" w:leader="none" w:pos="1752"/>
        </w:tabs>
        <w:ind w:left="3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A">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DasGupta, R. (2022). Financial performance shortfall, ESG controversies, and ESG performance: Evidence from firms around the world. Finance Research Letters, 46, 102487.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https://doi.org/10.1016/j.frl.2021.102487</w:t>
        </w:r>
      </w:hyperlink>
      <w:r w:rsidDel="00000000" w:rsidR="00000000" w:rsidRPr="00000000">
        <w:rPr>
          <w:rtl w:val="0"/>
        </w:rPr>
      </w:r>
    </w:p>
    <w:p w:rsidR="00000000" w:rsidDel="00000000" w:rsidP="00000000" w:rsidRDefault="00000000" w:rsidRPr="00000000" w14:paraId="000001BB">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 M. K., &amp; Rangarajan, K. (2020). Analysis of corporate sustainability performance and corporate financial performance causal linkage in the Indian context. Asian Journal of Sustainability and Social Responsibility, 5(1), 10. https://doi.org/10.1186/s41180-020 00038-z</w:t>
      </w:r>
    </w:p>
    <w:p w:rsidR="00000000" w:rsidDel="00000000" w:rsidP="00000000" w:rsidRDefault="00000000" w:rsidRPr="00000000" w14:paraId="000001BD">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 G., &amp; Khanna, A. (2021). Does sustainability performance impact financial performance? Evidence from Indian service sector firms. Sustainable Development, 29(6), 1086–1095.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https://doi.org/10.1002/sd.2204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F">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Kalia, D., &amp; Aggarwal, D. (2023). Examining impact of ESG score on financial performance of healthcare companies. Journal of Global Responsibility, 14(1), 155–176.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https://doi.org/10.1108/JGR-05-2022-0045</w:t>
        </w:r>
      </w:hyperlink>
      <w:r w:rsidDel="00000000" w:rsidR="00000000" w:rsidRPr="00000000">
        <w:rPr>
          <w:rtl w:val="0"/>
        </w:rPr>
      </w:r>
    </w:p>
    <w:p w:rsidR="00000000" w:rsidDel="00000000" w:rsidP="00000000" w:rsidRDefault="00000000" w:rsidRPr="00000000" w14:paraId="000001C1">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Maji, S. G., &amp; Lohia, P. (2023). Environmental, social and governance (ESG) performance and firm performance in India. Society and Business Review, 18(1), 175–194. https://doi.org/10.1108/SBR-06-2022-0162 </w:t>
      </w:r>
    </w:p>
    <w:p w:rsidR="00000000" w:rsidDel="00000000" w:rsidP="00000000" w:rsidRDefault="00000000" w:rsidRPr="00000000" w14:paraId="000001C3">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Maji, S. G., &amp; Lohia, P. (2024). Unveiling the financial effect of ESG disclosure on financial performance in India: Climate-sensitive corporates’ perspective. International Journal of Ethics and Systems.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https://doi.org/10.1108/IJOES-02-2024-0039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5">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Mardini, G. H. (2022). ESG factors and corporate financial performance. International Journal of Managerial and Financial Accounting, 14(3), 247.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https://doi.org/10.1504/IJMFA.2022.123895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Nenavani, J., Prasuna, A., Siva Kumar, S. N. V., &amp; Kasturi, A. (2024). ESG measures and financial performance of logistics companies. Letters in Spatial and Resource Sciences, 17(1), 5.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https://doi.org/10.1007/s12076-023-00358-4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8">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Nirino, N., Santoro, G., Miglietta, N., &amp; Quaglia, R. (2021). Corporate controversies and company’s financial performance: Exploring the moderating role of ESG practices. Technological Forecasting and Social Change, 162, 120341.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https://doi.org/10.1016/j.techfore.2020.120341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Paridhi &amp; Ritika. (2025). Impact of ESG Disclosures on Corporate Financial Performance: An Industry‐Specific Analysis of Indian Firms. Business Strategy &amp; Development, 8(1), e70055.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https://doi.org/10.1002/bsd2.70055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Prasad, R., &amp; Mondal, A. (2025). Nexus between ESG scores and financial performance: Evidence from the Indian banking sector. Asian Journal of Accounting Research. </w:t>
      </w:r>
      <w:hyperlink r:id="rId16">
        <w:r w:rsidDel="00000000" w:rsidR="00000000" w:rsidRPr="00000000">
          <w:rPr>
            <w:rFonts w:ascii="Times New Roman" w:cs="Times New Roman" w:eastAsia="Times New Roman" w:hAnsi="Times New Roman"/>
            <w:color w:val="0000ff"/>
            <w:sz w:val="24"/>
            <w:szCs w:val="24"/>
            <w:u w:val="single"/>
            <w:rtl w:val="0"/>
          </w:rPr>
          <w:t xml:space="preserve">https://doi.org/10.1108/AJAR-06-2024-0244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Rao, A., Dagar, V., Sohag, K., Dagher, L., &amp; Tanin, T. I. (2023). Good for the planet, good for the wallet: The ESG impact on financial performance in India. Finance Research Letters, 56, 104093. </w:t>
      </w:r>
      <w:hyperlink r:id="rId17">
        <w:r w:rsidDel="00000000" w:rsidR="00000000" w:rsidRPr="00000000">
          <w:rPr>
            <w:rFonts w:ascii="Times New Roman" w:cs="Times New Roman" w:eastAsia="Times New Roman" w:hAnsi="Times New Roman"/>
            <w:color w:val="0000ff"/>
            <w:sz w:val="24"/>
            <w:szCs w:val="24"/>
            <w:u w:val="single"/>
            <w:rtl w:val="0"/>
          </w:rPr>
          <w:t xml:space="preserve">https://doi.org/10.1016/j.frl.2023.104093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0">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Sachin, N., &amp; Rajesh, R. (2022). An empirical study of supply chain sustainability with financial performances of Indian firms. Environment, Development and Sustainability, 24(5), 6577–6601. </w:t>
      </w:r>
      <w:hyperlink r:id="rId18">
        <w:r w:rsidDel="00000000" w:rsidR="00000000" w:rsidRPr="00000000">
          <w:rPr>
            <w:rFonts w:ascii="Times New Roman" w:cs="Times New Roman" w:eastAsia="Times New Roman" w:hAnsi="Times New Roman"/>
            <w:color w:val="0000ff"/>
            <w:sz w:val="24"/>
            <w:szCs w:val="24"/>
            <w:u w:val="single"/>
            <w:rtl w:val="0"/>
          </w:rPr>
          <w:t xml:space="preserve">https://doi.org/10.1007/s10668-021-01717-1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2">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Saini, M., Dhingra, B., &amp; Yadav, M. (2023). ESG risk and financial performance of the Indian financial firms. International Journal of Governance and Financial Intermediation, 1(4), 304–314. </w:t>
      </w:r>
      <w:hyperlink r:id="rId19">
        <w:r w:rsidDel="00000000" w:rsidR="00000000" w:rsidRPr="00000000">
          <w:rPr>
            <w:rFonts w:ascii="Times New Roman" w:cs="Times New Roman" w:eastAsia="Times New Roman" w:hAnsi="Times New Roman"/>
            <w:color w:val="0000ff"/>
            <w:sz w:val="24"/>
            <w:szCs w:val="24"/>
            <w:u w:val="single"/>
            <w:rtl w:val="0"/>
          </w:rPr>
          <w:t xml:space="preserve">https://doi.org/10.1504/IJGFI.2023.131480</w:t>
        </w:r>
      </w:hyperlink>
      <w:r w:rsidDel="00000000" w:rsidR="00000000" w:rsidRPr="00000000">
        <w:rPr>
          <w:rtl w:val="0"/>
        </w:rPr>
      </w:r>
    </w:p>
    <w:p w:rsidR="00000000" w:rsidDel="00000000" w:rsidP="00000000" w:rsidRDefault="00000000" w:rsidRPr="00000000" w14:paraId="000001D4">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Sinha Ray, R., &amp; Goel, S. (2023). Impact of ESG score on financial performance of Indian firms: Static and dynamic panel regression analyses. Applied Economics, 55(15), 1742 1755. https://doi.org/10.1080/00036846.2022.2101611 </w:t>
      </w:r>
    </w:p>
    <w:p w:rsidR="00000000" w:rsidDel="00000000" w:rsidP="00000000" w:rsidRDefault="00000000" w:rsidRPr="00000000" w14:paraId="000001D6">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Vidhi, S., &amp; Selvam, J. D. (2022). Impact of ESG on financial performance: An Indian perspective. In D. Chanda, A. Sengupta, &amp; D. Mohanti, Advances in Management Research (1st ed., pp. 143–153). Routledge. </w:t>
      </w:r>
      <w:hyperlink r:id="rId20">
        <w:r w:rsidDel="00000000" w:rsidR="00000000" w:rsidRPr="00000000">
          <w:rPr>
            <w:rFonts w:ascii="Times New Roman" w:cs="Times New Roman" w:eastAsia="Times New Roman" w:hAnsi="Times New Roman"/>
            <w:color w:val="0000ff"/>
            <w:sz w:val="24"/>
            <w:szCs w:val="24"/>
            <w:u w:val="single"/>
            <w:rtl w:val="0"/>
          </w:rPr>
          <w:t xml:space="preserve">https://doi.org/10.4324/9781003366638-10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8">
      <w:pPr>
        <w:tabs>
          <w:tab w:val="left" w:leader="none" w:pos="1752"/>
        </w:tabs>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tabs>
          <w:tab w:val="left" w:leader="none" w:pos="1752"/>
        </w:tabs>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Yoo, S., &amp; Managi, S. (2022). Disclosure or action: Evaluating ESG behavior towards financial performance. Finance Research Letters, 44, 102108. https://doi.org/10.1016/j.frl.2021.102108</w:t>
      </w:r>
    </w:p>
    <w:sectPr>
      <w:pgSz w:h="15840" w:w="12240" w:orient="portrait"/>
      <w:pgMar w:bottom="1546" w:top="1415" w:left="1327" w:right="137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3B68BC"/>
    <w:pPr>
      <w:spacing w:after="100" w:afterAutospacing="1" w:before="100" w:beforeAutospacing="1" w:line="240" w:lineRule="auto"/>
    </w:pPr>
    <w:rPr>
      <w:rFonts w:ascii="Times New Roman" w:cs="Times New Roman" w:eastAsia="Times New Roman" w:hAnsi="Times New Roman"/>
      <w:sz w:val="24"/>
      <w:szCs w:val="24"/>
    </w:rPr>
  </w:style>
  <w:style w:type="character" w:styleId="url" w:customStyle="1">
    <w:name w:val="url"/>
    <w:basedOn w:val="DefaultParagraphFont"/>
    <w:rsid w:val="003B68BC"/>
  </w:style>
  <w:style w:type="character" w:styleId="Hyperlink">
    <w:name w:val="Hyperlink"/>
    <w:basedOn w:val="DefaultParagraphFont"/>
    <w:uiPriority w:val="99"/>
    <w:unhideWhenUsed w:val="1"/>
    <w:rsid w:val="003B68BC"/>
    <w:rPr>
      <w:color w:val="0000ff" w:themeColor="hyperlink"/>
      <w:u w:val="single"/>
    </w:rPr>
  </w:style>
  <w:style w:type="table" w:styleId="ab" w:customStyle="1">
    <w:basedOn w:val="TableNormal"/>
    <w:tblPr>
      <w:tblStyleRowBandSize w:val="1"/>
      <w:tblStyleColBandSize w:val="1"/>
      <w:tblInd w:w="0.0" w:type="dxa"/>
      <w:tblCellMar>
        <w:top w:w="0.0" w:type="dxa"/>
        <w:left w:w="108.0" w:type="dxa"/>
        <w:bottom w:w="0.0" w:type="dxa"/>
        <w:right w:w="108.0" w:type="dxa"/>
      </w:tblCellMar>
    </w:tblPr>
  </w:style>
  <w:style w:type="table" w:styleId="ac" w:customStyle="1">
    <w:basedOn w:val="TableNormal"/>
    <w:tblPr>
      <w:tblStyleRowBandSize w:val="1"/>
      <w:tblStyleColBandSize w:val="1"/>
      <w:tblInd w:w="0.0" w:type="dxa"/>
      <w:tblCellMar>
        <w:top w:w="0.0" w:type="dxa"/>
        <w:left w:w="0.0" w:type="dxa"/>
        <w:bottom w:w="0.0" w:type="dxa"/>
        <w:right w:w="0.0" w:type="dxa"/>
      </w:tblCellMar>
    </w:tblPr>
  </w:style>
  <w:style w:type="table" w:styleId="ad" w:customStyle="1">
    <w:basedOn w:val="TableNormal"/>
    <w:tblPr>
      <w:tblStyleRowBandSize w:val="1"/>
      <w:tblStyleColBandSize w:val="1"/>
      <w:tblInd w:w="0.0" w:type="dxa"/>
      <w:tblCellMar>
        <w:top w:w="0.0" w:type="dxa"/>
        <w:left w:w="0.0" w:type="dxa"/>
        <w:bottom w:w="0.0" w:type="dxa"/>
        <w:right w:w="0.0" w:type="dxa"/>
      </w:tblCellMar>
    </w:tblPr>
  </w:style>
  <w:style w:type="table" w:styleId="ae" w:customStyle="1">
    <w:basedOn w:val="TableNormal"/>
    <w:tblPr>
      <w:tblStyleRowBandSize w:val="1"/>
      <w:tblStyleColBandSize w:val="1"/>
      <w:tblInd w:w="0.0" w:type="dxa"/>
      <w:tblCellMar>
        <w:top w:w="0.0" w:type="dxa"/>
        <w:left w:w="0.0" w:type="dxa"/>
        <w:bottom w:w="0.0" w:type="dxa"/>
        <w:right w:w="0.0" w:type="dxa"/>
      </w:tblCellMar>
    </w:tblPr>
  </w:style>
  <w:style w:type="table" w:styleId="af" w:customStyle="1">
    <w:basedOn w:val="TableNormal"/>
    <w:tblPr>
      <w:tblStyleRowBandSize w:val="1"/>
      <w:tblStyleColBandSize w:val="1"/>
      <w:tblInd w:w="0.0" w:type="dxa"/>
      <w:tblCellMar>
        <w:top w:w="0.0" w:type="dxa"/>
        <w:left w:w="0.0" w:type="dxa"/>
        <w:bottom w:w="0.0" w:type="dxa"/>
        <w:right w:w="0.0" w:type="dxa"/>
      </w:tblCellMar>
    </w:tblPr>
  </w:style>
  <w:style w:type="table" w:styleId="af0" w:customStyle="1">
    <w:basedOn w:val="TableNormal"/>
    <w:tblPr>
      <w:tblStyleRowBandSize w:val="1"/>
      <w:tblStyleColBandSize w:val="1"/>
      <w:tblInd w:w="0.0" w:type="dxa"/>
      <w:tblCellMar>
        <w:top w:w="0.0" w:type="dxa"/>
        <w:left w:w="0.0" w:type="dxa"/>
        <w:bottom w:w="0.0" w:type="dxa"/>
        <w:right w:w="0.0" w:type="dxa"/>
      </w:tblCellMar>
    </w:tblPr>
  </w:style>
  <w:style w:type="table" w:styleId="af1" w:customStyle="1">
    <w:basedOn w:val="TableNormal"/>
    <w:tblPr>
      <w:tblStyleRowBandSize w:val="1"/>
      <w:tblStyleColBandSize w:val="1"/>
      <w:tblInd w:w="0.0" w:type="dxa"/>
      <w:tblCellMar>
        <w:top w:w="0.0" w:type="dxa"/>
        <w:left w:w="0.0" w:type="dxa"/>
        <w:bottom w:w="0.0" w:type="dxa"/>
        <w:right w:w="0.0" w:type="dxa"/>
      </w:tblCellMar>
    </w:tblPr>
  </w:style>
  <w:style w:type="table" w:styleId="af2" w:customStyle="1">
    <w:basedOn w:val="TableNormal"/>
    <w:tblPr>
      <w:tblStyleRowBandSize w:val="1"/>
      <w:tblStyleColBandSize w:val="1"/>
      <w:tblInd w:w="0.0" w:type="dxa"/>
      <w:tblCellMar>
        <w:top w:w="0.0" w:type="dxa"/>
        <w:left w:w="0.0" w:type="dxa"/>
        <w:bottom w:w="0.0" w:type="dxa"/>
        <w:right w:w="0.0" w:type="dxa"/>
      </w:tblCellMar>
    </w:tblPr>
  </w:style>
  <w:style w:type="table" w:styleId="af3" w:customStyle="1">
    <w:basedOn w:val="TableNormal"/>
    <w:tblPr>
      <w:tblStyleRowBandSize w:val="1"/>
      <w:tblStyleColBandSize w:val="1"/>
      <w:tblInd w:w="0.0" w:type="dxa"/>
      <w:tblCellMar>
        <w:top w:w="0.0" w:type="dxa"/>
        <w:left w:w="0.0" w:type="dxa"/>
        <w:bottom w:w="0.0" w:type="dxa"/>
        <w:right w:w="0.0" w:type="dxa"/>
      </w:tblCellMar>
    </w:tblPr>
  </w:style>
  <w:style w:type="table" w:styleId="af4" w:customStyle="1">
    <w:basedOn w:val="TableNormal"/>
    <w:tblPr>
      <w:tblStyleRowBandSize w:val="1"/>
      <w:tblStyleColBandSize w:val="1"/>
      <w:tblInd w:w="0.0" w:type="dxa"/>
      <w:tblCellMar>
        <w:top w:w="0.0" w:type="dxa"/>
        <w:left w:w="0.0" w:type="dxa"/>
        <w:bottom w:w="0.0" w:type="dxa"/>
        <w:right w:w="0.0" w:type="dxa"/>
      </w:tblCellMar>
    </w:tblPr>
  </w:style>
  <w:style w:type="table" w:styleId="af5" w:customStyle="1">
    <w:basedOn w:val="TableNormal"/>
    <w:tblPr>
      <w:tblStyleRowBandSize w:val="1"/>
      <w:tblStyleColBandSize w:val="1"/>
      <w:tblInd w:w="0.0" w:type="dxa"/>
      <w:tblCellMar>
        <w:top w:w="0.0" w:type="dxa"/>
        <w:left w:w="0.0" w:type="dxa"/>
        <w:bottom w:w="0.0" w:type="dxa"/>
        <w:right w:w="0.0" w:type="dxa"/>
      </w:tblCellMar>
    </w:tblPr>
  </w:style>
  <w:style w:type="table" w:styleId="af6" w:customStyle="1">
    <w:basedOn w:val="TableNormal"/>
    <w:tblPr>
      <w:tblStyleRowBandSize w:val="1"/>
      <w:tblStyleColBandSize w:val="1"/>
      <w:tblInd w:w="0.0" w:type="dxa"/>
      <w:tblCellMar>
        <w:top w:w="0.0" w:type="dxa"/>
        <w:left w:w="0.0" w:type="dxa"/>
        <w:bottom w:w="0.0" w:type="dxa"/>
        <w:right w:w="0.0" w:type="dxa"/>
      </w:tblCellMar>
    </w:tblPr>
  </w:style>
  <w:style w:type="table" w:styleId="af7" w:customStyle="1">
    <w:basedOn w:val="TableNormal"/>
    <w:tblPr>
      <w:tblStyleRowBandSize w:val="1"/>
      <w:tblStyleColBandSize w:val="1"/>
      <w:tblInd w:w="0.0" w:type="dxa"/>
      <w:tblCellMar>
        <w:top w:w="0.0" w:type="dxa"/>
        <w:left w:w="0.0" w:type="dxa"/>
        <w:bottom w:w="0.0" w:type="dxa"/>
        <w:right w:w="0.0" w:type="dxa"/>
      </w:tblCellMar>
    </w:tblPr>
  </w:style>
  <w:style w:type="table" w:styleId="af8" w:customStyle="1">
    <w:basedOn w:val="TableNormal"/>
    <w:tblPr>
      <w:tblStyleRowBandSize w:val="1"/>
      <w:tblStyleColBandSize w:val="1"/>
      <w:tblInd w:w="0.0" w:type="dxa"/>
      <w:tblCellMar>
        <w:top w:w="0.0" w:type="dxa"/>
        <w:left w:w="0.0" w:type="dxa"/>
        <w:bottom w:w="0.0" w:type="dxa"/>
        <w:right w:w="0.0" w:type="dxa"/>
      </w:tblCellMar>
    </w:tblPr>
  </w:style>
  <w:style w:type="table" w:styleId="af9" w:customStyle="1">
    <w:basedOn w:val="TableNormal"/>
    <w:tblPr>
      <w:tblStyleRowBandSize w:val="1"/>
      <w:tblStyleColBandSize w:val="1"/>
      <w:tblInd w:w="0.0" w:type="dxa"/>
      <w:tblCellMar>
        <w:top w:w="0.0" w:type="dxa"/>
        <w:left w:w="0.0" w:type="dxa"/>
        <w:bottom w:w="0.0" w:type="dxa"/>
        <w:right w:w="0.0" w:type="dxa"/>
      </w:tblCellMar>
    </w:tblPr>
  </w:style>
  <w:style w:type="table" w:styleId="afa" w:customStyle="1">
    <w:basedOn w:val="TableNormal"/>
    <w:tblPr>
      <w:tblStyleRowBandSize w:val="1"/>
      <w:tblStyleColBandSize w:val="1"/>
      <w:tblInd w:w="0.0" w:type="dxa"/>
      <w:tblCellMar>
        <w:top w:w="0.0" w:type="dxa"/>
        <w:left w:w="0.0" w:type="dxa"/>
        <w:bottom w:w="0.0" w:type="dxa"/>
        <w:right w:w="0.0" w:type="dxa"/>
      </w:tblCellMar>
    </w:tblPr>
  </w:style>
  <w:style w:type="table" w:styleId="afb" w:customStyle="1">
    <w:basedOn w:val="TableNormal"/>
    <w:tblPr>
      <w:tblStyleRowBandSize w:val="1"/>
      <w:tblStyleColBandSize w:val="1"/>
      <w:tblInd w:w="0.0" w:type="dxa"/>
      <w:tblCellMar>
        <w:top w:w="0.0" w:type="dxa"/>
        <w:left w:w="0.0" w:type="dxa"/>
        <w:bottom w:w="0.0" w:type="dxa"/>
        <w:right w:w="0.0" w:type="dxa"/>
      </w:tblCellMar>
    </w:tblPr>
  </w:style>
  <w:style w:type="table" w:styleId="afc" w:customStyle="1">
    <w:basedOn w:val="TableNormal"/>
    <w:tblPr>
      <w:tblStyleRowBandSize w:val="1"/>
      <w:tblStyleColBandSize w:val="1"/>
      <w:tblInd w:w="0.0" w:type="dxa"/>
      <w:tblCellMar>
        <w:top w:w="0.0" w:type="dxa"/>
        <w:left w:w="0.0" w:type="dxa"/>
        <w:bottom w:w="0.0" w:type="dxa"/>
        <w:right w:w="0.0" w:type="dxa"/>
      </w:tblCellMar>
    </w:tblPr>
  </w:style>
  <w:style w:type="character" w:styleId="Strong">
    <w:name w:val="Strong"/>
    <w:basedOn w:val="DefaultParagraphFont"/>
    <w:uiPriority w:val="22"/>
    <w:qFormat w:val="1"/>
    <w:rsid w:val="00F7067F"/>
    <w:rPr>
      <w:b w:val="1"/>
      <w:bCs w:val="1"/>
    </w:rPr>
  </w:style>
  <w:style w:type="table" w:styleId="TableGrid">
    <w:name w:val="Table Grid"/>
    <w:basedOn w:val="TableNormal"/>
    <w:uiPriority w:val="39"/>
    <w:rsid w:val="006D3BD7"/>
    <w:pPr>
      <w:spacing w:line="240" w:lineRule="auto"/>
    </w:pPr>
    <w:rPr>
      <w:rFonts w:asciiTheme="minorHAnsi" w:cstheme="minorBidi" w:eastAsiaTheme="minorHAnsi" w:hAnsiTheme="minorHAnsi"/>
      <w:kern w:val="2"/>
      <w:lang w:val="en-I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4C5CC9"/>
    <w:pPr>
      <w:spacing w:after="160" w:line="259" w:lineRule="auto"/>
      <w:ind w:left="720"/>
      <w:contextualSpacing w:val="1"/>
    </w:pPr>
    <w:rPr>
      <w:rFonts w:asciiTheme="minorHAnsi" w:cstheme="minorBidi" w:eastAsiaTheme="minorHAnsi" w:hAnsiTheme="minorHAnsi"/>
      <w:kern w:val="2"/>
      <w:lang w:val="en-IN"/>
    </w:rPr>
  </w:style>
  <w:style w:type="character" w:styleId="UnresolvedMention" w:customStyle="1">
    <w:name w:val="Unresolved Mention"/>
    <w:basedOn w:val="DefaultParagraphFont"/>
    <w:uiPriority w:val="99"/>
    <w:semiHidden w:val="1"/>
    <w:unhideWhenUsed w:val="1"/>
    <w:rsid w:val="002E3ED8"/>
    <w:rPr>
      <w:color w:val="605e5c"/>
      <w:shd w:color="auto" w:fill="e1dfdd" w:val="clear"/>
    </w:rPr>
  </w:style>
  <w:style w:type="paragraph" w:styleId="BalloonText">
    <w:name w:val="Balloon Text"/>
    <w:basedOn w:val="Normal"/>
    <w:link w:val="BalloonTextChar"/>
    <w:uiPriority w:val="99"/>
    <w:semiHidden w:val="1"/>
    <w:unhideWhenUsed w:val="1"/>
    <w:rsid w:val="00272F7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72F72"/>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4324/9781003366638-10" TargetMode="External"/><Relationship Id="rId11" Type="http://schemas.openxmlformats.org/officeDocument/2006/relationships/hyperlink" Target="https://doi.org/10.1108/IJOES-02-2024-0039" TargetMode="External"/><Relationship Id="rId10" Type="http://schemas.openxmlformats.org/officeDocument/2006/relationships/hyperlink" Target="https://doi.org/10.1108/JGR-05-2022-0045" TargetMode="External"/><Relationship Id="rId13" Type="http://schemas.openxmlformats.org/officeDocument/2006/relationships/hyperlink" Target="https://doi.org/10.1007/s12076-023-00358-4" TargetMode="External"/><Relationship Id="rId12" Type="http://schemas.openxmlformats.org/officeDocument/2006/relationships/hyperlink" Target="https://doi.org/10.1504/IJMFA.2022.1238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2/sd.2204" TargetMode="External"/><Relationship Id="rId15" Type="http://schemas.openxmlformats.org/officeDocument/2006/relationships/hyperlink" Target="https://doi.org/10.1002/bsd2.70055" TargetMode="External"/><Relationship Id="rId14" Type="http://schemas.openxmlformats.org/officeDocument/2006/relationships/hyperlink" Target="https://doi.org/10.1016/j.techfore.2020.120341" TargetMode="External"/><Relationship Id="rId17" Type="http://schemas.openxmlformats.org/officeDocument/2006/relationships/hyperlink" Target="https://doi.org/10.1016/j.frl.2023.104093" TargetMode="External"/><Relationship Id="rId16" Type="http://schemas.openxmlformats.org/officeDocument/2006/relationships/hyperlink" Target="https://doi.org/10.1108/AJAR-06-2024-0244" TargetMode="External"/><Relationship Id="rId5" Type="http://schemas.openxmlformats.org/officeDocument/2006/relationships/styles" Target="styles.xml"/><Relationship Id="rId19" Type="http://schemas.openxmlformats.org/officeDocument/2006/relationships/hyperlink" Target="https://doi.org/10.1504/IJGFI.2023.131480" TargetMode="External"/><Relationship Id="rId6" Type="http://schemas.openxmlformats.org/officeDocument/2006/relationships/customXml" Target="../customXML/item1.xml"/><Relationship Id="rId18" Type="http://schemas.openxmlformats.org/officeDocument/2006/relationships/hyperlink" Target="https://doi.org/10.1007/s10668-021-01717-1" TargetMode="External"/><Relationship Id="rId7" Type="http://schemas.openxmlformats.org/officeDocument/2006/relationships/chart" Target="charts/chart1.xml"/><Relationship Id="rId8" Type="http://schemas.openxmlformats.org/officeDocument/2006/relationships/hyperlink" Target="https://doi.org/10.1016/j.frl.2021.1024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REGRESSION</a:t>
            </a:r>
          </a:p>
        </c:rich>
      </c:tx>
      <c:overlay val="0"/>
      <c:spPr>
        <a:noFill/>
        <a:ln>
          <a:noFill/>
        </a:ln>
        <a:effectLst/>
      </c:spPr>
    </c:title>
    <c:autoTitleDeleted val="0"/>
    <c:plotArea>
      <c:layout>
        <c:manualLayout>
          <c:layoutTarget val="inner"/>
          <c:xMode val="edge"/>
          <c:yMode val="edge"/>
          <c:x val="9.5248131862305088E-2"/>
          <c:y val="0.2239016371788568"/>
          <c:w val="0.81615157953740636"/>
          <c:h val="0.6229510803227881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44450" cap="rnd" cmpd="sng">
                <a:solidFill>
                  <a:srgbClr val="C00000"/>
                </a:solidFill>
                <a:prstDash val="solid"/>
              </a:ln>
              <a:effectLst/>
            </c:spPr>
            <c:trendlineType val="linear"/>
            <c:dispRSqr val="1"/>
            <c:dispEq val="1"/>
            <c:trendlineLbl>
              <c:layout>
                <c:manualLayout>
                  <c:x val="0.15484799685413878"/>
                  <c:y val="-0.3798073936004970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baseline="0"/>
                      <a:t>y = -0.0222x + 28.015</a:t>
                    </a:r>
                    <a:br>
                      <a:rPr lang="en-US" sz="1200" b="1" baseline="0"/>
                    </a:br>
                    <a:r>
                      <a:rPr lang="en-US" sz="1200" b="1" baseline="0"/>
                      <a:t>R² = 0.1386</a:t>
                    </a:r>
                    <a:endParaRPr lang="en-US" sz="1200" b="1"/>
                  </a:p>
                </c:rich>
              </c:tx>
              <c:numFmt formatCode="General" sourceLinked="0"/>
              <c:spPr>
                <a:noFill/>
                <a:ln>
                  <a:noFill/>
                </a:ln>
                <a:effectLst/>
              </c:spPr>
            </c:trendlineLbl>
          </c:trendline>
          <c:xVal>
            <c:numRef>
              <c:f>Sheet1!$B$2:$B$4</c:f>
              <c:numCache>
                <c:formatCode>General</c:formatCode>
                <c:ptCount val="3"/>
                <c:pt idx="0">
                  <c:v>67.069999999999993</c:v>
                </c:pt>
                <c:pt idx="1">
                  <c:v>287.20999999999998</c:v>
                </c:pt>
                <c:pt idx="2">
                  <c:v>391.39</c:v>
                </c:pt>
              </c:numCache>
            </c:numRef>
          </c:xVal>
          <c:yVal>
            <c:numRef>
              <c:f>Sheet1!$C$2:$C$4</c:f>
              <c:numCache>
                <c:formatCode>General</c:formatCode>
                <c:ptCount val="3"/>
                <c:pt idx="0">
                  <c:v>23.2</c:v>
                </c:pt>
                <c:pt idx="1">
                  <c:v>32</c:v>
                </c:pt>
                <c:pt idx="2">
                  <c:v>12.3</c:v>
                </c:pt>
              </c:numCache>
            </c:numRef>
          </c:yVal>
          <c:smooth val="0"/>
          <c:extLst xmlns:c16r2="http://schemas.microsoft.com/office/drawing/2015/06/chart">
            <c:ext xmlns:c16="http://schemas.microsoft.com/office/drawing/2014/chart" uri="{C3380CC4-5D6E-409C-BE32-E72D297353CC}">
              <c16:uniqueId val="{00000001-DBD3-4DBE-9E03-6DADBFA7E77E}"/>
            </c:ext>
          </c:extLst>
        </c:ser>
        <c:dLbls>
          <c:showLegendKey val="0"/>
          <c:showVal val="0"/>
          <c:showCatName val="0"/>
          <c:showSerName val="0"/>
          <c:showPercent val="0"/>
          <c:showBubbleSize val="0"/>
        </c:dLbls>
        <c:axId val="39691776"/>
        <c:axId val="39693696"/>
      </c:scatterChart>
      <c:valAx>
        <c:axId val="3969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t>NET</a:t>
                </a:r>
                <a:r>
                  <a:rPr lang="en-IN" sz="1100" b="1" baseline="0"/>
                  <a:t> PROFIT IN CRORES</a:t>
                </a:r>
                <a:endParaRPr lang="en-IN" sz="1100" b="1"/>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3696"/>
        <c:crosses val="autoZero"/>
        <c:crossBetween val="midCat"/>
      </c:valAx>
      <c:valAx>
        <c:axId val="396936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t>ESG</a:t>
                </a:r>
                <a:r>
                  <a:rPr lang="en-IN" sz="1100" b="1" baseline="0"/>
                  <a:t> RISK SCORE</a:t>
                </a:r>
              </a:p>
              <a:p>
                <a:pPr>
                  <a:defRPr sz="1000" b="0" i="0" u="none" strike="noStrike" kern="1200" baseline="0">
                    <a:solidFill>
                      <a:schemeClr val="tx1">
                        <a:lumMod val="65000"/>
                        <a:lumOff val="35000"/>
                      </a:schemeClr>
                    </a:solidFill>
                    <a:latin typeface="+mn-lt"/>
                    <a:ea typeface="+mn-ea"/>
                    <a:cs typeface="+mn-cs"/>
                  </a:defRPr>
                </a:pPr>
                <a:endParaRPr lang="en-IN"/>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177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pAh7uU1AmmhhOaRqIrFt4ZI2A==">CgMxLjAyDmguZTlqcXp2ZzdqY2I5Mg5oLnFsbWpjbmh1a3ZqMDgAciExeGF3RVZnblBDOFp1YmgwX0N6NE9DSzZFMXUxM19LT1M=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2026-03-05T05:37:00Z</dcterms:created>
  <dc:creator>alvin andrews</dc:creator>
</cp:coreProperties>
</file>