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38A8" w:rsidRPr="00EE39C6" w:rsidRDefault="009E2285" w:rsidP="001A5F61">
      <w:pPr>
        <w:spacing w:line="360" w:lineRule="auto"/>
        <w:jc w:val="both"/>
        <w:rPr>
          <w:szCs w:val="24"/>
        </w:rPr>
      </w:pPr>
      <w:r w:rsidRPr="00EE39C6">
        <w:rPr>
          <w:b/>
          <w:szCs w:val="24"/>
        </w:rPr>
        <w:t>Groundwater Pollution and Remedial Measures for Potable Water Supply in Okesa, Ilesha, Southwestern Nigeria</w:t>
      </w:r>
    </w:p>
    <w:p w:rsidR="00983A42" w:rsidRDefault="009E2285" w:rsidP="00D40A0C">
      <w:pPr>
        <w:pStyle w:val="NormalWeb"/>
        <w:contextualSpacing/>
        <w:jc w:val="both"/>
      </w:pPr>
      <w:r w:rsidRPr="00EE39C6">
        <w:br/>
      </w:r>
      <w:r w:rsidRPr="00A02EA8">
        <w:rPr>
          <w:b/>
        </w:rPr>
        <w:t>ABSTRACT</w:t>
      </w:r>
      <w:r w:rsidRPr="00EB6154">
        <w:br/>
      </w:r>
      <w:r w:rsidRPr="00EE39C6">
        <w:br/>
      </w:r>
      <w:r w:rsidR="00983A42">
        <w:t xml:space="preserve">Groundwater remains the primary source of potable water for many peri-urban and rural communities in Nigeria due to inadequate public water supply infrastructure. However, increasing anthropogenic activities and hydrogeological vulnerability have contributed to the deterioration of groundwater quality in many basement complex terrains. This study investigated the causes of groundwater pollution and proposed remedial measures for potable use in </w:t>
      </w:r>
      <w:proofErr w:type="spellStart"/>
      <w:r w:rsidR="00983A42">
        <w:t>Okesa</w:t>
      </w:r>
      <w:proofErr w:type="spellEnd"/>
      <w:r w:rsidR="00983A42">
        <w:t>, Ilesha, Southwestern Nigeria. The objectives were to examine the hydrogeological characteristics of the area, assess the physicochemical and microbiological quality of groundwater, identify major contamination sources, evaluate pollution levels in relation to World Health Organization (WHO) and Nigerian drinking water standards, and recommend sustainable remedial measures.</w:t>
      </w:r>
      <w:r w:rsidR="00983A42">
        <w:t xml:space="preserve"> </w:t>
      </w:r>
      <w:r w:rsidR="00983A42">
        <w:t xml:space="preserve">An experimental and analytical research design was adopted. Twelve hand-dug wells distributed across the </w:t>
      </w:r>
      <w:proofErr w:type="spellStart"/>
      <w:r w:rsidR="00983A42">
        <w:t>Okesa</w:t>
      </w:r>
      <w:proofErr w:type="spellEnd"/>
      <w:r w:rsidR="00983A42">
        <w:t xml:space="preserve"> community were purposively selected for sampling. Groundwater samples were collected in 5-litre polyethylene containers and analysed using standard laboratory procedures. Parameters analysed included pH, turbidity, total dissolved solids (TDS), electrical conductivity (EC), nitrate, chloride, total hardness, iron, lead, total coliforms, faecal coliforms, and </w:t>
      </w:r>
      <w:r w:rsidR="00983A42">
        <w:rPr>
          <w:rStyle w:val="Emphasis"/>
        </w:rPr>
        <w:t>Escherichia coli</w:t>
      </w:r>
      <w:r w:rsidR="00983A42">
        <w:t>. Field observations identified pollution risk factors such as proximity of wells to refuse dumps, septic tanks, and industrial activities.</w:t>
      </w:r>
      <w:r w:rsidR="00983A42">
        <w:t xml:space="preserve"> </w:t>
      </w:r>
      <w:r w:rsidR="00983A42">
        <w:t xml:space="preserve">Results revealed that while several physicochemical parameters remained within WHO and Nigerian Standard for Drinking Water Quality (NSDWQ) limits, some wells showed elevated turbidity, EC, and TDS. Wells around </w:t>
      </w:r>
      <w:proofErr w:type="spellStart"/>
      <w:r w:rsidR="00983A42">
        <w:t>Omooba</w:t>
      </w:r>
      <w:proofErr w:type="spellEnd"/>
      <w:r w:rsidR="00983A42">
        <w:t xml:space="preserve"> </w:t>
      </w:r>
      <w:proofErr w:type="spellStart"/>
      <w:r w:rsidR="00983A42">
        <w:t>Alufaa</w:t>
      </w:r>
      <w:proofErr w:type="spellEnd"/>
      <w:r w:rsidR="00983A42">
        <w:t xml:space="preserve">, Omi </w:t>
      </w:r>
      <w:proofErr w:type="spellStart"/>
      <w:r w:rsidR="00983A42">
        <w:t>Asoro</w:t>
      </w:r>
      <w:proofErr w:type="spellEnd"/>
      <w:r w:rsidR="00983A42">
        <w:t xml:space="preserve"> 1, and areas close to the brewery showed contamination linked to poor waste disposal and industrial activities. Microbiological analysis indicated the presence of </w:t>
      </w:r>
      <w:r w:rsidR="00983A42">
        <w:rPr>
          <w:rStyle w:val="Emphasis"/>
        </w:rPr>
        <w:t>E. coli</w:t>
      </w:r>
      <w:r w:rsidR="00983A42">
        <w:t xml:space="preserve">, total coliforms, and </w:t>
      </w:r>
      <w:r w:rsidR="00983A42">
        <w:rPr>
          <w:rStyle w:val="Emphasis"/>
        </w:rPr>
        <w:t>Salmonella</w:t>
      </w:r>
      <w:r w:rsidR="00983A42">
        <w:t xml:space="preserve"> species, confirming faecal contamination and poor sanitary conditions around the wells. The study concluded that groundwater in </w:t>
      </w:r>
      <w:proofErr w:type="spellStart"/>
      <w:r w:rsidR="00983A42">
        <w:t>Okesa</w:t>
      </w:r>
      <w:proofErr w:type="spellEnd"/>
      <w:r w:rsidR="00983A42">
        <w:t xml:space="preserve"> is unsuitable for direct human consumption without treatment. Recommendations included proper well construction, relocation of septic tanks and refuse dumps, regular chlorination, household water treatment, industrial effluent control, and community-based groundwater monitoring frameworks for sustainable potable water management in peri-urban communities.</w:t>
      </w:r>
    </w:p>
    <w:p w:rsidR="00334C23" w:rsidRPr="00334C23" w:rsidRDefault="00334C23" w:rsidP="00D40A0C">
      <w:pPr>
        <w:pStyle w:val="NormalWeb"/>
        <w:contextualSpacing/>
        <w:jc w:val="both"/>
      </w:pPr>
      <w:r w:rsidRPr="00334C23">
        <w:t xml:space="preserve">Keywords: Groundnut, Pollution, Portable water, Remediation, Microbiological Contamination, Basement aquifer, </w:t>
      </w:r>
      <w:proofErr w:type="spellStart"/>
      <w:r w:rsidRPr="00334C23">
        <w:t>Okesa</w:t>
      </w:r>
      <w:proofErr w:type="spellEnd"/>
      <w:r w:rsidRPr="00334C23">
        <w:t>, Ilesha</w:t>
      </w:r>
    </w:p>
    <w:p w:rsidR="00D40A0C" w:rsidRDefault="00D40A0C" w:rsidP="001A5F61">
      <w:pPr>
        <w:spacing w:line="360" w:lineRule="auto"/>
        <w:jc w:val="both"/>
        <w:rPr>
          <w:szCs w:val="24"/>
        </w:rPr>
      </w:pPr>
    </w:p>
    <w:p w:rsidR="00D40A0C" w:rsidRDefault="00D40A0C" w:rsidP="001A5F61">
      <w:pPr>
        <w:spacing w:line="360" w:lineRule="auto"/>
        <w:jc w:val="both"/>
        <w:rPr>
          <w:szCs w:val="24"/>
        </w:rPr>
      </w:pPr>
    </w:p>
    <w:p w:rsidR="00D40A0C" w:rsidRDefault="00D40A0C" w:rsidP="001A5F61">
      <w:pPr>
        <w:spacing w:line="360" w:lineRule="auto"/>
        <w:jc w:val="both"/>
        <w:rPr>
          <w:szCs w:val="24"/>
        </w:rPr>
      </w:pPr>
    </w:p>
    <w:p w:rsidR="00D40A0C" w:rsidRDefault="00D40A0C" w:rsidP="001A5F61">
      <w:pPr>
        <w:spacing w:line="360" w:lineRule="auto"/>
        <w:jc w:val="both"/>
        <w:rPr>
          <w:szCs w:val="24"/>
        </w:rPr>
      </w:pPr>
    </w:p>
    <w:p w:rsidR="00D40A0C" w:rsidRDefault="00D40A0C" w:rsidP="001A5F61">
      <w:pPr>
        <w:spacing w:line="360" w:lineRule="auto"/>
        <w:jc w:val="both"/>
        <w:rPr>
          <w:szCs w:val="24"/>
        </w:rPr>
      </w:pPr>
    </w:p>
    <w:p w:rsidR="00D40A0C" w:rsidRDefault="00D40A0C" w:rsidP="001A5F61">
      <w:pPr>
        <w:spacing w:line="360" w:lineRule="auto"/>
        <w:jc w:val="both"/>
        <w:rPr>
          <w:szCs w:val="24"/>
        </w:rPr>
      </w:pPr>
    </w:p>
    <w:p w:rsidR="00D40A0C" w:rsidRDefault="00D40A0C" w:rsidP="001A5F61">
      <w:pPr>
        <w:spacing w:line="360" w:lineRule="auto"/>
        <w:jc w:val="both"/>
        <w:rPr>
          <w:szCs w:val="24"/>
        </w:rPr>
      </w:pPr>
    </w:p>
    <w:p w:rsidR="00D40A0C" w:rsidRDefault="00D40A0C" w:rsidP="001A5F61">
      <w:pPr>
        <w:spacing w:line="360" w:lineRule="auto"/>
        <w:jc w:val="both"/>
        <w:rPr>
          <w:szCs w:val="24"/>
        </w:rPr>
      </w:pPr>
    </w:p>
    <w:p w:rsidR="00D40A0C" w:rsidRDefault="00D40A0C" w:rsidP="00D40A0C">
      <w:pPr>
        <w:pStyle w:val="NormalWeb"/>
      </w:pPr>
      <w:r>
        <w:lastRenderedPageBreak/>
        <w:t>Introduction</w:t>
      </w:r>
    </w:p>
    <w:p w:rsidR="00D40A0C" w:rsidRDefault="00D40A0C" w:rsidP="00D40A0C">
      <w:pPr>
        <w:pStyle w:val="NormalWeb"/>
        <w:spacing w:line="360" w:lineRule="auto"/>
        <w:contextualSpacing/>
        <w:jc w:val="both"/>
      </w:pPr>
      <w:r>
        <w:t xml:space="preserve">Groundwater remains the major source of potable water for many rural and peri-urban communities in Nigeria because public water supply systems are inadequate and unreliable. In communities such as </w:t>
      </w:r>
      <w:proofErr w:type="spellStart"/>
      <w:r>
        <w:t>Okesa</w:t>
      </w:r>
      <w:proofErr w:type="spellEnd"/>
      <w:r>
        <w:t xml:space="preserve"> in Ilesha, Osun State, residents depend largely on hand-dug wells and boreholes for domestic water supply due to their availability and relative affordability (</w:t>
      </w:r>
      <w:proofErr w:type="spellStart"/>
      <w:r>
        <w:t>Adelekan</w:t>
      </w:r>
      <w:proofErr w:type="spellEnd"/>
      <w:r>
        <w:t>, 2010). However, increasing urbanization, poor waste management practices, industrial activities, and inadequate sanitation systems have contributed significantly to the deterioration of groundwater quality in many parts of Nigeria (</w:t>
      </w:r>
      <w:proofErr w:type="spellStart"/>
      <w:r>
        <w:t>Obiora</w:t>
      </w:r>
      <w:proofErr w:type="spellEnd"/>
      <w:r>
        <w:t xml:space="preserve"> et al., 2023). Studies across southwestern Nigeria have shown that shallow basement complex aquifers are highly vulnerable to contamination because groundwater occurs mainly within weathered and fractured crystalline rocks with limited protective overburden (Tijani et al., 2014; Doro et al., 2023).</w:t>
      </w:r>
    </w:p>
    <w:p w:rsidR="00D40A0C" w:rsidRDefault="00D40A0C" w:rsidP="00D40A0C">
      <w:pPr>
        <w:pStyle w:val="NormalWeb"/>
        <w:spacing w:line="360" w:lineRule="auto"/>
        <w:contextualSpacing/>
        <w:jc w:val="both"/>
      </w:pPr>
      <w:r>
        <w:t xml:space="preserve">The geology of Ilesha falls within the Precambrian Basement Complex terrain dominated by granites, gneisses, and schists. Groundwater occurrence in the area is controlled largely by fractures and weathered </w:t>
      </w:r>
      <w:proofErr w:type="spellStart"/>
      <w:r>
        <w:t>regolith</w:t>
      </w:r>
      <w:proofErr w:type="spellEnd"/>
      <w:r>
        <w:t>, making aquifers susceptible to infiltration of pollutants from surface activities (Tijani et al., 2014). Recent investigations in southwestern Nigeria reported elevated concentrations of heavy metals, nitrates, and microbial contaminants in groundwater due to indiscriminate waste disposal, septic tank leakage, agricultural runoff, and industrial effluents (</w:t>
      </w:r>
      <w:proofErr w:type="spellStart"/>
      <w:r>
        <w:t>Fadipe</w:t>
      </w:r>
      <w:proofErr w:type="spellEnd"/>
      <w:r>
        <w:t xml:space="preserve"> et al., 2022; </w:t>
      </w:r>
      <w:proofErr w:type="spellStart"/>
      <w:r>
        <w:t>Omali</w:t>
      </w:r>
      <w:proofErr w:type="spellEnd"/>
      <w:r>
        <w:t xml:space="preserve"> et al., 2023). Municipal dumpsites and poorly managed sanitation facilities have also been identified as major pathways for leachate migration into shallow aquifers (Oyeyemi et al., 2018; </w:t>
      </w:r>
      <w:proofErr w:type="spellStart"/>
      <w:r>
        <w:t>Adimalla</w:t>
      </w:r>
      <w:proofErr w:type="spellEnd"/>
      <w:r>
        <w:t xml:space="preserve"> et al., 2020). In Ilesha, effluents from small-scale industrial activities such as cassava processing have equally been linked to localized groundwater contamination and </w:t>
      </w:r>
      <w:proofErr w:type="spellStart"/>
      <w:r>
        <w:t>hydrochemical</w:t>
      </w:r>
      <w:proofErr w:type="spellEnd"/>
      <w:r>
        <w:t xml:space="preserve"> alteration (Adigun &amp; </w:t>
      </w:r>
      <w:proofErr w:type="spellStart"/>
      <w:r>
        <w:t>Olorunfemi</w:t>
      </w:r>
      <w:proofErr w:type="spellEnd"/>
      <w:r>
        <w:t>, 2017).</w:t>
      </w:r>
    </w:p>
    <w:p w:rsidR="00D40A0C" w:rsidRDefault="00D40A0C" w:rsidP="00D40A0C">
      <w:pPr>
        <w:pStyle w:val="NormalWeb"/>
        <w:spacing w:line="360" w:lineRule="auto"/>
        <w:contextualSpacing/>
        <w:jc w:val="both"/>
      </w:pPr>
      <w:r>
        <w:t xml:space="preserve">Groundwater contamination poses serious public health risks. Consumption of nitrate-rich water has been associated with infant methemoglobinemia, while faecal contamination increases the occurrence of diarrhoeal and gastrointestinal diseases (WHO, 2017). Long-term exposure to heavy metals such as lead, chromium, and arsenic may result in neurological disorders, kidney damage, and cancer (Ahmed et al., 2023). Despite these risks, groundwater quality monitoring in many peri-urban communities such as </w:t>
      </w:r>
      <w:proofErr w:type="spellStart"/>
      <w:r>
        <w:t>Okesa</w:t>
      </w:r>
      <w:proofErr w:type="spellEnd"/>
      <w:r>
        <w:t xml:space="preserve"> remains limited, creating insufficient site-specific data for effective groundwater management and remediation planning (</w:t>
      </w:r>
      <w:proofErr w:type="spellStart"/>
      <w:r>
        <w:t>Adelana</w:t>
      </w:r>
      <w:proofErr w:type="spellEnd"/>
      <w:r>
        <w:t xml:space="preserve"> &amp; MacDonald, 2008).</w:t>
      </w:r>
    </w:p>
    <w:p w:rsidR="00D40A0C" w:rsidRDefault="00D40A0C" w:rsidP="00D40A0C">
      <w:pPr>
        <w:pStyle w:val="NormalWeb"/>
        <w:spacing w:line="360" w:lineRule="auto"/>
        <w:contextualSpacing/>
        <w:jc w:val="both"/>
      </w:pPr>
      <w:r>
        <w:t xml:space="preserve">The problem of groundwater pollution in </w:t>
      </w:r>
      <w:proofErr w:type="spellStart"/>
      <w:r>
        <w:t>Okesa</w:t>
      </w:r>
      <w:proofErr w:type="spellEnd"/>
      <w:r>
        <w:t xml:space="preserve"> is therefore of significant environmental and public health concern. The dependence on shallow wells and boreholes, combined with increasing anthropogenic activities and weak environmental regulation, has increased the vulnerability of groundwater resources in the area. Previous studies in southwestern Nigeria have reported groundwater contamination from heavy metals, nitrates, and microbial pollutants; however, detailed investigations focusing specifically on </w:t>
      </w:r>
      <w:proofErr w:type="spellStart"/>
      <w:r>
        <w:t>Okesa</w:t>
      </w:r>
      <w:proofErr w:type="spellEnd"/>
      <w:r>
        <w:t xml:space="preserve"> community are still limited (</w:t>
      </w:r>
      <w:proofErr w:type="spellStart"/>
      <w:r>
        <w:t>Odukoya</w:t>
      </w:r>
      <w:proofErr w:type="spellEnd"/>
      <w:r>
        <w:t xml:space="preserve">, 2015; </w:t>
      </w:r>
      <w:proofErr w:type="spellStart"/>
      <w:r>
        <w:t>Obiora</w:t>
      </w:r>
      <w:proofErr w:type="spellEnd"/>
      <w:r>
        <w:t xml:space="preserve"> et al., 2023). This study therefore investigates the causes of groundwater pollution in </w:t>
      </w:r>
      <w:proofErr w:type="spellStart"/>
      <w:r>
        <w:t>Okesa</w:t>
      </w:r>
      <w:proofErr w:type="spellEnd"/>
      <w:r>
        <w:t>, Ilesha, and proposes remedial measures for potable use.</w:t>
      </w:r>
    </w:p>
    <w:p w:rsidR="00D40A0C" w:rsidRDefault="00D40A0C" w:rsidP="00D40A0C">
      <w:pPr>
        <w:pStyle w:val="NormalWeb"/>
        <w:spacing w:line="360" w:lineRule="auto"/>
        <w:contextualSpacing/>
        <w:jc w:val="both"/>
      </w:pPr>
      <w:r>
        <w:t>The objectives of the study are to:</w:t>
      </w:r>
    </w:p>
    <w:p w:rsidR="00D40A0C" w:rsidRDefault="00D40A0C" w:rsidP="00D40A0C">
      <w:pPr>
        <w:pStyle w:val="NormalWeb"/>
        <w:numPr>
          <w:ilvl w:val="0"/>
          <w:numId w:val="11"/>
        </w:numPr>
        <w:spacing w:line="360" w:lineRule="auto"/>
        <w:contextualSpacing/>
        <w:jc w:val="both"/>
      </w:pPr>
      <w:r>
        <w:t>examines</w:t>
      </w:r>
      <w:r>
        <w:t xml:space="preserve"> the hydrogeological characteristics of </w:t>
      </w:r>
      <w:proofErr w:type="spellStart"/>
      <w:r>
        <w:t>Okesa</w:t>
      </w:r>
      <w:proofErr w:type="spellEnd"/>
      <w:r>
        <w:t xml:space="preserve"> and assess their influence on groundwater vulnerability;</w:t>
      </w:r>
    </w:p>
    <w:p w:rsidR="00D40A0C" w:rsidRDefault="00D40A0C" w:rsidP="00D40A0C">
      <w:pPr>
        <w:pStyle w:val="NormalWeb"/>
        <w:numPr>
          <w:ilvl w:val="0"/>
          <w:numId w:val="11"/>
        </w:numPr>
        <w:spacing w:line="360" w:lineRule="auto"/>
        <w:contextualSpacing/>
        <w:jc w:val="both"/>
      </w:pPr>
      <w:r>
        <w:t>determine the physicochemical and microbiological quality of groundwater in the study area;</w:t>
      </w:r>
    </w:p>
    <w:p w:rsidR="00D40A0C" w:rsidRDefault="00D40A0C" w:rsidP="00D40A0C">
      <w:pPr>
        <w:pStyle w:val="NormalWeb"/>
        <w:numPr>
          <w:ilvl w:val="0"/>
          <w:numId w:val="11"/>
        </w:numPr>
        <w:spacing w:line="360" w:lineRule="auto"/>
        <w:contextualSpacing/>
        <w:jc w:val="both"/>
      </w:pPr>
      <w:r>
        <w:t xml:space="preserve">identify the potential anthropogenic and natural sources of groundwater contamination in </w:t>
      </w:r>
      <w:proofErr w:type="spellStart"/>
      <w:r>
        <w:t>Okesa;</w:t>
      </w:r>
      <w:proofErr w:type="spellEnd"/>
    </w:p>
    <w:p w:rsidR="00D40A0C" w:rsidRDefault="00D40A0C" w:rsidP="00D40A0C">
      <w:pPr>
        <w:pStyle w:val="NormalWeb"/>
        <w:numPr>
          <w:ilvl w:val="0"/>
          <w:numId w:val="11"/>
        </w:numPr>
        <w:spacing w:line="360" w:lineRule="auto"/>
        <w:contextualSpacing/>
        <w:jc w:val="both"/>
      </w:pPr>
      <w:r>
        <w:t>evaluate the extent of groundwater pollution in relation to World Health Organization (WHO) and Nigerian drinking water standards; and</w:t>
      </w:r>
    </w:p>
    <w:p w:rsidR="00786A98" w:rsidRDefault="00D40A0C" w:rsidP="00786A98">
      <w:pPr>
        <w:pStyle w:val="NormalWeb"/>
        <w:numPr>
          <w:ilvl w:val="0"/>
          <w:numId w:val="11"/>
        </w:numPr>
        <w:spacing w:line="360" w:lineRule="auto"/>
        <w:contextualSpacing/>
        <w:jc w:val="both"/>
      </w:pPr>
      <w:r>
        <w:t>propose appropriate remedial and management measures for safeguarding groundwater resources for potable use.</w:t>
      </w:r>
    </w:p>
    <w:p w:rsidR="00786A98" w:rsidRDefault="009E2285" w:rsidP="00786A98">
      <w:pPr>
        <w:pStyle w:val="NormalWeb"/>
        <w:spacing w:line="360" w:lineRule="auto"/>
        <w:contextualSpacing/>
        <w:jc w:val="both"/>
      </w:pPr>
      <w:r w:rsidRPr="00786A98">
        <w:t>2.</w:t>
      </w:r>
      <w:r w:rsidRPr="00786A98">
        <w:t xml:space="preserve"> LITERATURE REVIEW</w:t>
      </w:r>
    </w:p>
    <w:p w:rsidR="00786A98" w:rsidRPr="00786A98" w:rsidRDefault="00786A98" w:rsidP="00786A98">
      <w:pPr>
        <w:pStyle w:val="NormalWeb"/>
        <w:spacing w:line="360" w:lineRule="auto"/>
        <w:contextualSpacing/>
        <w:jc w:val="both"/>
        <w:rPr>
          <w:b/>
        </w:rPr>
      </w:pPr>
      <w:r w:rsidRPr="00786A98">
        <w:rPr>
          <w:b/>
        </w:rPr>
        <w:t>2.1 Groundwater Occurrence and Hydrogeology</w:t>
      </w:r>
    </w:p>
    <w:p w:rsidR="00786A98" w:rsidRDefault="00786A98" w:rsidP="00786A98">
      <w:pPr>
        <w:pStyle w:val="NormalWeb"/>
        <w:spacing w:line="360" w:lineRule="auto"/>
        <w:contextualSpacing/>
        <w:jc w:val="both"/>
      </w:pPr>
      <w:r w:rsidRPr="00786A98">
        <w:t xml:space="preserve">Groundwater occurrence in basement complex terrains such as southwestern Nigeria is largely controlled by weathered </w:t>
      </w:r>
      <w:proofErr w:type="spellStart"/>
      <w:r w:rsidRPr="00786A98">
        <w:t>regolith</w:t>
      </w:r>
      <w:proofErr w:type="spellEnd"/>
      <w:r w:rsidRPr="00786A98">
        <w:t xml:space="preserve"> and fractured crystalline rocks rather than primary porosity aquifers (Tijani et al., 2014). The thickness, saturation, and permeability of the weathered layer significantly influence groundwater storage and yield, while fractures and joints within the bedrock determine groundwater movement and transmissivity (</w:t>
      </w:r>
      <w:proofErr w:type="spellStart"/>
      <w:r w:rsidRPr="00786A98">
        <w:t>Talabi</w:t>
      </w:r>
      <w:proofErr w:type="spellEnd"/>
      <w:r w:rsidRPr="00786A98">
        <w:t xml:space="preserve"> &amp; Tijani, 2013; </w:t>
      </w:r>
      <w:proofErr w:type="spellStart"/>
      <w:r w:rsidRPr="00786A98">
        <w:t>Olaseeni</w:t>
      </w:r>
      <w:proofErr w:type="spellEnd"/>
      <w:r w:rsidRPr="00786A98">
        <w:t xml:space="preserve"> et al., 2021). Studies in Ilesha and other basement terrains in Nigeria have shown that aquifer productivity is generally higher in areas with thick weathered overburden and well-developed fracture systems (</w:t>
      </w:r>
      <w:proofErr w:type="spellStart"/>
      <w:r w:rsidRPr="00786A98">
        <w:t>Akanbi</w:t>
      </w:r>
      <w:proofErr w:type="spellEnd"/>
      <w:r w:rsidRPr="00786A98">
        <w:t>, 2018). Geophysical techniques such as Vertical Electrical Sounding (VES) and remote sensing are widely applied to delineate groundwater potential zones and aquifer vulnerability (</w:t>
      </w:r>
      <w:proofErr w:type="spellStart"/>
      <w:r w:rsidRPr="00786A98">
        <w:t>Akintorinwa</w:t>
      </w:r>
      <w:proofErr w:type="spellEnd"/>
      <w:r w:rsidRPr="00786A98">
        <w:t xml:space="preserve"> et al., 2020; </w:t>
      </w:r>
      <w:proofErr w:type="spellStart"/>
      <w:r w:rsidRPr="00786A98">
        <w:t>Ayantola</w:t>
      </w:r>
      <w:proofErr w:type="spellEnd"/>
      <w:r w:rsidRPr="00786A98">
        <w:t xml:space="preserve"> &amp; </w:t>
      </w:r>
      <w:proofErr w:type="spellStart"/>
      <w:r w:rsidRPr="00786A98">
        <w:t>Amigun</w:t>
      </w:r>
      <w:proofErr w:type="spellEnd"/>
      <w:r w:rsidRPr="00786A98">
        <w:t>, 2022). However, the shallow and discontinuous nature of basement aquifers makes them highly susceptible to contamination from surface pollutants.</w:t>
      </w:r>
    </w:p>
    <w:p w:rsidR="00786A98" w:rsidRPr="00786A98" w:rsidRDefault="00786A98" w:rsidP="00786A98">
      <w:pPr>
        <w:pStyle w:val="NormalWeb"/>
        <w:spacing w:line="360" w:lineRule="auto"/>
        <w:contextualSpacing/>
        <w:jc w:val="both"/>
        <w:rPr>
          <w:b/>
        </w:rPr>
      </w:pPr>
      <w:r w:rsidRPr="00786A98">
        <w:rPr>
          <w:b/>
        </w:rPr>
        <w:t>2.2 Groundwater Pollution</w:t>
      </w:r>
    </w:p>
    <w:p w:rsidR="00786A98" w:rsidRDefault="00786A98" w:rsidP="00786A98">
      <w:pPr>
        <w:pStyle w:val="NormalWeb"/>
        <w:spacing w:line="360" w:lineRule="auto"/>
        <w:contextualSpacing/>
        <w:jc w:val="both"/>
      </w:pPr>
      <w:r w:rsidRPr="00786A98">
        <w:t>Groundwater pollution refers to the introduction of physical, chemical, or biological contaminants into subsurface water systems, thereby reducing water quality and suitability for domestic use (Al-</w:t>
      </w:r>
      <w:proofErr w:type="spellStart"/>
      <w:r w:rsidRPr="00786A98">
        <w:t>Hashimi</w:t>
      </w:r>
      <w:proofErr w:type="spellEnd"/>
      <w:r w:rsidRPr="00786A98">
        <w:t>, 2021). In sub-Saharan Africa, microbial contamination, heavy metals, nitrates, and turbidity are among the most common groundwater pollutants due to poor sanitation systems, indiscriminate waste disposal, industrial effluents, and agricultural activities (</w:t>
      </w:r>
      <w:proofErr w:type="spellStart"/>
      <w:r w:rsidRPr="00786A98">
        <w:t>Lapworth</w:t>
      </w:r>
      <w:proofErr w:type="spellEnd"/>
      <w:r w:rsidRPr="00786A98">
        <w:t xml:space="preserve"> et al., 2017; </w:t>
      </w:r>
      <w:proofErr w:type="spellStart"/>
      <w:r w:rsidRPr="00786A98">
        <w:t>Genter</w:t>
      </w:r>
      <w:proofErr w:type="spellEnd"/>
      <w:r w:rsidRPr="00786A98">
        <w:t xml:space="preserve"> et al., 2021). Open dumpsites generate leachates rich in organic matter, sal</w:t>
      </w:r>
      <w:bookmarkStart w:id="0" w:name="_GoBack"/>
      <w:bookmarkEnd w:id="0"/>
      <w:r w:rsidRPr="00786A98">
        <w:t xml:space="preserve">ts, and trace metals that infiltrate shallow aquifers, while poorly designed pit latrines and septic tanks contribute significantly to nitrate and faecal contamination (Oyeyemi et al., 2018; </w:t>
      </w:r>
      <w:proofErr w:type="spellStart"/>
      <w:r w:rsidRPr="00786A98">
        <w:t>Adimalla</w:t>
      </w:r>
      <w:proofErr w:type="spellEnd"/>
      <w:r w:rsidRPr="00786A98">
        <w:t xml:space="preserve"> et al., 2020). In southwestern Nigeria, industrial activities such as cassava processing and improper waste management have been linked to </w:t>
      </w:r>
      <w:proofErr w:type="spellStart"/>
      <w:r w:rsidRPr="00786A98">
        <w:t>hydrochemical</w:t>
      </w:r>
      <w:proofErr w:type="spellEnd"/>
      <w:r w:rsidRPr="00786A98">
        <w:t xml:space="preserve"> alterations and localized groundwater contamination (</w:t>
      </w:r>
      <w:proofErr w:type="spellStart"/>
      <w:r w:rsidRPr="00786A98">
        <w:t>Odukoya</w:t>
      </w:r>
      <w:proofErr w:type="spellEnd"/>
      <w:r w:rsidRPr="00786A98">
        <w:t>, 2015).</w:t>
      </w:r>
    </w:p>
    <w:p w:rsidR="00786A98" w:rsidRPr="00786A98" w:rsidRDefault="00786A98" w:rsidP="00786A98">
      <w:pPr>
        <w:pStyle w:val="NormalWeb"/>
        <w:spacing w:line="360" w:lineRule="auto"/>
        <w:contextualSpacing/>
        <w:jc w:val="both"/>
        <w:rPr>
          <w:b/>
        </w:rPr>
      </w:pPr>
      <w:r w:rsidRPr="00786A98">
        <w:rPr>
          <w:b/>
        </w:rPr>
        <w:t>2.3 Geogenic and Anthropogenic Sources of Groundwater Pollution</w:t>
      </w:r>
    </w:p>
    <w:p w:rsidR="00786A98" w:rsidRDefault="00786A98" w:rsidP="00786A98">
      <w:pPr>
        <w:pStyle w:val="NormalWeb"/>
        <w:spacing w:line="360" w:lineRule="auto"/>
        <w:contextualSpacing/>
        <w:jc w:val="both"/>
      </w:pPr>
      <w:r w:rsidRPr="00786A98">
        <w:t xml:space="preserve">Groundwater contamination may arise from both geogenic and anthropogenic sources. Geogenic contamination originates from natural geological processes such as mineral weathering and rock-water interaction, which release ions and trace elements including iron, manganese, fluoride, and arsenic into groundwater systems (Smedley &amp; </w:t>
      </w:r>
      <w:proofErr w:type="spellStart"/>
      <w:r w:rsidRPr="00786A98">
        <w:t>Kinniburgh</w:t>
      </w:r>
      <w:proofErr w:type="spellEnd"/>
      <w:r w:rsidRPr="00786A98">
        <w:t>, 2002). In basement terrains of southwestern Nigeria, mineral dissolution and cation exchange reactions significantly influence groundwater chemistry (</w:t>
      </w:r>
      <w:proofErr w:type="spellStart"/>
      <w:r w:rsidRPr="00786A98">
        <w:t>Talabi</w:t>
      </w:r>
      <w:proofErr w:type="spellEnd"/>
      <w:r w:rsidRPr="00786A98">
        <w:t xml:space="preserve"> &amp; Tijani, 2013). Conversely, anthropogenic contamination results from human activities such as waste disposal, agricultural practices, industrial discharges, and poor sanitation infrastructure (</w:t>
      </w:r>
      <w:proofErr w:type="spellStart"/>
      <w:r w:rsidRPr="00786A98">
        <w:t>Lapworth</w:t>
      </w:r>
      <w:proofErr w:type="spellEnd"/>
      <w:r w:rsidRPr="00786A98">
        <w:t xml:space="preserve"> et al., 2017). Excessive fertilizer application increases nitrate concentrations in groundwater, while industrial effluents and waste leachates introduce toxic heavy metals into aquifers (</w:t>
      </w:r>
      <w:proofErr w:type="spellStart"/>
      <w:r w:rsidRPr="00786A98">
        <w:t>Adimalla</w:t>
      </w:r>
      <w:proofErr w:type="spellEnd"/>
      <w:r w:rsidRPr="00786A98">
        <w:t xml:space="preserve"> et al., 2021).</w:t>
      </w:r>
    </w:p>
    <w:p w:rsidR="00786A98" w:rsidRPr="00786A98" w:rsidRDefault="00786A98" w:rsidP="00786A98">
      <w:pPr>
        <w:pStyle w:val="NormalWeb"/>
        <w:spacing w:line="360" w:lineRule="auto"/>
        <w:contextualSpacing/>
        <w:jc w:val="both"/>
        <w:rPr>
          <w:b/>
        </w:rPr>
      </w:pPr>
      <w:r w:rsidRPr="00786A98">
        <w:rPr>
          <w:b/>
        </w:rPr>
        <w:t>2.4 Health Impacts of Groundwater Pollution</w:t>
      </w:r>
    </w:p>
    <w:p w:rsidR="00786A98" w:rsidRDefault="00786A98" w:rsidP="00786A98">
      <w:pPr>
        <w:pStyle w:val="NormalWeb"/>
        <w:spacing w:line="360" w:lineRule="auto"/>
        <w:contextualSpacing/>
        <w:jc w:val="both"/>
      </w:pPr>
      <w:r w:rsidRPr="00786A98">
        <w:t xml:space="preserve">The health implications of groundwater pollution are severe. Microbial contamination increases the prevalence of diarrhoeal diseases, cholera, and gastrointestinal infections, particularly in developing countries where untreated groundwater is widely consumed (WHO, 2017; </w:t>
      </w:r>
      <w:proofErr w:type="spellStart"/>
      <w:r w:rsidRPr="00786A98">
        <w:t>Mbae</w:t>
      </w:r>
      <w:proofErr w:type="spellEnd"/>
      <w:r w:rsidRPr="00786A98">
        <w:t xml:space="preserve"> et al., 2024). Elevated nitrate concentrations may cause infant methemoglobinemia, while long-term exposure to heavy metals such as lead, cadmium, chromium, and arsenic has been associated with neurological disorders, kidney damage, and cancer (Ahmed et al., 2023; </w:t>
      </w:r>
      <w:proofErr w:type="spellStart"/>
      <w:r w:rsidRPr="00786A98">
        <w:t>Odukoya</w:t>
      </w:r>
      <w:proofErr w:type="spellEnd"/>
      <w:r w:rsidRPr="00786A98">
        <w:t>, 2015). These risks are often exacerbated by poverty, inadequate healthcare facilities, and lack of alternative potable water sources in rural and peri-urban communities (</w:t>
      </w:r>
      <w:proofErr w:type="spellStart"/>
      <w:r w:rsidRPr="00786A98">
        <w:t>Lapworth</w:t>
      </w:r>
      <w:proofErr w:type="spellEnd"/>
      <w:r w:rsidRPr="00786A98">
        <w:t xml:space="preserve"> et al., 2017).</w:t>
      </w:r>
    </w:p>
    <w:p w:rsidR="00786A98" w:rsidRPr="00786A98" w:rsidRDefault="00786A98" w:rsidP="00786A98">
      <w:pPr>
        <w:pStyle w:val="NormalWeb"/>
        <w:spacing w:line="360" w:lineRule="auto"/>
        <w:contextualSpacing/>
        <w:jc w:val="both"/>
        <w:rPr>
          <w:b/>
        </w:rPr>
      </w:pPr>
      <w:r w:rsidRPr="00786A98">
        <w:rPr>
          <w:b/>
        </w:rPr>
        <w:t>2.5 Groundwater Remediation and Preventive Measures</w:t>
      </w:r>
    </w:p>
    <w:p w:rsidR="00905A19" w:rsidRDefault="00786A98" w:rsidP="00905A19">
      <w:pPr>
        <w:pStyle w:val="NormalWeb"/>
        <w:spacing w:line="360" w:lineRule="auto"/>
        <w:contextualSpacing/>
        <w:jc w:val="both"/>
      </w:pPr>
      <w:r w:rsidRPr="00786A98">
        <w:t xml:space="preserve">Groundwater remediation and preventive measures are critical for sustainable water resource management. Preventive strategies such as proper waste management, regulation of industrial effluent discharge, safe agricultural practices, and improved sanitation infrastructure are considered more sustainable than large-scale remediation (Oyeyemi et al., 2018; </w:t>
      </w:r>
      <w:proofErr w:type="spellStart"/>
      <w:r w:rsidRPr="00786A98">
        <w:t>Adimalla</w:t>
      </w:r>
      <w:proofErr w:type="spellEnd"/>
      <w:r w:rsidRPr="00786A98">
        <w:t xml:space="preserve"> et al., 2021). Technical measures including chlorination, filtration, ion exchange, permeable reactive barriers, and in-situ bioremediation have also been applied for groundwater treatment (</w:t>
      </w:r>
      <w:proofErr w:type="spellStart"/>
      <w:r w:rsidRPr="00786A98">
        <w:t>Nham</w:t>
      </w:r>
      <w:proofErr w:type="spellEnd"/>
      <w:r w:rsidRPr="00786A98">
        <w:t xml:space="preserve"> et al., 2020; Suthar et al., 2022). In basement complex terrains, proper well siting, sanitary sealing of boreholes, and establishment of groundwater monitoring programmes are essential for reducing contamination risks and ensuring potable groundwater supply (</w:t>
      </w:r>
      <w:proofErr w:type="spellStart"/>
      <w:r w:rsidRPr="00786A98">
        <w:t>Akinwumiju</w:t>
      </w:r>
      <w:proofErr w:type="spellEnd"/>
      <w:r w:rsidRPr="00786A98">
        <w:t xml:space="preserve"> &amp; </w:t>
      </w:r>
      <w:proofErr w:type="spellStart"/>
      <w:r w:rsidRPr="00786A98">
        <w:t>Olorunfemi</w:t>
      </w:r>
      <w:proofErr w:type="spellEnd"/>
      <w:r w:rsidRPr="00786A98">
        <w:t>, 2018).</w:t>
      </w:r>
    </w:p>
    <w:p w:rsidR="00905A19" w:rsidRPr="00905A19" w:rsidRDefault="00905A19" w:rsidP="00905A19">
      <w:pPr>
        <w:pStyle w:val="NormalWeb"/>
        <w:spacing w:line="360" w:lineRule="auto"/>
        <w:contextualSpacing/>
        <w:jc w:val="both"/>
        <w:rPr>
          <w:b/>
        </w:rPr>
      </w:pPr>
      <w:r w:rsidRPr="00905A19">
        <w:rPr>
          <w:b/>
        </w:rPr>
        <w:t>Theoretical Framework</w:t>
      </w:r>
    </w:p>
    <w:p w:rsidR="00905A19" w:rsidRDefault="00905A19" w:rsidP="00905A19">
      <w:pPr>
        <w:pStyle w:val="NormalWeb"/>
        <w:spacing w:line="360" w:lineRule="auto"/>
        <w:contextualSpacing/>
        <w:jc w:val="both"/>
      </w:pPr>
      <w:r w:rsidRPr="00905A19">
        <w:t xml:space="preserve">The theoretical framework provides the scientific basis for understanding groundwater occurrence, contaminant transport, hydrogeochemical processes, and groundwater vulnerability in the study area. The study is anchored on Darcy’s Law of Groundwater Flow, Hydrogeochemical Evolution Theory, Pollution Transport Theory, and the DRASTIC Vulnerability Model because of their direct relevance to groundwater pollution assessment in basement complex terrains such as </w:t>
      </w:r>
      <w:proofErr w:type="spellStart"/>
      <w:r w:rsidRPr="00905A19">
        <w:t>Okesa</w:t>
      </w:r>
      <w:proofErr w:type="spellEnd"/>
      <w:r w:rsidRPr="00905A19">
        <w:t>, Ilesha.</w:t>
      </w:r>
    </w:p>
    <w:p w:rsidR="00905A19" w:rsidRPr="00905A19" w:rsidRDefault="00905A19" w:rsidP="00905A19">
      <w:pPr>
        <w:pStyle w:val="NormalWeb"/>
        <w:spacing w:line="360" w:lineRule="auto"/>
        <w:contextualSpacing/>
        <w:jc w:val="both"/>
        <w:rPr>
          <w:b/>
        </w:rPr>
      </w:pPr>
      <w:r w:rsidRPr="00905A19">
        <w:rPr>
          <w:b/>
        </w:rPr>
        <w:t>Darcy’s Law of Groundwater Flow</w:t>
      </w:r>
    </w:p>
    <w:p w:rsidR="00905A19" w:rsidRDefault="00905A19" w:rsidP="00905A19">
      <w:pPr>
        <w:pStyle w:val="NormalWeb"/>
        <w:spacing w:line="360" w:lineRule="auto"/>
        <w:contextualSpacing/>
        <w:jc w:val="both"/>
      </w:pPr>
      <w:r w:rsidRPr="00905A19">
        <w:t>Darcy’s Law, developed by Henry Darcy in 1856, explains the movement of groundwater through porous media and states that groundwater flow is directly proportional to hydraulic gradient and hydraulic conductivity (Freeze &amp; Cherry, 1979). In basement complex terrains such as southwestern Nigeria, groundwater movement occurs mainly through fractures and weathered zones because crystalline rocks possess low primary porosity (</w:t>
      </w:r>
      <w:proofErr w:type="spellStart"/>
      <w:r w:rsidRPr="00905A19">
        <w:t>Odukoya</w:t>
      </w:r>
      <w:proofErr w:type="spellEnd"/>
      <w:r w:rsidRPr="00905A19">
        <w:t>, 2015). The theory is relevant to this study because it explains how contaminants from dumpsites, septic tanks, and other surface pollution sources infiltrate and migrate through groundwater systems. It also provides the basis for understanding aquifer transmissivity, groundwater flow direction, and contaminant transport within the study area.</w:t>
      </w:r>
    </w:p>
    <w:p w:rsidR="00905A19" w:rsidRPr="00905A19" w:rsidRDefault="00905A19" w:rsidP="00905A19">
      <w:pPr>
        <w:pStyle w:val="NormalWeb"/>
        <w:spacing w:line="360" w:lineRule="auto"/>
        <w:contextualSpacing/>
        <w:jc w:val="both"/>
        <w:rPr>
          <w:b/>
        </w:rPr>
      </w:pPr>
      <w:r w:rsidRPr="00905A19">
        <w:rPr>
          <w:b/>
        </w:rPr>
        <w:t>Hydrogeochemical Evolution Theory</w:t>
      </w:r>
    </w:p>
    <w:p w:rsidR="00905A19" w:rsidRDefault="00905A19" w:rsidP="00905A19">
      <w:pPr>
        <w:pStyle w:val="NormalWeb"/>
        <w:spacing w:line="360" w:lineRule="auto"/>
        <w:contextualSpacing/>
        <w:jc w:val="both"/>
      </w:pPr>
      <w:r w:rsidRPr="00905A19">
        <w:t>The Hydrogeochemical Evolution Theory explains how groundwater chemistry changes through interactions between water and aquifer materials (</w:t>
      </w:r>
      <w:proofErr w:type="spellStart"/>
      <w:r w:rsidRPr="00905A19">
        <w:t>Appelo</w:t>
      </w:r>
      <w:proofErr w:type="spellEnd"/>
      <w:r w:rsidRPr="00905A19">
        <w:t xml:space="preserve"> &amp; Postma, 2005). In basement terrains, groundwater chemistry is influenced by mineral weathering, dissolution, ion exchange, and rock–water interactions. Studies in southwestern Nigeria have shown that weathering of feldspars and other silicate minerals contributes to the presence of ions such as iron, magnesium, and sodium in groundwater (</w:t>
      </w:r>
      <w:proofErr w:type="spellStart"/>
      <w:r w:rsidRPr="00905A19">
        <w:t>Talabi</w:t>
      </w:r>
      <w:proofErr w:type="spellEnd"/>
      <w:r w:rsidRPr="00905A19">
        <w:t xml:space="preserve"> &amp; Tijani, 2013). The theory is important in distinguishing between geogenic and anthropogenic sources of contamination in </w:t>
      </w:r>
      <w:proofErr w:type="spellStart"/>
      <w:r w:rsidRPr="00905A19">
        <w:t>Okesa</w:t>
      </w:r>
      <w:proofErr w:type="spellEnd"/>
      <w:r w:rsidRPr="00905A19">
        <w:t>, particularly where elevated concentrations of iron, manganese, nitrates, and heavy metals may originate from both natural weathering and human activities.</w:t>
      </w:r>
    </w:p>
    <w:p w:rsidR="00905A19" w:rsidRPr="00905A19" w:rsidRDefault="00905A19" w:rsidP="00905A19">
      <w:pPr>
        <w:pStyle w:val="NormalWeb"/>
        <w:spacing w:line="360" w:lineRule="auto"/>
        <w:contextualSpacing/>
        <w:jc w:val="both"/>
        <w:rPr>
          <w:b/>
        </w:rPr>
      </w:pPr>
      <w:r w:rsidRPr="00905A19">
        <w:rPr>
          <w:b/>
        </w:rPr>
        <w:t>Pollution Transport Theory (Advection–Dispersion Model)</w:t>
      </w:r>
    </w:p>
    <w:p w:rsidR="00905A19" w:rsidRDefault="00905A19" w:rsidP="00905A19">
      <w:pPr>
        <w:pStyle w:val="NormalWeb"/>
        <w:spacing w:line="360" w:lineRule="auto"/>
        <w:contextualSpacing/>
        <w:jc w:val="both"/>
      </w:pPr>
      <w:r w:rsidRPr="00905A19">
        <w:t>The Advection–Dispersion Model (ADM) describes the transport and spreading of contaminants in groundwater systems through advection and dispersion processes (Bear, 1972). Advection refers to contaminant movement with flowing groundwater, while dispersion causes spreading of contaminant plumes within aquifers. In fractured basement aquifers, contaminants from dumpsites, septic tanks, and industrial effluents may migrate rapidly through interconnected fractures and weathered zones (</w:t>
      </w:r>
      <w:proofErr w:type="spellStart"/>
      <w:r w:rsidRPr="00905A19">
        <w:t>Akinwumiju</w:t>
      </w:r>
      <w:proofErr w:type="spellEnd"/>
      <w:r w:rsidRPr="00905A19">
        <w:t xml:space="preserve"> &amp; </w:t>
      </w:r>
      <w:proofErr w:type="spellStart"/>
      <w:r w:rsidRPr="00905A19">
        <w:t>Olorunfemi</w:t>
      </w:r>
      <w:proofErr w:type="spellEnd"/>
      <w:r w:rsidRPr="00905A19">
        <w:t xml:space="preserve">, 2018). The theory is relevant to this study because it explains contaminant migration patterns and provides a framework for understanding groundwater pollution pathways in </w:t>
      </w:r>
      <w:proofErr w:type="spellStart"/>
      <w:r w:rsidRPr="00905A19">
        <w:t>Okesa</w:t>
      </w:r>
      <w:proofErr w:type="spellEnd"/>
      <w:r w:rsidRPr="00905A19">
        <w:t>.</w:t>
      </w:r>
    </w:p>
    <w:p w:rsidR="00905A19" w:rsidRDefault="00905A19" w:rsidP="00905A19">
      <w:pPr>
        <w:pStyle w:val="NormalWeb"/>
        <w:spacing w:line="360" w:lineRule="auto"/>
        <w:contextualSpacing/>
        <w:jc w:val="both"/>
      </w:pPr>
    </w:p>
    <w:p w:rsidR="00905A19" w:rsidRPr="00905A19" w:rsidRDefault="00905A19" w:rsidP="00905A19">
      <w:pPr>
        <w:pStyle w:val="NormalWeb"/>
        <w:spacing w:line="360" w:lineRule="auto"/>
        <w:contextualSpacing/>
        <w:jc w:val="both"/>
        <w:rPr>
          <w:b/>
        </w:rPr>
      </w:pPr>
      <w:r w:rsidRPr="00905A19">
        <w:rPr>
          <w:b/>
        </w:rPr>
        <w:t>Vulnerability Assessment Model (DRASTIC Model)</w:t>
      </w:r>
    </w:p>
    <w:p w:rsidR="00905A19" w:rsidRDefault="00905A19" w:rsidP="00905A19">
      <w:pPr>
        <w:pStyle w:val="NormalWeb"/>
        <w:spacing w:line="360" w:lineRule="auto"/>
        <w:contextualSpacing/>
        <w:jc w:val="both"/>
      </w:pPr>
      <w:r w:rsidRPr="00905A19">
        <w:t>The DRASTIC model, developed by the United States Environmental Protection Agency (USEPA), is widely used for groundwater vulnerability assessment. The model evaluates seven hydrogeological parameters: depth to water table, recharge, aquifer media, soil media, topography, impact of the vadose zone, and hydraulic conductivity (Aller et al., 1987). In basement complex terrains, areas with shallow water tables, thin overburden, and highly fractured aquifers are more vulnerable to contamination (</w:t>
      </w:r>
      <w:proofErr w:type="spellStart"/>
      <w:r w:rsidRPr="00905A19">
        <w:t>Akinwumiju</w:t>
      </w:r>
      <w:proofErr w:type="spellEnd"/>
      <w:r w:rsidRPr="00905A19">
        <w:t xml:space="preserve"> &amp; </w:t>
      </w:r>
      <w:proofErr w:type="spellStart"/>
      <w:r w:rsidRPr="00905A19">
        <w:t>Olorunfemi</w:t>
      </w:r>
      <w:proofErr w:type="spellEnd"/>
      <w:r w:rsidRPr="00905A19">
        <w:t xml:space="preserve">, 2018). The model is relevant to this study because it provides a basis for assessing the susceptibility of groundwater in </w:t>
      </w:r>
      <w:proofErr w:type="spellStart"/>
      <w:r w:rsidRPr="00905A19">
        <w:t>Okesa</w:t>
      </w:r>
      <w:proofErr w:type="spellEnd"/>
      <w:r w:rsidRPr="00905A19">
        <w:t xml:space="preserve"> to pollution from anthropogenic activities such as waste disposal, sanitation systems, and industrial operations.</w:t>
      </w:r>
    </w:p>
    <w:p w:rsidR="00E5103B" w:rsidRDefault="00E5103B" w:rsidP="00E5103B">
      <w:pPr>
        <w:pStyle w:val="NormalWeb"/>
        <w:spacing w:line="360" w:lineRule="auto"/>
        <w:contextualSpacing/>
        <w:jc w:val="both"/>
      </w:pPr>
      <w:r>
        <w:t>Empirical Review</w:t>
      </w:r>
    </w:p>
    <w:p w:rsidR="009618A2" w:rsidRDefault="00E5103B" w:rsidP="009618A2">
      <w:pPr>
        <w:pStyle w:val="NormalWeb"/>
        <w:spacing w:line="360" w:lineRule="auto"/>
        <w:contextualSpacing/>
        <w:jc w:val="both"/>
      </w:pPr>
      <w:proofErr w:type="spellStart"/>
      <w:r w:rsidRPr="00E5103B">
        <w:t>Fadipe</w:t>
      </w:r>
      <w:proofErr w:type="spellEnd"/>
      <w:r w:rsidRPr="00E5103B">
        <w:t xml:space="preserve"> et al. (2022) investigated the suitability of groundwater in Ilesha West Local Government Area, Osun State, Nigeria, for irrigation purposes within a basement complex terrain. The study aimed to assess hydrogeochemical characteristics and irrigation suitability of groundwater sources. A total of 207 water samples were collected from hand-dug wells, boreholes, and springs during wet and dry seasons. Physicochemical parameters, major ions, and heavy metals were analysed, and irrigation indices such as Sodium Adsorption Ratio (SAR), Kelly Ratio, Sodium Hazard, and Magnesium Hazard were applied. The results showed generally acceptable water quality for irrigation, although elevated chromium levels and some </w:t>
      </w:r>
      <w:proofErr w:type="spellStart"/>
      <w:r w:rsidRPr="00E5103B">
        <w:t>hydrochemical</w:t>
      </w:r>
      <w:proofErr w:type="spellEnd"/>
      <w:r w:rsidRPr="00E5103B">
        <w:t xml:space="preserve"> variability were observed. The study concluded that groundwater was largely suitable for irrigation but recommended continuous monitoring to ensure long-term sustainability.</w:t>
      </w:r>
    </w:p>
    <w:p w:rsidR="009618A2" w:rsidRDefault="00E5103B" w:rsidP="009618A2">
      <w:pPr>
        <w:pStyle w:val="NormalWeb"/>
        <w:spacing w:line="360" w:lineRule="auto"/>
        <w:contextualSpacing/>
        <w:jc w:val="both"/>
      </w:pPr>
      <w:proofErr w:type="spellStart"/>
      <w:r w:rsidRPr="00E5103B">
        <w:t>Akanbi</w:t>
      </w:r>
      <w:proofErr w:type="spellEnd"/>
      <w:r w:rsidRPr="00E5103B">
        <w:t xml:space="preserve"> (2018) examined the hydrogeological characteristics and groundwater potential of basement aquifers in the </w:t>
      </w:r>
      <w:proofErr w:type="spellStart"/>
      <w:r w:rsidRPr="00E5103B">
        <w:t>Ibarapa</w:t>
      </w:r>
      <w:proofErr w:type="spellEnd"/>
      <w:r w:rsidRPr="00E5103B">
        <w:t xml:space="preserve"> region, southwestern Nigeria. The study focused on aquifer productivity and vulnerability in crystalline basement terrain. Using 82 geoelectrical soundings and yield tests from 19 wells, the research evaluated aquifer properties across different lithological units. Results revealed that aquifer thickness, weathered layer depth, and fracture density strongly controlled groundwater yield and vulnerability. Areas with thicker weathered zones and dense fractures showed higher yields. The study concluded that borehole depth and design should be adapted to terrain characteristics to improve sustainable groundwater development.</w:t>
      </w:r>
    </w:p>
    <w:p w:rsidR="009618A2" w:rsidRDefault="00E5103B" w:rsidP="009618A2">
      <w:pPr>
        <w:pStyle w:val="NormalWeb"/>
        <w:spacing w:line="360" w:lineRule="auto"/>
        <w:contextualSpacing/>
        <w:jc w:val="both"/>
      </w:pPr>
      <w:proofErr w:type="spellStart"/>
      <w:r w:rsidRPr="00E5103B">
        <w:t>Obiora</w:t>
      </w:r>
      <w:proofErr w:type="spellEnd"/>
      <w:r w:rsidRPr="00E5103B">
        <w:t xml:space="preserve"> et al. (2023) assessed groundwater pollution and health risk in Igbo-</w:t>
      </w:r>
      <w:proofErr w:type="spellStart"/>
      <w:r w:rsidRPr="00E5103B">
        <w:t>Etiti</w:t>
      </w:r>
      <w:proofErr w:type="spellEnd"/>
      <w:r w:rsidRPr="00E5103B">
        <w:t xml:space="preserve">, </w:t>
      </w:r>
      <w:proofErr w:type="spellStart"/>
      <w:r w:rsidRPr="00E5103B">
        <w:t>southeastern</w:t>
      </w:r>
      <w:proofErr w:type="spellEnd"/>
      <w:r w:rsidRPr="00E5103B">
        <w:t xml:space="preserve"> Nigeria, using geophysical and </w:t>
      </w:r>
      <w:proofErr w:type="spellStart"/>
      <w:r w:rsidRPr="00E5103B">
        <w:t>hydrochemical</w:t>
      </w:r>
      <w:proofErr w:type="spellEnd"/>
      <w:r w:rsidRPr="00E5103B">
        <w:t xml:space="preserve"> approaches. The study aimed to evaluate contamination levels and vulnerability in an agriculturally active environment. Vertical Electrical Sounding (VES) was conducted at 20 locations, while groundwater samples were analysed for physicochemical and heavy metal parameters. Results indicated varying vulnerability levels (low, moderate, and high), with evidence of acidic to alkaline conditions and significant contamination by cadmium and arsenic. Health risk assessment showed potential non-carcinogenic risks in all samples. The study concluded that groundwater in the area poses significant health risks and requires urgent protection measures and continuous monitoring.</w:t>
      </w:r>
    </w:p>
    <w:p w:rsidR="009618A2" w:rsidRDefault="00E5103B" w:rsidP="009618A2">
      <w:pPr>
        <w:pStyle w:val="NormalWeb"/>
        <w:spacing w:line="360" w:lineRule="auto"/>
        <w:contextualSpacing/>
        <w:jc w:val="both"/>
      </w:pPr>
      <w:r w:rsidRPr="00E5103B">
        <w:t xml:space="preserve">Adigun and </w:t>
      </w:r>
      <w:proofErr w:type="spellStart"/>
      <w:r w:rsidRPr="00E5103B">
        <w:t>Olorunfemi</w:t>
      </w:r>
      <w:proofErr w:type="spellEnd"/>
      <w:r w:rsidRPr="00E5103B">
        <w:t xml:space="preserve"> (2017) investigated the impact of cassava processing effluent on soil and groundwater quality in </w:t>
      </w:r>
      <w:proofErr w:type="spellStart"/>
      <w:r w:rsidRPr="00E5103B">
        <w:t>Ireti</w:t>
      </w:r>
      <w:proofErr w:type="spellEnd"/>
      <w:r w:rsidRPr="00E5103B">
        <w:t xml:space="preserve">-Ayo, Ilesha, southwestern Nigeria. The study aimed to determine the extent of contamination from </w:t>
      </w:r>
      <w:proofErr w:type="spellStart"/>
      <w:r w:rsidRPr="00E5103B">
        <w:t>agro</w:t>
      </w:r>
      <w:proofErr w:type="spellEnd"/>
      <w:r w:rsidRPr="00E5103B">
        <w:t xml:space="preserve">-industrial activities. The methodology involved Vertical Electrical Sounding (VES), 2-D resistivity imaging, and </w:t>
      </w:r>
      <w:proofErr w:type="spellStart"/>
      <w:r w:rsidRPr="00E5103B">
        <w:t>hydrochemical</w:t>
      </w:r>
      <w:proofErr w:type="spellEnd"/>
      <w:r w:rsidRPr="00E5103B">
        <w:t xml:space="preserve"> analysis of effluent and well water samples. Results showed low resistivity zones indicating effluent contamination in shallow subsurface layers, although groundwater samples did not show significant cyanide contamination. The study concluded that while subsoil was impacted by cassava effluent, groundwater had not yet been significantly contaminated, and recommended strict effluent control measures.</w:t>
      </w:r>
    </w:p>
    <w:p w:rsidR="009618A2" w:rsidRDefault="00E5103B" w:rsidP="009618A2">
      <w:pPr>
        <w:pStyle w:val="NormalWeb"/>
        <w:spacing w:line="360" w:lineRule="auto"/>
        <w:contextualSpacing/>
        <w:jc w:val="both"/>
      </w:pPr>
      <w:proofErr w:type="spellStart"/>
      <w:r w:rsidRPr="00E5103B">
        <w:t>Talabi</w:t>
      </w:r>
      <w:proofErr w:type="spellEnd"/>
      <w:r w:rsidRPr="00E5103B">
        <w:t xml:space="preserve"> and Tijani (2013) examined </w:t>
      </w:r>
      <w:proofErr w:type="spellStart"/>
      <w:r w:rsidRPr="00E5103B">
        <w:t>hydrochemical</w:t>
      </w:r>
      <w:proofErr w:type="spellEnd"/>
      <w:r w:rsidRPr="00E5103B">
        <w:t xml:space="preserve"> characteristics of shallow groundwater in crystalline basement terrain in Ekiti State. The study aimed to understand groundwater evolution and water–rock interaction processes. Water samples were analysed for major ions and stable isotopes. Results showed dominance of Ca–HCO₃ water type and meteoric origin of recharge. The study concluded that groundwater chemistry is mainly controlled by rock–water interaction and limited residence time, providing a baseline for basement aquifer studies in southwestern Nigeria.</w:t>
      </w:r>
      <w:r w:rsidR="009618A2">
        <w:t xml:space="preserve"> </w:t>
      </w:r>
      <w:proofErr w:type="spellStart"/>
      <w:r w:rsidRPr="00E5103B">
        <w:t>Adimalla</w:t>
      </w:r>
      <w:proofErr w:type="spellEnd"/>
      <w:r w:rsidRPr="00E5103B">
        <w:t xml:space="preserve"> (2020) evaluated groundwater chemistry and human health risks associated with fluoride and nitrate contamination in a hard rock terrain. The study analysed 43 groundwater samples for </w:t>
      </w:r>
      <w:proofErr w:type="spellStart"/>
      <w:r w:rsidRPr="00E5103B">
        <w:t>physico</w:t>
      </w:r>
      <w:proofErr w:type="spellEnd"/>
      <w:r w:rsidRPr="00E5103B">
        <w:t>-chemical parameters and applied pollution and health risk indices using USEPA models. Results indicated elevated nitrate and fluoride concentrations exceeding drinking water standards in several samples, with higher risks observed in children and infants. The study concluded that groundwater quality in hard rock terrains poses significant health risks and requires regular monitoring and mitigation strategies.</w:t>
      </w:r>
    </w:p>
    <w:p w:rsidR="009618A2" w:rsidRPr="00A45D83" w:rsidRDefault="009E2285" w:rsidP="009618A2">
      <w:pPr>
        <w:pStyle w:val="NormalWeb"/>
        <w:spacing w:line="360" w:lineRule="auto"/>
        <w:contextualSpacing/>
        <w:jc w:val="both"/>
        <w:rPr>
          <w:b/>
        </w:rPr>
      </w:pPr>
      <w:r w:rsidRPr="00A45D83">
        <w:rPr>
          <w:b/>
        </w:rPr>
        <w:t>3.</w:t>
      </w:r>
      <w:r w:rsidRPr="00A45D83">
        <w:rPr>
          <w:b/>
        </w:rPr>
        <w:t xml:space="preserve"> METHODOLOGY</w:t>
      </w:r>
    </w:p>
    <w:p w:rsidR="00816493" w:rsidRDefault="009618A2" w:rsidP="00816493">
      <w:pPr>
        <w:pStyle w:val="NormalWeb"/>
        <w:spacing w:line="360" w:lineRule="auto"/>
        <w:contextualSpacing/>
        <w:jc w:val="both"/>
      </w:pPr>
      <w:r w:rsidRPr="009618A2">
        <w:t xml:space="preserve">The study adopts an experimental and analytical research design involving systematic collection of groundwater samples from selected wells in </w:t>
      </w:r>
      <w:proofErr w:type="spellStart"/>
      <w:r w:rsidRPr="009618A2">
        <w:t>Okesa</w:t>
      </w:r>
      <w:proofErr w:type="spellEnd"/>
      <w:r w:rsidRPr="009618A2">
        <w:t xml:space="preserve">, Ilesha, and laboratory analysis of their physicochemical and microbiological properties. This approach ensures reliable data generation and allows comparison of water quality across different locations to identify spatial pollution patterns. The study population comprises all hand-dug wells in </w:t>
      </w:r>
      <w:proofErr w:type="spellStart"/>
      <w:r w:rsidRPr="009618A2">
        <w:t>Okesa</w:t>
      </w:r>
      <w:proofErr w:type="spellEnd"/>
      <w:r w:rsidRPr="009618A2">
        <w:t xml:space="preserve">, a basement complex terrain where groundwater is the main domestic water source due to lack of public supply. From this population, twelve active wells were purposively selected based on accessibility and spatial coverage, with six from each side of the community. One 5-litre sample was collected from each well in sterile polyethylene containers, giving twelve samples for analysis. Data collection involved groundwater sampling, GPS recording of locations, and field observation of potential pollution sources such as pit latrines, refuse dumps, and nearby agricultural activities. Laboratory analysis was conducted using standard instruments including pH meters, spectrophotometers, and incubators for microbiological tests. Data were </w:t>
      </w:r>
      <w:proofErr w:type="spellStart"/>
      <w:r w:rsidRPr="009618A2">
        <w:t>analyzed</w:t>
      </w:r>
      <w:proofErr w:type="spellEnd"/>
      <w:r w:rsidRPr="009618A2">
        <w:t xml:space="preserve"> using descriptive statistics such as mean, range, and standard deviation, and inferential statistics including correlation and t-tests to determine relationships and differences among sampling points. Results were finally compared with World Health Organization (WHO, 2017) and Nigerian Standard for Drinking Water Quality (NSDWQ, 2007) guidelines to assess the potability of groundwater in the study area.</w:t>
      </w:r>
    </w:p>
    <w:p w:rsidR="00816493" w:rsidRPr="00816493" w:rsidRDefault="009E2285" w:rsidP="00816493">
      <w:pPr>
        <w:pStyle w:val="NormalWeb"/>
        <w:spacing w:line="360" w:lineRule="auto"/>
        <w:contextualSpacing/>
        <w:jc w:val="both"/>
      </w:pPr>
      <w:r w:rsidRPr="00816493">
        <w:t>4.</w:t>
      </w:r>
      <w:r w:rsidRPr="00816493">
        <w:t xml:space="preserve"> RESULTS AND DISCUSSION</w:t>
      </w:r>
    </w:p>
    <w:p w:rsidR="00DB167A" w:rsidRDefault="00816493" w:rsidP="00DB167A">
      <w:pPr>
        <w:pStyle w:val="NormalWeb"/>
        <w:spacing w:line="360" w:lineRule="auto"/>
        <w:contextualSpacing/>
        <w:jc w:val="both"/>
      </w:pPr>
      <w:r w:rsidRPr="00816493">
        <w:t>This section present</w:t>
      </w:r>
      <w:r w:rsidR="008F15A2">
        <w:t>ed</w:t>
      </w:r>
      <w:r w:rsidRPr="00816493">
        <w:t xml:space="preserve"> and discuss</w:t>
      </w:r>
      <w:r w:rsidR="008F15A2">
        <w:t>ed the</w:t>
      </w:r>
      <w:r w:rsidRPr="00816493">
        <w:t xml:space="preserve"> laboratory results of twelve groundwater samples collected from </w:t>
      </w:r>
      <w:proofErr w:type="spellStart"/>
      <w:r w:rsidRPr="00816493">
        <w:t>Okesa</w:t>
      </w:r>
      <w:proofErr w:type="spellEnd"/>
      <w:r w:rsidRPr="00816493">
        <w:t>, Ilesha, to assess their suitability for drinking based on WHO (2022) standards. The parameters analysed include physicochemical and microbiological indicators.</w:t>
      </w:r>
    </w:p>
    <w:p w:rsidR="00816493" w:rsidRPr="004F3BCC" w:rsidRDefault="004F3BCC" w:rsidP="00DB167A">
      <w:pPr>
        <w:pStyle w:val="NormalWeb"/>
        <w:spacing w:line="360" w:lineRule="auto"/>
        <w:contextualSpacing/>
        <w:jc w:val="both"/>
      </w:pPr>
      <w:r w:rsidRPr="004F3BCC">
        <w:rPr>
          <w:rStyle w:val="Strong"/>
          <w:bCs w:val="0"/>
        </w:rPr>
        <w:t xml:space="preserve">4.1 </w:t>
      </w:r>
      <w:r w:rsidR="00816493" w:rsidRPr="004F3BCC">
        <w:rPr>
          <w:rStyle w:val="Strong"/>
          <w:bCs w:val="0"/>
        </w:rPr>
        <w:t>Experimental Observations</w:t>
      </w:r>
    </w:p>
    <w:p w:rsidR="00DB167A" w:rsidRDefault="00816493" w:rsidP="00DB167A">
      <w:pPr>
        <w:pStyle w:val="NormalWeb"/>
        <w:spacing w:line="360" w:lineRule="auto"/>
        <w:contextualSpacing/>
        <w:jc w:val="both"/>
      </w:pPr>
      <w:r w:rsidRPr="00816493">
        <w:t>This study observed that most wells are shallow (5–10 m), uncovered, and poorly protected, making them vulnerable to contamination from surface runoff and waste disposal. Some wells had damaged linings and poor sanitary conditions. Water samples ranged from clear to slightly coloured, with mild odour in a few locations. Laboratory results indicated slightly acidic pH, elevated turbidity in some wells, and widespread microbial contamination.</w:t>
      </w:r>
    </w:p>
    <w:p w:rsidR="00816493" w:rsidRPr="00816493" w:rsidRDefault="00816493" w:rsidP="00DB167A">
      <w:pPr>
        <w:pStyle w:val="NoSpacing"/>
        <w:pBdr>
          <w:bottom w:val="single" w:sz="4" w:space="1" w:color="auto"/>
        </w:pBdr>
      </w:pPr>
      <w:r w:rsidRPr="00816493">
        <w:rPr>
          <w:rStyle w:val="Strong"/>
          <w:rFonts w:ascii="Times New Roman" w:hAnsi="Times New Roman" w:cs="Times New Roman"/>
          <w:b w:val="0"/>
          <w:bCs w:val="0"/>
          <w:sz w:val="24"/>
          <w:szCs w:val="24"/>
        </w:rPr>
        <w:t>Table 1: Physicochemical Parameters (Left Side)</w:t>
      </w:r>
    </w:p>
    <w:tbl>
      <w:tblPr>
        <w:tblW w:w="9158" w:type="dxa"/>
        <w:tblCellSpacing w:w="15" w:type="dxa"/>
        <w:tblCellMar>
          <w:top w:w="15" w:type="dxa"/>
          <w:left w:w="15" w:type="dxa"/>
          <w:bottom w:w="15" w:type="dxa"/>
          <w:right w:w="15" w:type="dxa"/>
        </w:tblCellMar>
        <w:tblLook w:val="04A0" w:firstRow="1" w:lastRow="0" w:firstColumn="1" w:lastColumn="0" w:noHBand="0" w:noVBand="1"/>
      </w:tblPr>
      <w:tblGrid>
        <w:gridCol w:w="1756"/>
        <w:gridCol w:w="446"/>
        <w:gridCol w:w="1251"/>
        <w:gridCol w:w="619"/>
        <w:gridCol w:w="492"/>
        <w:gridCol w:w="1219"/>
        <w:gridCol w:w="934"/>
        <w:gridCol w:w="1140"/>
        <w:gridCol w:w="603"/>
        <w:gridCol w:w="698"/>
      </w:tblGrid>
      <w:tr w:rsidR="00816493" w:rsidRPr="00816493" w:rsidTr="00DB167A">
        <w:trPr>
          <w:trHeight w:val="403"/>
          <w:tblHeader/>
          <w:tblCellSpacing w:w="15" w:type="dxa"/>
        </w:trPr>
        <w:tc>
          <w:tcPr>
            <w:tcW w:w="0" w:type="auto"/>
            <w:tcBorders>
              <w:bottom w:val="single" w:sz="4" w:space="0" w:color="auto"/>
            </w:tcBorders>
            <w:vAlign w:val="center"/>
            <w:hideMark/>
          </w:tcPr>
          <w:p w:rsidR="00816493" w:rsidRPr="00816493" w:rsidRDefault="00816493" w:rsidP="00816493">
            <w:pPr>
              <w:spacing w:line="360" w:lineRule="auto"/>
              <w:contextualSpacing/>
              <w:jc w:val="both"/>
              <w:rPr>
                <w:rFonts w:cs="Times New Roman"/>
                <w:b/>
                <w:bCs/>
                <w:szCs w:val="24"/>
              </w:rPr>
            </w:pPr>
            <w:r w:rsidRPr="00816493">
              <w:rPr>
                <w:rFonts w:cs="Times New Roman"/>
                <w:b/>
                <w:bCs/>
                <w:szCs w:val="24"/>
              </w:rPr>
              <w:t>Location</w:t>
            </w:r>
          </w:p>
        </w:tc>
        <w:tc>
          <w:tcPr>
            <w:tcW w:w="0" w:type="auto"/>
            <w:tcBorders>
              <w:bottom w:val="single" w:sz="4" w:space="0" w:color="auto"/>
            </w:tcBorders>
            <w:vAlign w:val="center"/>
            <w:hideMark/>
          </w:tcPr>
          <w:p w:rsidR="00816493" w:rsidRPr="00816493" w:rsidRDefault="00816493" w:rsidP="00816493">
            <w:pPr>
              <w:spacing w:line="360" w:lineRule="auto"/>
              <w:contextualSpacing/>
              <w:jc w:val="both"/>
              <w:rPr>
                <w:rFonts w:cs="Times New Roman"/>
                <w:b/>
                <w:bCs/>
                <w:szCs w:val="24"/>
              </w:rPr>
            </w:pPr>
            <w:r w:rsidRPr="00816493">
              <w:rPr>
                <w:rFonts w:cs="Times New Roman"/>
                <w:b/>
                <w:bCs/>
                <w:szCs w:val="24"/>
              </w:rPr>
              <w:t>pH</w:t>
            </w:r>
          </w:p>
        </w:tc>
        <w:tc>
          <w:tcPr>
            <w:tcW w:w="0" w:type="auto"/>
            <w:tcBorders>
              <w:bottom w:val="single" w:sz="4" w:space="0" w:color="auto"/>
            </w:tcBorders>
            <w:vAlign w:val="center"/>
            <w:hideMark/>
          </w:tcPr>
          <w:p w:rsidR="00816493" w:rsidRPr="00816493" w:rsidRDefault="00816493" w:rsidP="00816493">
            <w:pPr>
              <w:spacing w:line="360" w:lineRule="auto"/>
              <w:contextualSpacing/>
              <w:jc w:val="both"/>
              <w:rPr>
                <w:rFonts w:cs="Times New Roman"/>
                <w:b/>
                <w:bCs/>
                <w:szCs w:val="24"/>
              </w:rPr>
            </w:pPr>
            <w:r w:rsidRPr="00816493">
              <w:rPr>
                <w:rFonts w:cs="Times New Roman"/>
                <w:b/>
                <w:bCs/>
                <w:szCs w:val="24"/>
              </w:rPr>
              <w:t>Turbidity</w:t>
            </w:r>
          </w:p>
        </w:tc>
        <w:tc>
          <w:tcPr>
            <w:tcW w:w="0" w:type="auto"/>
            <w:tcBorders>
              <w:bottom w:val="single" w:sz="4" w:space="0" w:color="auto"/>
            </w:tcBorders>
            <w:vAlign w:val="center"/>
            <w:hideMark/>
          </w:tcPr>
          <w:p w:rsidR="00816493" w:rsidRPr="00816493" w:rsidRDefault="00816493" w:rsidP="00816493">
            <w:pPr>
              <w:spacing w:line="360" w:lineRule="auto"/>
              <w:contextualSpacing/>
              <w:jc w:val="both"/>
              <w:rPr>
                <w:rFonts w:cs="Times New Roman"/>
                <w:b/>
                <w:bCs/>
                <w:szCs w:val="24"/>
              </w:rPr>
            </w:pPr>
            <w:r w:rsidRPr="00816493">
              <w:rPr>
                <w:rFonts w:cs="Times New Roman"/>
                <w:b/>
                <w:bCs/>
                <w:szCs w:val="24"/>
              </w:rPr>
              <w:t>TDS</w:t>
            </w:r>
          </w:p>
        </w:tc>
        <w:tc>
          <w:tcPr>
            <w:tcW w:w="0" w:type="auto"/>
            <w:tcBorders>
              <w:bottom w:val="single" w:sz="4" w:space="0" w:color="auto"/>
            </w:tcBorders>
            <w:vAlign w:val="center"/>
            <w:hideMark/>
          </w:tcPr>
          <w:p w:rsidR="00816493" w:rsidRPr="00816493" w:rsidRDefault="00816493" w:rsidP="00816493">
            <w:pPr>
              <w:spacing w:line="360" w:lineRule="auto"/>
              <w:contextualSpacing/>
              <w:jc w:val="both"/>
              <w:rPr>
                <w:rFonts w:cs="Times New Roman"/>
                <w:b/>
                <w:bCs/>
                <w:szCs w:val="24"/>
              </w:rPr>
            </w:pPr>
            <w:r w:rsidRPr="00816493">
              <w:rPr>
                <w:rFonts w:cs="Times New Roman"/>
                <w:b/>
                <w:bCs/>
                <w:szCs w:val="24"/>
              </w:rPr>
              <w:t>EC</w:t>
            </w:r>
          </w:p>
        </w:tc>
        <w:tc>
          <w:tcPr>
            <w:tcW w:w="0" w:type="auto"/>
            <w:tcBorders>
              <w:bottom w:val="single" w:sz="4" w:space="0" w:color="auto"/>
            </w:tcBorders>
            <w:vAlign w:val="center"/>
            <w:hideMark/>
          </w:tcPr>
          <w:p w:rsidR="00816493" w:rsidRPr="00816493" w:rsidRDefault="00816493" w:rsidP="00816493">
            <w:pPr>
              <w:spacing w:line="360" w:lineRule="auto"/>
              <w:contextualSpacing/>
              <w:jc w:val="both"/>
              <w:rPr>
                <w:rFonts w:cs="Times New Roman"/>
                <w:b/>
                <w:bCs/>
                <w:szCs w:val="24"/>
              </w:rPr>
            </w:pPr>
            <w:r w:rsidRPr="00816493">
              <w:rPr>
                <w:rFonts w:cs="Times New Roman"/>
                <w:b/>
                <w:bCs/>
                <w:szCs w:val="24"/>
              </w:rPr>
              <w:t>Hardness</w:t>
            </w:r>
          </w:p>
        </w:tc>
        <w:tc>
          <w:tcPr>
            <w:tcW w:w="0" w:type="auto"/>
            <w:tcBorders>
              <w:bottom w:val="single" w:sz="4" w:space="0" w:color="auto"/>
            </w:tcBorders>
            <w:vAlign w:val="center"/>
            <w:hideMark/>
          </w:tcPr>
          <w:p w:rsidR="00816493" w:rsidRPr="00816493" w:rsidRDefault="00816493" w:rsidP="00816493">
            <w:pPr>
              <w:spacing w:line="360" w:lineRule="auto"/>
              <w:contextualSpacing/>
              <w:jc w:val="both"/>
              <w:rPr>
                <w:rFonts w:cs="Times New Roman"/>
                <w:b/>
                <w:bCs/>
                <w:szCs w:val="24"/>
              </w:rPr>
            </w:pPr>
            <w:r w:rsidRPr="00816493">
              <w:rPr>
                <w:rFonts w:cs="Times New Roman"/>
                <w:b/>
                <w:bCs/>
                <w:szCs w:val="24"/>
              </w:rPr>
              <w:t>Nitrate</w:t>
            </w:r>
          </w:p>
        </w:tc>
        <w:tc>
          <w:tcPr>
            <w:tcW w:w="0" w:type="auto"/>
            <w:tcBorders>
              <w:bottom w:val="single" w:sz="4" w:space="0" w:color="auto"/>
            </w:tcBorders>
            <w:vAlign w:val="center"/>
            <w:hideMark/>
          </w:tcPr>
          <w:p w:rsidR="00816493" w:rsidRPr="00816493" w:rsidRDefault="00816493" w:rsidP="00816493">
            <w:pPr>
              <w:spacing w:line="360" w:lineRule="auto"/>
              <w:contextualSpacing/>
              <w:jc w:val="both"/>
              <w:rPr>
                <w:rFonts w:cs="Times New Roman"/>
                <w:b/>
                <w:bCs/>
                <w:szCs w:val="24"/>
              </w:rPr>
            </w:pPr>
            <w:r w:rsidRPr="00816493">
              <w:rPr>
                <w:rFonts w:cs="Times New Roman"/>
                <w:b/>
                <w:bCs/>
                <w:szCs w:val="24"/>
              </w:rPr>
              <w:t>Chloride</w:t>
            </w:r>
          </w:p>
        </w:tc>
        <w:tc>
          <w:tcPr>
            <w:tcW w:w="0" w:type="auto"/>
            <w:tcBorders>
              <w:bottom w:val="single" w:sz="4" w:space="0" w:color="auto"/>
            </w:tcBorders>
            <w:vAlign w:val="center"/>
            <w:hideMark/>
          </w:tcPr>
          <w:p w:rsidR="00816493" w:rsidRPr="00816493" w:rsidRDefault="00816493" w:rsidP="00816493">
            <w:pPr>
              <w:spacing w:line="360" w:lineRule="auto"/>
              <w:contextualSpacing/>
              <w:jc w:val="both"/>
              <w:rPr>
                <w:rFonts w:cs="Times New Roman"/>
                <w:b/>
                <w:bCs/>
                <w:szCs w:val="24"/>
              </w:rPr>
            </w:pPr>
            <w:r w:rsidRPr="00816493">
              <w:rPr>
                <w:rFonts w:cs="Times New Roman"/>
                <w:b/>
                <w:bCs/>
                <w:szCs w:val="24"/>
              </w:rPr>
              <w:t>Iron</w:t>
            </w:r>
          </w:p>
        </w:tc>
        <w:tc>
          <w:tcPr>
            <w:tcW w:w="0" w:type="auto"/>
            <w:tcBorders>
              <w:bottom w:val="single" w:sz="4" w:space="0" w:color="auto"/>
            </w:tcBorders>
            <w:vAlign w:val="center"/>
            <w:hideMark/>
          </w:tcPr>
          <w:p w:rsidR="00816493" w:rsidRPr="00816493" w:rsidRDefault="00816493" w:rsidP="00816493">
            <w:pPr>
              <w:spacing w:line="360" w:lineRule="auto"/>
              <w:contextualSpacing/>
              <w:jc w:val="both"/>
              <w:rPr>
                <w:rFonts w:cs="Times New Roman"/>
                <w:b/>
                <w:bCs/>
                <w:szCs w:val="24"/>
              </w:rPr>
            </w:pPr>
            <w:r w:rsidRPr="00816493">
              <w:rPr>
                <w:rFonts w:cs="Times New Roman"/>
                <w:b/>
                <w:bCs/>
                <w:szCs w:val="24"/>
              </w:rPr>
              <w:t>Lead</w:t>
            </w:r>
          </w:p>
        </w:tc>
      </w:tr>
      <w:tr w:rsidR="00816493" w:rsidRPr="00816493" w:rsidTr="00DB167A">
        <w:trPr>
          <w:trHeight w:val="418"/>
          <w:tblCellSpacing w:w="15" w:type="dxa"/>
        </w:trPr>
        <w:tc>
          <w:tcPr>
            <w:tcW w:w="0" w:type="auto"/>
            <w:vAlign w:val="center"/>
            <w:hideMark/>
          </w:tcPr>
          <w:p w:rsidR="00816493" w:rsidRPr="00816493" w:rsidRDefault="00816493" w:rsidP="00816493">
            <w:pPr>
              <w:spacing w:line="360" w:lineRule="auto"/>
              <w:contextualSpacing/>
              <w:jc w:val="both"/>
              <w:rPr>
                <w:rFonts w:cs="Times New Roman"/>
                <w:szCs w:val="24"/>
              </w:rPr>
            </w:pPr>
            <w:proofErr w:type="spellStart"/>
            <w:r w:rsidRPr="00816493">
              <w:rPr>
                <w:rFonts w:cs="Times New Roman"/>
                <w:szCs w:val="24"/>
              </w:rPr>
              <w:t>Kajola</w:t>
            </w:r>
            <w:proofErr w:type="spellEnd"/>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6.1</w:t>
            </w:r>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6.8</w:t>
            </w:r>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480</w:t>
            </w:r>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725</w:t>
            </w:r>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156</w:t>
            </w:r>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42</w:t>
            </w:r>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120</w:t>
            </w:r>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0.42</w:t>
            </w:r>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0.03</w:t>
            </w:r>
          </w:p>
        </w:tc>
      </w:tr>
      <w:tr w:rsidR="00816493" w:rsidRPr="00816493" w:rsidTr="00DB167A">
        <w:trPr>
          <w:trHeight w:val="403"/>
          <w:tblCellSpacing w:w="15" w:type="dxa"/>
        </w:trPr>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Brewery</w:t>
            </w:r>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6.7</w:t>
            </w:r>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3.9</w:t>
            </w:r>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340</w:t>
            </w:r>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515</w:t>
            </w:r>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142</w:t>
            </w:r>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27</w:t>
            </w:r>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106</w:t>
            </w:r>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0.29</w:t>
            </w:r>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0.02</w:t>
            </w:r>
          </w:p>
        </w:tc>
      </w:tr>
      <w:tr w:rsidR="00816493" w:rsidRPr="00816493" w:rsidTr="00DB167A">
        <w:trPr>
          <w:trHeight w:val="418"/>
          <w:tblCellSpacing w:w="15" w:type="dxa"/>
        </w:trPr>
        <w:tc>
          <w:tcPr>
            <w:tcW w:w="0" w:type="auto"/>
            <w:vAlign w:val="center"/>
            <w:hideMark/>
          </w:tcPr>
          <w:p w:rsidR="00816493" w:rsidRPr="00816493" w:rsidRDefault="00816493" w:rsidP="00816493">
            <w:pPr>
              <w:spacing w:line="360" w:lineRule="auto"/>
              <w:contextualSpacing/>
              <w:jc w:val="both"/>
              <w:rPr>
                <w:rFonts w:cs="Times New Roman"/>
                <w:szCs w:val="24"/>
              </w:rPr>
            </w:pPr>
            <w:proofErr w:type="spellStart"/>
            <w:r w:rsidRPr="00816493">
              <w:rPr>
                <w:rFonts w:cs="Times New Roman"/>
                <w:szCs w:val="24"/>
              </w:rPr>
              <w:t>Obokun</w:t>
            </w:r>
            <w:proofErr w:type="spellEnd"/>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6.6</w:t>
            </w:r>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2.5</w:t>
            </w:r>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310</w:t>
            </w:r>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480</w:t>
            </w:r>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140</w:t>
            </w:r>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26</w:t>
            </w:r>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102</w:t>
            </w:r>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0.28</w:t>
            </w:r>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0.01</w:t>
            </w:r>
          </w:p>
        </w:tc>
      </w:tr>
      <w:tr w:rsidR="00816493" w:rsidRPr="00816493" w:rsidTr="00DB167A">
        <w:trPr>
          <w:trHeight w:val="418"/>
          <w:tblCellSpacing w:w="15" w:type="dxa"/>
        </w:trPr>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 xml:space="preserve">Imo </w:t>
            </w:r>
            <w:proofErr w:type="spellStart"/>
            <w:r w:rsidRPr="00816493">
              <w:rPr>
                <w:rFonts w:cs="Times New Roman"/>
                <w:szCs w:val="24"/>
              </w:rPr>
              <w:t>Fadaito</w:t>
            </w:r>
            <w:proofErr w:type="spellEnd"/>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6.5</w:t>
            </w:r>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3.6</w:t>
            </w:r>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315</w:t>
            </w:r>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485</w:t>
            </w:r>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138</w:t>
            </w:r>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25</w:t>
            </w:r>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104</w:t>
            </w:r>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0.27</w:t>
            </w:r>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0.00</w:t>
            </w:r>
          </w:p>
        </w:tc>
      </w:tr>
      <w:tr w:rsidR="00816493" w:rsidRPr="00816493" w:rsidTr="00DB167A">
        <w:trPr>
          <w:trHeight w:val="403"/>
          <w:tblCellSpacing w:w="15" w:type="dxa"/>
        </w:trPr>
        <w:tc>
          <w:tcPr>
            <w:tcW w:w="0" w:type="auto"/>
            <w:vAlign w:val="center"/>
            <w:hideMark/>
          </w:tcPr>
          <w:p w:rsidR="00816493" w:rsidRPr="00816493" w:rsidRDefault="00816493" w:rsidP="00816493">
            <w:pPr>
              <w:spacing w:line="360" w:lineRule="auto"/>
              <w:contextualSpacing/>
              <w:jc w:val="both"/>
              <w:rPr>
                <w:rFonts w:cs="Times New Roman"/>
                <w:szCs w:val="24"/>
              </w:rPr>
            </w:pPr>
            <w:proofErr w:type="spellStart"/>
            <w:r w:rsidRPr="00816493">
              <w:rPr>
                <w:rFonts w:cs="Times New Roman"/>
                <w:szCs w:val="24"/>
              </w:rPr>
              <w:t>Oke</w:t>
            </w:r>
            <w:proofErr w:type="spellEnd"/>
            <w:r w:rsidRPr="00816493">
              <w:rPr>
                <w:rFonts w:cs="Times New Roman"/>
                <w:szCs w:val="24"/>
              </w:rPr>
              <w:t xml:space="preserve"> Imo</w:t>
            </w:r>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6.4</w:t>
            </w:r>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4.8</w:t>
            </w:r>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355</w:t>
            </w:r>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530</w:t>
            </w:r>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150</w:t>
            </w:r>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30</w:t>
            </w:r>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115</w:t>
            </w:r>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0.35</w:t>
            </w:r>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0.02</w:t>
            </w:r>
          </w:p>
        </w:tc>
      </w:tr>
      <w:tr w:rsidR="00816493" w:rsidRPr="00816493" w:rsidTr="00DB167A">
        <w:trPr>
          <w:trHeight w:val="418"/>
          <w:tblCellSpacing w:w="15" w:type="dxa"/>
        </w:trPr>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 xml:space="preserve">Omi </w:t>
            </w:r>
            <w:proofErr w:type="spellStart"/>
            <w:r w:rsidRPr="00816493">
              <w:rPr>
                <w:rFonts w:cs="Times New Roman"/>
                <w:szCs w:val="24"/>
              </w:rPr>
              <w:t>Asoro</w:t>
            </w:r>
            <w:proofErr w:type="spellEnd"/>
            <w:r w:rsidRPr="00816493">
              <w:rPr>
                <w:rFonts w:cs="Times New Roman"/>
                <w:szCs w:val="24"/>
              </w:rPr>
              <w:t xml:space="preserve"> (1)</w:t>
            </w:r>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6.0</w:t>
            </w:r>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6.2</w:t>
            </w:r>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495</w:t>
            </w:r>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740</w:t>
            </w:r>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158</w:t>
            </w:r>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45</w:t>
            </w:r>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129</w:t>
            </w:r>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0.51</w:t>
            </w:r>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0.04</w:t>
            </w:r>
          </w:p>
        </w:tc>
      </w:tr>
      <w:tr w:rsidR="00816493" w:rsidRPr="00816493" w:rsidTr="00DB167A">
        <w:trPr>
          <w:trHeight w:val="403"/>
          <w:tblCellSpacing w:w="15" w:type="dxa"/>
        </w:trPr>
        <w:tc>
          <w:tcPr>
            <w:tcW w:w="0" w:type="auto"/>
            <w:tcBorders>
              <w:bottom w:val="single" w:sz="4" w:space="0" w:color="auto"/>
            </w:tcBorders>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Imo</w:t>
            </w:r>
          </w:p>
        </w:tc>
        <w:tc>
          <w:tcPr>
            <w:tcW w:w="0" w:type="auto"/>
            <w:tcBorders>
              <w:bottom w:val="single" w:sz="4" w:space="0" w:color="auto"/>
            </w:tcBorders>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6.8</w:t>
            </w:r>
          </w:p>
        </w:tc>
        <w:tc>
          <w:tcPr>
            <w:tcW w:w="0" w:type="auto"/>
            <w:tcBorders>
              <w:bottom w:val="single" w:sz="4" w:space="0" w:color="auto"/>
            </w:tcBorders>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3.3</w:t>
            </w:r>
          </w:p>
        </w:tc>
        <w:tc>
          <w:tcPr>
            <w:tcW w:w="0" w:type="auto"/>
            <w:tcBorders>
              <w:bottom w:val="single" w:sz="4" w:space="0" w:color="auto"/>
            </w:tcBorders>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320</w:t>
            </w:r>
          </w:p>
        </w:tc>
        <w:tc>
          <w:tcPr>
            <w:tcW w:w="0" w:type="auto"/>
            <w:tcBorders>
              <w:bottom w:val="single" w:sz="4" w:space="0" w:color="auto"/>
            </w:tcBorders>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500</w:t>
            </w:r>
          </w:p>
        </w:tc>
        <w:tc>
          <w:tcPr>
            <w:tcW w:w="0" w:type="auto"/>
            <w:tcBorders>
              <w:bottom w:val="single" w:sz="4" w:space="0" w:color="auto"/>
            </w:tcBorders>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139</w:t>
            </w:r>
          </w:p>
        </w:tc>
        <w:tc>
          <w:tcPr>
            <w:tcW w:w="0" w:type="auto"/>
            <w:tcBorders>
              <w:bottom w:val="single" w:sz="4" w:space="0" w:color="auto"/>
            </w:tcBorders>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25</w:t>
            </w:r>
          </w:p>
        </w:tc>
        <w:tc>
          <w:tcPr>
            <w:tcW w:w="0" w:type="auto"/>
            <w:tcBorders>
              <w:bottom w:val="single" w:sz="4" w:space="0" w:color="auto"/>
            </w:tcBorders>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104</w:t>
            </w:r>
          </w:p>
        </w:tc>
        <w:tc>
          <w:tcPr>
            <w:tcW w:w="0" w:type="auto"/>
            <w:tcBorders>
              <w:bottom w:val="single" w:sz="4" w:space="0" w:color="auto"/>
            </w:tcBorders>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0.30</w:t>
            </w:r>
          </w:p>
        </w:tc>
        <w:tc>
          <w:tcPr>
            <w:tcW w:w="0" w:type="auto"/>
            <w:tcBorders>
              <w:bottom w:val="single" w:sz="4" w:space="0" w:color="auto"/>
            </w:tcBorders>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0.01</w:t>
            </w:r>
          </w:p>
        </w:tc>
      </w:tr>
    </w:tbl>
    <w:p w:rsidR="00696B6A" w:rsidRDefault="00DB167A" w:rsidP="00696B6A">
      <w:pPr>
        <w:pStyle w:val="NoSpacing"/>
        <w:rPr>
          <w:rStyle w:val="Strong"/>
        </w:rPr>
      </w:pPr>
      <w:r>
        <w:rPr>
          <w:rStyle w:val="Strong"/>
        </w:rPr>
        <w:t>Source: Authors Computation, 2026</w:t>
      </w:r>
    </w:p>
    <w:p w:rsidR="00816493" w:rsidRPr="0065592C" w:rsidRDefault="00816493" w:rsidP="0065592C">
      <w:pPr>
        <w:pStyle w:val="NoSpacing"/>
        <w:spacing w:line="360" w:lineRule="auto"/>
        <w:contextualSpacing/>
        <w:jc w:val="both"/>
        <w:rPr>
          <w:b/>
          <w:bCs/>
        </w:rPr>
      </w:pPr>
      <w:r w:rsidRPr="00816493">
        <w:rPr>
          <w:rFonts w:ascii="Times New Roman" w:hAnsi="Times New Roman" w:cs="Times New Roman"/>
          <w:sz w:val="24"/>
          <w:szCs w:val="24"/>
        </w:rPr>
        <w:t>T</w:t>
      </w:r>
      <w:r w:rsidR="00696B6A">
        <w:rPr>
          <w:rFonts w:ascii="Times New Roman" w:hAnsi="Times New Roman" w:cs="Times New Roman"/>
          <w:sz w:val="24"/>
          <w:szCs w:val="24"/>
        </w:rPr>
        <w:t xml:space="preserve">able 1 </w:t>
      </w:r>
      <w:r w:rsidRPr="00816493">
        <w:rPr>
          <w:rFonts w:ascii="Times New Roman" w:hAnsi="Times New Roman" w:cs="Times New Roman"/>
          <w:sz w:val="24"/>
          <w:szCs w:val="24"/>
        </w:rPr>
        <w:t xml:space="preserve">presented that left-side wells generally show slightly acidic to near-neutral pH and moderate mineral content. Some wells such as </w:t>
      </w:r>
      <w:proofErr w:type="spellStart"/>
      <w:r w:rsidRPr="00816493">
        <w:rPr>
          <w:rFonts w:ascii="Times New Roman" w:hAnsi="Times New Roman" w:cs="Times New Roman"/>
          <w:sz w:val="24"/>
          <w:szCs w:val="24"/>
        </w:rPr>
        <w:t>Kajola</w:t>
      </w:r>
      <w:proofErr w:type="spellEnd"/>
      <w:r w:rsidRPr="00816493">
        <w:rPr>
          <w:rFonts w:ascii="Times New Roman" w:hAnsi="Times New Roman" w:cs="Times New Roman"/>
          <w:sz w:val="24"/>
          <w:szCs w:val="24"/>
        </w:rPr>
        <w:t xml:space="preserve"> and Omi </w:t>
      </w:r>
      <w:proofErr w:type="spellStart"/>
      <w:r w:rsidRPr="00816493">
        <w:rPr>
          <w:rFonts w:ascii="Times New Roman" w:hAnsi="Times New Roman" w:cs="Times New Roman"/>
          <w:sz w:val="24"/>
          <w:szCs w:val="24"/>
        </w:rPr>
        <w:t>Asoro</w:t>
      </w:r>
      <w:proofErr w:type="spellEnd"/>
      <w:r w:rsidRPr="00816493">
        <w:rPr>
          <w:rFonts w:ascii="Times New Roman" w:hAnsi="Times New Roman" w:cs="Times New Roman"/>
          <w:sz w:val="24"/>
          <w:szCs w:val="24"/>
        </w:rPr>
        <w:t xml:space="preserve"> (1) recorded higher turbidity and iron levels, suggesting surface infiltration and geogenic influence. Lead concentration is low but slightly elevated in a few locations.</w:t>
      </w:r>
    </w:p>
    <w:p w:rsidR="00816493" w:rsidRPr="00816493" w:rsidRDefault="00816493" w:rsidP="0065592C">
      <w:pPr>
        <w:pStyle w:val="Heading3"/>
        <w:pBdr>
          <w:bottom w:val="single" w:sz="4" w:space="1" w:color="auto"/>
        </w:pBdr>
        <w:spacing w:line="360" w:lineRule="auto"/>
        <w:contextualSpacing/>
        <w:jc w:val="both"/>
        <w:rPr>
          <w:rFonts w:ascii="Times New Roman" w:hAnsi="Times New Roman" w:cs="Times New Roman"/>
          <w:color w:val="auto"/>
          <w:szCs w:val="24"/>
        </w:rPr>
      </w:pPr>
      <w:r w:rsidRPr="00816493">
        <w:rPr>
          <w:rStyle w:val="Strong"/>
          <w:rFonts w:ascii="Times New Roman" w:hAnsi="Times New Roman" w:cs="Times New Roman"/>
          <w:b/>
          <w:bCs/>
          <w:color w:val="auto"/>
          <w:szCs w:val="24"/>
        </w:rPr>
        <w:t>Table 2: Physicochemical Parameters (Right Side)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15"/>
        <w:gridCol w:w="381"/>
        <w:gridCol w:w="1061"/>
        <w:gridCol w:w="527"/>
        <w:gridCol w:w="420"/>
        <w:gridCol w:w="1034"/>
        <w:gridCol w:w="793"/>
        <w:gridCol w:w="967"/>
        <w:gridCol w:w="514"/>
        <w:gridCol w:w="596"/>
      </w:tblGrid>
      <w:tr w:rsidR="00816493" w:rsidRPr="00816493" w:rsidTr="0065592C">
        <w:trPr>
          <w:tblHeader/>
          <w:tblCellSpacing w:w="15" w:type="dxa"/>
        </w:trPr>
        <w:tc>
          <w:tcPr>
            <w:tcW w:w="0" w:type="auto"/>
            <w:tcBorders>
              <w:bottom w:val="single" w:sz="4" w:space="0" w:color="auto"/>
            </w:tcBorders>
            <w:vAlign w:val="center"/>
            <w:hideMark/>
          </w:tcPr>
          <w:p w:rsidR="00816493" w:rsidRPr="00816493" w:rsidRDefault="00816493" w:rsidP="00816493">
            <w:pPr>
              <w:spacing w:line="360" w:lineRule="auto"/>
              <w:contextualSpacing/>
              <w:jc w:val="both"/>
              <w:rPr>
                <w:rFonts w:cs="Times New Roman"/>
                <w:b/>
                <w:bCs/>
                <w:szCs w:val="24"/>
              </w:rPr>
            </w:pPr>
            <w:r w:rsidRPr="00816493">
              <w:rPr>
                <w:rFonts w:cs="Times New Roman"/>
                <w:b/>
                <w:bCs/>
                <w:szCs w:val="24"/>
              </w:rPr>
              <w:t>Location</w:t>
            </w:r>
          </w:p>
        </w:tc>
        <w:tc>
          <w:tcPr>
            <w:tcW w:w="0" w:type="auto"/>
            <w:tcBorders>
              <w:bottom w:val="single" w:sz="4" w:space="0" w:color="auto"/>
            </w:tcBorders>
            <w:vAlign w:val="center"/>
            <w:hideMark/>
          </w:tcPr>
          <w:p w:rsidR="00816493" w:rsidRPr="00816493" w:rsidRDefault="00816493" w:rsidP="00816493">
            <w:pPr>
              <w:spacing w:line="360" w:lineRule="auto"/>
              <w:contextualSpacing/>
              <w:jc w:val="both"/>
              <w:rPr>
                <w:rFonts w:cs="Times New Roman"/>
                <w:b/>
                <w:bCs/>
                <w:szCs w:val="24"/>
              </w:rPr>
            </w:pPr>
            <w:r w:rsidRPr="00816493">
              <w:rPr>
                <w:rFonts w:cs="Times New Roman"/>
                <w:b/>
                <w:bCs/>
                <w:szCs w:val="24"/>
              </w:rPr>
              <w:t>pH</w:t>
            </w:r>
          </w:p>
        </w:tc>
        <w:tc>
          <w:tcPr>
            <w:tcW w:w="0" w:type="auto"/>
            <w:tcBorders>
              <w:bottom w:val="single" w:sz="4" w:space="0" w:color="auto"/>
            </w:tcBorders>
            <w:vAlign w:val="center"/>
            <w:hideMark/>
          </w:tcPr>
          <w:p w:rsidR="00816493" w:rsidRPr="00816493" w:rsidRDefault="00816493" w:rsidP="00816493">
            <w:pPr>
              <w:spacing w:line="360" w:lineRule="auto"/>
              <w:contextualSpacing/>
              <w:jc w:val="both"/>
              <w:rPr>
                <w:rFonts w:cs="Times New Roman"/>
                <w:b/>
                <w:bCs/>
                <w:szCs w:val="24"/>
              </w:rPr>
            </w:pPr>
            <w:r w:rsidRPr="00816493">
              <w:rPr>
                <w:rFonts w:cs="Times New Roman"/>
                <w:b/>
                <w:bCs/>
                <w:szCs w:val="24"/>
              </w:rPr>
              <w:t>Turbidity</w:t>
            </w:r>
          </w:p>
        </w:tc>
        <w:tc>
          <w:tcPr>
            <w:tcW w:w="0" w:type="auto"/>
            <w:tcBorders>
              <w:bottom w:val="single" w:sz="4" w:space="0" w:color="auto"/>
            </w:tcBorders>
            <w:vAlign w:val="center"/>
            <w:hideMark/>
          </w:tcPr>
          <w:p w:rsidR="00816493" w:rsidRPr="00816493" w:rsidRDefault="00816493" w:rsidP="00816493">
            <w:pPr>
              <w:spacing w:line="360" w:lineRule="auto"/>
              <w:contextualSpacing/>
              <w:jc w:val="both"/>
              <w:rPr>
                <w:rFonts w:cs="Times New Roman"/>
                <w:b/>
                <w:bCs/>
                <w:szCs w:val="24"/>
              </w:rPr>
            </w:pPr>
            <w:r w:rsidRPr="00816493">
              <w:rPr>
                <w:rFonts w:cs="Times New Roman"/>
                <w:b/>
                <w:bCs/>
                <w:szCs w:val="24"/>
              </w:rPr>
              <w:t>TDS</w:t>
            </w:r>
          </w:p>
        </w:tc>
        <w:tc>
          <w:tcPr>
            <w:tcW w:w="0" w:type="auto"/>
            <w:tcBorders>
              <w:bottom w:val="single" w:sz="4" w:space="0" w:color="auto"/>
            </w:tcBorders>
            <w:vAlign w:val="center"/>
            <w:hideMark/>
          </w:tcPr>
          <w:p w:rsidR="00816493" w:rsidRPr="00816493" w:rsidRDefault="00816493" w:rsidP="00816493">
            <w:pPr>
              <w:spacing w:line="360" w:lineRule="auto"/>
              <w:contextualSpacing/>
              <w:jc w:val="both"/>
              <w:rPr>
                <w:rFonts w:cs="Times New Roman"/>
                <w:b/>
                <w:bCs/>
                <w:szCs w:val="24"/>
              </w:rPr>
            </w:pPr>
            <w:r w:rsidRPr="00816493">
              <w:rPr>
                <w:rFonts w:cs="Times New Roman"/>
                <w:b/>
                <w:bCs/>
                <w:szCs w:val="24"/>
              </w:rPr>
              <w:t>EC</w:t>
            </w:r>
          </w:p>
        </w:tc>
        <w:tc>
          <w:tcPr>
            <w:tcW w:w="0" w:type="auto"/>
            <w:tcBorders>
              <w:bottom w:val="single" w:sz="4" w:space="0" w:color="auto"/>
            </w:tcBorders>
            <w:vAlign w:val="center"/>
            <w:hideMark/>
          </w:tcPr>
          <w:p w:rsidR="00816493" w:rsidRPr="00816493" w:rsidRDefault="00816493" w:rsidP="00816493">
            <w:pPr>
              <w:spacing w:line="360" w:lineRule="auto"/>
              <w:contextualSpacing/>
              <w:jc w:val="both"/>
              <w:rPr>
                <w:rFonts w:cs="Times New Roman"/>
                <w:b/>
                <w:bCs/>
                <w:szCs w:val="24"/>
              </w:rPr>
            </w:pPr>
            <w:r w:rsidRPr="00816493">
              <w:rPr>
                <w:rFonts w:cs="Times New Roman"/>
                <w:b/>
                <w:bCs/>
                <w:szCs w:val="24"/>
              </w:rPr>
              <w:t>Hardness</w:t>
            </w:r>
          </w:p>
        </w:tc>
        <w:tc>
          <w:tcPr>
            <w:tcW w:w="0" w:type="auto"/>
            <w:tcBorders>
              <w:bottom w:val="single" w:sz="4" w:space="0" w:color="auto"/>
            </w:tcBorders>
            <w:vAlign w:val="center"/>
            <w:hideMark/>
          </w:tcPr>
          <w:p w:rsidR="00816493" w:rsidRPr="00816493" w:rsidRDefault="00816493" w:rsidP="00816493">
            <w:pPr>
              <w:spacing w:line="360" w:lineRule="auto"/>
              <w:contextualSpacing/>
              <w:jc w:val="both"/>
              <w:rPr>
                <w:rFonts w:cs="Times New Roman"/>
                <w:b/>
                <w:bCs/>
                <w:szCs w:val="24"/>
              </w:rPr>
            </w:pPr>
            <w:r w:rsidRPr="00816493">
              <w:rPr>
                <w:rFonts w:cs="Times New Roman"/>
                <w:b/>
                <w:bCs/>
                <w:szCs w:val="24"/>
              </w:rPr>
              <w:t>Nitrate</w:t>
            </w:r>
          </w:p>
        </w:tc>
        <w:tc>
          <w:tcPr>
            <w:tcW w:w="0" w:type="auto"/>
            <w:tcBorders>
              <w:bottom w:val="single" w:sz="4" w:space="0" w:color="auto"/>
            </w:tcBorders>
            <w:vAlign w:val="center"/>
            <w:hideMark/>
          </w:tcPr>
          <w:p w:rsidR="00816493" w:rsidRPr="00816493" w:rsidRDefault="00816493" w:rsidP="00816493">
            <w:pPr>
              <w:spacing w:line="360" w:lineRule="auto"/>
              <w:contextualSpacing/>
              <w:jc w:val="both"/>
              <w:rPr>
                <w:rFonts w:cs="Times New Roman"/>
                <w:b/>
                <w:bCs/>
                <w:szCs w:val="24"/>
              </w:rPr>
            </w:pPr>
            <w:r w:rsidRPr="00816493">
              <w:rPr>
                <w:rFonts w:cs="Times New Roman"/>
                <w:b/>
                <w:bCs/>
                <w:szCs w:val="24"/>
              </w:rPr>
              <w:t>Chloride</w:t>
            </w:r>
          </w:p>
        </w:tc>
        <w:tc>
          <w:tcPr>
            <w:tcW w:w="0" w:type="auto"/>
            <w:tcBorders>
              <w:bottom w:val="single" w:sz="4" w:space="0" w:color="auto"/>
            </w:tcBorders>
            <w:vAlign w:val="center"/>
            <w:hideMark/>
          </w:tcPr>
          <w:p w:rsidR="00816493" w:rsidRPr="00816493" w:rsidRDefault="00816493" w:rsidP="00816493">
            <w:pPr>
              <w:spacing w:line="360" w:lineRule="auto"/>
              <w:contextualSpacing/>
              <w:jc w:val="both"/>
              <w:rPr>
                <w:rFonts w:cs="Times New Roman"/>
                <w:b/>
                <w:bCs/>
                <w:szCs w:val="24"/>
              </w:rPr>
            </w:pPr>
            <w:r w:rsidRPr="00816493">
              <w:rPr>
                <w:rFonts w:cs="Times New Roman"/>
                <w:b/>
                <w:bCs/>
                <w:szCs w:val="24"/>
              </w:rPr>
              <w:t>Iron</w:t>
            </w:r>
          </w:p>
        </w:tc>
        <w:tc>
          <w:tcPr>
            <w:tcW w:w="0" w:type="auto"/>
            <w:tcBorders>
              <w:bottom w:val="single" w:sz="4" w:space="0" w:color="auto"/>
            </w:tcBorders>
            <w:vAlign w:val="center"/>
            <w:hideMark/>
          </w:tcPr>
          <w:p w:rsidR="00816493" w:rsidRPr="00816493" w:rsidRDefault="00816493" w:rsidP="00816493">
            <w:pPr>
              <w:spacing w:line="360" w:lineRule="auto"/>
              <w:contextualSpacing/>
              <w:jc w:val="both"/>
              <w:rPr>
                <w:rFonts w:cs="Times New Roman"/>
                <w:b/>
                <w:bCs/>
                <w:szCs w:val="24"/>
              </w:rPr>
            </w:pPr>
            <w:r w:rsidRPr="00816493">
              <w:rPr>
                <w:rFonts w:cs="Times New Roman"/>
                <w:b/>
                <w:bCs/>
                <w:szCs w:val="24"/>
              </w:rPr>
              <w:t>Lead</w:t>
            </w:r>
          </w:p>
        </w:tc>
      </w:tr>
      <w:tr w:rsidR="00816493" w:rsidRPr="00816493" w:rsidTr="00816493">
        <w:trPr>
          <w:tblCellSpacing w:w="15" w:type="dxa"/>
        </w:trPr>
        <w:tc>
          <w:tcPr>
            <w:tcW w:w="0" w:type="auto"/>
            <w:vAlign w:val="center"/>
            <w:hideMark/>
          </w:tcPr>
          <w:p w:rsidR="00816493" w:rsidRPr="00816493" w:rsidRDefault="00816493" w:rsidP="00816493">
            <w:pPr>
              <w:spacing w:line="360" w:lineRule="auto"/>
              <w:contextualSpacing/>
              <w:jc w:val="both"/>
              <w:rPr>
                <w:rFonts w:cs="Times New Roman"/>
                <w:szCs w:val="24"/>
              </w:rPr>
            </w:pPr>
            <w:proofErr w:type="spellStart"/>
            <w:r w:rsidRPr="00816493">
              <w:rPr>
                <w:rFonts w:cs="Times New Roman"/>
                <w:szCs w:val="24"/>
              </w:rPr>
              <w:t>Omooba</w:t>
            </w:r>
            <w:proofErr w:type="spellEnd"/>
            <w:r w:rsidRPr="00816493">
              <w:rPr>
                <w:rFonts w:cs="Times New Roman"/>
                <w:szCs w:val="24"/>
              </w:rPr>
              <w:t xml:space="preserve"> </w:t>
            </w:r>
            <w:proofErr w:type="spellStart"/>
            <w:r w:rsidRPr="00816493">
              <w:rPr>
                <w:rFonts w:cs="Times New Roman"/>
                <w:szCs w:val="24"/>
              </w:rPr>
              <w:t>Alufaa</w:t>
            </w:r>
            <w:proofErr w:type="spellEnd"/>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5.9</w:t>
            </w:r>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7.2</w:t>
            </w:r>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505</w:t>
            </w:r>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760</w:t>
            </w:r>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163</w:t>
            </w:r>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47</w:t>
            </w:r>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138</w:t>
            </w:r>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0.56</w:t>
            </w:r>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0.05</w:t>
            </w:r>
          </w:p>
        </w:tc>
      </w:tr>
      <w:tr w:rsidR="00816493" w:rsidRPr="00816493" w:rsidTr="00816493">
        <w:trPr>
          <w:tblCellSpacing w:w="15" w:type="dxa"/>
        </w:trPr>
        <w:tc>
          <w:tcPr>
            <w:tcW w:w="0" w:type="auto"/>
            <w:vAlign w:val="center"/>
            <w:hideMark/>
          </w:tcPr>
          <w:p w:rsidR="00816493" w:rsidRPr="00816493" w:rsidRDefault="00816493" w:rsidP="00816493">
            <w:pPr>
              <w:spacing w:line="360" w:lineRule="auto"/>
              <w:contextualSpacing/>
              <w:jc w:val="both"/>
              <w:rPr>
                <w:rFonts w:cs="Times New Roman"/>
                <w:szCs w:val="24"/>
              </w:rPr>
            </w:pPr>
            <w:proofErr w:type="spellStart"/>
            <w:r w:rsidRPr="00816493">
              <w:rPr>
                <w:rFonts w:cs="Times New Roman"/>
                <w:szCs w:val="24"/>
              </w:rPr>
              <w:t>Iroye</w:t>
            </w:r>
            <w:proofErr w:type="spellEnd"/>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6.8</w:t>
            </w:r>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3.0</w:t>
            </w:r>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295</w:t>
            </w:r>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460</w:t>
            </w:r>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132</w:t>
            </w:r>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21</w:t>
            </w:r>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96</w:t>
            </w:r>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0.31</w:t>
            </w:r>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0.00</w:t>
            </w:r>
          </w:p>
        </w:tc>
      </w:tr>
      <w:tr w:rsidR="00816493" w:rsidRPr="00816493" w:rsidTr="00816493">
        <w:trPr>
          <w:tblCellSpacing w:w="15" w:type="dxa"/>
        </w:trPr>
        <w:tc>
          <w:tcPr>
            <w:tcW w:w="0" w:type="auto"/>
            <w:vAlign w:val="center"/>
            <w:hideMark/>
          </w:tcPr>
          <w:p w:rsidR="00816493" w:rsidRPr="00816493" w:rsidRDefault="00816493" w:rsidP="00816493">
            <w:pPr>
              <w:spacing w:line="360" w:lineRule="auto"/>
              <w:contextualSpacing/>
              <w:jc w:val="both"/>
              <w:rPr>
                <w:rFonts w:cs="Times New Roman"/>
                <w:szCs w:val="24"/>
              </w:rPr>
            </w:pPr>
            <w:proofErr w:type="spellStart"/>
            <w:r w:rsidRPr="00816493">
              <w:rPr>
                <w:rFonts w:cs="Times New Roman"/>
                <w:szCs w:val="24"/>
              </w:rPr>
              <w:t>Orisi</w:t>
            </w:r>
            <w:proofErr w:type="spellEnd"/>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6.7</w:t>
            </w:r>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4.1</w:t>
            </w:r>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338</w:t>
            </w:r>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510</w:t>
            </w:r>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146</w:t>
            </w:r>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28</w:t>
            </w:r>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108</w:t>
            </w:r>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0.33</w:t>
            </w:r>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0.02</w:t>
            </w:r>
          </w:p>
        </w:tc>
      </w:tr>
      <w:tr w:rsidR="00816493" w:rsidRPr="00816493" w:rsidTr="00816493">
        <w:trPr>
          <w:tblCellSpacing w:w="15" w:type="dxa"/>
        </w:trPr>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 xml:space="preserve">Omi </w:t>
            </w:r>
            <w:proofErr w:type="spellStart"/>
            <w:r w:rsidRPr="00816493">
              <w:rPr>
                <w:rFonts w:cs="Times New Roman"/>
                <w:szCs w:val="24"/>
              </w:rPr>
              <w:t>Asoro</w:t>
            </w:r>
            <w:proofErr w:type="spellEnd"/>
            <w:r w:rsidRPr="00816493">
              <w:rPr>
                <w:rFonts w:cs="Times New Roman"/>
                <w:szCs w:val="24"/>
              </w:rPr>
              <w:t xml:space="preserve"> (2)</w:t>
            </w:r>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6.6</w:t>
            </w:r>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4.2</w:t>
            </w:r>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345</w:t>
            </w:r>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520</w:t>
            </w:r>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144</w:t>
            </w:r>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28</w:t>
            </w:r>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107</w:t>
            </w:r>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0.33</w:t>
            </w:r>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0.02</w:t>
            </w:r>
          </w:p>
        </w:tc>
      </w:tr>
      <w:tr w:rsidR="00816493" w:rsidRPr="00816493" w:rsidTr="0065592C">
        <w:trPr>
          <w:tblCellSpacing w:w="15" w:type="dxa"/>
        </w:trPr>
        <w:tc>
          <w:tcPr>
            <w:tcW w:w="0" w:type="auto"/>
            <w:tcBorders>
              <w:bottom w:val="single" w:sz="4" w:space="0" w:color="auto"/>
            </w:tcBorders>
            <w:vAlign w:val="center"/>
            <w:hideMark/>
          </w:tcPr>
          <w:p w:rsidR="00816493" w:rsidRPr="00816493" w:rsidRDefault="00816493" w:rsidP="00816493">
            <w:pPr>
              <w:spacing w:line="360" w:lineRule="auto"/>
              <w:contextualSpacing/>
              <w:jc w:val="both"/>
              <w:rPr>
                <w:rFonts w:cs="Times New Roman"/>
                <w:szCs w:val="24"/>
              </w:rPr>
            </w:pPr>
            <w:proofErr w:type="spellStart"/>
            <w:r w:rsidRPr="00816493">
              <w:rPr>
                <w:rFonts w:cs="Times New Roman"/>
                <w:szCs w:val="24"/>
              </w:rPr>
              <w:t>Okesa</w:t>
            </w:r>
            <w:proofErr w:type="spellEnd"/>
          </w:p>
        </w:tc>
        <w:tc>
          <w:tcPr>
            <w:tcW w:w="0" w:type="auto"/>
            <w:tcBorders>
              <w:bottom w:val="single" w:sz="4" w:space="0" w:color="auto"/>
            </w:tcBorders>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6.9</w:t>
            </w:r>
          </w:p>
        </w:tc>
        <w:tc>
          <w:tcPr>
            <w:tcW w:w="0" w:type="auto"/>
            <w:tcBorders>
              <w:bottom w:val="single" w:sz="4" w:space="0" w:color="auto"/>
            </w:tcBorders>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3.1</w:t>
            </w:r>
          </w:p>
        </w:tc>
        <w:tc>
          <w:tcPr>
            <w:tcW w:w="0" w:type="auto"/>
            <w:tcBorders>
              <w:bottom w:val="single" w:sz="4" w:space="0" w:color="auto"/>
            </w:tcBorders>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310</w:t>
            </w:r>
          </w:p>
        </w:tc>
        <w:tc>
          <w:tcPr>
            <w:tcW w:w="0" w:type="auto"/>
            <w:tcBorders>
              <w:bottom w:val="single" w:sz="4" w:space="0" w:color="auto"/>
            </w:tcBorders>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490</w:t>
            </w:r>
          </w:p>
        </w:tc>
        <w:tc>
          <w:tcPr>
            <w:tcW w:w="0" w:type="auto"/>
            <w:tcBorders>
              <w:bottom w:val="single" w:sz="4" w:space="0" w:color="auto"/>
            </w:tcBorders>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136</w:t>
            </w:r>
          </w:p>
        </w:tc>
        <w:tc>
          <w:tcPr>
            <w:tcW w:w="0" w:type="auto"/>
            <w:tcBorders>
              <w:bottom w:val="single" w:sz="4" w:space="0" w:color="auto"/>
            </w:tcBorders>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24</w:t>
            </w:r>
          </w:p>
        </w:tc>
        <w:tc>
          <w:tcPr>
            <w:tcW w:w="0" w:type="auto"/>
            <w:tcBorders>
              <w:bottom w:val="single" w:sz="4" w:space="0" w:color="auto"/>
            </w:tcBorders>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102</w:t>
            </w:r>
          </w:p>
        </w:tc>
        <w:tc>
          <w:tcPr>
            <w:tcW w:w="0" w:type="auto"/>
            <w:tcBorders>
              <w:bottom w:val="single" w:sz="4" w:space="0" w:color="auto"/>
            </w:tcBorders>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0.28</w:t>
            </w:r>
          </w:p>
        </w:tc>
        <w:tc>
          <w:tcPr>
            <w:tcW w:w="0" w:type="auto"/>
            <w:tcBorders>
              <w:bottom w:val="single" w:sz="4" w:space="0" w:color="auto"/>
            </w:tcBorders>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0.00</w:t>
            </w:r>
          </w:p>
        </w:tc>
      </w:tr>
    </w:tbl>
    <w:p w:rsidR="001C06AF" w:rsidRDefault="0065592C" w:rsidP="001C06AF">
      <w:pPr>
        <w:pStyle w:val="NoSpacing"/>
        <w:rPr>
          <w:rStyle w:val="Strong"/>
        </w:rPr>
      </w:pPr>
      <w:r>
        <w:rPr>
          <w:rStyle w:val="Strong"/>
        </w:rPr>
        <w:t>Source: Authors Computation, 2026</w:t>
      </w:r>
    </w:p>
    <w:p w:rsidR="001C06AF" w:rsidRDefault="001C06AF" w:rsidP="001C06AF">
      <w:pPr>
        <w:pStyle w:val="NoSpacing"/>
        <w:rPr>
          <w:rStyle w:val="Strong"/>
        </w:rPr>
      </w:pPr>
    </w:p>
    <w:p w:rsidR="00816493" w:rsidRDefault="00816493" w:rsidP="001C06AF">
      <w:pPr>
        <w:pStyle w:val="NoSpacing"/>
        <w:spacing w:line="360" w:lineRule="auto"/>
        <w:jc w:val="both"/>
        <w:rPr>
          <w:rFonts w:ascii="Times New Roman" w:hAnsi="Times New Roman" w:cs="Times New Roman"/>
          <w:sz w:val="24"/>
          <w:szCs w:val="24"/>
        </w:rPr>
      </w:pPr>
      <w:r w:rsidRPr="00816493">
        <w:rPr>
          <w:rFonts w:ascii="Times New Roman" w:hAnsi="Times New Roman" w:cs="Times New Roman"/>
          <w:sz w:val="24"/>
          <w:szCs w:val="24"/>
        </w:rPr>
        <w:t>T</w:t>
      </w:r>
      <w:r w:rsidR="0065592C">
        <w:t>able 2</w:t>
      </w:r>
      <w:r w:rsidRPr="00816493">
        <w:rPr>
          <w:rFonts w:ascii="Times New Roman" w:hAnsi="Times New Roman" w:cs="Times New Roman"/>
          <w:sz w:val="24"/>
          <w:szCs w:val="24"/>
        </w:rPr>
        <w:t xml:space="preserve">presented that right-side wells show relatively higher chemical contamination, particularly at </w:t>
      </w:r>
      <w:proofErr w:type="spellStart"/>
      <w:r w:rsidRPr="00816493">
        <w:rPr>
          <w:rFonts w:ascii="Times New Roman" w:hAnsi="Times New Roman" w:cs="Times New Roman"/>
          <w:sz w:val="24"/>
          <w:szCs w:val="24"/>
        </w:rPr>
        <w:t>Omooba</w:t>
      </w:r>
      <w:proofErr w:type="spellEnd"/>
      <w:r w:rsidRPr="00816493">
        <w:rPr>
          <w:rFonts w:ascii="Times New Roman" w:hAnsi="Times New Roman" w:cs="Times New Roman"/>
          <w:sz w:val="24"/>
          <w:szCs w:val="24"/>
        </w:rPr>
        <w:t xml:space="preserve"> </w:t>
      </w:r>
      <w:proofErr w:type="spellStart"/>
      <w:r w:rsidRPr="00816493">
        <w:rPr>
          <w:rFonts w:ascii="Times New Roman" w:hAnsi="Times New Roman" w:cs="Times New Roman"/>
          <w:sz w:val="24"/>
          <w:szCs w:val="24"/>
        </w:rPr>
        <w:t>Alufaa</w:t>
      </w:r>
      <w:proofErr w:type="spellEnd"/>
      <w:r w:rsidRPr="00816493">
        <w:rPr>
          <w:rFonts w:ascii="Times New Roman" w:hAnsi="Times New Roman" w:cs="Times New Roman"/>
          <w:sz w:val="24"/>
          <w:szCs w:val="24"/>
        </w:rPr>
        <w:t>, which recorded the highest values of TDS, EC, nitrate, iron, and lead. This suggests possible influence from anthropogenic activities and nearby waste sources.</w:t>
      </w:r>
    </w:p>
    <w:p w:rsidR="001C06AF" w:rsidRDefault="001C06AF" w:rsidP="001C06AF">
      <w:pPr>
        <w:pStyle w:val="NoSpacing"/>
        <w:spacing w:line="360" w:lineRule="auto"/>
        <w:jc w:val="both"/>
        <w:rPr>
          <w:rFonts w:ascii="Times New Roman" w:hAnsi="Times New Roman" w:cs="Times New Roman"/>
          <w:sz w:val="24"/>
          <w:szCs w:val="24"/>
        </w:rPr>
      </w:pPr>
    </w:p>
    <w:p w:rsidR="001C06AF" w:rsidRDefault="001C06AF" w:rsidP="001C06AF">
      <w:pPr>
        <w:pStyle w:val="NoSpacing"/>
        <w:spacing w:line="360" w:lineRule="auto"/>
        <w:jc w:val="both"/>
        <w:rPr>
          <w:rFonts w:ascii="Times New Roman" w:hAnsi="Times New Roman" w:cs="Times New Roman"/>
          <w:sz w:val="24"/>
          <w:szCs w:val="24"/>
        </w:rPr>
      </w:pPr>
    </w:p>
    <w:p w:rsidR="001C06AF" w:rsidRDefault="001C06AF" w:rsidP="001C06AF">
      <w:pPr>
        <w:pStyle w:val="NoSpacing"/>
        <w:spacing w:line="360" w:lineRule="auto"/>
        <w:jc w:val="both"/>
        <w:rPr>
          <w:rFonts w:ascii="Times New Roman" w:hAnsi="Times New Roman" w:cs="Times New Roman"/>
          <w:sz w:val="24"/>
          <w:szCs w:val="24"/>
        </w:rPr>
      </w:pPr>
    </w:p>
    <w:p w:rsidR="001C06AF" w:rsidRDefault="001C06AF" w:rsidP="001C06AF">
      <w:pPr>
        <w:pStyle w:val="NoSpacing"/>
        <w:spacing w:line="360" w:lineRule="auto"/>
        <w:jc w:val="both"/>
        <w:rPr>
          <w:rFonts w:ascii="Times New Roman" w:hAnsi="Times New Roman" w:cs="Times New Roman"/>
          <w:sz w:val="24"/>
          <w:szCs w:val="24"/>
        </w:rPr>
      </w:pPr>
    </w:p>
    <w:p w:rsidR="001C06AF" w:rsidRDefault="001C06AF" w:rsidP="001C06AF">
      <w:pPr>
        <w:pStyle w:val="NoSpacing"/>
        <w:spacing w:line="360" w:lineRule="auto"/>
        <w:jc w:val="both"/>
        <w:rPr>
          <w:rFonts w:ascii="Times New Roman" w:hAnsi="Times New Roman" w:cs="Times New Roman"/>
          <w:sz w:val="24"/>
          <w:szCs w:val="24"/>
        </w:rPr>
      </w:pPr>
    </w:p>
    <w:p w:rsidR="001C06AF" w:rsidRDefault="001C06AF" w:rsidP="001C06AF">
      <w:pPr>
        <w:pStyle w:val="NoSpacing"/>
        <w:spacing w:line="360" w:lineRule="auto"/>
        <w:jc w:val="both"/>
        <w:rPr>
          <w:rFonts w:ascii="Times New Roman" w:hAnsi="Times New Roman" w:cs="Times New Roman"/>
          <w:sz w:val="24"/>
          <w:szCs w:val="24"/>
        </w:rPr>
      </w:pPr>
    </w:p>
    <w:p w:rsidR="001C06AF" w:rsidRDefault="001C06AF" w:rsidP="001C06AF">
      <w:pPr>
        <w:pStyle w:val="NoSpacing"/>
        <w:spacing w:line="360" w:lineRule="auto"/>
        <w:jc w:val="both"/>
        <w:rPr>
          <w:rFonts w:ascii="Times New Roman" w:hAnsi="Times New Roman" w:cs="Times New Roman"/>
          <w:sz w:val="24"/>
          <w:szCs w:val="24"/>
        </w:rPr>
      </w:pPr>
    </w:p>
    <w:p w:rsidR="001C06AF" w:rsidRDefault="001C06AF" w:rsidP="001C06AF">
      <w:pPr>
        <w:pStyle w:val="NoSpacing"/>
        <w:spacing w:line="360" w:lineRule="auto"/>
        <w:jc w:val="both"/>
        <w:rPr>
          <w:rFonts w:ascii="Times New Roman" w:hAnsi="Times New Roman" w:cs="Times New Roman"/>
          <w:sz w:val="24"/>
          <w:szCs w:val="24"/>
        </w:rPr>
      </w:pPr>
    </w:p>
    <w:p w:rsidR="001C06AF" w:rsidRDefault="001C06AF" w:rsidP="001C06AF">
      <w:pPr>
        <w:pStyle w:val="NoSpacing"/>
        <w:spacing w:line="360" w:lineRule="auto"/>
        <w:jc w:val="both"/>
        <w:rPr>
          <w:rFonts w:ascii="Times New Roman" w:hAnsi="Times New Roman" w:cs="Times New Roman"/>
          <w:sz w:val="24"/>
          <w:szCs w:val="24"/>
        </w:rPr>
      </w:pPr>
    </w:p>
    <w:p w:rsidR="001C06AF" w:rsidRDefault="001C06AF" w:rsidP="001C06AF">
      <w:pPr>
        <w:pStyle w:val="NoSpacing"/>
        <w:spacing w:line="360" w:lineRule="auto"/>
        <w:jc w:val="both"/>
        <w:rPr>
          <w:rFonts w:ascii="Times New Roman" w:hAnsi="Times New Roman" w:cs="Times New Roman"/>
          <w:sz w:val="24"/>
          <w:szCs w:val="24"/>
        </w:rPr>
      </w:pPr>
    </w:p>
    <w:p w:rsidR="001C06AF" w:rsidRDefault="001C06AF" w:rsidP="001C06AF">
      <w:pPr>
        <w:pStyle w:val="NoSpacing"/>
        <w:spacing w:line="360" w:lineRule="auto"/>
        <w:jc w:val="both"/>
        <w:rPr>
          <w:rFonts w:ascii="Times New Roman" w:hAnsi="Times New Roman" w:cs="Times New Roman"/>
          <w:sz w:val="24"/>
          <w:szCs w:val="24"/>
        </w:rPr>
      </w:pPr>
    </w:p>
    <w:p w:rsidR="001C06AF" w:rsidRPr="001C06AF" w:rsidRDefault="001C06AF" w:rsidP="001C06AF">
      <w:pPr>
        <w:pStyle w:val="NoSpacing"/>
        <w:spacing w:line="360" w:lineRule="auto"/>
        <w:jc w:val="both"/>
        <w:rPr>
          <w:b/>
          <w:bCs/>
        </w:rPr>
      </w:pPr>
    </w:p>
    <w:p w:rsidR="00816493" w:rsidRPr="00816493" w:rsidRDefault="00816493" w:rsidP="001C06AF">
      <w:pPr>
        <w:pStyle w:val="Heading3"/>
        <w:pBdr>
          <w:bottom w:val="single" w:sz="4" w:space="1" w:color="auto"/>
        </w:pBdr>
        <w:spacing w:line="360" w:lineRule="auto"/>
        <w:contextualSpacing/>
        <w:jc w:val="both"/>
        <w:rPr>
          <w:rFonts w:ascii="Times New Roman" w:hAnsi="Times New Roman" w:cs="Times New Roman"/>
          <w:color w:val="auto"/>
          <w:szCs w:val="24"/>
        </w:rPr>
      </w:pPr>
      <w:r w:rsidRPr="00816493">
        <w:rPr>
          <w:rStyle w:val="Strong"/>
          <w:rFonts w:ascii="Times New Roman" w:hAnsi="Times New Roman" w:cs="Times New Roman"/>
          <w:b/>
          <w:bCs/>
          <w:color w:val="auto"/>
          <w:szCs w:val="24"/>
        </w:rPr>
        <w:t>Table 3: Microbiological Parameters (Left Side)</w:t>
      </w:r>
    </w:p>
    <w:tbl>
      <w:tblPr>
        <w:tblW w:w="9073" w:type="dxa"/>
        <w:tblCellSpacing w:w="15" w:type="dxa"/>
        <w:tblCellMar>
          <w:top w:w="15" w:type="dxa"/>
          <w:left w:w="15" w:type="dxa"/>
          <w:bottom w:w="15" w:type="dxa"/>
          <w:right w:w="15" w:type="dxa"/>
        </w:tblCellMar>
        <w:tblLook w:val="04A0" w:firstRow="1" w:lastRow="0" w:firstColumn="1" w:lastColumn="0" w:noHBand="0" w:noVBand="1"/>
      </w:tblPr>
      <w:tblGrid>
        <w:gridCol w:w="2443"/>
        <w:gridCol w:w="2637"/>
        <w:gridCol w:w="2836"/>
        <w:gridCol w:w="1157"/>
      </w:tblGrid>
      <w:tr w:rsidR="00816493" w:rsidRPr="00816493" w:rsidTr="001C06AF">
        <w:trPr>
          <w:trHeight w:val="331"/>
          <w:tblHeader/>
          <w:tblCellSpacing w:w="15" w:type="dxa"/>
        </w:trPr>
        <w:tc>
          <w:tcPr>
            <w:tcW w:w="0" w:type="auto"/>
            <w:tcBorders>
              <w:bottom w:val="single" w:sz="4" w:space="0" w:color="auto"/>
            </w:tcBorders>
            <w:vAlign w:val="center"/>
            <w:hideMark/>
          </w:tcPr>
          <w:p w:rsidR="00816493" w:rsidRPr="00816493" w:rsidRDefault="00816493" w:rsidP="00816493">
            <w:pPr>
              <w:spacing w:line="360" w:lineRule="auto"/>
              <w:contextualSpacing/>
              <w:jc w:val="both"/>
              <w:rPr>
                <w:rFonts w:cs="Times New Roman"/>
                <w:b/>
                <w:bCs/>
                <w:szCs w:val="24"/>
              </w:rPr>
            </w:pPr>
            <w:r w:rsidRPr="00816493">
              <w:rPr>
                <w:rFonts w:cs="Times New Roman"/>
                <w:b/>
                <w:bCs/>
                <w:szCs w:val="24"/>
              </w:rPr>
              <w:t>Location</w:t>
            </w:r>
          </w:p>
        </w:tc>
        <w:tc>
          <w:tcPr>
            <w:tcW w:w="0" w:type="auto"/>
            <w:tcBorders>
              <w:bottom w:val="single" w:sz="4" w:space="0" w:color="auto"/>
            </w:tcBorders>
            <w:vAlign w:val="center"/>
            <w:hideMark/>
          </w:tcPr>
          <w:p w:rsidR="00816493" w:rsidRPr="00816493" w:rsidRDefault="00816493" w:rsidP="00816493">
            <w:pPr>
              <w:spacing w:line="360" w:lineRule="auto"/>
              <w:contextualSpacing/>
              <w:jc w:val="both"/>
              <w:rPr>
                <w:rFonts w:cs="Times New Roman"/>
                <w:b/>
                <w:bCs/>
                <w:szCs w:val="24"/>
              </w:rPr>
            </w:pPr>
            <w:r w:rsidRPr="00816493">
              <w:rPr>
                <w:rFonts w:cs="Times New Roman"/>
                <w:b/>
                <w:bCs/>
                <w:szCs w:val="24"/>
              </w:rPr>
              <w:t>Total Coliform</w:t>
            </w:r>
          </w:p>
        </w:tc>
        <w:tc>
          <w:tcPr>
            <w:tcW w:w="0" w:type="auto"/>
            <w:tcBorders>
              <w:bottom w:val="single" w:sz="4" w:space="0" w:color="auto"/>
            </w:tcBorders>
            <w:vAlign w:val="center"/>
            <w:hideMark/>
          </w:tcPr>
          <w:p w:rsidR="00816493" w:rsidRPr="00816493" w:rsidRDefault="00816493" w:rsidP="00816493">
            <w:pPr>
              <w:spacing w:line="360" w:lineRule="auto"/>
              <w:contextualSpacing/>
              <w:jc w:val="both"/>
              <w:rPr>
                <w:rFonts w:cs="Times New Roman"/>
                <w:b/>
                <w:bCs/>
                <w:szCs w:val="24"/>
              </w:rPr>
            </w:pPr>
            <w:proofErr w:type="spellStart"/>
            <w:r w:rsidRPr="00816493">
              <w:rPr>
                <w:rFonts w:cs="Times New Roman"/>
                <w:b/>
                <w:bCs/>
                <w:szCs w:val="24"/>
              </w:rPr>
              <w:t>Faecal</w:t>
            </w:r>
            <w:proofErr w:type="spellEnd"/>
            <w:r w:rsidRPr="00816493">
              <w:rPr>
                <w:rFonts w:cs="Times New Roman"/>
                <w:b/>
                <w:bCs/>
                <w:szCs w:val="24"/>
              </w:rPr>
              <w:t xml:space="preserve"> Coliform</w:t>
            </w:r>
          </w:p>
        </w:tc>
        <w:tc>
          <w:tcPr>
            <w:tcW w:w="0" w:type="auto"/>
            <w:tcBorders>
              <w:bottom w:val="single" w:sz="4" w:space="0" w:color="auto"/>
            </w:tcBorders>
            <w:vAlign w:val="center"/>
            <w:hideMark/>
          </w:tcPr>
          <w:p w:rsidR="00816493" w:rsidRPr="00816493" w:rsidRDefault="00816493" w:rsidP="00816493">
            <w:pPr>
              <w:spacing w:line="360" w:lineRule="auto"/>
              <w:contextualSpacing/>
              <w:jc w:val="both"/>
              <w:rPr>
                <w:rFonts w:cs="Times New Roman"/>
                <w:b/>
                <w:bCs/>
                <w:szCs w:val="24"/>
              </w:rPr>
            </w:pPr>
            <w:r w:rsidRPr="00816493">
              <w:rPr>
                <w:rFonts w:cs="Times New Roman"/>
                <w:b/>
                <w:bCs/>
                <w:szCs w:val="24"/>
              </w:rPr>
              <w:t>E. coli</w:t>
            </w:r>
          </w:p>
        </w:tc>
      </w:tr>
      <w:tr w:rsidR="00816493" w:rsidRPr="00816493" w:rsidTr="001C06AF">
        <w:trPr>
          <w:trHeight w:val="343"/>
          <w:tblCellSpacing w:w="15" w:type="dxa"/>
        </w:trPr>
        <w:tc>
          <w:tcPr>
            <w:tcW w:w="0" w:type="auto"/>
            <w:vAlign w:val="center"/>
            <w:hideMark/>
          </w:tcPr>
          <w:p w:rsidR="00816493" w:rsidRPr="00816493" w:rsidRDefault="00816493" w:rsidP="00816493">
            <w:pPr>
              <w:spacing w:line="360" w:lineRule="auto"/>
              <w:contextualSpacing/>
              <w:jc w:val="both"/>
              <w:rPr>
                <w:rFonts w:cs="Times New Roman"/>
                <w:szCs w:val="24"/>
              </w:rPr>
            </w:pPr>
            <w:proofErr w:type="spellStart"/>
            <w:r w:rsidRPr="00816493">
              <w:rPr>
                <w:rFonts w:cs="Times New Roman"/>
                <w:szCs w:val="24"/>
              </w:rPr>
              <w:t>Kajola</w:t>
            </w:r>
            <w:proofErr w:type="spellEnd"/>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89</w:t>
            </w:r>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26</w:t>
            </w:r>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17</w:t>
            </w:r>
          </w:p>
        </w:tc>
      </w:tr>
      <w:tr w:rsidR="00816493" w:rsidRPr="00816493" w:rsidTr="001C06AF">
        <w:trPr>
          <w:trHeight w:val="331"/>
          <w:tblCellSpacing w:w="15" w:type="dxa"/>
        </w:trPr>
        <w:tc>
          <w:tcPr>
            <w:tcW w:w="0" w:type="auto"/>
            <w:vAlign w:val="center"/>
            <w:hideMark/>
          </w:tcPr>
          <w:p w:rsidR="00816493" w:rsidRPr="00816493" w:rsidRDefault="00816493" w:rsidP="00816493">
            <w:pPr>
              <w:spacing w:line="360" w:lineRule="auto"/>
              <w:contextualSpacing/>
              <w:jc w:val="both"/>
              <w:rPr>
                <w:rFonts w:cs="Times New Roman"/>
                <w:szCs w:val="24"/>
              </w:rPr>
            </w:pPr>
            <w:proofErr w:type="spellStart"/>
            <w:r w:rsidRPr="00816493">
              <w:rPr>
                <w:rFonts w:cs="Times New Roman"/>
                <w:szCs w:val="24"/>
              </w:rPr>
              <w:t>Obokun</w:t>
            </w:r>
            <w:proofErr w:type="spellEnd"/>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64</w:t>
            </w:r>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19</w:t>
            </w:r>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12</w:t>
            </w:r>
          </w:p>
        </w:tc>
      </w:tr>
      <w:tr w:rsidR="00816493" w:rsidRPr="00816493" w:rsidTr="001C06AF">
        <w:trPr>
          <w:trHeight w:val="343"/>
          <w:tblCellSpacing w:w="15" w:type="dxa"/>
        </w:trPr>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 xml:space="preserve">Imo </w:t>
            </w:r>
            <w:proofErr w:type="spellStart"/>
            <w:r w:rsidRPr="00816493">
              <w:rPr>
                <w:rFonts w:cs="Times New Roman"/>
                <w:szCs w:val="24"/>
              </w:rPr>
              <w:t>Fadaito</w:t>
            </w:r>
            <w:proofErr w:type="spellEnd"/>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61</w:t>
            </w:r>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18</w:t>
            </w:r>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11</w:t>
            </w:r>
          </w:p>
        </w:tc>
      </w:tr>
      <w:tr w:rsidR="00816493" w:rsidRPr="00816493" w:rsidTr="001C06AF">
        <w:trPr>
          <w:trHeight w:val="343"/>
          <w:tblCellSpacing w:w="15" w:type="dxa"/>
        </w:trPr>
        <w:tc>
          <w:tcPr>
            <w:tcW w:w="0" w:type="auto"/>
            <w:vAlign w:val="center"/>
            <w:hideMark/>
          </w:tcPr>
          <w:p w:rsidR="00816493" w:rsidRPr="00816493" w:rsidRDefault="00816493" w:rsidP="00816493">
            <w:pPr>
              <w:spacing w:line="360" w:lineRule="auto"/>
              <w:contextualSpacing/>
              <w:jc w:val="both"/>
              <w:rPr>
                <w:rFonts w:cs="Times New Roman"/>
                <w:szCs w:val="24"/>
              </w:rPr>
            </w:pPr>
            <w:proofErr w:type="spellStart"/>
            <w:r w:rsidRPr="00816493">
              <w:rPr>
                <w:rFonts w:cs="Times New Roman"/>
                <w:szCs w:val="24"/>
              </w:rPr>
              <w:t>Oke</w:t>
            </w:r>
            <w:proofErr w:type="spellEnd"/>
            <w:r w:rsidRPr="00816493">
              <w:rPr>
                <w:rFonts w:cs="Times New Roman"/>
                <w:szCs w:val="24"/>
              </w:rPr>
              <w:t xml:space="preserve"> Imo</w:t>
            </w:r>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79</w:t>
            </w:r>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25</w:t>
            </w:r>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16</w:t>
            </w:r>
          </w:p>
        </w:tc>
      </w:tr>
      <w:tr w:rsidR="00816493" w:rsidRPr="00816493" w:rsidTr="001C06AF">
        <w:trPr>
          <w:trHeight w:val="331"/>
          <w:tblCellSpacing w:w="15" w:type="dxa"/>
        </w:trPr>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 xml:space="preserve">Omi </w:t>
            </w:r>
            <w:proofErr w:type="spellStart"/>
            <w:r w:rsidRPr="00816493">
              <w:rPr>
                <w:rFonts w:cs="Times New Roman"/>
                <w:szCs w:val="24"/>
              </w:rPr>
              <w:t>Asoro</w:t>
            </w:r>
            <w:proofErr w:type="spellEnd"/>
            <w:r w:rsidRPr="00816493">
              <w:rPr>
                <w:rFonts w:cs="Times New Roman"/>
                <w:szCs w:val="24"/>
              </w:rPr>
              <w:t xml:space="preserve"> (1)</w:t>
            </w:r>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96</w:t>
            </w:r>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33</w:t>
            </w:r>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21</w:t>
            </w:r>
          </w:p>
        </w:tc>
      </w:tr>
      <w:tr w:rsidR="00816493" w:rsidRPr="00816493" w:rsidTr="001C06AF">
        <w:trPr>
          <w:trHeight w:val="343"/>
          <w:tblCellSpacing w:w="15" w:type="dxa"/>
        </w:trPr>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Brewery</w:t>
            </w:r>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70</w:t>
            </w:r>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20</w:t>
            </w:r>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13</w:t>
            </w:r>
          </w:p>
        </w:tc>
      </w:tr>
      <w:tr w:rsidR="00816493" w:rsidRPr="00816493" w:rsidTr="001C06AF">
        <w:trPr>
          <w:trHeight w:val="331"/>
          <w:tblCellSpacing w:w="15" w:type="dxa"/>
        </w:trPr>
        <w:tc>
          <w:tcPr>
            <w:tcW w:w="0" w:type="auto"/>
            <w:tcBorders>
              <w:bottom w:val="single" w:sz="4" w:space="0" w:color="auto"/>
            </w:tcBorders>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Imo</w:t>
            </w:r>
          </w:p>
        </w:tc>
        <w:tc>
          <w:tcPr>
            <w:tcW w:w="0" w:type="auto"/>
            <w:tcBorders>
              <w:bottom w:val="single" w:sz="4" w:space="0" w:color="auto"/>
            </w:tcBorders>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63</w:t>
            </w:r>
          </w:p>
        </w:tc>
        <w:tc>
          <w:tcPr>
            <w:tcW w:w="0" w:type="auto"/>
            <w:tcBorders>
              <w:bottom w:val="single" w:sz="4" w:space="0" w:color="auto"/>
            </w:tcBorders>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19</w:t>
            </w:r>
          </w:p>
        </w:tc>
        <w:tc>
          <w:tcPr>
            <w:tcW w:w="0" w:type="auto"/>
            <w:tcBorders>
              <w:bottom w:val="single" w:sz="4" w:space="0" w:color="auto"/>
            </w:tcBorders>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11</w:t>
            </w:r>
          </w:p>
        </w:tc>
      </w:tr>
    </w:tbl>
    <w:p w:rsidR="001C06AF" w:rsidRDefault="001C06AF" w:rsidP="001C06AF">
      <w:pPr>
        <w:pStyle w:val="NoSpacing"/>
        <w:rPr>
          <w:rStyle w:val="Strong"/>
        </w:rPr>
      </w:pPr>
      <w:r>
        <w:rPr>
          <w:rStyle w:val="Strong"/>
        </w:rPr>
        <w:t>Source: Authors Computation, 2026</w:t>
      </w:r>
    </w:p>
    <w:p w:rsidR="00816493" w:rsidRPr="00816493" w:rsidRDefault="00816493" w:rsidP="003D6903">
      <w:pPr>
        <w:pStyle w:val="NormalWeb"/>
        <w:spacing w:line="360" w:lineRule="auto"/>
        <w:contextualSpacing/>
        <w:jc w:val="both"/>
      </w:pPr>
      <w:r w:rsidRPr="00816493">
        <w:t>T</w:t>
      </w:r>
      <w:r w:rsidR="003A0668">
        <w:t>able 3</w:t>
      </w:r>
      <w:r w:rsidRPr="00816493">
        <w:t xml:space="preserve"> presented that all left-side wells are microbiologically contaminated, with Omi </w:t>
      </w:r>
      <w:proofErr w:type="spellStart"/>
      <w:r w:rsidRPr="00816493">
        <w:t>Asoro</w:t>
      </w:r>
      <w:proofErr w:type="spellEnd"/>
      <w:r w:rsidRPr="00816493">
        <w:t xml:space="preserve"> (1) recording the highest bacterial load. This indicates faecal pollution from poor sanitation and shallow well construction.</w:t>
      </w:r>
    </w:p>
    <w:p w:rsidR="00816493" w:rsidRPr="00816493" w:rsidRDefault="00816493" w:rsidP="007A2395">
      <w:pPr>
        <w:pStyle w:val="Heading3"/>
        <w:pBdr>
          <w:bottom w:val="single" w:sz="4" w:space="1" w:color="auto"/>
        </w:pBdr>
        <w:spacing w:line="360" w:lineRule="auto"/>
        <w:contextualSpacing/>
        <w:jc w:val="both"/>
        <w:rPr>
          <w:rFonts w:ascii="Times New Roman" w:hAnsi="Times New Roman" w:cs="Times New Roman"/>
          <w:color w:val="auto"/>
          <w:szCs w:val="24"/>
        </w:rPr>
      </w:pPr>
      <w:r w:rsidRPr="00816493">
        <w:rPr>
          <w:rStyle w:val="Strong"/>
          <w:rFonts w:ascii="Times New Roman" w:hAnsi="Times New Roman" w:cs="Times New Roman"/>
          <w:b/>
          <w:bCs/>
          <w:color w:val="auto"/>
          <w:szCs w:val="24"/>
        </w:rPr>
        <w:t>Table 4: Microbiological Parameters (Right Side)</w:t>
      </w:r>
    </w:p>
    <w:tbl>
      <w:tblPr>
        <w:tblW w:w="9074" w:type="dxa"/>
        <w:tblCellSpacing w:w="15" w:type="dxa"/>
        <w:tblCellMar>
          <w:top w:w="15" w:type="dxa"/>
          <w:left w:w="15" w:type="dxa"/>
          <w:bottom w:w="15" w:type="dxa"/>
          <w:right w:w="15" w:type="dxa"/>
        </w:tblCellMar>
        <w:tblLook w:val="04A0" w:firstRow="1" w:lastRow="0" w:firstColumn="1" w:lastColumn="0" w:noHBand="0" w:noVBand="1"/>
      </w:tblPr>
      <w:tblGrid>
        <w:gridCol w:w="2593"/>
        <w:gridCol w:w="2577"/>
        <w:gridCol w:w="2772"/>
        <w:gridCol w:w="1132"/>
      </w:tblGrid>
      <w:tr w:rsidR="00816493" w:rsidRPr="00816493" w:rsidTr="007A2395">
        <w:trPr>
          <w:trHeight w:val="330"/>
          <w:tblHeader/>
          <w:tblCellSpacing w:w="15" w:type="dxa"/>
        </w:trPr>
        <w:tc>
          <w:tcPr>
            <w:tcW w:w="0" w:type="auto"/>
            <w:tcBorders>
              <w:bottom w:val="single" w:sz="4" w:space="0" w:color="auto"/>
            </w:tcBorders>
            <w:vAlign w:val="center"/>
            <w:hideMark/>
          </w:tcPr>
          <w:p w:rsidR="00816493" w:rsidRPr="00816493" w:rsidRDefault="00816493" w:rsidP="00816493">
            <w:pPr>
              <w:spacing w:line="360" w:lineRule="auto"/>
              <w:contextualSpacing/>
              <w:jc w:val="both"/>
              <w:rPr>
                <w:rFonts w:cs="Times New Roman"/>
                <w:b/>
                <w:bCs/>
                <w:szCs w:val="24"/>
              </w:rPr>
            </w:pPr>
            <w:r w:rsidRPr="00816493">
              <w:rPr>
                <w:rFonts w:cs="Times New Roman"/>
                <w:b/>
                <w:bCs/>
                <w:szCs w:val="24"/>
              </w:rPr>
              <w:t>Location</w:t>
            </w:r>
          </w:p>
        </w:tc>
        <w:tc>
          <w:tcPr>
            <w:tcW w:w="0" w:type="auto"/>
            <w:tcBorders>
              <w:bottom w:val="single" w:sz="4" w:space="0" w:color="auto"/>
            </w:tcBorders>
            <w:vAlign w:val="center"/>
            <w:hideMark/>
          </w:tcPr>
          <w:p w:rsidR="00816493" w:rsidRPr="00816493" w:rsidRDefault="00816493" w:rsidP="00816493">
            <w:pPr>
              <w:spacing w:line="360" w:lineRule="auto"/>
              <w:contextualSpacing/>
              <w:jc w:val="both"/>
              <w:rPr>
                <w:rFonts w:cs="Times New Roman"/>
                <w:b/>
                <w:bCs/>
                <w:szCs w:val="24"/>
              </w:rPr>
            </w:pPr>
            <w:r w:rsidRPr="00816493">
              <w:rPr>
                <w:rFonts w:cs="Times New Roman"/>
                <w:b/>
                <w:bCs/>
                <w:szCs w:val="24"/>
              </w:rPr>
              <w:t>Total Coliform</w:t>
            </w:r>
          </w:p>
        </w:tc>
        <w:tc>
          <w:tcPr>
            <w:tcW w:w="0" w:type="auto"/>
            <w:tcBorders>
              <w:bottom w:val="single" w:sz="4" w:space="0" w:color="auto"/>
            </w:tcBorders>
            <w:vAlign w:val="center"/>
            <w:hideMark/>
          </w:tcPr>
          <w:p w:rsidR="00816493" w:rsidRPr="00816493" w:rsidRDefault="00816493" w:rsidP="00816493">
            <w:pPr>
              <w:spacing w:line="360" w:lineRule="auto"/>
              <w:contextualSpacing/>
              <w:jc w:val="both"/>
              <w:rPr>
                <w:rFonts w:cs="Times New Roman"/>
                <w:b/>
                <w:bCs/>
                <w:szCs w:val="24"/>
              </w:rPr>
            </w:pPr>
            <w:proofErr w:type="spellStart"/>
            <w:r w:rsidRPr="00816493">
              <w:rPr>
                <w:rFonts w:cs="Times New Roman"/>
                <w:b/>
                <w:bCs/>
                <w:szCs w:val="24"/>
              </w:rPr>
              <w:t>Faecal</w:t>
            </w:r>
            <w:proofErr w:type="spellEnd"/>
            <w:r w:rsidRPr="00816493">
              <w:rPr>
                <w:rFonts w:cs="Times New Roman"/>
                <w:b/>
                <w:bCs/>
                <w:szCs w:val="24"/>
              </w:rPr>
              <w:t xml:space="preserve"> Coliform</w:t>
            </w:r>
          </w:p>
        </w:tc>
        <w:tc>
          <w:tcPr>
            <w:tcW w:w="0" w:type="auto"/>
            <w:tcBorders>
              <w:bottom w:val="single" w:sz="4" w:space="0" w:color="auto"/>
            </w:tcBorders>
            <w:vAlign w:val="center"/>
            <w:hideMark/>
          </w:tcPr>
          <w:p w:rsidR="00816493" w:rsidRPr="00816493" w:rsidRDefault="00816493" w:rsidP="00816493">
            <w:pPr>
              <w:spacing w:line="360" w:lineRule="auto"/>
              <w:contextualSpacing/>
              <w:jc w:val="both"/>
              <w:rPr>
                <w:rFonts w:cs="Times New Roman"/>
                <w:b/>
                <w:bCs/>
                <w:szCs w:val="24"/>
              </w:rPr>
            </w:pPr>
            <w:r w:rsidRPr="00816493">
              <w:rPr>
                <w:rFonts w:cs="Times New Roman"/>
                <w:b/>
                <w:bCs/>
                <w:szCs w:val="24"/>
              </w:rPr>
              <w:t>E. coli</w:t>
            </w:r>
          </w:p>
        </w:tc>
      </w:tr>
      <w:tr w:rsidR="00816493" w:rsidRPr="00816493" w:rsidTr="007A2395">
        <w:trPr>
          <w:trHeight w:val="342"/>
          <w:tblCellSpacing w:w="15" w:type="dxa"/>
        </w:trPr>
        <w:tc>
          <w:tcPr>
            <w:tcW w:w="0" w:type="auto"/>
            <w:vAlign w:val="center"/>
            <w:hideMark/>
          </w:tcPr>
          <w:p w:rsidR="00816493" w:rsidRPr="00816493" w:rsidRDefault="00816493" w:rsidP="00816493">
            <w:pPr>
              <w:spacing w:line="360" w:lineRule="auto"/>
              <w:contextualSpacing/>
              <w:jc w:val="both"/>
              <w:rPr>
                <w:rFonts w:cs="Times New Roman"/>
                <w:szCs w:val="24"/>
              </w:rPr>
            </w:pPr>
            <w:proofErr w:type="spellStart"/>
            <w:r w:rsidRPr="00816493">
              <w:rPr>
                <w:rFonts w:cs="Times New Roman"/>
                <w:szCs w:val="24"/>
              </w:rPr>
              <w:t>Omooba</w:t>
            </w:r>
            <w:proofErr w:type="spellEnd"/>
            <w:r w:rsidRPr="00816493">
              <w:rPr>
                <w:rFonts w:cs="Times New Roman"/>
                <w:szCs w:val="24"/>
              </w:rPr>
              <w:t xml:space="preserve"> </w:t>
            </w:r>
            <w:proofErr w:type="spellStart"/>
            <w:r w:rsidRPr="00816493">
              <w:rPr>
                <w:rFonts w:cs="Times New Roman"/>
                <w:szCs w:val="24"/>
              </w:rPr>
              <w:t>Alufaa</w:t>
            </w:r>
            <w:proofErr w:type="spellEnd"/>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102</w:t>
            </w:r>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38</w:t>
            </w:r>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24</w:t>
            </w:r>
          </w:p>
        </w:tc>
      </w:tr>
      <w:tr w:rsidR="00816493" w:rsidRPr="00816493" w:rsidTr="007A2395">
        <w:trPr>
          <w:trHeight w:val="330"/>
          <w:tblCellSpacing w:w="15" w:type="dxa"/>
        </w:trPr>
        <w:tc>
          <w:tcPr>
            <w:tcW w:w="0" w:type="auto"/>
            <w:vAlign w:val="center"/>
            <w:hideMark/>
          </w:tcPr>
          <w:p w:rsidR="00816493" w:rsidRPr="00816493" w:rsidRDefault="00816493" w:rsidP="00816493">
            <w:pPr>
              <w:spacing w:line="360" w:lineRule="auto"/>
              <w:contextualSpacing/>
              <w:jc w:val="both"/>
              <w:rPr>
                <w:rFonts w:cs="Times New Roman"/>
                <w:szCs w:val="24"/>
              </w:rPr>
            </w:pPr>
            <w:proofErr w:type="spellStart"/>
            <w:r w:rsidRPr="00816493">
              <w:rPr>
                <w:rFonts w:cs="Times New Roman"/>
                <w:szCs w:val="24"/>
              </w:rPr>
              <w:t>Iroye</w:t>
            </w:r>
            <w:proofErr w:type="spellEnd"/>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58</w:t>
            </w:r>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17</w:t>
            </w:r>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10</w:t>
            </w:r>
          </w:p>
        </w:tc>
      </w:tr>
      <w:tr w:rsidR="00816493" w:rsidRPr="00816493" w:rsidTr="007A2395">
        <w:trPr>
          <w:trHeight w:val="342"/>
          <w:tblCellSpacing w:w="15" w:type="dxa"/>
        </w:trPr>
        <w:tc>
          <w:tcPr>
            <w:tcW w:w="0" w:type="auto"/>
            <w:vAlign w:val="center"/>
            <w:hideMark/>
          </w:tcPr>
          <w:p w:rsidR="00816493" w:rsidRPr="00816493" w:rsidRDefault="00816493" w:rsidP="00816493">
            <w:pPr>
              <w:spacing w:line="360" w:lineRule="auto"/>
              <w:contextualSpacing/>
              <w:jc w:val="both"/>
              <w:rPr>
                <w:rFonts w:cs="Times New Roman"/>
                <w:szCs w:val="24"/>
              </w:rPr>
            </w:pPr>
            <w:proofErr w:type="spellStart"/>
            <w:r w:rsidRPr="00816493">
              <w:rPr>
                <w:rFonts w:cs="Times New Roman"/>
                <w:szCs w:val="24"/>
              </w:rPr>
              <w:t>Orisi</w:t>
            </w:r>
            <w:proofErr w:type="spellEnd"/>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73</w:t>
            </w:r>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22</w:t>
            </w:r>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14</w:t>
            </w:r>
          </w:p>
        </w:tc>
      </w:tr>
      <w:tr w:rsidR="00816493" w:rsidRPr="00816493" w:rsidTr="007A2395">
        <w:trPr>
          <w:trHeight w:val="342"/>
          <w:tblCellSpacing w:w="15" w:type="dxa"/>
        </w:trPr>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 xml:space="preserve">Omi </w:t>
            </w:r>
            <w:proofErr w:type="spellStart"/>
            <w:r w:rsidRPr="00816493">
              <w:rPr>
                <w:rFonts w:cs="Times New Roman"/>
                <w:szCs w:val="24"/>
              </w:rPr>
              <w:t>Asoro</w:t>
            </w:r>
            <w:proofErr w:type="spellEnd"/>
            <w:r w:rsidRPr="00816493">
              <w:rPr>
                <w:rFonts w:cs="Times New Roman"/>
                <w:szCs w:val="24"/>
              </w:rPr>
              <w:t xml:space="preserve"> (2)</w:t>
            </w:r>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75</w:t>
            </w:r>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23</w:t>
            </w:r>
          </w:p>
        </w:tc>
        <w:tc>
          <w:tcPr>
            <w:tcW w:w="0" w:type="auto"/>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15</w:t>
            </w:r>
          </w:p>
        </w:tc>
      </w:tr>
      <w:tr w:rsidR="00816493" w:rsidRPr="00816493" w:rsidTr="007A2395">
        <w:trPr>
          <w:trHeight w:val="330"/>
          <w:tblCellSpacing w:w="15" w:type="dxa"/>
        </w:trPr>
        <w:tc>
          <w:tcPr>
            <w:tcW w:w="0" w:type="auto"/>
            <w:tcBorders>
              <w:bottom w:val="single" w:sz="4" w:space="0" w:color="auto"/>
            </w:tcBorders>
            <w:vAlign w:val="center"/>
            <w:hideMark/>
          </w:tcPr>
          <w:p w:rsidR="00816493" w:rsidRPr="00816493" w:rsidRDefault="00816493" w:rsidP="00816493">
            <w:pPr>
              <w:spacing w:line="360" w:lineRule="auto"/>
              <w:contextualSpacing/>
              <w:jc w:val="both"/>
              <w:rPr>
                <w:rFonts w:cs="Times New Roman"/>
                <w:szCs w:val="24"/>
              </w:rPr>
            </w:pPr>
            <w:proofErr w:type="spellStart"/>
            <w:r w:rsidRPr="00816493">
              <w:rPr>
                <w:rFonts w:cs="Times New Roman"/>
                <w:szCs w:val="24"/>
              </w:rPr>
              <w:t>Okesa</w:t>
            </w:r>
            <w:proofErr w:type="spellEnd"/>
          </w:p>
        </w:tc>
        <w:tc>
          <w:tcPr>
            <w:tcW w:w="0" w:type="auto"/>
            <w:tcBorders>
              <w:bottom w:val="single" w:sz="4" w:space="0" w:color="auto"/>
            </w:tcBorders>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59</w:t>
            </w:r>
          </w:p>
        </w:tc>
        <w:tc>
          <w:tcPr>
            <w:tcW w:w="0" w:type="auto"/>
            <w:tcBorders>
              <w:bottom w:val="single" w:sz="4" w:space="0" w:color="auto"/>
            </w:tcBorders>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18</w:t>
            </w:r>
          </w:p>
        </w:tc>
        <w:tc>
          <w:tcPr>
            <w:tcW w:w="0" w:type="auto"/>
            <w:tcBorders>
              <w:bottom w:val="single" w:sz="4" w:space="0" w:color="auto"/>
            </w:tcBorders>
            <w:vAlign w:val="center"/>
            <w:hideMark/>
          </w:tcPr>
          <w:p w:rsidR="00816493" w:rsidRPr="00816493" w:rsidRDefault="00816493" w:rsidP="00816493">
            <w:pPr>
              <w:spacing w:line="360" w:lineRule="auto"/>
              <w:contextualSpacing/>
              <w:jc w:val="both"/>
              <w:rPr>
                <w:rFonts w:cs="Times New Roman"/>
                <w:szCs w:val="24"/>
              </w:rPr>
            </w:pPr>
            <w:r w:rsidRPr="00816493">
              <w:rPr>
                <w:rFonts w:cs="Times New Roman"/>
                <w:szCs w:val="24"/>
              </w:rPr>
              <w:t>10</w:t>
            </w:r>
          </w:p>
        </w:tc>
      </w:tr>
    </w:tbl>
    <w:p w:rsidR="007A2395" w:rsidRDefault="007A2395" w:rsidP="007A2395">
      <w:pPr>
        <w:pStyle w:val="NoSpacing"/>
        <w:rPr>
          <w:rStyle w:val="Strong"/>
        </w:rPr>
      </w:pPr>
      <w:r>
        <w:rPr>
          <w:rStyle w:val="Strong"/>
        </w:rPr>
        <w:t>Source: Authors Computation, 2026</w:t>
      </w:r>
    </w:p>
    <w:p w:rsidR="004F3BCC" w:rsidRDefault="00816493" w:rsidP="004F3BCC">
      <w:pPr>
        <w:pStyle w:val="NormalWeb"/>
        <w:spacing w:line="360" w:lineRule="auto"/>
        <w:contextualSpacing/>
        <w:jc w:val="both"/>
      </w:pPr>
      <w:r w:rsidRPr="00816493">
        <w:t>T</w:t>
      </w:r>
      <w:r w:rsidR="000C631D">
        <w:t xml:space="preserve">able 4 </w:t>
      </w:r>
      <w:r w:rsidRPr="00816493">
        <w:t xml:space="preserve">presented that right-side wells are also fully contaminated microbiologically, with </w:t>
      </w:r>
      <w:proofErr w:type="spellStart"/>
      <w:r w:rsidRPr="00816493">
        <w:t>Omooba</w:t>
      </w:r>
      <w:proofErr w:type="spellEnd"/>
      <w:r w:rsidRPr="00816493">
        <w:t xml:space="preserve"> </w:t>
      </w:r>
      <w:proofErr w:type="spellStart"/>
      <w:r w:rsidRPr="00816493">
        <w:t>Alufaa</w:t>
      </w:r>
      <w:proofErr w:type="spellEnd"/>
      <w:r w:rsidRPr="00816493">
        <w:t xml:space="preserve"> showing the highest contamination levels, confirming strong influence from septic leakage and poor sanitation.</w:t>
      </w:r>
    </w:p>
    <w:p w:rsidR="004F3BCC" w:rsidRPr="0007213F" w:rsidRDefault="004F3BCC" w:rsidP="004F3BCC">
      <w:pPr>
        <w:pStyle w:val="NormalWeb"/>
        <w:spacing w:line="360" w:lineRule="auto"/>
        <w:contextualSpacing/>
        <w:jc w:val="both"/>
      </w:pPr>
      <w:r w:rsidRPr="0007213F">
        <w:rPr>
          <w:rStyle w:val="Strong"/>
          <w:bCs w:val="0"/>
        </w:rPr>
        <w:t>4.</w:t>
      </w:r>
      <w:r w:rsidRPr="0007213F">
        <w:rPr>
          <w:rStyle w:val="Strong"/>
          <w:bCs w:val="0"/>
        </w:rPr>
        <w:t>2</w:t>
      </w:r>
      <w:r w:rsidRPr="0007213F">
        <w:rPr>
          <w:rStyle w:val="Strong"/>
          <w:bCs w:val="0"/>
        </w:rPr>
        <w:t xml:space="preserve"> Data Interpretation and Comparison with Standards</w:t>
      </w:r>
    </w:p>
    <w:p w:rsidR="0007213F" w:rsidRDefault="004F3BCC" w:rsidP="0007213F">
      <w:pPr>
        <w:pStyle w:val="NormalWeb"/>
        <w:spacing w:line="360" w:lineRule="auto"/>
        <w:contextualSpacing/>
        <w:jc w:val="both"/>
      </w:pPr>
      <w:r w:rsidRPr="004F3BCC">
        <w:t xml:space="preserve">The physicochemical and microbiological analyses of groundwater samples collected from </w:t>
      </w:r>
      <w:proofErr w:type="spellStart"/>
      <w:r w:rsidRPr="004F3BCC">
        <w:t>Okesa</w:t>
      </w:r>
      <w:proofErr w:type="spellEnd"/>
      <w:r w:rsidRPr="004F3BCC">
        <w:t>, Ilesha, were evaluated against World Health Organization (WHO, 2017) and Standards Organisation of Nigeria (SON, 2015) permissible limits for potable water. The interpretation highlights variations in pH, turbidity, total dissolved solids (TDS), electrical conductivity (EC), total hardness, nitrate, chloride, iron, lead, and microbial indicators across the twelve sampled wells (seven on the left side and five on the right side of the study area).</w:t>
      </w:r>
    </w:p>
    <w:p w:rsidR="0007213F" w:rsidRDefault="0007213F" w:rsidP="0007213F">
      <w:pPr>
        <w:pStyle w:val="NormalWeb"/>
        <w:spacing w:line="360" w:lineRule="auto"/>
        <w:contextualSpacing/>
        <w:jc w:val="both"/>
      </w:pPr>
    </w:p>
    <w:p w:rsidR="0007213F" w:rsidRPr="00E5390D" w:rsidRDefault="004F3BCC" w:rsidP="0007213F">
      <w:pPr>
        <w:pStyle w:val="NormalWeb"/>
        <w:spacing w:line="360" w:lineRule="auto"/>
        <w:contextualSpacing/>
        <w:jc w:val="both"/>
      </w:pPr>
      <w:r w:rsidRPr="00E5390D">
        <w:rPr>
          <w:rStyle w:val="Strong"/>
          <w:bCs w:val="0"/>
        </w:rPr>
        <w:t>4.</w:t>
      </w:r>
      <w:r w:rsidR="0007213F" w:rsidRPr="00E5390D">
        <w:rPr>
          <w:rStyle w:val="Strong"/>
          <w:bCs w:val="0"/>
        </w:rPr>
        <w:t xml:space="preserve"> 3</w:t>
      </w:r>
      <w:r w:rsidR="00E5390D" w:rsidRPr="00E5390D">
        <w:rPr>
          <w:rStyle w:val="Strong"/>
          <w:bCs w:val="0"/>
        </w:rPr>
        <w:t xml:space="preserve"> </w:t>
      </w:r>
      <w:r w:rsidRPr="00E5390D">
        <w:rPr>
          <w:rStyle w:val="Strong"/>
          <w:bCs w:val="0"/>
        </w:rPr>
        <w:t>Physicochemical Parameters</w:t>
      </w:r>
    </w:p>
    <w:p w:rsidR="00E5390D" w:rsidRDefault="004F3BCC" w:rsidP="00E5390D">
      <w:pPr>
        <w:pStyle w:val="NormalWeb"/>
        <w:spacing w:line="360" w:lineRule="auto"/>
        <w:contextualSpacing/>
        <w:jc w:val="both"/>
      </w:pPr>
      <w:r w:rsidRPr="004F3BCC">
        <w:t xml:space="preserve">The pH values ranged from 5.9 to 6.9, with some wells (e.g., </w:t>
      </w:r>
      <w:proofErr w:type="spellStart"/>
      <w:r w:rsidRPr="004F3BCC">
        <w:t>Omooba</w:t>
      </w:r>
      <w:proofErr w:type="spellEnd"/>
      <w:r w:rsidRPr="004F3BCC">
        <w:t xml:space="preserve"> </w:t>
      </w:r>
      <w:proofErr w:type="spellStart"/>
      <w:r w:rsidRPr="004F3BCC">
        <w:t>Alufaa</w:t>
      </w:r>
      <w:proofErr w:type="spellEnd"/>
      <w:r w:rsidRPr="004F3BCC">
        <w:t xml:space="preserve"> at 5.9) slightly below the WHO acceptable range of 6.5–8.5, indicating slight acidity possibly due to mineral dissolution, organic decay, or septic infiltration.</w:t>
      </w:r>
      <w:r w:rsidR="00320A4F">
        <w:t xml:space="preserve"> </w:t>
      </w:r>
      <w:r w:rsidRPr="004F3BCC">
        <w:t xml:space="preserve">Turbidity ranged from 2.5 to 7.2 NTU, with </w:t>
      </w:r>
      <w:proofErr w:type="spellStart"/>
      <w:r w:rsidRPr="004F3BCC">
        <w:t>Omooba</w:t>
      </w:r>
      <w:proofErr w:type="spellEnd"/>
      <w:r w:rsidRPr="004F3BCC">
        <w:t xml:space="preserve"> </w:t>
      </w:r>
      <w:proofErr w:type="spellStart"/>
      <w:r w:rsidRPr="004F3BCC">
        <w:t>Alufaa</w:t>
      </w:r>
      <w:proofErr w:type="spellEnd"/>
      <w:r w:rsidRPr="004F3BCC">
        <w:t xml:space="preserve">, </w:t>
      </w:r>
      <w:proofErr w:type="spellStart"/>
      <w:r w:rsidRPr="004F3BCC">
        <w:t>Kajola</w:t>
      </w:r>
      <w:proofErr w:type="spellEnd"/>
      <w:r w:rsidRPr="004F3BCC">
        <w:t xml:space="preserve">, and Omi </w:t>
      </w:r>
      <w:proofErr w:type="spellStart"/>
      <w:r w:rsidRPr="004F3BCC">
        <w:t>Asoro</w:t>
      </w:r>
      <w:proofErr w:type="spellEnd"/>
      <w:r w:rsidRPr="004F3BCC">
        <w:t xml:space="preserve"> (1) exceeding the WHO limit of 5 NTU, indicating suspended particles and possible microbial contamination.</w:t>
      </w:r>
      <w:r w:rsidR="00320A4F">
        <w:t xml:space="preserve"> </w:t>
      </w:r>
      <w:r w:rsidRPr="004F3BCC">
        <w:t>TDS values ranged from 295 to 505 mg/L, all within the WHO/SON limit of 1000 mg/L, indicating moderate mineralization. EC values (up to 760 µS/cm) correspond with TDS levels, reflecting ionic presence such as nitrate, chloride, and iron.</w:t>
      </w:r>
      <w:r w:rsidR="00320A4F">
        <w:t xml:space="preserve"> </w:t>
      </w:r>
      <w:r w:rsidRPr="004F3BCC">
        <w:t xml:space="preserve">Total hardness (132–163 mg/L) remained within safe limits, suggesting no major scaling issues. Nitrate levels (21–47 mg/L) were below the 50 mg/L limit but slightly elevated in </w:t>
      </w:r>
      <w:proofErr w:type="spellStart"/>
      <w:r w:rsidRPr="004F3BCC">
        <w:t>Omooba</w:t>
      </w:r>
      <w:proofErr w:type="spellEnd"/>
      <w:r w:rsidRPr="004F3BCC">
        <w:t xml:space="preserve"> </w:t>
      </w:r>
      <w:proofErr w:type="spellStart"/>
      <w:r w:rsidRPr="004F3BCC">
        <w:t>Alufaa</w:t>
      </w:r>
      <w:proofErr w:type="spellEnd"/>
      <w:r w:rsidRPr="004F3BCC">
        <w:t xml:space="preserve"> and Omi </w:t>
      </w:r>
      <w:proofErr w:type="spellStart"/>
      <w:r w:rsidRPr="004F3BCC">
        <w:t>Asoro</w:t>
      </w:r>
      <w:proofErr w:type="spellEnd"/>
      <w:r w:rsidRPr="004F3BCC">
        <w:t xml:space="preserve"> (1), likely from wastewater or agricultural runoff. Chloride levels (96–138 mg/L) were within permissible limits.</w:t>
      </w:r>
      <w:r w:rsidR="00320A4F">
        <w:t xml:space="preserve"> </w:t>
      </w:r>
      <w:r w:rsidRPr="004F3BCC">
        <w:t xml:space="preserve">Iron (0.27–0.56 mg/L) and lead (0.00–0.05 mg/L) showed localized elevation. Lead exceeded WHO limits in </w:t>
      </w:r>
      <w:proofErr w:type="spellStart"/>
      <w:r w:rsidRPr="004F3BCC">
        <w:t>Omooba</w:t>
      </w:r>
      <w:proofErr w:type="spellEnd"/>
      <w:r w:rsidRPr="004F3BCC">
        <w:t xml:space="preserve"> </w:t>
      </w:r>
      <w:proofErr w:type="spellStart"/>
      <w:r w:rsidRPr="004F3BCC">
        <w:t>Alufaa</w:t>
      </w:r>
      <w:proofErr w:type="spellEnd"/>
      <w:r w:rsidRPr="004F3BCC">
        <w:t xml:space="preserve"> and Omi </w:t>
      </w:r>
      <w:proofErr w:type="spellStart"/>
      <w:r w:rsidRPr="004F3BCC">
        <w:t>Asoro</w:t>
      </w:r>
      <w:proofErr w:type="spellEnd"/>
      <w:r w:rsidRPr="004F3BCC">
        <w:t xml:space="preserve"> (1), indicating possible contamination from plumbing materials or nearby industrial influence.</w:t>
      </w:r>
    </w:p>
    <w:p w:rsidR="00E5390D" w:rsidRPr="00E5390D" w:rsidRDefault="004F3BCC" w:rsidP="00E5390D">
      <w:pPr>
        <w:pStyle w:val="NormalWeb"/>
        <w:spacing w:line="360" w:lineRule="auto"/>
        <w:contextualSpacing/>
        <w:jc w:val="both"/>
      </w:pPr>
      <w:r w:rsidRPr="00E5390D">
        <w:rPr>
          <w:rStyle w:val="Strong"/>
          <w:bCs w:val="0"/>
        </w:rPr>
        <w:t>4.4</w:t>
      </w:r>
      <w:r w:rsidR="00E5390D" w:rsidRPr="00E5390D">
        <w:rPr>
          <w:rStyle w:val="Strong"/>
          <w:bCs w:val="0"/>
        </w:rPr>
        <w:t xml:space="preserve"> </w:t>
      </w:r>
      <w:r w:rsidRPr="00E5390D">
        <w:rPr>
          <w:rStyle w:val="Strong"/>
          <w:bCs w:val="0"/>
        </w:rPr>
        <w:t>Microbiological Parameters</w:t>
      </w:r>
    </w:p>
    <w:p w:rsidR="00C567C7" w:rsidRDefault="004F3BCC" w:rsidP="00C567C7">
      <w:pPr>
        <w:pStyle w:val="NormalWeb"/>
        <w:spacing w:line="360" w:lineRule="auto"/>
        <w:contextualSpacing/>
        <w:jc w:val="both"/>
      </w:pPr>
      <w:r w:rsidRPr="004F3BCC">
        <w:t xml:space="preserve">All samples exceeded WHO and SON standards for potable water (0 </w:t>
      </w:r>
      <w:proofErr w:type="spellStart"/>
      <w:r w:rsidRPr="004F3BCC">
        <w:t>cfu</w:t>
      </w:r>
      <w:proofErr w:type="spellEnd"/>
      <w:r w:rsidRPr="004F3BCC">
        <w:t xml:space="preserve">/100 ml). Total coliform ranged from 58–102 </w:t>
      </w:r>
      <w:proofErr w:type="spellStart"/>
      <w:r w:rsidRPr="004F3BCC">
        <w:t>cfu</w:t>
      </w:r>
      <w:proofErr w:type="spellEnd"/>
      <w:r w:rsidRPr="004F3BCC">
        <w:t xml:space="preserve">/100 ml, faecal coliform from 17–38 </w:t>
      </w:r>
      <w:proofErr w:type="spellStart"/>
      <w:r w:rsidRPr="004F3BCC">
        <w:t>cfu</w:t>
      </w:r>
      <w:proofErr w:type="spellEnd"/>
      <w:r w:rsidRPr="004F3BCC">
        <w:t xml:space="preserve">/100 ml, and E. coli from 10–24 </w:t>
      </w:r>
      <w:proofErr w:type="spellStart"/>
      <w:r w:rsidRPr="004F3BCC">
        <w:t>cfu</w:t>
      </w:r>
      <w:proofErr w:type="spellEnd"/>
      <w:r w:rsidRPr="004F3BCC">
        <w:t>/100 ml, confirming widespread bacteriological contamination.</w:t>
      </w:r>
      <w:r w:rsidR="00E5390D">
        <w:t xml:space="preserve"> </w:t>
      </w:r>
      <w:r w:rsidRPr="004F3BCC">
        <w:t xml:space="preserve">Highest contamination was recorded in </w:t>
      </w:r>
      <w:proofErr w:type="spellStart"/>
      <w:r w:rsidRPr="004F3BCC">
        <w:t>Omooba</w:t>
      </w:r>
      <w:proofErr w:type="spellEnd"/>
      <w:r w:rsidRPr="004F3BCC">
        <w:t xml:space="preserve"> </w:t>
      </w:r>
      <w:proofErr w:type="spellStart"/>
      <w:r w:rsidRPr="004F3BCC">
        <w:t>Alufaa</w:t>
      </w:r>
      <w:proofErr w:type="spellEnd"/>
      <w:r w:rsidRPr="004F3BCC">
        <w:t xml:space="preserve"> and Omi </w:t>
      </w:r>
      <w:proofErr w:type="spellStart"/>
      <w:r w:rsidRPr="004F3BCC">
        <w:t>Asoro</w:t>
      </w:r>
      <w:proofErr w:type="spellEnd"/>
      <w:r w:rsidRPr="004F3BCC">
        <w:t xml:space="preserve"> (1), suggesting strong influence from poor sanitation, septic systems, and waste infiltration. Lower values in </w:t>
      </w:r>
      <w:proofErr w:type="spellStart"/>
      <w:r w:rsidRPr="004F3BCC">
        <w:t>Okesa</w:t>
      </w:r>
      <w:proofErr w:type="spellEnd"/>
      <w:r w:rsidRPr="004F3BCC">
        <w:t xml:space="preserve"> and Imo indicate relatively less exposure but still unsafe conditions.</w:t>
      </w:r>
    </w:p>
    <w:p w:rsidR="00C567C7" w:rsidRDefault="004F3BCC" w:rsidP="00C567C7">
      <w:pPr>
        <w:pStyle w:val="NormalWeb"/>
        <w:spacing w:line="360" w:lineRule="auto"/>
        <w:contextualSpacing/>
        <w:jc w:val="both"/>
      </w:pPr>
      <w:r w:rsidRPr="00C567C7">
        <w:rPr>
          <w:rStyle w:val="Strong"/>
          <w:bCs w:val="0"/>
        </w:rPr>
        <w:t xml:space="preserve">4.4. Comparative Analysis of Left and </w:t>
      </w:r>
      <w:r w:rsidR="00C567C7" w:rsidRPr="00C567C7">
        <w:rPr>
          <w:rStyle w:val="Strong"/>
          <w:bCs w:val="0"/>
        </w:rPr>
        <w:t>Right-Side</w:t>
      </w:r>
      <w:r w:rsidRPr="00C567C7">
        <w:rPr>
          <w:rStyle w:val="Strong"/>
          <w:bCs w:val="0"/>
        </w:rPr>
        <w:t xml:space="preserve"> Wells</w:t>
      </w:r>
    </w:p>
    <w:p w:rsidR="00C567C7" w:rsidRDefault="004F3BCC" w:rsidP="00C567C7">
      <w:pPr>
        <w:pStyle w:val="NormalWeb"/>
        <w:spacing w:line="360" w:lineRule="auto"/>
        <w:contextualSpacing/>
        <w:jc w:val="both"/>
      </w:pPr>
      <w:r w:rsidRPr="004F3BCC">
        <w:t>The left-side wells showed relatively better physicochemical quality but higher microbial contamination, while the right-side wells exhibited higher chemical pollution.</w:t>
      </w:r>
      <w:r w:rsidR="00C567C7">
        <w:t xml:space="preserve"> </w:t>
      </w:r>
      <w:proofErr w:type="spellStart"/>
      <w:r w:rsidRPr="004F3BCC">
        <w:t>Omooba</w:t>
      </w:r>
      <w:proofErr w:type="spellEnd"/>
      <w:r w:rsidRPr="004F3BCC">
        <w:t xml:space="preserve"> </w:t>
      </w:r>
      <w:proofErr w:type="spellStart"/>
      <w:r w:rsidRPr="004F3BCC">
        <w:t>Alufaa</w:t>
      </w:r>
      <w:proofErr w:type="spellEnd"/>
      <w:r w:rsidRPr="004F3BCC">
        <w:t xml:space="preserve"> recorded the highest TDS (505 mg/L), EC (760 µS/cm), nitrate, iron, and lead levels, indicating strong anthropogenic influence. In contrast, left-side wells such as Brewery and Omi </w:t>
      </w:r>
      <w:proofErr w:type="spellStart"/>
      <w:r w:rsidRPr="004F3BCC">
        <w:t>Asoro</w:t>
      </w:r>
      <w:proofErr w:type="spellEnd"/>
      <w:r w:rsidRPr="004F3BCC">
        <w:t xml:space="preserve"> (1) showed higher turbidity and iron, likely due to geogenic and organic matter influence.</w:t>
      </w:r>
      <w:r w:rsidR="00C567C7">
        <w:t xml:space="preserve"> </w:t>
      </w:r>
      <w:r w:rsidRPr="004F3BCC">
        <w:t>Microbiologically, both sides were heavily contaminated, but the right-side wells recorded higher coliform counts overall, suggesting closer proximity to septic tanks and wastewater sources.</w:t>
      </w:r>
    </w:p>
    <w:p w:rsidR="00C567C7" w:rsidRDefault="004F3BCC" w:rsidP="00C567C7">
      <w:pPr>
        <w:pStyle w:val="NormalWeb"/>
        <w:numPr>
          <w:ilvl w:val="1"/>
          <w:numId w:val="13"/>
        </w:numPr>
        <w:spacing w:line="360" w:lineRule="auto"/>
        <w:contextualSpacing/>
        <w:jc w:val="both"/>
      </w:pPr>
      <w:r w:rsidRPr="00C567C7">
        <w:rPr>
          <w:rStyle w:val="Strong"/>
          <w:bCs w:val="0"/>
        </w:rPr>
        <w:t>Overall Assessment and Compliance Summary</w:t>
      </w:r>
    </w:p>
    <w:p w:rsidR="00C567C7" w:rsidRDefault="004F3BCC" w:rsidP="00C567C7">
      <w:pPr>
        <w:pStyle w:val="NormalWeb"/>
        <w:spacing w:line="360" w:lineRule="auto"/>
        <w:contextualSpacing/>
        <w:jc w:val="both"/>
      </w:pPr>
      <w:r w:rsidRPr="004F3BCC">
        <w:t>Out of the twelve wells assessed:</w:t>
      </w:r>
    </w:p>
    <w:p w:rsidR="00C567C7" w:rsidRDefault="004F3BCC" w:rsidP="00C567C7">
      <w:pPr>
        <w:pStyle w:val="NormalWeb"/>
        <w:spacing w:line="360" w:lineRule="auto"/>
        <w:contextualSpacing/>
        <w:jc w:val="both"/>
      </w:pPr>
      <w:r w:rsidRPr="004F3BCC">
        <w:t>Three wells (</w:t>
      </w:r>
      <w:proofErr w:type="spellStart"/>
      <w:r w:rsidRPr="004F3BCC">
        <w:t>Omooba</w:t>
      </w:r>
      <w:proofErr w:type="spellEnd"/>
      <w:r w:rsidRPr="004F3BCC">
        <w:t xml:space="preserve"> </w:t>
      </w:r>
      <w:proofErr w:type="spellStart"/>
      <w:r w:rsidRPr="004F3BCC">
        <w:t>Alufaa</w:t>
      </w:r>
      <w:proofErr w:type="spellEnd"/>
      <w:r w:rsidRPr="004F3BCC">
        <w:t xml:space="preserve">, </w:t>
      </w:r>
      <w:proofErr w:type="spellStart"/>
      <w:r w:rsidRPr="004F3BCC">
        <w:t>Kajola</w:t>
      </w:r>
      <w:proofErr w:type="spellEnd"/>
      <w:r w:rsidRPr="004F3BCC">
        <w:t xml:space="preserve">, Omi </w:t>
      </w:r>
      <w:proofErr w:type="spellStart"/>
      <w:r w:rsidRPr="004F3BCC">
        <w:t>Asoro</w:t>
      </w:r>
      <w:proofErr w:type="spellEnd"/>
      <w:r w:rsidRPr="004F3BCC">
        <w:t xml:space="preserve"> 1) showed both physicochemical and microbiological non-compliance. </w:t>
      </w:r>
    </w:p>
    <w:p w:rsidR="00C567C7" w:rsidRDefault="004F3BCC" w:rsidP="00C567C7">
      <w:pPr>
        <w:pStyle w:val="NormalWeb"/>
        <w:spacing w:line="360" w:lineRule="auto"/>
        <w:contextualSpacing/>
        <w:jc w:val="both"/>
      </w:pPr>
      <w:r w:rsidRPr="004F3BCC">
        <w:t>Four wells (</w:t>
      </w:r>
      <w:proofErr w:type="spellStart"/>
      <w:r w:rsidRPr="004F3BCC">
        <w:t>Obokun</w:t>
      </w:r>
      <w:proofErr w:type="spellEnd"/>
      <w:r w:rsidRPr="004F3BCC">
        <w:t xml:space="preserve">, </w:t>
      </w:r>
      <w:proofErr w:type="spellStart"/>
      <w:r w:rsidRPr="004F3BCC">
        <w:t>Oke</w:t>
      </w:r>
      <w:proofErr w:type="spellEnd"/>
      <w:r w:rsidRPr="004F3BCC">
        <w:t xml:space="preserve"> Imo, </w:t>
      </w:r>
      <w:proofErr w:type="spellStart"/>
      <w:r w:rsidRPr="004F3BCC">
        <w:t>Orisi</w:t>
      </w:r>
      <w:proofErr w:type="spellEnd"/>
      <w:r w:rsidRPr="004F3BCC">
        <w:t xml:space="preserve">, Opposite Brewery) were marginally polluted. </w:t>
      </w:r>
    </w:p>
    <w:p w:rsidR="000E1C0D" w:rsidRDefault="004F3BCC" w:rsidP="000E1C0D">
      <w:pPr>
        <w:pStyle w:val="NormalWeb"/>
        <w:spacing w:line="360" w:lineRule="auto"/>
        <w:contextualSpacing/>
        <w:jc w:val="both"/>
      </w:pPr>
      <w:r w:rsidRPr="004F3BCC">
        <w:t>Five wells (</w:t>
      </w:r>
      <w:proofErr w:type="spellStart"/>
      <w:r w:rsidRPr="004F3BCC">
        <w:t>Iroye</w:t>
      </w:r>
      <w:proofErr w:type="spellEnd"/>
      <w:r w:rsidRPr="004F3BCC">
        <w:t xml:space="preserve">, Imo </w:t>
      </w:r>
      <w:proofErr w:type="spellStart"/>
      <w:r w:rsidRPr="004F3BCC">
        <w:t>Fadaito</w:t>
      </w:r>
      <w:proofErr w:type="spellEnd"/>
      <w:r w:rsidRPr="004F3BCC">
        <w:t xml:space="preserve">, Omi </w:t>
      </w:r>
      <w:proofErr w:type="spellStart"/>
      <w:r w:rsidRPr="004F3BCC">
        <w:t>Asoro</w:t>
      </w:r>
      <w:proofErr w:type="spellEnd"/>
      <w:r w:rsidRPr="004F3BCC">
        <w:t xml:space="preserve"> 2, Imo, </w:t>
      </w:r>
      <w:proofErr w:type="spellStart"/>
      <w:r w:rsidRPr="004F3BCC">
        <w:t>Okesa</w:t>
      </w:r>
      <w:proofErr w:type="spellEnd"/>
      <w:r w:rsidRPr="004F3BCC">
        <w:t xml:space="preserve">) showed moderate contamination, mainly microbial. </w:t>
      </w:r>
    </w:p>
    <w:p w:rsidR="00AA7DC5" w:rsidRDefault="004F3BCC" w:rsidP="00AA7DC5">
      <w:pPr>
        <w:pStyle w:val="NormalWeb"/>
        <w:spacing w:line="360" w:lineRule="auto"/>
        <w:contextualSpacing/>
        <w:jc w:val="both"/>
      </w:pPr>
      <w:r w:rsidRPr="004F3BCC">
        <w:t xml:space="preserve">The findings show that groundwater quality in </w:t>
      </w:r>
      <w:proofErr w:type="spellStart"/>
      <w:r w:rsidRPr="004F3BCC">
        <w:t>Okesa</w:t>
      </w:r>
      <w:proofErr w:type="spellEnd"/>
      <w:r w:rsidRPr="004F3BCC">
        <w:t xml:space="preserve"> is strongly influenced by anthropogenic activities such as poor waste disposal, shallow wells, and proximity to sanitation facilities, which have exceeded the natural self-purification capacity of the aquifer system.</w:t>
      </w:r>
    </w:p>
    <w:p w:rsidR="00AA7DC5" w:rsidRDefault="004F3BCC" w:rsidP="00AA7DC5">
      <w:pPr>
        <w:pStyle w:val="NormalWeb"/>
        <w:numPr>
          <w:ilvl w:val="1"/>
          <w:numId w:val="13"/>
        </w:numPr>
        <w:spacing w:line="360" w:lineRule="auto"/>
        <w:contextualSpacing/>
        <w:jc w:val="both"/>
      </w:pPr>
      <w:r w:rsidRPr="00AA7DC5">
        <w:rPr>
          <w:rStyle w:val="Strong"/>
          <w:bCs w:val="0"/>
        </w:rPr>
        <w:t>Remedial Measures and Recommendations</w:t>
      </w:r>
    </w:p>
    <w:p w:rsidR="004F3BCC" w:rsidRPr="004F3BCC" w:rsidRDefault="004F3BCC" w:rsidP="00AA7DC5">
      <w:pPr>
        <w:pStyle w:val="NormalWeb"/>
        <w:spacing w:line="360" w:lineRule="auto"/>
        <w:contextualSpacing/>
        <w:jc w:val="both"/>
      </w:pPr>
      <w:r w:rsidRPr="004F3BCC">
        <w:t>The results indicate</w:t>
      </w:r>
      <w:r w:rsidR="00A16E56">
        <w:t>d</w:t>
      </w:r>
      <w:r w:rsidRPr="004F3BCC">
        <w:t xml:space="preserve"> that groundwater in </w:t>
      </w:r>
      <w:proofErr w:type="spellStart"/>
      <w:r w:rsidRPr="004F3BCC">
        <w:t>Okesa</w:t>
      </w:r>
      <w:proofErr w:type="spellEnd"/>
      <w:r w:rsidRPr="004F3BCC">
        <w:t xml:space="preserve"> is not safe for drinking without treatment. A combination of preventive, structural, and treatment measures is required.</w:t>
      </w:r>
      <w:r w:rsidR="00AA7DC5">
        <w:t xml:space="preserve"> </w:t>
      </w:r>
      <w:r w:rsidRPr="004F3BCC">
        <w:t>Wells should be located at least 30 m away from septic tanks and latrines to reduce contamination risk. Industrial effluents must be properly treated before discharge. Wells should be properly lined, covered, and fitted with raised aprons to prevent surface infiltration.</w:t>
      </w:r>
      <w:r w:rsidR="00AA7DC5">
        <w:t xml:space="preserve"> </w:t>
      </w:r>
      <w:r w:rsidRPr="004F3BCC">
        <w:t>Household treatment methods such as boiling, chlorination, slow sand filtration, and solar disinfection (SODIS) are recommended. For community systems, coagulation, aeration, and chlorination can improve water quality, while reverse osmosis may be used where mineral content is high.</w:t>
      </w:r>
      <w:r w:rsidR="00AA7DC5">
        <w:t xml:space="preserve"> </w:t>
      </w:r>
      <w:r w:rsidRPr="004F3BCC">
        <w:t>Regular monitoring and establishment of a community water quality database are essential for long-term management. Public awareness on sanitation and hygiene is also critical.</w:t>
      </w:r>
    </w:p>
    <w:p w:rsidR="004F3BCC" w:rsidRPr="00A16E56" w:rsidRDefault="004F3BCC" w:rsidP="00A16E56">
      <w:pPr>
        <w:pStyle w:val="NoSpacing"/>
        <w:rPr>
          <w:rFonts w:ascii="Times New Roman" w:hAnsi="Times New Roman" w:cs="Times New Roman"/>
          <w:sz w:val="24"/>
          <w:szCs w:val="24"/>
        </w:rPr>
      </w:pPr>
      <w:r w:rsidRPr="00A16E56">
        <w:rPr>
          <w:rStyle w:val="Strong"/>
          <w:rFonts w:ascii="Times New Roman" w:hAnsi="Times New Roman" w:cs="Times New Roman"/>
          <w:b w:val="0"/>
          <w:bCs w:val="0"/>
          <w:sz w:val="24"/>
          <w:szCs w:val="24"/>
        </w:rPr>
        <w:t>Table 5: Problems and Remedial Measures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34"/>
        <w:gridCol w:w="3231"/>
        <w:gridCol w:w="3664"/>
      </w:tblGrid>
      <w:tr w:rsidR="004F3BCC" w:rsidRPr="00A16E56" w:rsidTr="00A16E56">
        <w:trPr>
          <w:tblHeader/>
          <w:tblCellSpacing w:w="15" w:type="dxa"/>
        </w:trPr>
        <w:tc>
          <w:tcPr>
            <w:tcW w:w="0" w:type="auto"/>
            <w:tcBorders>
              <w:bottom w:val="single" w:sz="4" w:space="0" w:color="auto"/>
            </w:tcBorders>
            <w:vAlign w:val="center"/>
            <w:hideMark/>
          </w:tcPr>
          <w:p w:rsidR="004F3BCC" w:rsidRPr="00A16E56" w:rsidRDefault="004F3BCC" w:rsidP="00A16E56">
            <w:pPr>
              <w:pStyle w:val="NoSpacing"/>
              <w:rPr>
                <w:rFonts w:ascii="Times New Roman" w:hAnsi="Times New Roman" w:cs="Times New Roman"/>
                <w:b/>
                <w:bCs/>
                <w:sz w:val="24"/>
                <w:szCs w:val="24"/>
              </w:rPr>
            </w:pPr>
            <w:r w:rsidRPr="00A16E56">
              <w:rPr>
                <w:rFonts w:ascii="Times New Roman" w:hAnsi="Times New Roman" w:cs="Times New Roman"/>
                <w:b/>
                <w:bCs/>
                <w:sz w:val="24"/>
                <w:szCs w:val="24"/>
              </w:rPr>
              <w:t>Problem</w:t>
            </w:r>
          </w:p>
        </w:tc>
        <w:tc>
          <w:tcPr>
            <w:tcW w:w="0" w:type="auto"/>
            <w:tcBorders>
              <w:bottom w:val="single" w:sz="4" w:space="0" w:color="auto"/>
            </w:tcBorders>
            <w:vAlign w:val="center"/>
            <w:hideMark/>
          </w:tcPr>
          <w:p w:rsidR="004F3BCC" w:rsidRPr="00A16E56" w:rsidRDefault="004F3BCC" w:rsidP="00A16E56">
            <w:pPr>
              <w:pStyle w:val="NoSpacing"/>
              <w:rPr>
                <w:rFonts w:ascii="Times New Roman" w:hAnsi="Times New Roman" w:cs="Times New Roman"/>
                <w:b/>
                <w:bCs/>
                <w:sz w:val="24"/>
                <w:szCs w:val="24"/>
              </w:rPr>
            </w:pPr>
            <w:r w:rsidRPr="00A16E56">
              <w:rPr>
                <w:rFonts w:ascii="Times New Roman" w:hAnsi="Times New Roman" w:cs="Times New Roman"/>
                <w:b/>
                <w:bCs/>
                <w:sz w:val="24"/>
                <w:szCs w:val="24"/>
              </w:rPr>
              <w:t>Likely Cause</w:t>
            </w:r>
          </w:p>
        </w:tc>
        <w:tc>
          <w:tcPr>
            <w:tcW w:w="0" w:type="auto"/>
            <w:tcBorders>
              <w:bottom w:val="single" w:sz="4" w:space="0" w:color="auto"/>
            </w:tcBorders>
            <w:vAlign w:val="center"/>
            <w:hideMark/>
          </w:tcPr>
          <w:p w:rsidR="004F3BCC" w:rsidRPr="00A16E56" w:rsidRDefault="004F3BCC" w:rsidP="00A16E56">
            <w:pPr>
              <w:pStyle w:val="NoSpacing"/>
              <w:rPr>
                <w:rFonts w:ascii="Times New Roman" w:hAnsi="Times New Roman" w:cs="Times New Roman"/>
                <w:b/>
                <w:bCs/>
                <w:sz w:val="24"/>
                <w:szCs w:val="24"/>
              </w:rPr>
            </w:pPr>
            <w:r w:rsidRPr="00A16E56">
              <w:rPr>
                <w:rFonts w:ascii="Times New Roman" w:hAnsi="Times New Roman" w:cs="Times New Roman"/>
                <w:b/>
                <w:bCs/>
                <w:sz w:val="24"/>
                <w:szCs w:val="24"/>
              </w:rPr>
              <w:t>Remedy</w:t>
            </w:r>
          </w:p>
        </w:tc>
      </w:tr>
      <w:tr w:rsidR="004F3BCC" w:rsidRPr="00A16E56" w:rsidTr="004F3BCC">
        <w:trPr>
          <w:tblCellSpacing w:w="15" w:type="dxa"/>
        </w:trPr>
        <w:tc>
          <w:tcPr>
            <w:tcW w:w="0" w:type="auto"/>
            <w:vAlign w:val="center"/>
            <w:hideMark/>
          </w:tcPr>
          <w:p w:rsidR="004F3BCC" w:rsidRPr="00A16E56" w:rsidRDefault="004F3BCC" w:rsidP="00A16E56">
            <w:pPr>
              <w:pStyle w:val="NoSpacing"/>
              <w:rPr>
                <w:rFonts w:ascii="Times New Roman" w:hAnsi="Times New Roman" w:cs="Times New Roman"/>
                <w:sz w:val="24"/>
                <w:szCs w:val="24"/>
              </w:rPr>
            </w:pPr>
            <w:r w:rsidRPr="00A16E56">
              <w:rPr>
                <w:rFonts w:ascii="Times New Roman" w:hAnsi="Times New Roman" w:cs="Times New Roman"/>
                <w:sz w:val="24"/>
                <w:szCs w:val="24"/>
              </w:rPr>
              <w:t xml:space="preserve">High turbidity &amp; </w:t>
            </w:r>
            <w:proofErr w:type="spellStart"/>
            <w:r w:rsidRPr="00A16E56">
              <w:rPr>
                <w:rFonts w:ascii="Times New Roman" w:hAnsi="Times New Roman" w:cs="Times New Roman"/>
                <w:sz w:val="24"/>
                <w:szCs w:val="24"/>
              </w:rPr>
              <w:t>colour</w:t>
            </w:r>
            <w:proofErr w:type="spellEnd"/>
          </w:p>
        </w:tc>
        <w:tc>
          <w:tcPr>
            <w:tcW w:w="0" w:type="auto"/>
            <w:vAlign w:val="center"/>
            <w:hideMark/>
          </w:tcPr>
          <w:p w:rsidR="004F3BCC" w:rsidRPr="00A16E56" w:rsidRDefault="004F3BCC" w:rsidP="00A16E56">
            <w:pPr>
              <w:pStyle w:val="NoSpacing"/>
              <w:rPr>
                <w:rFonts w:ascii="Times New Roman" w:hAnsi="Times New Roman" w:cs="Times New Roman"/>
                <w:sz w:val="24"/>
                <w:szCs w:val="24"/>
              </w:rPr>
            </w:pPr>
            <w:r w:rsidRPr="00A16E56">
              <w:rPr>
                <w:rFonts w:ascii="Times New Roman" w:hAnsi="Times New Roman" w:cs="Times New Roman"/>
                <w:sz w:val="24"/>
                <w:szCs w:val="24"/>
              </w:rPr>
              <w:t>Runoff, organic matter, effluent</w:t>
            </w:r>
          </w:p>
        </w:tc>
        <w:tc>
          <w:tcPr>
            <w:tcW w:w="0" w:type="auto"/>
            <w:vAlign w:val="center"/>
            <w:hideMark/>
          </w:tcPr>
          <w:p w:rsidR="004F3BCC" w:rsidRPr="00A16E56" w:rsidRDefault="004F3BCC" w:rsidP="00A16E56">
            <w:pPr>
              <w:pStyle w:val="NoSpacing"/>
              <w:rPr>
                <w:rFonts w:ascii="Times New Roman" w:hAnsi="Times New Roman" w:cs="Times New Roman"/>
                <w:sz w:val="24"/>
                <w:szCs w:val="24"/>
              </w:rPr>
            </w:pPr>
            <w:r w:rsidRPr="00A16E56">
              <w:rPr>
                <w:rFonts w:ascii="Times New Roman" w:hAnsi="Times New Roman" w:cs="Times New Roman"/>
                <w:sz w:val="24"/>
                <w:szCs w:val="24"/>
              </w:rPr>
              <w:t>Well covers, aprons, filtration</w:t>
            </w:r>
          </w:p>
        </w:tc>
      </w:tr>
      <w:tr w:rsidR="004F3BCC" w:rsidRPr="00A16E56" w:rsidTr="004F3BCC">
        <w:trPr>
          <w:tblCellSpacing w:w="15" w:type="dxa"/>
        </w:trPr>
        <w:tc>
          <w:tcPr>
            <w:tcW w:w="0" w:type="auto"/>
            <w:vAlign w:val="center"/>
            <w:hideMark/>
          </w:tcPr>
          <w:p w:rsidR="004F3BCC" w:rsidRPr="00A16E56" w:rsidRDefault="004F3BCC" w:rsidP="00A16E56">
            <w:pPr>
              <w:pStyle w:val="NoSpacing"/>
              <w:rPr>
                <w:rFonts w:ascii="Times New Roman" w:hAnsi="Times New Roman" w:cs="Times New Roman"/>
                <w:sz w:val="24"/>
                <w:szCs w:val="24"/>
              </w:rPr>
            </w:pPr>
            <w:r w:rsidRPr="00A16E56">
              <w:rPr>
                <w:rFonts w:ascii="Times New Roman" w:hAnsi="Times New Roman" w:cs="Times New Roman"/>
                <w:sz w:val="24"/>
                <w:szCs w:val="24"/>
              </w:rPr>
              <w:t>High EC &amp; TDS</w:t>
            </w:r>
          </w:p>
        </w:tc>
        <w:tc>
          <w:tcPr>
            <w:tcW w:w="0" w:type="auto"/>
            <w:vAlign w:val="center"/>
            <w:hideMark/>
          </w:tcPr>
          <w:p w:rsidR="004F3BCC" w:rsidRPr="00A16E56" w:rsidRDefault="004F3BCC" w:rsidP="00A16E56">
            <w:pPr>
              <w:pStyle w:val="NoSpacing"/>
              <w:rPr>
                <w:rFonts w:ascii="Times New Roman" w:hAnsi="Times New Roman" w:cs="Times New Roman"/>
                <w:sz w:val="24"/>
                <w:szCs w:val="24"/>
              </w:rPr>
            </w:pPr>
            <w:r w:rsidRPr="00A16E56">
              <w:rPr>
                <w:rFonts w:ascii="Times New Roman" w:hAnsi="Times New Roman" w:cs="Times New Roman"/>
                <w:sz w:val="24"/>
                <w:szCs w:val="24"/>
              </w:rPr>
              <w:t>Mineral dissolution, waste infiltration</w:t>
            </w:r>
          </w:p>
        </w:tc>
        <w:tc>
          <w:tcPr>
            <w:tcW w:w="0" w:type="auto"/>
            <w:vAlign w:val="center"/>
            <w:hideMark/>
          </w:tcPr>
          <w:p w:rsidR="004F3BCC" w:rsidRPr="00A16E56" w:rsidRDefault="004F3BCC" w:rsidP="00A16E56">
            <w:pPr>
              <w:pStyle w:val="NoSpacing"/>
              <w:rPr>
                <w:rFonts w:ascii="Times New Roman" w:hAnsi="Times New Roman" w:cs="Times New Roman"/>
                <w:sz w:val="24"/>
                <w:szCs w:val="24"/>
              </w:rPr>
            </w:pPr>
            <w:r w:rsidRPr="00A16E56">
              <w:rPr>
                <w:rFonts w:ascii="Times New Roman" w:hAnsi="Times New Roman" w:cs="Times New Roman"/>
                <w:sz w:val="24"/>
                <w:szCs w:val="24"/>
              </w:rPr>
              <w:t>Gravel pack, RO, ion exchange</w:t>
            </w:r>
          </w:p>
        </w:tc>
      </w:tr>
      <w:tr w:rsidR="004F3BCC" w:rsidRPr="00A16E56" w:rsidTr="004F3BCC">
        <w:trPr>
          <w:tblCellSpacing w:w="15" w:type="dxa"/>
        </w:trPr>
        <w:tc>
          <w:tcPr>
            <w:tcW w:w="0" w:type="auto"/>
            <w:vAlign w:val="center"/>
            <w:hideMark/>
          </w:tcPr>
          <w:p w:rsidR="004F3BCC" w:rsidRPr="00A16E56" w:rsidRDefault="004F3BCC" w:rsidP="00A16E56">
            <w:pPr>
              <w:pStyle w:val="NoSpacing"/>
              <w:rPr>
                <w:rFonts w:ascii="Times New Roman" w:hAnsi="Times New Roman" w:cs="Times New Roman"/>
                <w:sz w:val="24"/>
                <w:szCs w:val="24"/>
              </w:rPr>
            </w:pPr>
            <w:r w:rsidRPr="00A16E56">
              <w:rPr>
                <w:rFonts w:ascii="Times New Roman" w:hAnsi="Times New Roman" w:cs="Times New Roman"/>
                <w:sz w:val="24"/>
                <w:szCs w:val="24"/>
              </w:rPr>
              <w:t>E. coli &amp; coliforms</w:t>
            </w:r>
          </w:p>
        </w:tc>
        <w:tc>
          <w:tcPr>
            <w:tcW w:w="0" w:type="auto"/>
            <w:vAlign w:val="center"/>
            <w:hideMark/>
          </w:tcPr>
          <w:p w:rsidR="004F3BCC" w:rsidRPr="00A16E56" w:rsidRDefault="004F3BCC" w:rsidP="00A16E56">
            <w:pPr>
              <w:pStyle w:val="NoSpacing"/>
              <w:rPr>
                <w:rFonts w:ascii="Times New Roman" w:hAnsi="Times New Roman" w:cs="Times New Roman"/>
                <w:sz w:val="24"/>
                <w:szCs w:val="24"/>
              </w:rPr>
            </w:pPr>
            <w:r w:rsidRPr="00A16E56">
              <w:rPr>
                <w:rFonts w:ascii="Times New Roman" w:hAnsi="Times New Roman" w:cs="Times New Roman"/>
                <w:sz w:val="24"/>
                <w:szCs w:val="24"/>
              </w:rPr>
              <w:t>Septic leakage, poor sanitation</w:t>
            </w:r>
          </w:p>
        </w:tc>
        <w:tc>
          <w:tcPr>
            <w:tcW w:w="0" w:type="auto"/>
            <w:vAlign w:val="center"/>
            <w:hideMark/>
          </w:tcPr>
          <w:p w:rsidR="004F3BCC" w:rsidRPr="00A16E56" w:rsidRDefault="004F3BCC" w:rsidP="00A16E56">
            <w:pPr>
              <w:pStyle w:val="NoSpacing"/>
              <w:rPr>
                <w:rFonts w:ascii="Times New Roman" w:hAnsi="Times New Roman" w:cs="Times New Roman"/>
                <w:sz w:val="24"/>
                <w:szCs w:val="24"/>
              </w:rPr>
            </w:pPr>
            <w:r w:rsidRPr="00A16E56">
              <w:rPr>
                <w:rFonts w:ascii="Times New Roman" w:hAnsi="Times New Roman" w:cs="Times New Roman"/>
                <w:sz w:val="24"/>
                <w:szCs w:val="24"/>
              </w:rPr>
              <w:t>Chlorination, boiling, relocation of latrines</w:t>
            </w:r>
          </w:p>
        </w:tc>
      </w:tr>
      <w:tr w:rsidR="004F3BCC" w:rsidRPr="00A16E56" w:rsidTr="004F3BCC">
        <w:trPr>
          <w:tblCellSpacing w:w="15" w:type="dxa"/>
        </w:trPr>
        <w:tc>
          <w:tcPr>
            <w:tcW w:w="0" w:type="auto"/>
            <w:vAlign w:val="center"/>
            <w:hideMark/>
          </w:tcPr>
          <w:p w:rsidR="004F3BCC" w:rsidRPr="00A16E56" w:rsidRDefault="004F3BCC" w:rsidP="00A16E56">
            <w:pPr>
              <w:pStyle w:val="NoSpacing"/>
              <w:rPr>
                <w:rFonts w:ascii="Times New Roman" w:hAnsi="Times New Roman" w:cs="Times New Roman"/>
                <w:sz w:val="24"/>
                <w:szCs w:val="24"/>
              </w:rPr>
            </w:pPr>
            <w:proofErr w:type="spellStart"/>
            <w:r w:rsidRPr="00A16E56">
              <w:rPr>
                <w:rFonts w:ascii="Times New Roman" w:hAnsi="Times New Roman" w:cs="Times New Roman"/>
                <w:sz w:val="24"/>
                <w:szCs w:val="24"/>
              </w:rPr>
              <w:t>Odour</w:t>
            </w:r>
            <w:proofErr w:type="spellEnd"/>
            <w:r w:rsidRPr="00A16E56">
              <w:rPr>
                <w:rFonts w:ascii="Times New Roman" w:hAnsi="Times New Roman" w:cs="Times New Roman"/>
                <w:sz w:val="24"/>
                <w:szCs w:val="24"/>
              </w:rPr>
              <w:t xml:space="preserve"> &amp; sliminess</w:t>
            </w:r>
          </w:p>
        </w:tc>
        <w:tc>
          <w:tcPr>
            <w:tcW w:w="0" w:type="auto"/>
            <w:vAlign w:val="center"/>
            <w:hideMark/>
          </w:tcPr>
          <w:p w:rsidR="004F3BCC" w:rsidRPr="00A16E56" w:rsidRDefault="004F3BCC" w:rsidP="00A16E56">
            <w:pPr>
              <w:pStyle w:val="NoSpacing"/>
              <w:rPr>
                <w:rFonts w:ascii="Times New Roman" w:hAnsi="Times New Roman" w:cs="Times New Roman"/>
                <w:sz w:val="24"/>
                <w:szCs w:val="24"/>
              </w:rPr>
            </w:pPr>
            <w:r w:rsidRPr="00A16E56">
              <w:rPr>
                <w:rFonts w:ascii="Times New Roman" w:hAnsi="Times New Roman" w:cs="Times New Roman"/>
                <w:sz w:val="24"/>
                <w:szCs w:val="24"/>
              </w:rPr>
              <w:t>Organic pollution</w:t>
            </w:r>
          </w:p>
        </w:tc>
        <w:tc>
          <w:tcPr>
            <w:tcW w:w="0" w:type="auto"/>
            <w:vAlign w:val="center"/>
            <w:hideMark/>
          </w:tcPr>
          <w:p w:rsidR="004F3BCC" w:rsidRPr="00A16E56" w:rsidRDefault="004F3BCC" w:rsidP="00A16E56">
            <w:pPr>
              <w:pStyle w:val="NoSpacing"/>
              <w:rPr>
                <w:rFonts w:ascii="Times New Roman" w:hAnsi="Times New Roman" w:cs="Times New Roman"/>
                <w:sz w:val="24"/>
                <w:szCs w:val="24"/>
              </w:rPr>
            </w:pPr>
            <w:r w:rsidRPr="00A16E56">
              <w:rPr>
                <w:rFonts w:ascii="Times New Roman" w:hAnsi="Times New Roman" w:cs="Times New Roman"/>
                <w:sz w:val="24"/>
                <w:szCs w:val="24"/>
              </w:rPr>
              <w:t>Aeration and disinfection</w:t>
            </w:r>
          </w:p>
        </w:tc>
      </w:tr>
      <w:tr w:rsidR="004F3BCC" w:rsidRPr="00A16E56" w:rsidTr="004F3BCC">
        <w:trPr>
          <w:tblCellSpacing w:w="15" w:type="dxa"/>
        </w:trPr>
        <w:tc>
          <w:tcPr>
            <w:tcW w:w="0" w:type="auto"/>
            <w:vAlign w:val="center"/>
            <w:hideMark/>
          </w:tcPr>
          <w:p w:rsidR="004F3BCC" w:rsidRPr="00A16E56" w:rsidRDefault="004F3BCC" w:rsidP="00A16E56">
            <w:pPr>
              <w:pStyle w:val="NoSpacing"/>
              <w:rPr>
                <w:rFonts w:ascii="Times New Roman" w:hAnsi="Times New Roman" w:cs="Times New Roman"/>
                <w:sz w:val="24"/>
                <w:szCs w:val="24"/>
              </w:rPr>
            </w:pPr>
            <w:r w:rsidRPr="00A16E56">
              <w:rPr>
                <w:rFonts w:ascii="Times New Roman" w:hAnsi="Times New Roman" w:cs="Times New Roman"/>
                <w:sz w:val="24"/>
                <w:szCs w:val="24"/>
              </w:rPr>
              <w:t>Open wells</w:t>
            </w:r>
          </w:p>
        </w:tc>
        <w:tc>
          <w:tcPr>
            <w:tcW w:w="0" w:type="auto"/>
            <w:vAlign w:val="center"/>
            <w:hideMark/>
          </w:tcPr>
          <w:p w:rsidR="004F3BCC" w:rsidRPr="00A16E56" w:rsidRDefault="004F3BCC" w:rsidP="00A16E56">
            <w:pPr>
              <w:pStyle w:val="NoSpacing"/>
              <w:rPr>
                <w:rFonts w:ascii="Times New Roman" w:hAnsi="Times New Roman" w:cs="Times New Roman"/>
                <w:sz w:val="24"/>
                <w:szCs w:val="24"/>
              </w:rPr>
            </w:pPr>
            <w:r w:rsidRPr="00A16E56">
              <w:rPr>
                <w:rFonts w:ascii="Times New Roman" w:hAnsi="Times New Roman" w:cs="Times New Roman"/>
                <w:sz w:val="24"/>
                <w:szCs w:val="24"/>
              </w:rPr>
              <w:t>Poor construction</w:t>
            </w:r>
          </w:p>
        </w:tc>
        <w:tc>
          <w:tcPr>
            <w:tcW w:w="0" w:type="auto"/>
            <w:vAlign w:val="center"/>
            <w:hideMark/>
          </w:tcPr>
          <w:p w:rsidR="004F3BCC" w:rsidRPr="00A16E56" w:rsidRDefault="004F3BCC" w:rsidP="00A16E56">
            <w:pPr>
              <w:pStyle w:val="NoSpacing"/>
              <w:rPr>
                <w:rFonts w:ascii="Times New Roman" w:hAnsi="Times New Roman" w:cs="Times New Roman"/>
                <w:sz w:val="24"/>
                <w:szCs w:val="24"/>
              </w:rPr>
            </w:pPr>
            <w:r w:rsidRPr="00A16E56">
              <w:rPr>
                <w:rFonts w:ascii="Times New Roman" w:hAnsi="Times New Roman" w:cs="Times New Roman"/>
                <w:sz w:val="24"/>
                <w:szCs w:val="24"/>
              </w:rPr>
              <w:t>Proper lining and covers</w:t>
            </w:r>
          </w:p>
        </w:tc>
      </w:tr>
      <w:tr w:rsidR="004F3BCC" w:rsidRPr="00A16E56" w:rsidTr="00A16E56">
        <w:trPr>
          <w:tblCellSpacing w:w="15" w:type="dxa"/>
        </w:trPr>
        <w:tc>
          <w:tcPr>
            <w:tcW w:w="0" w:type="auto"/>
            <w:tcBorders>
              <w:bottom w:val="single" w:sz="4" w:space="0" w:color="auto"/>
            </w:tcBorders>
            <w:vAlign w:val="center"/>
            <w:hideMark/>
          </w:tcPr>
          <w:p w:rsidR="004F3BCC" w:rsidRPr="00A16E56" w:rsidRDefault="004F3BCC" w:rsidP="00A16E56">
            <w:pPr>
              <w:pStyle w:val="NoSpacing"/>
              <w:rPr>
                <w:rFonts w:ascii="Times New Roman" w:hAnsi="Times New Roman" w:cs="Times New Roman"/>
                <w:sz w:val="24"/>
                <w:szCs w:val="24"/>
              </w:rPr>
            </w:pPr>
            <w:r w:rsidRPr="00A16E56">
              <w:rPr>
                <w:rFonts w:ascii="Times New Roman" w:hAnsi="Times New Roman" w:cs="Times New Roman"/>
                <w:sz w:val="24"/>
                <w:szCs w:val="24"/>
              </w:rPr>
              <w:t>Lack of monitoring</w:t>
            </w:r>
          </w:p>
        </w:tc>
        <w:tc>
          <w:tcPr>
            <w:tcW w:w="0" w:type="auto"/>
            <w:tcBorders>
              <w:bottom w:val="single" w:sz="4" w:space="0" w:color="auto"/>
            </w:tcBorders>
            <w:vAlign w:val="center"/>
            <w:hideMark/>
          </w:tcPr>
          <w:p w:rsidR="004F3BCC" w:rsidRPr="00A16E56" w:rsidRDefault="004F3BCC" w:rsidP="00A16E56">
            <w:pPr>
              <w:pStyle w:val="NoSpacing"/>
              <w:rPr>
                <w:rFonts w:ascii="Times New Roman" w:hAnsi="Times New Roman" w:cs="Times New Roman"/>
                <w:sz w:val="24"/>
                <w:szCs w:val="24"/>
              </w:rPr>
            </w:pPr>
            <w:r w:rsidRPr="00A16E56">
              <w:rPr>
                <w:rFonts w:ascii="Times New Roman" w:hAnsi="Times New Roman" w:cs="Times New Roman"/>
                <w:sz w:val="24"/>
                <w:szCs w:val="24"/>
              </w:rPr>
              <w:t>Institutional weakness</w:t>
            </w:r>
          </w:p>
        </w:tc>
        <w:tc>
          <w:tcPr>
            <w:tcW w:w="0" w:type="auto"/>
            <w:tcBorders>
              <w:bottom w:val="single" w:sz="4" w:space="0" w:color="auto"/>
            </w:tcBorders>
            <w:vAlign w:val="center"/>
            <w:hideMark/>
          </w:tcPr>
          <w:p w:rsidR="004F3BCC" w:rsidRPr="00A16E56" w:rsidRDefault="004F3BCC" w:rsidP="00A16E56">
            <w:pPr>
              <w:pStyle w:val="NoSpacing"/>
              <w:rPr>
                <w:rFonts w:ascii="Times New Roman" w:hAnsi="Times New Roman" w:cs="Times New Roman"/>
                <w:sz w:val="24"/>
                <w:szCs w:val="24"/>
              </w:rPr>
            </w:pPr>
            <w:r w:rsidRPr="00A16E56">
              <w:rPr>
                <w:rFonts w:ascii="Times New Roman" w:hAnsi="Times New Roman" w:cs="Times New Roman"/>
                <w:sz w:val="24"/>
                <w:szCs w:val="24"/>
              </w:rPr>
              <w:t>Community water monitoring system</w:t>
            </w:r>
          </w:p>
        </w:tc>
      </w:tr>
    </w:tbl>
    <w:p w:rsidR="005F38A8" w:rsidRDefault="00A16E56" w:rsidP="004F3BCC">
      <w:pPr>
        <w:spacing w:line="360" w:lineRule="auto"/>
        <w:ind w:left="60"/>
        <w:contextualSpacing/>
        <w:jc w:val="both"/>
        <w:rPr>
          <w:rFonts w:cs="Times New Roman"/>
          <w:szCs w:val="24"/>
        </w:rPr>
      </w:pPr>
      <w:r>
        <w:rPr>
          <w:rFonts w:cs="Times New Roman"/>
          <w:szCs w:val="24"/>
        </w:rPr>
        <w:t>Source: Authors Computation, 2026</w:t>
      </w:r>
    </w:p>
    <w:p w:rsidR="00554872" w:rsidRDefault="00735BDE" w:rsidP="00554872">
      <w:pPr>
        <w:spacing w:line="360" w:lineRule="auto"/>
        <w:ind w:left="60"/>
        <w:contextualSpacing/>
        <w:jc w:val="both"/>
        <w:rPr>
          <w:rFonts w:cs="Times New Roman"/>
          <w:szCs w:val="24"/>
        </w:rPr>
      </w:pPr>
      <w:r>
        <w:rPr>
          <w:rFonts w:cs="Times New Roman"/>
          <w:szCs w:val="24"/>
        </w:rPr>
        <w:t>Discussion</w:t>
      </w:r>
    </w:p>
    <w:p w:rsidR="007043C7" w:rsidRDefault="00735BDE" w:rsidP="007043C7">
      <w:pPr>
        <w:spacing w:line="360" w:lineRule="auto"/>
        <w:ind w:left="60"/>
        <w:contextualSpacing/>
        <w:jc w:val="both"/>
        <w:rPr>
          <w:rFonts w:cs="Times New Roman"/>
          <w:szCs w:val="24"/>
        </w:rPr>
      </w:pPr>
      <w:r w:rsidRPr="00735BDE">
        <w:rPr>
          <w:rFonts w:cs="Times New Roman"/>
          <w:szCs w:val="24"/>
          <w:lang w:val="en-GB" w:eastAsia="en-GB"/>
        </w:rPr>
        <w:t>The findings of this study reveal</w:t>
      </w:r>
      <w:r w:rsidR="00196EE3">
        <w:rPr>
          <w:rFonts w:cs="Times New Roman"/>
          <w:szCs w:val="24"/>
          <w:lang w:val="en-GB" w:eastAsia="en-GB"/>
        </w:rPr>
        <w:t>ed</w:t>
      </w:r>
      <w:r w:rsidRPr="00735BDE">
        <w:rPr>
          <w:rFonts w:cs="Times New Roman"/>
          <w:szCs w:val="24"/>
          <w:lang w:val="en-GB" w:eastAsia="en-GB"/>
        </w:rPr>
        <w:t xml:space="preserve"> that groundwater quality in </w:t>
      </w:r>
      <w:proofErr w:type="spellStart"/>
      <w:r w:rsidRPr="00735BDE">
        <w:rPr>
          <w:rFonts w:cs="Times New Roman"/>
          <w:szCs w:val="24"/>
          <w:lang w:val="en-GB" w:eastAsia="en-GB"/>
        </w:rPr>
        <w:t>Okesa</w:t>
      </w:r>
      <w:proofErr w:type="spellEnd"/>
      <w:r w:rsidRPr="00735BDE">
        <w:rPr>
          <w:rFonts w:cs="Times New Roman"/>
          <w:szCs w:val="24"/>
          <w:lang w:val="en-GB" w:eastAsia="en-GB"/>
        </w:rPr>
        <w:t>, Ilesha is generally compromised and does not consistently meet WHO (2017) and SON (2015) standards for potable water. The physicochemical results show that although parameters such as total dissolved solids (TDS), electrical conductivity (EC), total hardness, nitrate, and chloride are mostly within acceptable limits, there are noticeable deviations in pH, turbidity, iron, and lead in several locations. The slightly acidic pH observed in some wells indicates possible influence from organic matter decomposition and infiltration of wastewater, while elevated turbidity values suggest poor protection of wells from surface runoff and suspended particles.</w:t>
      </w:r>
    </w:p>
    <w:p w:rsidR="007043C7" w:rsidRDefault="00735BDE" w:rsidP="007043C7">
      <w:pPr>
        <w:spacing w:line="360" w:lineRule="auto"/>
        <w:ind w:left="60"/>
        <w:contextualSpacing/>
        <w:jc w:val="both"/>
        <w:rPr>
          <w:rFonts w:cs="Times New Roman"/>
          <w:szCs w:val="24"/>
        </w:rPr>
      </w:pPr>
      <w:r w:rsidRPr="00735BDE">
        <w:rPr>
          <w:rFonts w:cs="Times New Roman"/>
          <w:szCs w:val="24"/>
          <w:lang w:val="en-GB" w:eastAsia="en-GB"/>
        </w:rPr>
        <w:t>The presence of elevated iron and occasional exceedance of lead levels is particularly concerning, as these heavy metals pose long-term health risks. Their occurrence is likely linked to both natural geological weathering of basement complex rocks and anthropogenic activities such as corrosion of old pipes, improper waste disposal, and possible industrial influence from nearby facilities. Although most chemical parameters fall within permissible limits, the presence of localized contamination points to uneven groundwater quality distribution across the study area.</w:t>
      </w:r>
      <w:r w:rsidR="007043C7">
        <w:rPr>
          <w:rFonts w:cs="Times New Roman"/>
          <w:szCs w:val="24"/>
        </w:rPr>
        <w:t xml:space="preserve"> </w:t>
      </w:r>
      <w:r w:rsidRPr="00735BDE">
        <w:rPr>
          <w:rFonts w:cs="Times New Roman"/>
          <w:szCs w:val="24"/>
          <w:lang w:val="en-GB" w:eastAsia="en-GB"/>
        </w:rPr>
        <w:t>The microbiological analysis presents a more serious concern, as all sampled wells recorded total coliform, faecal coliform, and E. coli counts above permissible limits. This confirms widespread faecal contamination of groundwater sources. The results strongly suggest infiltration from nearby septic tanks, pit latrines, open defecation practices, and poor sanitation management around well locations. The universal presence of E. coli indicates recent contamination and clearly shows that the groundwater is unsafe for direct human consumption without treatment.</w:t>
      </w:r>
    </w:p>
    <w:p w:rsidR="00014E0B" w:rsidRDefault="00735BDE" w:rsidP="00D20949">
      <w:pPr>
        <w:spacing w:line="360" w:lineRule="auto"/>
        <w:ind w:left="60"/>
        <w:contextualSpacing/>
        <w:jc w:val="both"/>
        <w:rPr>
          <w:rFonts w:cs="Times New Roman"/>
          <w:szCs w:val="24"/>
          <w:lang w:val="en-GB" w:eastAsia="en-GB"/>
        </w:rPr>
      </w:pPr>
      <w:r w:rsidRPr="00735BDE">
        <w:rPr>
          <w:rFonts w:cs="Times New Roman"/>
          <w:szCs w:val="24"/>
          <w:lang w:val="en-GB" w:eastAsia="en-GB"/>
        </w:rPr>
        <w:t>Comparatively, the left-side wells appear to be more affected by microbial contamination, while the right-side wells show slightly higher chemical loading, particularly in terms of TDS, EC, and lead concentration. This variation may be attributed to differences in land use activities, population density, and proximity to contamination sources such as the brewery and residential waste disposal points.</w:t>
      </w:r>
      <w:r w:rsidR="007043C7">
        <w:rPr>
          <w:rFonts w:cs="Times New Roman"/>
          <w:szCs w:val="24"/>
        </w:rPr>
        <w:t xml:space="preserve"> </w:t>
      </w:r>
      <w:r w:rsidRPr="00735BDE">
        <w:rPr>
          <w:rFonts w:cs="Times New Roman"/>
          <w:szCs w:val="24"/>
          <w:lang w:val="en-GB" w:eastAsia="en-GB"/>
        </w:rPr>
        <w:t>Overall, the findings indicate that more than two-thirds of the sampled wells fail to meet drinking water standards, with overall compliance below 30%</w:t>
      </w:r>
      <w:r w:rsidR="00D20949">
        <w:rPr>
          <w:rFonts w:cs="Times New Roman"/>
          <w:szCs w:val="24"/>
          <w:lang w:val="en-GB" w:eastAsia="en-GB"/>
        </w:rPr>
        <w:t xml:space="preserve"> t</w:t>
      </w:r>
      <w:r w:rsidR="00370731" w:rsidRPr="00735BDE">
        <w:rPr>
          <w:rFonts w:cs="Times New Roman"/>
          <w:szCs w:val="24"/>
          <w:lang w:val="en-GB" w:eastAsia="en-GB"/>
        </w:rPr>
        <w:t>his</w:t>
      </w:r>
      <w:r w:rsidR="00370731">
        <w:rPr>
          <w:rFonts w:cs="Times New Roman"/>
          <w:szCs w:val="24"/>
          <w:lang w:val="en-GB" w:eastAsia="en-GB"/>
        </w:rPr>
        <w:t xml:space="preserve"> </w:t>
      </w:r>
      <w:r w:rsidR="00370731" w:rsidRPr="00735BDE">
        <w:rPr>
          <w:rFonts w:cs="Times New Roman"/>
          <w:szCs w:val="24"/>
          <w:lang w:val="en-GB" w:eastAsia="en-GB"/>
        </w:rPr>
        <w:t>highlight</w:t>
      </w:r>
      <w:r w:rsidRPr="00735BDE">
        <w:rPr>
          <w:rFonts w:cs="Times New Roman"/>
          <w:szCs w:val="24"/>
          <w:lang w:val="en-GB" w:eastAsia="en-GB"/>
        </w:rPr>
        <w:t xml:space="preserve"> significant groundwater vulnerability in </w:t>
      </w:r>
      <w:proofErr w:type="spellStart"/>
      <w:r w:rsidRPr="00735BDE">
        <w:rPr>
          <w:rFonts w:cs="Times New Roman"/>
          <w:szCs w:val="24"/>
          <w:lang w:val="en-GB" w:eastAsia="en-GB"/>
        </w:rPr>
        <w:t>Okesa</w:t>
      </w:r>
      <w:proofErr w:type="spellEnd"/>
      <w:r w:rsidRPr="00735BDE">
        <w:rPr>
          <w:rFonts w:cs="Times New Roman"/>
          <w:szCs w:val="24"/>
          <w:lang w:val="en-GB" w:eastAsia="en-GB"/>
        </w:rPr>
        <w:t>, driven largely by anthropogenic pressures rather than natural hydrogeochemical conditions alone. The study therefore establishes that while the aquifer system retains moderate natural quality, human activities have substantially degraded its safety status</w:t>
      </w:r>
    </w:p>
    <w:p w:rsidR="00014E0B" w:rsidRPr="00014E0B" w:rsidRDefault="00014E0B" w:rsidP="00014E0B">
      <w:pPr>
        <w:spacing w:line="360" w:lineRule="auto"/>
        <w:ind w:left="60"/>
        <w:contextualSpacing/>
        <w:jc w:val="both"/>
        <w:rPr>
          <w:rFonts w:cs="Times New Roman"/>
          <w:b/>
          <w:szCs w:val="24"/>
          <w:lang w:val="en-GB" w:eastAsia="en-GB"/>
        </w:rPr>
      </w:pPr>
      <w:r w:rsidRPr="00014E0B">
        <w:rPr>
          <w:rFonts w:cs="Times New Roman"/>
          <w:b/>
          <w:szCs w:val="24"/>
          <w:lang w:val="en-GB" w:eastAsia="en-GB"/>
        </w:rPr>
        <w:t>5. Conclusion and Recommendations</w:t>
      </w:r>
    </w:p>
    <w:p w:rsidR="00091FBD" w:rsidRDefault="00014E0B" w:rsidP="00014E0B">
      <w:pPr>
        <w:spacing w:line="360" w:lineRule="auto"/>
        <w:ind w:left="60"/>
        <w:contextualSpacing/>
        <w:jc w:val="both"/>
        <w:rPr>
          <w:rFonts w:cs="Times New Roman"/>
          <w:szCs w:val="24"/>
          <w:lang w:val="en-GB" w:eastAsia="en-GB"/>
        </w:rPr>
      </w:pPr>
      <w:r w:rsidRPr="00014E0B">
        <w:rPr>
          <w:rFonts w:cs="Times New Roman"/>
          <w:szCs w:val="24"/>
          <w:lang w:val="en-GB" w:eastAsia="en-GB"/>
        </w:rPr>
        <w:t>The study conclude</w:t>
      </w:r>
      <w:r>
        <w:rPr>
          <w:rFonts w:cs="Times New Roman"/>
          <w:szCs w:val="24"/>
          <w:lang w:val="en-GB" w:eastAsia="en-GB"/>
        </w:rPr>
        <w:t>d</w:t>
      </w:r>
      <w:r w:rsidRPr="00014E0B">
        <w:rPr>
          <w:rFonts w:cs="Times New Roman"/>
          <w:szCs w:val="24"/>
          <w:lang w:val="en-GB" w:eastAsia="en-GB"/>
        </w:rPr>
        <w:t xml:space="preserve"> that groundwater in </w:t>
      </w:r>
      <w:proofErr w:type="spellStart"/>
      <w:r w:rsidRPr="00014E0B">
        <w:rPr>
          <w:rFonts w:cs="Times New Roman"/>
          <w:szCs w:val="24"/>
          <w:lang w:val="en-GB" w:eastAsia="en-GB"/>
        </w:rPr>
        <w:t>Okesa</w:t>
      </w:r>
      <w:proofErr w:type="spellEnd"/>
      <w:r w:rsidRPr="00014E0B">
        <w:rPr>
          <w:rFonts w:cs="Times New Roman"/>
          <w:szCs w:val="24"/>
          <w:lang w:val="en-GB" w:eastAsia="en-GB"/>
        </w:rPr>
        <w:t xml:space="preserve">, Ilesha has been significantly affected by human activities and poor environmental sanitation practices. Although most physicochemical parameters such as pH, TDS, electrical conductivity, and hardness were within acceptable WHO (2017) and SON (2015) limits, some locations—particularly </w:t>
      </w:r>
      <w:proofErr w:type="spellStart"/>
      <w:r w:rsidRPr="00014E0B">
        <w:rPr>
          <w:rFonts w:cs="Times New Roman"/>
          <w:szCs w:val="24"/>
          <w:lang w:val="en-GB" w:eastAsia="en-GB"/>
        </w:rPr>
        <w:t>Omooba</w:t>
      </w:r>
      <w:proofErr w:type="spellEnd"/>
      <w:r w:rsidRPr="00014E0B">
        <w:rPr>
          <w:rFonts w:cs="Times New Roman"/>
          <w:szCs w:val="24"/>
          <w:lang w:val="en-GB" w:eastAsia="en-GB"/>
        </w:rPr>
        <w:t xml:space="preserve"> </w:t>
      </w:r>
      <w:proofErr w:type="spellStart"/>
      <w:r w:rsidRPr="00014E0B">
        <w:rPr>
          <w:rFonts w:cs="Times New Roman"/>
          <w:szCs w:val="24"/>
          <w:lang w:val="en-GB" w:eastAsia="en-GB"/>
        </w:rPr>
        <w:t>Alufaa</w:t>
      </w:r>
      <w:proofErr w:type="spellEnd"/>
      <w:r w:rsidRPr="00014E0B">
        <w:rPr>
          <w:rFonts w:cs="Times New Roman"/>
          <w:szCs w:val="24"/>
          <w:lang w:val="en-GB" w:eastAsia="en-GB"/>
        </w:rPr>
        <w:t xml:space="preserve">, Brewery, and Omi </w:t>
      </w:r>
      <w:proofErr w:type="spellStart"/>
      <w:r w:rsidRPr="00014E0B">
        <w:rPr>
          <w:rFonts w:cs="Times New Roman"/>
          <w:szCs w:val="24"/>
          <w:lang w:val="en-GB" w:eastAsia="en-GB"/>
        </w:rPr>
        <w:t>Asoro</w:t>
      </w:r>
      <w:proofErr w:type="spellEnd"/>
      <w:r w:rsidRPr="00014E0B">
        <w:rPr>
          <w:rFonts w:cs="Times New Roman"/>
          <w:szCs w:val="24"/>
          <w:lang w:val="en-GB" w:eastAsia="en-GB"/>
        </w:rPr>
        <w:t xml:space="preserve"> (1)—showed signs of elevated turbidity and conductivity, indicating localized contamination. More importantly, the microbiological results revealed the presence of E. coli, total coliforms, and Salmonella species across several sampling points, confirming widespread faecal contamination. This makes the groundwater unsafe for direct human consumption without adequate treatment. The study therefore establishes that while the aquifer retains moderate natural quality, anthropogenic activities such as improper waste disposal, poor well construction, proximity of wells to septic tanks, and possible industrial discharges have greatly compromised its safety and potability. It is concluded that the groundwater in the study area cannot be considered safe for drinking in its natural state and requires effective treatment and continuous monitoring to safeguard public health.</w:t>
      </w:r>
      <w:r>
        <w:rPr>
          <w:rFonts w:cs="Times New Roman"/>
          <w:szCs w:val="24"/>
          <w:lang w:val="en-GB" w:eastAsia="en-GB"/>
        </w:rPr>
        <w:t xml:space="preserve"> </w:t>
      </w:r>
      <w:r w:rsidRPr="00014E0B">
        <w:rPr>
          <w:rFonts w:cs="Times New Roman"/>
          <w:szCs w:val="24"/>
          <w:lang w:val="en-GB" w:eastAsia="en-GB"/>
        </w:rPr>
        <w:t>Based on these findings, it is recommended that</w:t>
      </w:r>
      <w:r w:rsidR="00091FBD">
        <w:rPr>
          <w:rFonts w:cs="Times New Roman"/>
          <w:szCs w:val="24"/>
          <w:lang w:val="en-GB" w:eastAsia="en-GB"/>
        </w:rPr>
        <w:t>:</w:t>
      </w:r>
    </w:p>
    <w:p w:rsidR="00091FBD" w:rsidRDefault="00091FBD" w:rsidP="00091FBD">
      <w:pPr>
        <w:pStyle w:val="ListParagraph"/>
        <w:numPr>
          <w:ilvl w:val="0"/>
          <w:numId w:val="14"/>
        </w:numPr>
        <w:spacing w:line="360" w:lineRule="auto"/>
        <w:jc w:val="both"/>
        <w:rPr>
          <w:rFonts w:cs="Times New Roman"/>
          <w:szCs w:val="24"/>
          <w:lang w:val="en-GB" w:eastAsia="en-GB"/>
        </w:rPr>
      </w:pPr>
      <w:r>
        <w:rPr>
          <w:rFonts w:cs="Times New Roman"/>
          <w:szCs w:val="24"/>
          <w:lang w:val="en-GB" w:eastAsia="en-GB"/>
        </w:rPr>
        <w:t>A</w:t>
      </w:r>
      <w:r w:rsidR="00014E0B" w:rsidRPr="00091FBD">
        <w:rPr>
          <w:rFonts w:cs="Times New Roman"/>
          <w:szCs w:val="24"/>
          <w:lang w:val="en-GB" w:eastAsia="en-GB"/>
        </w:rPr>
        <w:t xml:space="preserve">ll wells in </w:t>
      </w:r>
      <w:proofErr w:type="spellStart"/>
      <w:r w:rsidR="00014E0B" w:rsidRPr="00091FBD">
        <w:rPr>
          <w:rFonts w:cs="Times New Roman"/>
          <w:szCs w:val="24"/>
          <w:lang w:val="en-GB" w:eastAsia="en-GB"/>
        </w:rPr>
        <w:t>Okesa</w:t>
      </w:r>
      <w:proofErr w:type="spellEnd"/>
      <w:r w:rsidR="00014E0B" w:rsidRPr="00091FBD">
        <w:rPr>
          <w:rFonts w:cs="Times New Roman"/>
          <w:szCs w:val="24"/>
          <w:lang w:val="en-GB" w:eastAsia="en-GB"/>
        </w:rPr>
        <w:t xml:space="preserve"> should be properly protected through lining, covering, and construction of sanitary aprons to prevent surface contamination. Wells should also be sited at safe distances of at least 30 metres from septic tanks, latrines, and refuse dumps to reduce faecal infiltration. </w:t>
      </w:r>
    </w:p>
    <w:p w:rsidR="00091FBD" w:rsidRDefault="00014E0B" w:rsidP="00091FBD">
      <w:pPr>
        <w:pStyle w:val="ListParagraph"/>
        <w:numPr>
          <w:ilvl w:val="0"/>
          <w:numId w:val="14"/>
        </w:numPr>
        <w:spacing w:line="360" w:lineRule="auto"/>
        <w:jc w:val="both"/>
        <w:rPr>
          <w:rFonts w:cs="Times New Roman"/>
          <w:szCs w:val="24"/>
          <w:lang w:val="en-GB" w:eastAsia="en-GB"/>
        </w:rPr>
      </w:pPr>
      <w:r w:rsidRPr="00091FBD">
        <w:rPr>
          <w:rFonts w:cs="Times New Roman"/>
          <w:szCs w:val="24"/>
          <w:lang w:val="en-GB" w:eastAsia="en-GB"/>
        </w:rPr>
        <w:t xml:space="preserve">Regular water treatment methods such as boiling, chlorination, filtration, and other point-of-use purification techniques should be adopted by households. Public awareness campaigns should be intensified to educate residents on proper sanitation practices and the health risks associated with contaminated groundwater. </w:t>
      </w:r>
    </w:p>
    <w:p w:rsidR="0042567C" w:rsidRDefault="00014E0B" w:rsidP="0042567C">
      <w:pPr>
        <w:pStyle w:val="ListParagraph"/>
        <w:numPr>
          <w:ilvl w:val="0"/>
          <w:numId w:val="14"/>
        </w:numPr>
        <w:spacing w:line="360" w:lineRule="auto"/>
        <w:jc w:val="both"/>
        <w:rPr>
          <w:rFonts w:cs="Times New Roman"/>
          <w:szCs w:val="24"/>
          <w:lang w:val="en-GB" w:eastAsia="en-GB"/>
        </w:rPr>
      </w:pPr>
      <w:r w:rsidRPr="00091FBD">
        <w:rPr>
          <w:rFonts w:cs="Times New Roman"/>
          <w:szCs w:val="24"/>
          <w:lang w:val="en-GB" w:eastAsia="en-GB"/>
        </w:rPr>
        <w:t>In addition, industrial establishments, especially nearby facilities such as breweries, should be mandated to treat their effluents before discharge into the environment.</w:t>
      </w:r>
    </w:p>
    <w:p w:rsidR="00925A64" w:rsidRDefault="00014E0B" w:rsidP="00925A64">
      <w:pPr>
        <w:pStyle w:val="ListParagraph"/>
        <w:numPr>
          <w:ilvl w:val="0"/>
          <w:numId w:val="14"/>
        </w:numPr>
        <w:spacing w:line="360" w:lineRule="auto"/>
        <w:jc w:val="both"/>
        <w:rPr>
          <w:rFonts w:cs="Times New Roman"/>
          <w:szCs w:val="24"/>
          <w:lang w:val="en-GB" w:eastAsia="en-GB"/>
        </w:rPr>
      </w:pPr>
      <w:r w:rsidRPr="0042567C">
        <w:rPr>
          <w:rFonts w:cs="Times New Roman"/>
          <w:szCs w:val="24"/>
          <w:lang w:val="en-GB" w:eastAsia="en-GB"/>
        </w:rPr>
        <w:t>Environmental regulatory agencies should establish routine monitoring and periodic testing of groundwater quality in the area to ensure compliance with safety standards.</w:t>
      </w:r>
    </w:p>
    <w:p w:rsidR="00925A64" w:rsidRDefault="00925A64" w:rsidP="00925A64">
      <w:pPr>
        <w:spacing w:line="360" w:lineRule="auto"/>
        <w:contextualSpacing/>
        <w:jc w:val="both"/>
        <w:rPr>
          <w:rFonts w:cs="Times New Roman"/>
          <w:szCs w:val="24"/>
          <w:lang w:val="en-GB" w:eastAsia="en-GB"/>
        </w:rPr>
      </w:pPr>
      <w:r w:rsidRPr="00925A64">
        <w:rPr>
          <w:rFonts w:cs="Times New Roman"/>
          <w:b/>
          <w:bCs/>
          <w:szCs w:val="24"/>
          <w:lang w:val="en-GB" w:eastAsia="en-GB"/>
        </w:rPr>
        <w:t xml:space="preserve">Policy implication </w:t>
      </w:r>
    </w:p>
    <w:p w:rsidR="00925A64" w:rsidRDefault="00925A64" w:rsidP="00925A64">
      <w:pPr>
        <w:spacing w:line="360" w:lineRule="auto"/>
        <w:contextualSpacing/>
        <w:jc w:val="both"/>
        <w:rPr>
          <w:rFonts w:cs="Times New Roman"/>
          <w:szCs w:val="24"/>
          <w:lang w:val="en-GB" w:eastAsia="en-GB"/>
        </w:rPr>
      </w:pPr>
      <w:r w:rsidRPr="00925A64">
        <w:rPr>
          <w:rFonts w:cs="Times New Roman"/>
          <w:szCs w:val="24"/>
          <w:lang w:val="en-GB" w:eastAsia="en-GB"/>
        </w:rPr>
        <w:t xml:space="preserve">The study implies an urgent need for stricter groundwater protection and environmental sanitation policies in </w:t>
      </w:r>
      <w:proofErr w:type="spellStart"/>
      <w:r w:rsidRPr="00925A64">
        <w:rPr>
          <w:rFonts w:cs="Times New Roman"/>
          <w:szCs w:val="24"/>
          <w:lang w:val="en-GB" w:eastAsia="en-GB"/>
        </w:rPr>
        <w:t>Okesa</w:t>
      </w:r>
      <w:proofErr w:type="spellEnd"/>
      <w:r w:rsidRPr="00925A64">
        <w:rPr>
          <w:rFonts w:cs="Times New Roman"/>
          <w:szCs w:val="24"/>
          <w:lang w:val="en-GB" w:eastAsia="en-GB"/>
        </w:rPr>
        <w:t>, Ilesha. Regulatory agencies should enforce minimum setback distances between wells and potential contamination sources such as septic tanks and waste dumps. Water quality monitoring should be institutionalised at community level, while industries must comply with effluent treatment standards before discharge. Public health policies should also promote household water treatment practices. These measures will strengthen groundwater safety, reduce disease burden, and support sustainable water resource management.</w:t>
      </w:r>
    </w:p>
    <w:p w:rsidR="00925A64" w:rsidRDefault="00925A64" w:rsidP="00925A64">
      <w:pPr>
        <w:spacing w:line="360" w:lineRule="auto"/>
        <w:contextualSpacing/>
        <w:jc w:val="both"/>
        <w:rPr>
          <w:rFonts w:cs="Times New Roman"/>
          <w:szCs w:val="24"/>
          <w:lang w:val="en-GB" w:eastAsia="en-GB"/>
        </w:rPr>
      </w:pPr>
      <w:r w:rsidRPr="00925A64">
        <w:rPr>
          <w:rFonts w:cs="Times New Roman"/>
          <w:b/>
          <w:bCs/>
          <w:szCs w:val="24"/>
          <w:lang w:val="en-GB" w:eastAsia="en-GB"/>
        </w:rPr>
        <w:t xml:space="preserve">Suggestions for further study </w:t>
      </w:r>
    </w:p>
    <w:p w:rsidR="00925A64" w:rsidRPr="00925A64" w:rsidRDefault="00925A64" w:rsidP="00925A64">
      <w:pPr>
        <w:spacing w:line="360" w:lineRule="auto"/>
        <w:contextualSpacing/>
        <w:jc w:val="both"/>
        <w:rPr>
          <w:rFonts w:cs="Times New Roman"/>
          <w:szCs w:val="24"/>
          <w:lang w:val="en-GB" w:eastAsia="en-GB"/>
        </w:rPr>
      </w:pPr>
      <w:r w:rsidRPr="00925A64">
        <w:rPr>
          <w:rFonts w:cs="Times New Roman"/>
          <w:szCs w:val="24"/>
          <w:lang w:val="en-GB" w:eastAsia="en-GB"/>
        </w:rPr>
        <w:t>Future studies should expand the spatial coverage to include more communities within Ilesha and other basement complex areas of Osun State to enable broader comparison. Longitudinal studies should be conducted to assess seasonal variations in groundwater quality. Further research should also investigate the hydrogeological pathways of contaminant movement and the role of soil composition in pollutant filtration. Additionally, advanced modelling techniques and risk assessment tools should be applied to better predict long-term groundwater vulnerability and inform sustainable management strategies.</w:t>
      </w:r>
    </w:p>
    <w:p w:rsidR="00735BDE" w:rsidRDefault="00452140" w:rsidP="00735BDE">
      <w:pPr>
        <w:spacing w:line="360" w:lineRule="auto"/>
        <w:ind w:left="60"/>
        <w:contextualSpacing/>
        <w:jc w:val="both"/>
        <w:rPr>
          <w:rFonts w:cs="Times New Roman"/>
          <w:b/>
          <w:szCs w:val="24"/>
        </w:rPr>
      </w:pPr>
      <w:r w:rsidRPr="007E21AF">
        <w:rPr>
          <w:rFonts w:cs="Times New Roman"/>
          <w:b/>
          <w:szCs w:val="24"/>
        </w:rPr>
        <w:t>Reference</w:t>
      </w:r>
      <w:r w:rsidR="00021F25" w:rsidRPr="007E21AF">
        <w:rPr>
          <w:rFonts w:cs="Times New Roman"/>
          <w:b/>
          <w:szCs w:val="24"/>
        </w:rPr>
        <w:t>s</w:t>
      </w:r>
    </w:p>
    <w:p w:rsidR="007E21AF" w:rsidRPr="007E21AF" w:rsidRDefault="007E21AF" w:rsidP="007E21AF">
      <w:pPr>
        <w:spacing w:before="100" w:beforeAutospacing="1" w:after="100" w:afterAutospacing="1" w:line="240" w:lineRule="auto"/>
        <w:rPr>
          <w:rFonts w:cs="Times New Roman"/>
          <w:szCs w:val="24"/>
          <w:lang w:val="en-GB" w:eastAsia="en-GB"/>
        </w:rPr>
      </w:pPr>
      <w:proofErr w:type="spellStart"/>
      <w:r w:rsidRPr="007E21AF">
        <w:rPr>
          <w:rFonts w:cs="Times New Roman"/>
          <w:szCs w:val="24"/>
          <w:lang w:val="en-GB" w:eastAsia="en-GB"/>
        </w:rPr>
        <w:t>Adelana</w:t>
      </w:r>
      <w:proofErr w:type="spellEnd"/>
      <w:r w:rsidRPr="007E21AF">
        <w:rPr>
          <w:rFonts w:cs="Times New Roman"/>
          <w:szCs w:val="24"/>
          <w:lang w:val="en-GB" w:eastAsia="en-GB"/>
        </w:rPr>
        <w:t xml:space="preserve">, S. M. A., &amp; MacDonald, A. M. (Eds.). (2008). </w:t>
      </w:r>
      <w:r w:rsidRPr="007E21AF">
        <w:rPr>
          <w:rFonts w:cs="Times New Roman"/>
          <w:i/>
          <w:iCs/>
          <w:szCs w:val="24"/>
          <w:lang w:val="en-GB" w:eastAsia="en-GB"/>
        </w:rPr>
        <w:t>Applied groundwater studies in Africa: IAH selected papers on hydrogeology</w:t>
      </w:r>
      <w:r w:rsidRPr="007E21AF">
        <w:rPr>
          <w:rFonts w:cs="Times New Roman"/>
          <w:szCs w:val="24"/>
          <w:lang w:val="en-GB" w:eastAsia="en-GB"/>
        </w:rPr>
        <w:t xml:space="preserve"> (Vol. 13). CRC Press.</w:t>
      </w:r>
    </w:p>
    <w:p w:rsidR="007E21AF" w:rsidRPr="007E21AF" w:rsidRDefault="007E21AF" w:rsidP="007E21AF">
      <w:pPr>
        <w:spacing w:before="100" w:beforeAutospacing="1" w:after="100" w:afterAutospacing="1" w:line="240" w:lineRule="auto"/>
        <w:rPr>
          <w:rFonts w:cs="Times New Roman"/>
          <w:szCs w:val="24"/>
          <w:lang w:val="en-GB" w:eastAsia="en-GB"/>
        </w:rPr>
      </w:pPr>
      <w:proofErr w:type="spellStart"/>
      <w:r w:rsidRPr="007E21AF">
        <w:rPr>
          <w:rFonts w:cs="Times New Roman"/>
          <w:szCs w:val="24"/>
          <w:lang w:val="en-GB" w:eastAsia="en-GB"/>
        </w:rPr>
        <w:t>Adelekan</w:t>
      </w:r>
      <w:proofErr w:type="spellEnd"/>
      <w:r w:rsidRPr="007E21AF">
        <w:rPr>
          <w:rFonts w:cs="Times New Roman"/>
          <w:szCs w:val="24"/>
          <w:lang w:val="en-GB" w:eastAsia="en-GB"/>
        </w:rPr>
        <w:t xml:space="preserve">, B. A. (2010). Water quality of domestic wells in typical African communities: Case studies from Nigeria. </w:t>
      </w:r>
      <w:r w:rsidRPr="007E21AF">
        <w:rPr>
          <w:rFonts w:cs="Times New Roman"/>
          <w:i/>
          <w:iCs/>
          <w:szCs w:val="24"/>
          <w:lang w:val="en-GB" w:eastAsia="en-GB"/>
        </w:rPr>
        <w:t>International Journal of Water Resources and Environmental Engineering, 2</w:t>
      </w:r>
      <w:r w:rsidRPr="007E21AF">
        <w:rPr>
          <w:rFonts w:cs="Times New Roman"/>
          <w:szCs w:val="24"/>
          <w:lang w:val="en-GB" w:eastAsia="en-GB"/>
        </w:rPr>
        <w:t>(6), 137–147.</w:t>
      </w:r>
    </w:p>
    <w:p w:rsidR="007E21AF" w:rsidRPr="007E21AF" w:rsidRDefault="007E21AF" w:rsidP="007E21AF">
      <w:pPr>
        <w:spacing w:before="100" w:beforeAutospacing="1" w:after="100" w:afterAutospacing="1" w:line="240" w:lineRule="auto"/>
        <w:rPr>
          <w:rFonts w:cs="Times New Roman"/>
          <w:szCs w:val="24"/>
          <w:lang w:val="en-GB" w:eastAsia="en-GB"/>
        </w:rPr>
      </w:pPr>
      <w:r w:rsidRPr="007E21AF">
        <w:rPr>
          <w:rFonts w:cs="Times New Roman"/>
          <w:szCs w:val="24"/>
          <w:lang w:val="en-GB" w:eastAsia="en-GB"/>
        </w:rPr>
        <w:t xml:space="preserve">Adigun, E. O., &amp; </w:t>
      </w:r>
      <w:proofErr w:type="spellStart"/>
      <w:r w:rsidRPr="007E21AF">
        <w:rPr>
          <w:rFonts w:cs="Times New Roman"/>
          <w:szCs w:val="24"/>
          <w:lang w:val="en-GB" w:eastAsia="en-GB"/>
        </w:rPr>
        <w:t>Olorunfemi</w:t>
      </w:r>
      <w:proofErr w:type="spellEnd"/>
      <w:r w:rsidRPr="007E21AF">
        <w:rPr>
          <w:rFonts w:cs="Times New Roman"/>
          <w:szCs w:val="24"/>
          <w:lang w:val="en-GB" w:eastAsia="en-GB"/>
        </w:rPr>
        <w:t xml:space="preserve">, M. O. (2017). Integrated geophysical and </w:t>
      </w:r>
      <w:proofErr w:type="spellStart"/>
      <w:r w:rsidRPr="007E21AF">
        <w:rPr>
          <w:rFonts w:cs="Times New Roman"/>
          <w:szCs w:val="24"/>
          <w:lang w:val="en-GB" w:eastAsia="en-GB"/>
        </w:rPr>
        <w:t>hydrochemical</w:t>
      </w:r>
      <w:proofErr w:type="spellEnd"/>
      <w:r w:rsidRPr="007E21AF">
        <w:rPr>
          <w:rFonts w:cs="Times New Roman"/>
          <w:szCs w:val="24"/>
          <w:lang w:val="en-GB" w:eastAsia="en-GB"/>
        </w:rPr>
        <w:t xml:space="preserve"> investigations of subsoil and groundwater pollution around three cassava processing factories at </w:t>
      </w:r>
      <w:proofErr w:type="spellStart"/>
      <w:r w:rsidRPr="007E21AF">
        <w:rPr>
          <w:rFonts w:cs="Times New Roman"/>
          <w:szCs w:val="24"/>
          <w:lang w:val="en-GB" w:eastAsia="en-GB"/>
        </w:rPr>
        <w:t>Ireti</w:t>
      </w:r>
      <w:proofErr w:type="spellEnd"/>
      <w:r w:rsidRPr="007E21AF">
        <w:rPr>
          <w:rFonts w:cs="Times New Roman"/>
          <w:szCs w:val="24"/>
          <w:lang w:val="en-GB" w:eastAsia="en-GB"/>
        </w:rPr>
        <w:t xml:space="preserve">-Ayo community, Ilesha, Southwestern Nigeria. </w:t>
      </w:r>
      <w:r w:rsidRPr="007E21AF">
        <w:rPr>
          <w:rFonts w:cs="Times New Roman"/>
          <w:i/>
          <w:iCs/>
          <w:szCs w:val="24"/>
          <w:lang w:val="en-GB" w:eastAsia="en-GB"/>
        </w:rPr>
        <w:t>Ife Journal of Science, 19</w:t>
      </w:r>
      <w:r w:rsidRPr="007E21AF">
        <w:rPr>
          <w:rFonts w:cs="Times New Roman"/>
          <w:szCs w:val="24"/>
          <w:lang w:val="en-GB" w:eastAsia="en-GB"/>
        </w:rPr>
        <w:t>(2), 255–267.</w:t>
      </w:r>
    </w:p>
    <w:p w:rsidR="007E21AF" w:rsidRPr="007E21AF" w:rsidRDefault="007E21AF" w:rsidP="007E21AF">
      <w:pPr>
        <w:spacing w:before="100" w:beforeAutospacing="1" w:after="100" w:afterAutospacing="1" w:line="240" w:lineRule="auto"/>
        <w:rPr>
          <w:rFonts w:cs="Times New Roman"/>
          <w:szCs w:val="24"/>
          <w:lang w:val="en-GB" w:eastAsia="en-GB"/>
        </w:rPr>
      </w:pPr>
      <w:proofErr w:type="spellStart"/>
      <w:r w:rsidRPr="007E21AF">
        <w:rPr>
          <w:rFonts w:cs="Times New Roman"/>
          <w:szCs w:val="24"/>
          <w:lang w:val="en-GB" w:eastAsia="en-GB"/>
        </w:rPr>
        <w:t>Adimalla</w:t>
      </w:r>
      <w:proofErr w:type="spellEnd"/>
      <w:r w:rsidRPr="007E21AF">
        <w:rPr>
          <w:rFonts w:cs="Times New Roman"/>
          <w:szCs w:val="24"/>
          <w:lang w:val="en-GB" w:eastAsia="en-GB"/>
        </w:rPr>
        <w:t xml:space="preserve">, N. (2020). Groundwater quality for drinking and irrigation purposes and potential health risks assessment: A case study from semi-arid region of South India. </w:t>
      </w:r>
      <w:r w:rsidRPr="007E21AF">
        <w:rPr>
          <w:rFonts w:cs="Times New Roman"/>
          <w:i/>
          <w:iCs/>
          <w:szCs w:val="24"/>
          <w:lang w:val="en-GB" w:eastAsia="en-GB"/>
        </w:rPr>
        <w:t>Exposure and Health, 12</w:t>
      </w:r>
      <w:r w:rsidRPr="007E21AF">
        <w:rPr>
          <w:rFonts w:cs="Times New Roman"/>
          <w:szCs w:val="24"/>
          <w:lang w:val="en-GB" w:eastAsia="en-GB"/>
        </w:rPr>
        <w:t>(2), 265–278.</w:t>
      </w:r>
    </w:p>
    <w:p w:rsidR="007E21AF" w:rsidRPr="007E21AF" w:rsidRDefault="007E21AF" w:rsidP="007E21AF">
      <w:pPr>
        <w:spacing w:before="100" w:beforeAutospacing="1" w:after="100" w:afterAutospacing="1" w:line="240" w:lineRule="auto"/>
        <w:rPr>
          <w:rFonts w:cs="Times New Roman"/>
          <w:szCs w:val="24"/>
          <w:lang w:val="en-GB" w:eastAsia="en-GB"/>
        </w:rPr>
      </w:pPr>
      <w:proofErr w:type="spellStart"/>
      <w:r w:rsidRPr="007E21AF">
        <w:rPr>
          <w:rFonts w:cs="Times New Roman"/>
          <w:szCs w:val="24"/>
          <w:lang w:val="en-GB" w:eastAsia="en-GB"/>
        </w:rPr>
        <w:t>Adimalla</w:t>
      </w:r>
      <w:proofErr w:type="spellEnd"/>
      <w:r w:rsidRPr="007E21AF">
        <w:rPr>
          <w:rFonts w:cs="Times New Roman"/>
          <w:szCs w:val="24"/>
          <w:lang w:val="en-GB" w:eastAsia="en-GB"/>
        </w:rPr>
        <w:t xml:space="preserve">, N. (2021). Groundwater quality, pollution and potential health risks due to nitrate enrichment in hard rock terrain of South India. </w:t>
      </w:r>
      <w:r w:rsidRPr="007E21AF">
        <w:rPr>
          <w:rFonts w:cs="Times New Roman"/>
          <w:i/>
          <w:iCs/>
          <w:szCs w:val="24"/>
          <w:lang w:val="en-GB" w:eastAsia="en-GB"/>
        </w:rPr>
        <w:t>Ecotoxicology and Environmental Safety, 206</w:t>
      </w:r>
      <w:r w:rsidRPr="007E21AF">
        <w:rPr>
          <w:rFonts w:cs="Times New Roman"/>
          <w:szCs w:val="24"/>
          <w:lang w:val="en-GB" w:eastAsia="en-GB"/>
        </w:rPr>
        <w:t>, 111217.</w:t>
      </w:r>
    </w:p>
    <w:p w:rsidR="007E21AF" w:rsidRPr="007E21AF" w:rsidRDefault="007E21AF" w:rsidP="007E21AF">
      <w:pPr>
        <w:spacing w:before="100" w:beforeAutospacing="1" w:after="100" w:afterAutospacing="1" w:line="240" w:lineRule="auto"/>
        <w:rPr>
          <w:rFonts w:cs="Times New Roman"/>
          <w:szCs w:val="24"/>
          <w:lang w:val="en-GB" w:eastAsia="en-GB"/>
        </w:rPr>
      </w:pPr>
      <w:proofErr w:type="spellStart"/>
      <w:r w:rsidRPr="007E21AF">
        <w:rPr>
          <w:rFonts w:cs="Times New Roman"/>
          <w:szCs w:val="24"/>
          <w:lang w:val="en-GB" w:eastAsia="en-GB"/>
        </w:rPr>
        <w:t>Adimalla</w:t>
      </w:r>
      <w:proofErr w:type="spellEnd"/>
      <w:r w:rsidRPr="007E21AF">
        <w:rPr>
          <w:rFonts w:cs="Times New Roman"/>
          <w:szCs w:val="24"/>
          <w:lang w:val="en-GB" w:eastAsia="en-GB"/>
        </w:rPr>
        <w:t xml:space="preserve">, N., Qian, H., &amp; Nandan, M. J. (2020). Groundwater chemistry integrating the pollution index of groundwater and evaluation of potential human health risk: A case study from hard rock terrain of South India. </w:t>
      </w:r>
      <w:r w:rsidRPr="007E21AF">
        <w:rPr>
          <w:rFonts w:cs="Times New Roman"/>
          <w:i/>
          <w:iCs/>
          <w:szCs w:val="24"/>
          <w:lang w:val="en-GB" w:eastAsia="en-GB"/>
        </w:rPr>
        <w:t>Ecotoxicology and Environmental Safety, 206</w:t>
      </w:r>
      <w:r w:rsidRPr="007E21AF">
        <w:rPr>
          <w:rFonts w:cs="Times New Roman"/>
          <w:szCs w:val="24"/>
          <w:lang w:val="en-GB" w:eastAsia="en-GB"/>
        </w:rPr>
        <w:t>, 111217.</w:t>
      </w:r>
    </w:p>
    <w:p w:rsidR="007E21AF" w:rsidRPr="007E21AF" w:rsidRDefault="007E21AF" w:rsidP="007E21AF">
      <w:pPr>
        <w:spacing w:before="100" w:beforeAutospacing="1" w:after="100" w:afterAutospacing="1" w:line="240" w:lineRule="auto"/>
        <w:rPr>
          <w:rFonts w:cs="Times New Roman"/>
          <w:szCs w:val="24"/>
          <w:lang w:val="en-GB" w:eastAsia="en-GB"/>
        </w:rPr>
      </w:pPr>
      <w:r w:rsidRPr="007E21AF">
        <w:rPr>
          <w:rFonts w:cs="Times New Roman"/>
          <w:szCs w:val="24"/>
          <w:lang w:val="en-GB" w:eastAsia="en-GB"/>
        </w:rPr>
        <w:t xml:space="preserve">Ahmed, G., Idris, Z., Yahaya, M., &amp; </w:t>
      </w:r>
      <w:proofErr w:type="spellStart"/>
      <w:r w:rsidRPr="007E21AF">
        <w:rPr>
          <w:rFonts w:cs="Times New Roman"/>
          <w:szCs w:val="24"/>
          <w:lang w:val="en-GB" w:eastAsia="en-GB"/>
        </w:rPr>
        <w:t>Muhd</w:t>
      </w:r>
      <w:proofErr w:type="spellEnd"/>
      <w:r w:rsidRPr="007E21AF">
        <w:rPr>
          <w:rFonts w:cs="Times New Roman"/>
          <w:szCs w:val="24"/>
          <w:lang w:val="en-GB" w:eastAsia="en-GB"/>
        </w:rPr>
        <w:t xml:space="preserve">, A. I. (2023). Assessment of groundwater heavy metal contamination in </w:t>
      </w:r>
      <w:proofErr w:type="spellStart"/>
      <w:r w:rsidRPr="007E21AF">
        <w:rPr>
          <w:rFonts w:cs="Times New Roman"/>
          <w:szCs w:val="24"/>
          <w:lang w:val="en-GB" w:eastAsia="en-GB"/>
        </w:rPr>
        <w:t>Hadejia</w:t>
      </w:r>
      <w:proofErr w:type="spellEnd"/>
      <w:r w:rsidRPr="007E21AF">
        <w:rPr>
          <w:rFonts w:cs="Times New Roman"/>
          <w:szCs w:val="24"/>
          <w:lang w:val="en-GB" w:eastAsia="en-GB"/>
        </w:rPr>
        <w:t xml:space="preserve"> Metropolis, Jigawa State, Nigeria. </w:t>
      </w:r>
      <w:r w:rsidRPr="007E21AF">
        <w:rPr>
          <w:rFonts w:cs="Times New Roman"/>
          <w:i/>
          <w:iCs/>
          <w:szCs w:val="24"/>
          <w:lang w:val="en-GB" w:eastAsia="en-GB"/>
        </w:rPr>
        <w:t>FUDMA Journal of Sciences, 7</w:t>
      </w:r>
      <w:r w:rsidRPr="007E21AF">
        <w:rPr>
          <w:rFonts w:cs="Times New Roman"/>
          <w:szCs w:val="24"/>
          <w:lang w:val="en-GB" w:eastAsia="en-GB"/>
        </w:rPr>
        <w:t>(1), 47–52.</w:t>
      </w:r>
    </w:p>
    <w:p w:rsidR="007E21AF" w:rsidRPr="007E21AF" w:rsidRDefault="007E21AF" w:rsidP="007E21AF">
      <w:pPr>
        <w:spacing w:before="100" w:beforeAutospacing="1" w:after="100" w:afterAutospacing="1" w:line="240" w:lineRule="auto"/>
        <w:rPr>
          <w:rFonts w:cs="Times New Roman"/>
          <w:szCs w:val="24"/>
          <w:lang w:val="en-GB" w:eastAsia="en-GB"/>
        </w:rPr>
      </w:pPr>
      <w:r w:rsidRPr="007E21AF">
        <w:rPr>
          <w:rFonts w:cs="Times New Roman"/>
          <w:szCs w:val="24"/>
          <w:lang w:val="en-GB" w:eastAsia="en-GB"/>
        </w:rPr>
        <w:t xml:space="preserve">Ahmed, M., Sinha, D., &amp; Sharma, R. (2023). Agricultural activities and their impact on groundwater quality: A global review. </w:t>
      </w:r>
      <w:r w:rsidRPr="007E21AF">
        <w:rPr>
          <w:rFonts w:cs="Times New Roman"/>
          <w:i/>
          <w:iCs/>
          <w:szCs w:val="24"/>
          <w:lang w:val="en-GB" w:eastAsia="en-GB"/>
        </w:rPr>
        <w:t>Environmental Reviews, 31</w:t>
      </w:r>
      <w:r w:rsidRPr="007E21AF">
        <w:rPr>
          <w:rFonts w:cs="Times New Roman"/>
          <w:szCs w:val="24"/>
          <w:lang w:val="en-GB" w:eastAsia="en-GB"/>
        </w:rPr>
        <w:t>(1), 50–65.</w:t>
      </w:r>
    </w:p>
    <w:p w:rsidR="007E21AF" w:rsidRPr="007E21AF" w:rsidRDefault="007E21AF" w:rsidP="007E21AF">
      <w:pPr>
        <w:spacing w:before="100" w:beforeAutospacing="1" w:after="100" w:afterAutospacing="1" w:line="240" w:lineRule="auto"/>
        <w:rPr>
          <w:rFonts w:cs="Times New Roman"/>
          <w:szCs w:val="24"/>
          <w:lang w:val="en-GB" w:eastAsia="en-GB"/>
        </w:rPr>
      </w:pPr>
      <w:proofErr w:type="spellStart"/>
      <w:r w:rsidRPr="007E21AF">
        <w:rPr>
          <w:rFonts w:cs="Times New Roman"/>
          <w:szCs w:val="24"/>
          <w:lang w:val="en-GB" w:eastAsia="en-GB"/>
        </w:rPr>
        <w:t>Akanbi</w:t>
      </w:r>
      <w:proofErr w:type="spellEnd"/>
      <w:r w:rsidRPr="007E21AF">
        <w:rPr>
          <w:rFonts w:cs="Times New Roman"/>
          <w:szCs w:val="24"/>
          <w:lang w:val="en-GB" w:eastAsia="en-GB"/>
        </w:rPr>
        <w:t xml:space="preserve">, O. A. (2018). Hydrogeological characterisation and prospect of basement aquifers of </w:t>
      </w:r>
      <w:proofErr w:type="spellStart"/>
      <w:r w:rsidRPr="007E21AF">
        <w:rPr>
          <w:rFonts w:cs="Times New Roman"/>
          <w:szCs w:val="24"/>
          <w:lang w:val="en-GB" w:eastAsia="en-GB"/>
        </w:rPr>
        <w:t>Ibarapa</w:t>
      </w:r>
      <w:proofErr w:type="spellEnd"/>
      <w:r w:rsidRPr="007E21AF">
        <w:rPr>
          <w:rFonts w:cs="Times New Roman"/>
          <w:szCs w:val="24"/>
          <w:lang w:val="en-GB" w:eastAsia="en-GB"/>
        </w:rPr>
        <w:t xml:space="preserve"> region, Southwestern Nigeria. </w:t>
      </w:r>
      <w:r w:rsidRPr="007E21AF">
        <w:rPr>
          <w:rFonts w:cs="Times New Roman"/>
          <w:i/>
          <w:iCs/>
          <w:szCs w:val="24"/>
          <w:lang w:val="en-GB" w:eastAsia="en-GB"/>
        </w:rPr>
        <w:t>Applied Water Science, 8</w:t>
      </w:r>
      <w:r w:rsidRPr="007E21AF">
        <w:rPr>
          <w:rFonts w:cs="Times New Roman"/>
          <w:szCs w:val="24"/>
          <w:lang w:val="en-GB" w:eastAsia="en-GB"/>
        </w:rPr>
        <w:t>, 89.</w:t>
      </w:r>
    </w:p>
    <w:p w:rsidR="007E21AF" w:rsidRPr="007E21AF" w:rsidRDefault="007E21AF" w:rsidP="007E21AF">
      <w:pPr>
        <w:spacing w:before="100" w:beforeAutospacing="1" w:after="100" w:afterAutospacing="1" w:line="240" w:lineRule="auto"/>
        <w:rPr>
          <w:rFonts w:cs="Times New Roman"/>
          <w:szCs w:val="24"/>
          <w:lang w:val="en-GB" w:eastAsia="en-GB"/>
        </w:rPr>
      </w:pPr>
      <w:proofErr w:type="spellStart"/>
      <w:r w:rsidRPr="007E21AF">
        <w:rPr>
          <w:rFonts w:cs="Times New Roman"/>
          <w:szCs w:val="24"/>
          <w:lang w:val="en-GB" w:eastAsia="en-GB"/>
        </w:rPr>
        <w:t>Akinwumiju</w:t>
      </w:r>
      <w:proofErr w:type="spellEnd"/>
      <w:r w:rsidRPr="007E21AF">
        <w:rPr>
          <w:rFonts w:cs="Times New Roman"/>
          <w:szCs w:val="24"/>
          <w:lang w:val="en-GB" w:eastAsia="en-GB"/>
        </w:rPr>
        <w:t xml:space="preserve">, A. S., &amp; </w:t>
      </w:r>
      <w:proofErr w:type="spellStart"/>
      <w:r w:rsidRPr="007E21AF">
        <w:rPr>
          <w:rFonts w:cs="Times New Roman"/>
          <w:szCs w:val="24"/>
          <w:lang w:val="en-GB" w:eastAsia="en-GB"/>
        </w:rPr>
        <w:t>Olorunfemi</w:t>
      </w:r>
      <w:proofErr w:type="spellEnd"/>
      <w:r w:rsidRPr="007E21AF">
        <w:rPr>
          <w:rFonts w:cs="Times New Roman"/>
          <w:szCs w:val="24"/>
          <w:lang w:val="en-GB" w:eastAsia="en-GB"/>
        </w:rPr>
        <w:t xml:space="preserve">, M. O. (2018). A GIS-based aquifer vulnerability assessment in the basement complex terrain of Southwestern Nigeria. </w:t>
      </w:r>
      <w:r w:rsidRPr="007E21AF">
        <w:rPr>
          <w:rFonts w:cs="Times New Roman"/>
          <w:i/>
          <w:iCs/>
          <w:szCs w:val="24"/>
          <w:lang w:val="en-GB" w:eastAsia="en-GB"/>
        </w:rPr>
        <w:t>Sustainable Water Resources Management, 4</w:t>
      </w:r>
      <w:r w:rsidRPr="007E21AF">
        <w:rPr>
          <w:rFonts w:cs="Times New Roman"/>
          <w:szCs w:val="24"/>
          <w:lang w:val="en-GB" w:eastAsia="en-GB"/>
        </w:rPr>
        <w:t>(4), 715–734.</w:t>
      </w:r>
    </w:p>
    <w:p w:rsidR="007E21AF" w:rsidRPr="007E21AF" w:rsidRDefault="007E21AF" w:rsidP="007E21AF">
      <w:pPr>
        <w:spacing w:before="100" w:beforeAutospacing="1" w:after="100" w:afterAutospacing="1" w:line="240" w:lineRule="auto"/>
        <w:rPr>
          <w:rFonts w:cs="Times New Roman"/>
          <w:szCs w:val="24"/>
          <w:lang w:val="en-GB" w:eastAsia="en-GB"/>
        </w:rPr>
      </w:pPr>
      <w:proofErr w:type="spellStart"/>
      <w:r w:rsidRPr="007E21AF">
        <w:rPr>
          <w:rFonts w:cs="Times New Roman"/>
          <w:szCs w:val="24"/>
          <w:lang w:val="en-GB" w:eastAsia="en-GB"/>
        </w:rPr>
        <w:t>Akintorinwa</w:t>
      </w:r>
      <w:proofErr w:type="spellEnd"/>
      <w:r w:rsidRPr="007E21AF">
        <w:rPr>
          <w:rFonts w:cs="Times New Roman"/>
          <w:szCs w:val="24"/>
          <w:lang w:val="en-GB" w:eastAsia="en-GB"/>
        </w:rPr>
        <w:t xml:space="preserve">, O. J., </w:t>
      </w:r>
      <w:proofErr w:type="spellStart"/>
      <w:r w:rsidRPr="007E21AF">
        <w:rPr>
          <w:rFonts w:cs="Times New Roman"/>
          <w:szCs w:val="24"/>
          <w:lang w:val="en-GB" w:eastAsia="en-GB"/>
        </w:rPr>
        <w:t>Atitebi</w:t>
      </w:r>
      <w:proofErr w:type="spellEnd"/>
      <w:r w:rsidRPr="007E21AF">
        <w:rPr>
          <w:rFonts w:cs="Times New Roman"/>
          <w:szCs w:val="24"/>
          <w:lang w:val="en-GB" w:eastAsia="en-GB"/>
        </w:rPr>
        <w:t xml:space="preserve">, M. O., &amp; </w:t>
      </w:r>
      <w:proofErr w:type="spellStart"/>
      <w:r w:rsidRPr="007E21AF">
        <w:rPr>
          <w:rFonts w:cs="Times New Roman"/>
          <w:szCs w:val="24"/>
          <w:lang w:val="en-GB" w:eastAsia="en-GB"/>
        </w:rPr>
        <w:t>Akinlalu</w:t>
      </w:r>
      <w:proofErr w:type="spellEnd"/>
      <w:r w:rsidRPr="007E21AF">
        <w:rPr>
          <w:rFonts w:cs="Times New Roman"/>
          <w:szCs w:val="24"/>
          <w:lang w:val="en-GB" w:eastAsia="en-GB"/>
        </w:rPr>
        <w:t xml:space="preserve">, A. A. (2020). </w:t>
      </w:r>
      <w:proofErr w:type="spellStart"/>
      <w:r w:rsidRPr="007E21AF">
        <w:rPr>
          <w:rFonts w:cs="Times New Roman"/>
          <w:szCs w:val="24"/>
          <w:lang w:val="en-GB" w:eastAsia="en-GB"/>
        </w:rPr>
        <w:t>Hydrogeophysical</w:t>
      </w:r>
      <w:proofErr w:type="spellEnd"/>
      <w:r w:rsidRPr="007E21AF">
        <w:rPr>
          <w:rFonts w:cs="Times New Roman"/>
          <w:szCs w:val="24"/>
          <w:lang w:val="en-GB" w:eastAsia="en-GB"/>
        </w:rPr>
        <w:t xml:space="preserve"> and aquifer vulnerability zonation of a typical basement complex terrain: A case study of </w:t>
      </w:r>
      <w:proofErr w:type="spellStart"/>
      <w:r w:rsidRPr="007E21AF">
        <w:rPr>
          <w:rFonts w:cs="Times New Roman"/>
          <w:szCs w:val="24"/>
          <w:lang w:val="en-GB" w:eastAsia="en-GB"/>
        </w:rPr>
        <w:t>Odode</w:t>
      </w:r>
      <w:proofErr w:type="spellEnd"/>
      <w:r w:rsidRPr="007E21AF">
        <w:rPr>
          <w:rFonts w:cs="Times New Roman"/>
          <w:szCs w:val="24"/>
          <w:lang w:val="en-GB" w:eastAsia="en-GB"/>
        </w:rPr>
        <w:t xml:space="preserve"> </w:t>
      </w:r>
      <w:proofErr w:type="spellStart"/>
      <w:r w:rsidRPr="007E21AF">
        <w:rPr>
          <w:rFonts w:cs="Times New Roman"/>
          <w:szCs w:val="24"/>
          <w:lang w:val="en-GB" w:eastAsia="en-GB"/>
        </w:rPr>
        <w:t>Idanre</w:t>
      </w:r>
      <w:proofErr w:type="spellEnd"/>
      <w:r w:rsidRPr="007E21AF">
        <w:rPr>
          <w:rFonts w:cs="Times New Roman"/>
          <w:szCs w:val="24"/>
          <w:lang w:val="en-GB" w:eastAsia="en-GB"/>
        </w:rPr>
        <w:t xml:space="preserve">, Southwestern Nigeria. </w:t>
      </w:r>
      <w:proofErr w:type="spellStart"/>
      <w:r w:rsidRPr="007E21AF">
        <w:rPr>
          <w:rFonts w:cs="Times New Roman"/>
          <w:i/>
          <w:iCs/>
          <w:szCs w:val="24"/>
          <w:lang w:val="en-GB" w:eastAsia="en-GB"/>
        </w:rPr>
        <w:t>Heliyon</w:t>
      </w:r>
      <w:proofErr w:type="spellEnd"/>
      <w:r w:rsidRPr="007E21AF">
        <w:rPr>
          <w:rFonts w:cs="Times New Roman"/>
          <w:i/>
          <w:iCs/>
          <w:szCs w:val="24"/>
          <w:lang w:val="en-GB" w:eastAsia="en-GB"/>
        </w:rPr>
        <w:t>, 6</w:t>
      </w:r>
      <w:r w:rsidRPr="007E21AF">
        <w:rPr>
          <w:rFonts w:cs="Times New Roman"/>
          <w:szCs w:val="24"/>
          <w:lang w:val="en-GB" w:eastAsia="en-GB"/>
        </w:rPr>
        <w:t>(8), e04549.</w:t>
      </w:r>
    </w:p>
    <w:p w:rsidR="007E21AF" w:rsidRPr="007E21AF" w:rsidRDefault="007E21AF" w:rsidP="007E21AF">
      <w:pPr>
        <w:spacing w:before="100" w:beforeAutospacing="1" w:after="100" w:afterAutospacing="1" w:line="240" w:lineRule="auto"/>
        <w:rPr>
          <w:rFonts w:cs="Times New Roman"/>
          <w:szCs w:val="24"/>
          <w:lang w:val="en-GB" w:eastAsia="en-GB"/>
        </w:rPr>
      </w:pPr>
      <w:r w:rsidRPr="007E21AF">
        <w:rPr>
          <w:rFonts w:cs="Times New Roman"/>
          <w:szCs w:val="24"/>
          <w:lang w:val="en-GB" w:eastAsia="en-GB"/>
        </w:rPr>
        <w:t xml:space="preserve">Ali, H., Khan, E., &amp; </w:t>
      </w:r>
      <w:proofErr w:type="spellStart"/>
      <w:r w:rsidRPr="007E21AF">
        <w:rPr>
          <w:rFonts w:cs="Times New Roman"/>
          <w:szCs w:val="24"/>
          <w:lang w:val="en-GB" w:eastAsia="en-GB"/>
        </w:rPr>
        <w:t>Sajad</w:t>
      </w:r>
      <w:proofErr w:type="spellEnd"/>
      <w:r w:rsidRPr="007E21AF">
        <w:rPr>
          <w:rFonts w:cs="Times New Roman"/>
          <w:szCs w:val="24"/>
          <w:lang w:val="en-GB" w:eastAsia="en-GB"/>
        </w:rPr>
        <w:t xml:space="preserve">, M. A. (2013). Phytoremediation of heavy metals—Concepts and applications. </w:t>
      </w:r>
      <w:r w:rsidRPr="007E21AF">
        <w:rPr>
          <w:rFonts w:cs="Times New Roman"/>
          <w:i/>
          <w:iCs/>
          <w:szCs w:val="24"/>
          <w:lang w:val="en-GB" w:eastAsia="en-GB"/>
        </w:rPr>
        <w:t>Chemosphere, 91</w:t>
      </w:r>
      <w:r w:rsidRPr="007E21AF">
        <w:rPr>
          <w:rFonts w:cs="Times New Roman"/>
          <w:szCs w:val="24"/>
          <w:lang w:val="en-GB" w:eastAsia="en-GB"/>
        </w:rPr>
        <w:t>(7), 869–881.</w:t>
      </w:r>
    </w:p>
    <w:p w:rsidR="007E21AF" w:rsidRPr="007E21AF" w:rsidRDefault="007E21AF" w:rsidP="007E21AF">
      <w:pPr>
        <w:spacing w:before="100" w:beforeAutospacing="1" w:after="100" w:afterAutospacing="1" w:line="240" w:lineRule="auto"/>
        <w:rPr>
          <w:rFonts w:cs="Times New Roman"/>
          <w:szCs w:val="24"/>
          <w:lang w:val="en-GB" w:eastAsia="en-GB"/>
        </w:rPr>
      </w:pPr>
      <w:r w:rsidRPr="007E21AF">
        <w:rPr>
          <w:rFonts w:cs="Times New Roman"/>
          <w:szCs w:val="24"/>
          <w:lang w:val="en-GB" w:eastAsia="en-GB"/>
        </w:rPr>
        <w:t>Al-</w:t>
      </w:r>
      <w:proofErr w:type="spellStart"/>
      <w:r w:rsidRPr="007E21AF">
        <w:rPr>
          <w:rFonts w:cs="Times New Roman"/>
          <w:szCs w:val="24"/>
          <w:lang w:val="en-GB" w:eastAsia="en-GB"/>
        </w:rPr>
        <w:t>Hashimi</w:t>
      </w:r>
      <w:proofErr w:type="spellEnd"/>
      <w:r w:rsidRPr="007E21AF">
        <w:rPr>
          <w:rFonts w:cs="Times New Roman"/>
          <w:szCs w:val="24"/>
          <w:lang w:val="en-GB" w:eastAsia="en-GB"/>
        </w:rPr>
        <w:t xml:space="preserve">, O. (2021). A comprehensive review for groundwater contamination and remediation: Biological, physical and chemical techniques. </w:t>
      </w:r>
      <w:r w:rsidRPr="007E21AF">
        <w:rPr>
          <w:rFonts w:cs="Times New Roman"/>
          <w:i/>
          <w:iCs/>
          <w:szCs w:val="24"/>
          <w:lang w:val="en-GB" w:eastAsia="en-GB"/>
        </w:rPr>
        <w:t>International Journal of Environmental Research and Public Health, 18</w:t>
      </w:r>
      <w:r w:rsidRPr="007E21AF">
        <w:rPr>
          <w:rFonts w:cs="Times New Roman"/>
          <w:szCs w:val="24"/>
          <w:lang w:val="en-GB" w:eastAsia="en-GB"/>
        </w:rPr>
        <w:t>(18), 9728.</w:t>
      </w:r>
    </w:p>
    <w:p w:rsidR="007E21AF" w:rsidRPr="007E21AF" w:rsidRDefault="007E21AF" w:rsidP="007E21AF">
      <w:pPr>
        <w:spacing w:before="100" w:beforeAutospacing="1" w:after="100" w:afterAutospacing="1" w:line="240" w:lineRule="auto"/>
        <w:rPr>
          <w:rFonts w:cs="Times New Roman"/>
          <w:szCs w:val="24"/>
          <w:lang w:val="en-GB" w:eastAsia="en-GB"/>
        </w:rPr>
      </w:pPr>
      <w:proofErr w:type="spellStart"/>
      <w:r w:rsidRPr="007E21AF">
        <w:rPr>
          <w:rFonts w:cs="Times New Roman"/>
          <w:szCs w:val="24"/>
          <w:lang w:val="en-GB" w:eastAsia="en-GB"/>
        </w:rPr>
        <w:t>Appelo</w:t>
      </w:r>
      <w:proofErr w:type="spellEnd"/>
      <w:r w:rsidRPr="007E21AF">
        <w:rPr>
          <w:rFonts w:cs="Times New Roman"/>
          <w:szCs w:val="24"/>
          <w:lang w:val="en-GB" w:eastAsia="en-GB"/>
        </w:rPr>
        <w:t xml:space="preserve">, C. A. J., &amp; Postma, D. (2005). </w:t>
      </w:r>
      <w:r w:rsidRPr="007E21AF">
        <w:rPr>
          <w:rFonts w:cs="Times New Roman"/>
          <w:i/>
          <w:iCs/>
          <w:szCs w:val="24"/>
          <w:lang w:val="en-GB" w:eastAsia="en-GB"/>
        </w:rPr>
        <w:t>Geochemistry, groundwater and pollution</w:t>
      </w:r>
      <w:r w:rsidRPr="007E21AF">
        <w:rPr>
          <w:rFonts w:cs="Times New Roman"/>
          <w:szCs w:val="24"/>
          <w:lang w:val="en-GB" w:eastAsia="en-GB"/>
        </w:rPr>
        <w:t xml:space="preserve"> (2nd ed.). CRC Press.</w:t>
      </w:r>
    </w:p>
    <w:p w:rsidR="007E21AF" w:rsidRPr="007E21AF" w:rsidRDefault="007E21AF" w:rsidP="007E21AF">
      <w:pPr>
        <w:spacing w:before="100" w:beforeAutospacing="1" w:after="100" w:afterAutospacing="1" w:line="240" w:lineRule="auto"/>
        <w:rPr>
          <w:rFonts w:cs="Times New Roman"/>
          <w:szCs w:val="24"/>
          <w:lang w:val="en-GB" w:eastAsia="en-GB"/>
        </w:rPr>
      </w:pPr>
      <w:proofErr w:type="spellStart"/>
      <w:r w:rsidRPr="007E21AF">
        <w:rPr>
          <w:rFonts w:cs="Times New Roman"/>
          <w:szCs w:val="24"/>
          <w:lang w:val="en-GB" w:eastAsia="en-GB"/>
        </w:rPr>
        <w:t>Ayantola</w:t>
      </w:r>
      <w:proofErr w:type="spellEnd"/>
      <w:r w:rsidRPr="007E21AF">
        <w:rPr>
          <w:rFonts w:cs="Times New Roman"/>
          <w:szCs w:val="24"/>
          <w:lang w:val="en-GB" w:eastAsia="en-GB"/>
        </w:rPr>
        <w:t xml:space="preserve">, S. O., &amp; </w:t>
      </w:r>
      <w:proofErr w:type="spellStart"/>
      <w:r w:rsidRPr="007E21AF">
        <w:rPr>
          <w:rFonts w:cs="Times New Roman"/>
          <w:szCs w:val="24"/>
          <w:lang w:val="en-GB" w:eastAsia="en-GB"/>
        </w:rPr>
        <w:t>Amigun</w:t>
      </w:r>
      <w:proofErr w:type="spellEnd"/>
      <w:r w:rsidRPr="007E21AF">
        <w:rPr>
          <w:rFonts w:cs="Times New Roman"/>
          <w:szCs w:val="24"/>
          <w:lang w:val="en-GB" w:eastAsia="en-GB"/>
        </w:rPr>
        <w:t xml:space="preserve">, J. O. (2023). Groundwater exploration in a heterogeneous basement complex environment using integrated geophysical methods. </w:t>
      </w:r>
      <w:r w:rsidRPr="007E21AF">
        <w:rPr>
          <w:rFonts w:cs="Times New Roman"/>
          <w:i/>
          <w:iCs/>
          <w:szCs w:val="24"/>
          <w:lang w:val="en-GB" w:eastAsia="en-GB"/>
        </w:rPr>
        <w:t>Environmental and Energy Sciences Research Journal, 10</w:t>
      </w:r>
      <w:r w:rsidRPr="007E21AF">
        <w:rPr>
          <w:rFonts w:cs="Times New Roman"/>
          <w:szCs w:val="24"/>
          <w:lang w:val="en-GB" w:eastAsia="en-GB"/>
        </w:rPr>
        <w:t>(1).</w:t>
      </w:r>
    </w:p>
    <w:p w:rsidR="007E21AF" w:rsidRPr="007E21AF" w:rsidRDefault="007E21AF" w:rsidP="007E21AF">
      <w:pPr>
        <w:spacing w:before="100" w:beforeAutospacing="1" w:after="100" w:afterAutospacing="1" w:line="240" w:lineRule="auto"/>
        <w:rPr>
          <w:rFonts w:cs="Times New Roman"/>
          <w:szCs w:val="24"/>
          <w:lang w:val="en-GB" w:eastAsia="en-GB"/>
        </w:rPr>
      </w:pPr>
      <w:r w:rsidRPr="007E21AF">
        <w:rPr>
          <w:rFonts w:cs="Times New Roman"/>
          <w:szCs w:val="24"/>
          <w:lang w:val="en-GB" w:eastAsia="en-GB"/>
        </w:rPr>
        <w:t xml:space="preserve">Bear, J. (1972). </w:t>
      </w:r>
      <w:r w:rsidRPr="007E21AF">
        <w:rPr>
          <w:rFonts w:cs="Times New Roman"/>
          <w:i/>
          <w:iCs/>
          <w:szCs w:val="24"/>
          <w:lang w:val="en-GB" w:eastAsia="en-GB"/>
        </w:rPr>
        <w:t>Dynamics of fluids in porous media</w:t>
      </w:r>
      <w:r w:rsidRPr="007E21AF">
        <w:rPr>
          <w:rFonts w:cs="Times New Roman"/>
          <w:szCs w:val="24"/>
          <w:lang w:val="en-GB" w:eastAsia="en-GB"/>
        </w:rPr>
        <w:t>. Dover Publications.</w:t>
      </w:r>
    </w:p>
    <w:p w:rsidR="007E21AF" w:rsidRPr="007E21AF" w:rsidRDefault="007E21AF" w:rsidP="007E21AF">
      <w:pPr>
        <w:spacing w:before="100" w:beforeAutospacing="1" w:after="100" w:afterAutospacing="1" w:line="240" w:lineRule="auto"/>
        <w:rPr>
          <w:rFonts w:cs="Times New Roman"/>
          <w:szCs w:val="24"/>
          <w:lang w:val="en-GB" w:eastAsia="en-GB"/>
        </w:rPr>
      </w:pPr>
      <w:r w:rsidRPr="007E21AF">
        <w:rPr>
          <w:rFonts w:cs="Times New Roman"/>
          <w:szCs w:val="24"/>
          <w:lang w:val="en-GB" w:eastAsia="en-GB"/>
        </w:rPr>
        <w:t xml:space="preserve">Biswas, A. K. (2004). Integrated water resources management: A reassessment. </w:t>
      </w:r>
      <w:r w:rsidRPr="007E21AF">
        <w:rPr>
          <w:rFonts w:cs="Times New Roman"/>
          <w:i/>
          <w:iCs/>
          <w:szCs w:val="24"/>
          <w:lang w:val="en-GB" w:eastAsia="en-GB"/>
        </w:rPr>
        <w:t>Water International, 29</w:t>
      </w:r>
      <w:r w:rsidRPr="007E21AF">
        <w:rPr>
          <w:rFonts w:cs="Times New Roman"/>
          <w:szCs w:val="24"/>
          <w:lang w:val="en-GB" w:eastAsia="en-GB"/>
        </w:rPr>
        <w:t>(2), 248–256.</w:t>
      </w:r>
    </w:p>
    <w:p w:rsidR="007E21AF" w:rsidRPr="007E21AF" w:rsidRDefault="007E21AF" w:rsidP="007E21AF">
      <w:pPr>
        <w:spacing w:before="100" w:beforeAutospacing="1" w:after="100" w:afterAutospacing="1" w:line="240" w:lineRule="auto"/>
        <w:rPr>
          <w:rFonts w:cs="Times New Roman"/>
          <w:szCs w:val="24"/>
          <w:lang w:val="en-GB" w:eastAsia="en-GB"/>
        </w:rPr>
      </w:pPr>
      <w:r w:rsidRPr="007E21AF">
        <w:rPr>
          <w:rFonts w:cs="Times New Roman"/>
          <w:szCs w:val="24"/>
          <w:lang w:val="en-GB" w:eastAsia="en-GB"/>
        </w:rPr>
        <w:t xml:space="preserve">Biswas, A. K. (2008). Integrated water resources management: Is it working? </w:t>
      </w:r>
      <w:r w:rsidRPr="007E21AF">
        <w:rPr>
          <w:rFonts w:cs="Times New Roman"/>
          <w:i/>
          <w:iCs/>
          <w:szCs w:val="24"/>
          <w:lang w:val="en-GB" w:eastAsia="en-GB"/>
        </w:rPr>
        <w:t>Water Resources Development, 24</w:t>
      </w:r>
      <w:r w:rsidRPr="007E21AF">
        <w:rPr>
          <w:rFonts w:cs="Times New Roman"/>
          <w:szCs w:val="24"/>
          <w:lang w:val="en-GB" w:eastAsia="en-GB"/>
        </w:rPr>
        <w:t>(1), 5–22.</w:t>
      </w:r>
    </w:p>
    <w:p w:rsidR="007E21AF" w:rsidRPr="007E21AF" w:rsidRDefault="007E21AF" w:rsidP="007E21AF">
      <w:pPr>
        <w:spacing w:before="100" w:beforeAutospacing="1" w:after="100" w:afterAutospacing="1" w:line="240" w:lineRule="auto"/>
        <w:rPr>
          <w:rFonts w:cs="Times New Roman"/>
          <w:szCs w:val="24"/>
          <w:lang w:val="en-GB" w:eastAsia="en-GB"/>
        </w:rPr>
      </w:pPr>
      <w:r w:rsidRPr="007E21AF">
        <w:rPr>
          <w:rFonts w:cs="Times New Roman"/>
          <w:szCs w:val="24"/>
          <w:lang w:val="en-GB" w:eastAsia="en-GB"/>
        </w:rPr>
        <w:t xml:space="preserve">Brunt, R., </w:t>
      </w:r>
      <w:proofErr w:type="spellStart"/>
      <w:r w:rsidRPr="007E21AF">
        <w:rPr>
          <w:rFonts w:cs="Times New Roman"/>
          <w:szCs w:val="24"/>
          <w:lang w:val="en-GB" w:eastAsia="en-GB"/>
        </w:rPr>
        <w:t>Vasak</w:t>
      </w:r>
      <w:proofErr w:type="spellEnd"/>
      <w:r w:rsidRPr="007E21AF">
        <w:rPr>
          <w:rFonts w:cs="Times New Roman"/>
          <w:szCs w:val="24"/>
          <w:lang w:val="en-GB" w:eastAsia="en-GB"/>
        </w:rPr>
        <w:t xml:space="preserve">, L., &amp; </w:t>
      </w:r>
      <w:proofErr w:type="spellStart"/>
      <w:r w:rsidRPr="007E21AF">
        <w:rPr>
          <w:rFonts w:cs="Times New Roman"/>
          <w:szCs w:val="24"/>
          <w:lang w:val="en-GB" w:eastAsia="en-GB"/>
        </w:rPr>
        <w:t>Griffioen</w:t>
      </w:r>
      <w:proofErr w:type="spellEnd"/>
      <w:r w:rsidRPr="007E21AF">
        <w:rPr>
          <w:rFonts w:cs="Times New Roman"/>
          <w:szCs w:val="24"/>
          <w:lang w:val="en-GB" w:eastAsia="en-GB"/>
        </w:rPr>
        <w:t xml:space="preserve">, J. (2004). Fluoride in groundwater: Probability of occurrence of excessive concentration on global scale. </w:t>
      </w:r>
      <w:r w:rsidRPr="007E21AF">
        <w:rPr>
          <w:rFonts w:cs="Times New Roman"/>
          <w:i/>
          <w:iCs/>
          <w:szCs w:val="24"/>
          <w:lang w:val="en-GB" w:eastAsia="en-GB"/>
        </w:rPr>
        <w:t>IGRAC Report</w:t>
      </w:r>
      <w:r w:rsidRPr="007E21AF">
        <w:rPr>
          <w:rFonts w:cs="Times New Roman"/>
          <w:szCs w:val="24"/>
          <w:lang w:val="en-GB" w:eastAsia="en-GB"/>
        </w:rPr>
        <w:t>.</w:t>
      </w:r>
    </w:p>
    <w:p w:rsidR="007E21AF" w:rsidRPr="007E21AF" w:rsidRDefault="007E21AF" w:rsidP="007E21AF">
      <w:pPr>
        <w:spacing w:before="100" w:beforeAutospacing="1" w:after="100" w:afterAutospacing="1" w:line="240" w:lineRule="auto"/>
        <w:rPr>
          <w:rFonts w:cs="Times New Roman"/>
          <w:szCs w:val="24"/>
          <w:lang w:val="en-GB" w:eastAsia="en-GB"/>
        </w:rPr>
      </w:pPr>
      <w:proofErr w:type="spellStart"/>
      <w:r w:rsidRPr="007E21AF">
        <w:rPr>
          <w:rFonts w:cs="Times New Roman"/>
          <w:szCs w:val="24"/>
          <w:lang w:val="en-GB" w:eastAsia="en-GB"/>
        </w:rPr>
        <w:t>Chebotarev</w:t>
      </w:r>
      <w:proofErr w:type="spellEnd"/>
      <w:r w:rsidRPr="007E21AF">
        <w:rPr>
          <w:rFonts w:cs="Times New Roman"/>
          <w:szCs w:val="24"/>
          <w:lang w:val="en-GB" w:eastAsia="en-GB"/>
        </w:rPr>
        <w:t xml:space="preserve">, I. I. (1955). Metamorphism of natural waters in the crust of weathering. </w:t>
      </w:r>
      <w:proofErr w:type="spellStart"/>
      <w:r w:rsidRPr="007E21AF">
        <w:rPr>
          <w:rFonts w:cs="Times New Roman"/>
          <w:i/>
          <w:iCs/>
          <w:szCs w:val="24"/>
          <w:lang w:val="en-GB" w:eastAsia="en-GB"/>
        </w:rPr>
        <w:t>Geochimica</w:t>
      </w:r>
      <w:proofErr w:type="spellEnd"/>
      <w:r w:rsidRPr="007E21AF">
        <w:rPr>
          <w:rFonts w:cs="Times New Roman"/>
          <w:i/>
          <w:iCs/>
          <w:szCs w:val="24"/>
          <w:lang w:val="en-GB" w:eastAsia="en-GB"/>
        </w:rPr>
        <w:t xml:space="preserve"> et </w:t>
      </w:r>
      <w:proofErr w:type="spellStart"/>
      <w:r w:rsidRPr="007E21AF">
        <w:rPr>
          <w:rFonts w:cs="Times New Roman"/>
          <w:i/>
          <w:iCs/>
          <w:szCs w:val="24"/>
          <w:lang w:val="en-GB" w:eastAsia="en-GB"/>
        </w:rPr>
        <w:t>Cosmochimica</w:t>
      </w:r>
      <w:proofErr w:type="spellEnd"/>
      <w:r w:rsidRPr="007E21AF">
        <w:rPr>
          <w:rFonts w:cs="Times New Roman"/>
          <w:i/>
          <w:iCs/>
          <w:szCs w:val="24"/>
          <w:lang w:val="en-GB" w:eastAsia="en-GB"/>
        </w:rPr>
        <w:t xml:space="preserve"> Acta, 8</w:t>
      </w:r>
      <w:r w:rsidRPr="007E21AF">
        <w:rPr>
          <w:rFonts w:cs="Times New Roman"/>
          <w:szCs w:val="24"/>
          <w:lang w:val="en-GB" w:eastAsia="en-GB"/>
        </w:rPr>
        <w:t>(1–2), 22–48.</w:t>
      </w:r>
    </w:p>
    <w:p w:rsidR="007E21AF" w:rsidRPr="007E21AF" w:rsidRDefault="007E21AF" w:rsidP="007E21AF">
      <w:pPr>
        <w:spacing w:before="100" w:beforeAutospacing="1" w:after="100" w:afterAutospacing="1" w:line="240" w:lineRule="auto"/>
        <w:rPr>
          <w:rFonts w:cs="Times New Roman"/>
          <w:szCs w:val="24"/>
          <w:lang w:val="en-GB" w:eastAsia="en-GB"/>
        </w:rPr>
      </w:pPr>
      <w:proofErr w:type="spellStart"/>
      <w:r w:rsidRPr="007E21AF">
        <w:rPr>
          <w:rFonts w:cs="Times New Roman"/>
          <w:szCs w:val="24"/>
          <w:lang w:val="en-GB" w:eastAsia="en-GB"/>
        </w:rPr>
        <w:t>Custodio</w:t>
      </w:r>
      <w:proofErr w:type="spellEnd"/>
      <w:r w:rsidRPr="007E21AF">
        <w:rPr>
          <w:rFonts w:cs="Times New Roman"/>
          <w:szCs w:val="24"/>
          <w:lang w:val="en-GB" w:eastAsia="en-GB"/>
        </w:rPr>
        <w:t xml:space="preserve">, E., &amp; Llamas, M. R. (2016). </w:t>
      </w:r>
      <w:r w:rsidRPr="007E21AF">
        <w:rPr>
          <w:rFonts w:cs="Times New Roman"/>
          <w:i/>
          <w:iCs/>
          <w:szCs w:val="24"/>
          <w:lang w:val="en-GB" w:eastAsia="en-GB"/>
        </w:rPr>
        <w:t>Groundwater intensive use</w:t>
      </w:r>
      <w:r w:rsidRPr="007E21AF">
        <w:rPr>
          <w:rFonts w:cs="Times New Roman"/>
          <w:szCs w:val="24"/>
          <w:lang w:val="en-GB" w:eastAsia="en-GB"/>
        </w:rPr>
        <w:t>. CRC Press.</w:t>
      </w:r>
    </w:p>
    <w:p w:rsidR="007E21AF" w:rsidRPr="007E21AF" w:rsidRDefault="007E21AF" w:rsidP="007E21AF">
      <w:pPr>
        <w:spacing w:before="100" w:beforeAutospacing="1" w:after="100" w:afterAutospacing="1" w:line="240" w:lineRule="auto"/>
        <w:rPr>
          <w:rFonts w:cs="Times New Roman"/>
          <w:szCs w:val="24"/>
          <w:lang w:val="en-GB" w:eastAsia="en-GB"/>
        </w:rPr>
      </w:pPr>
      <w:proofErr w:type="spellStart"/>
      <w:r w:rsidRPr="007E21AF">
        <w:rPr>
          <w:rFonts w:cs="Times New Roman"/>
          <w:szCs w:val="24"/>
          <w:lang w:val="en-GB" w:eastAsia="en-GB"/>
        </w:rPr>
        <w:t>Edet</w:t>
      </w:r>
      <w:proofErr w:type="spellEnd"/>
      <w:r w:rsidRPr="007E21AF">
        <w:rPr>
          <w:rFonts w:cs="Times New Roman"/>
          <w:szCs w:val="24"/>
          <w:lang w:val="en-GB" w:eastAsia="en-GB"/>
        </w:rPr>
        <w:t xml:space="preserve">, A. (2017). Hydrogeochemical </w:t>
      </w:r>
      <w:proofErr w:type="spellStart"/>
      <w:r w:rsidRPr="007E21AF">
        <w:rPr>
          <w:rFonts w:cs="Times New Roman"/>
          <w:szCs w:val="24"/>
          <w:lang w:val="en-GB" w:eastAsia="en-GB"/>
        </w:rPr>
        <w:t>modeling</w:t>
      </w:r>
      <w:proofErr w:type="spellEnd"/>
      <w:r w:rsidRPr="007E21AF">
        <w:rPr>
          <w:rFonts w:cs="Times New Roman"/>
          <w:szCs w:val="24"/>
          <w:lang w:val="en-GB" w:eastAsia="en-GB"/>
        </w:rPr>
        <w:t xml:space="preserve"> of groundwater evolution in basement complex terrain of Nigeria. </w:t>
      </w:r>
      <w:r w:rsidRPr="007E21AF">
        <w:rPr>
          <w:rFonts w:cs="Times New Roman"/>
          <w:i/>
          <w:iCs/>
          <w:szCs w:val="24"/>
          <w:lang w:val="en-GB" w:eastAsia="en-GB"/>
        </w:rPr>
        <w:t>Environmental Earth Sciences, 76</w:t>
      </w:r>
      <w:r w:rsidRPr="007E21AF">
        <w:rPr>
          <w:rFonts w:cs="Times New Roman"/>
          <w:szCs w:val="24"/>
          <w:lang w:val="en-GB" w:eastAsia="en-GB"/>
        </w:rPr>
        <w:t>, 171.</w:t>
      </w:r>
    </w:p>
    <w:p w:rsidR="007E21AF" w:rsidRPr="007E21AF" w:rsidRDefault="007E21AF" w:rsidP="007E21AF">
      <w:pPr>
        <w:spacing w:before="100" w:beforeAutospacing="1" w:after="100" w:afterAutospacing="1" w:line="240" w:lineRule="auto"/>
        <w:rPr>
          <w:rFonts w:cs="Times New Roman"/>
          <w:szCs w:val="24"/>
          <w:lang w:val="en-GB" w:eastAsia="en-GB"/>
        </w:rPr>
      </w:pPr>
      <w:proofErr w:type="spellStart"/>
      <w:r w:rsidRPr="007E21AF">
        <w:rPr>
          <w:rFonts w:cs="Times New Roman"/>
          <w:szCs w:val="24"/>
          <w:lang w:val="en-GB" w:eastAsia="en-GB"/>
        </w:rPr>
        <w:t>Fadipe</w:t>
      </w:r>
      <w:proofErr w:type="spellEnd"/>
      <w:r w:rsidRPr="007E21AF">
        <w:rPr>
          <w:rFonts w:cs="Times New Roman"/>
          <w:szCs w:val="24"/>
          <w:lang w:val="en-GB" w:eastAsia="en-GB"/>
        </w:rPr>
        <w:t xml:space="preserve">, O. O., </w:t>
      </w:r>
      <w:proofErr w:type="spellStart"/>
      <w:r w:rsidRPr="007E21AF">
        <w:rPr>
          <w:rFonts w:cs="Times New Roman"/>
          <w:szCs w:val="24"/>
          <w:lang w:val="en-GB" w:eastAsia="en-GB"/>
        </w:rPr>
        <w:t>Adebanjo</w:t>
      </w:r>
      <w:proofErr w:type="spellEnd"/>
      <w:r w:rsidRPr="007E21AF">
        <w:rPr>
          <w:rFonts w:cs="Times New Roman"/>
          <w:szCs w:val="24"/>
          <w:lang w:val="en-GB" w:eastAsia="en-GB"/>
        </w:rPr>
        <w:t xml:space="preserve">, A. U., </w:t>
      </w:r>
      <w:proofErr w:type="spellStart"/>
      <w:r w:rsidRPr="007E21AF">
        <w:rPr>
          <w:rFonts w:cs="Times New Roman"/>
          <w:szCs w:val="24"/>
          <w:lang w:val="en-GB" w:eastAsia="en-GB"/>
        </w:rPr>
        <w:t>Thanni</w:t>
      </w:r>
      <w:proofErr w:type="spellEnd"/>
      <w:r w:rsidRPr="007E21AF">
        <w:rPr>
          <w:rFonts w:cs="Times New Roman"/>
          <w:szCs w:val="24"/>
          <w:lang w:val="en-GB" w:eastAsia="en-GB"/>
        </w:rPr>
        <w:t xml:space="preserve">, M. O., &amp; </w:t>
      </w:r>
      <w:proofErr w:type="spellStart"/>
      <w:r w:rsidRPr="007E21AF">
        <w:rPr>
          <w:rFonts w:cs="Times New Roman"/>
          <w:szCs w:val="24"/>
          <w:lang w:val="en-GB" w:eastAsia="en-GB"/>
        </w:rPr>
        <w:t>Olawuyi</w:t>
      </w:r>
      <w:proofErr w:type="spellEnd"/>
      <w:r w:rsidRPr="007E21AF">
        <w:rPr>
          <w:rFonts w:cs="Times New Roman"/>
          <w:szCs w:val="24"/>
          <w:lang w:val="en-GB" w:eastAsia="en-GB"/>
        </w:rPr>
        <w:t xml:space="preserve">, O. A. (2022). Assessment of groundwater quality for irrigation purposes in Ilesha West Local Government, Osun State, Nigeria. </w:t>
      </w:r>
      <w:r w:rsidRPr="007E21AF">
        <w:rPr>
          <w:rFonts w:cs="Times New Roman"/>
          <w:i/>
          <w:iCs/>
          <w:szCs w:val="24"/>
          <w:lang w:val="en-GB" w:eastAsia="en-GB"/>
        </w:rPr>
        <w:t>Water Cycle, 3</w:t>
      </w:r>
      <w:r w:rsidRPr="007E21AF">
        <w:rPr>
          <w:rFonts w:cs="Times New Roman"/>
          <w:szCs w:val="24"/>
          <w:lang w:val="en-GB" w:eastAsia="en-GB"/>
        </w:rPr>
        <w:t>, 160–170.</w:t>
      </w:r>
    </w:p>
    <w:p w:rsidR="007E21AF" w:rsidRPr="007E21AF" w:rsidRDefault="007E21AF" w:rsidP="007E21AF">
      <w:pPr>
        <w:spacing w:before="100" w:beforeAutospacing="1" w:after="100" w:afterAutospacing="1" w:line="240" w:lineRule="auto"/>
        <w:rPr>
          <w:rFonts w:cs="Times New Roman"/>
          <w:szCs w:val="24"/>
          <w:lang w:val="en-GB" w:eastAsia="en-GB"/>
        </w:rPr>
      </w:pPr>
      <w:r w:rsidRPr="007E21AF">
        <w:rPr>
          <w:rFonts w:cs="Times New Roman"/>
          <w:szCs w:val="24"/>
          <w:lang w:val="en-GB" w:eastAsia="en-GB"/>
        </w:rPr>
        <w:t xml:space="preserve">Foster, S., &amp; Chilton, J. (2003). Groundwater: The processes and global significance of aquifer degradation. </w:t>
      </w:r>
      <w:r w:rsidRPr="007E21AF">
        <w:rPr>
          <w:rFonts w:cs="Times New Roman"/>
          <w:i/>
          <w:iCs/>
          <w:szCs w:val="24"/>
          <w:lang w:val="en-GB" w:eastAsia="en-GB"/>
        </w:rPr>
        <w:t>Philosophical Transactions of the Royal Society B, 358</w:t>
      </w:r>
      <w:r w:rsidRPr="007E21AF">
        <w:rPr>
          <w:rFonts w:cs="Times New Roman"/>
          <w:szCs w:val="24"/>
          <w:lang w:val="en-GB" w:eastAsia="en-GB"/>
        </w:rPr>
        <w:t>(1440), 1957–1972.</w:t>
      </w:r>
    </w:p>
    <w:p w:rsidR="007E21AF" w:rsidRPr="007E21AF" w:rsidRDefault="007E21AF" w:rsidP="007E21AF">
      <w:pPr>
        <w:spacing w:before="100" w:beforeAutospacing="1" w:after="100" w:afterAutospacing="1" w:line="240" w:lineRule="auto"/>
        <w:rPr>
          <w:rFonts w:cs="Times New Roman"/>
          <w:szCs w:val="24"/>
          <w:lang w:val="en-GB" w:eastAsia="en-GB"/>
        </w:rPr>
      </w:pPr>
      <w:r w:rsidRPr="007E21AF">
        <w:rPr>
          <w:rFonts w:cs="Times New Roman"/>
          <w:szCs w:val="24"/>
          <w:lang w:val="en-GB" w:eastAsia="en-GB"/>
        </w:rPr>
        <w:t xml:space="preserve">Foster, S., Hirata, R., &amp; Howard, K. (2013). Groundwater use in developing cities: Policy issues arising from current trends. </w:t>
      </w:r>
      <w:r w:rsidRPr="007E21AF">
        <w:rPr>
          <w:rFonts w:cs="Times New Roman"/>
          <w:i/>
          <w:iCs/>
          <w:szCs w:val="24"/>
          <w:lang w:val="en-GB" w:eastAsia="en-GB"/>
        </w:rPr>
        <w:t>Hydrogeology Journal, 21</w:t>
      </w:r>
      <w:r w:rsidRPr="007E21AF">
        <w:rPr>
          <w:rFonts w:cs="Times New Roman"/>
          <w:szCs w:val="24"/>
          <w:lang w:val="en-GB" w:eastAsia="en-GB"/>
        </w:rPr>
        <w:t>(5), 1179–1186.</w:t>
      </w:r>
    </w:p>
    <w:p w:rsidR="007E21AF" w:rsidRPr="007E21AF" w:rsidRDefault="007E21AF" w:rsidP="007E21AF">
      <w:pPr>
        <w:spacing w:before="100" w:beforeAutospacing="1" w:after="100" w:afterAutospacing="1" w:line="240" w:lineRule="auto"/>
        <w:rPr>
          <w:rFonts w:cs="Times New Roman"/>
          <w:szCs w:val="24"/>
          <w:lang w:val="en-GB" w:eastAsia="en-GB"/>
        </w:rPr>
      </w:pPr>
      <w:r w:rsidRPr="007E21AF">
        <w:rPr>
          <w:rFonts w:cs="Times New Roman"/>
          <w:szCs w:val="24"/>
          <w:lang w:val="en-GB" w:eastAsia="en-GB"/>
        </w:rPr>
        <w:t xml:space="preserve">Freeze, R. A., &amp; Cherry, J. A. (1979). </w:t>
      </w:r>
      <w:r w:rsidRPr="007E21AF">
        <w:rPr>
          <w:rFonts w:cs="Times New Roman"/>
          <w:i/>
          <w:iCs/>
          <w:szCs w:val="24"/>
          <w:lang w:val="en-GB" w:eastAsia="en-GB"/>
        </w:rPr>
        <w:t>Groundwater</w:t>
      </w:r>
      <w:r w:rsidRPr="007E21AF">
        <w:rPr>
          <w:rFonts w:cs="Times New Roman"/>
          <w:szCs w:val="24"/>
          <w:lang w:val="en-GB" w:eastAsia="en-GB"/>
        </w:rPr>
        <w:t>. Prentice Hall.</w:t>
      </w:r>
    </w:p>
    <w:p w:rsidR="007E21AF" w:rsidRPr="007E21AF" w:rsidRDefault="007E21AF" w:rsidP="007E21AF">
      <w:pPr>
        <w:spacing w:before="100" w:beforeAutospacing="1" w:after="100" w:afterAutospacing="1" w:line="240" w:lineRule="auto"/>
        <w:rPr>
          <w:rFonts w:cs="Times New Roman"/>
          <w:szCs w:val="24"/>
          <w:lang w:val="en-GB" w:eastAsia="en-GB"/>
        </w:rPr>
      </w:pPr>
      <w:proofErr w:type="spellStart"/>
      <w:r w:rsidRPr="007E21AF">
        <w:rPr>
          <w:rFonts w:cs="Times New Roman"/>
          <w:szCs w:val="24"/>
          <w:lang w:val="en-GB" w:eastAsia="en-GB"/>
        </w:rPr>
        <w:t>Genter</w:t>
      </w:r>
      <w:proofErr w:type="spellEnd"/>
      <w:r w:rsidRPr="007E21AF">
        <w:rPr>
          <w:rFonts w:cs="Times New Roman"/>
          <w:szCs w:val="24"/>
          <w:lang w:val="en-GB" w:eastAsia="en-GB"/>
        </w:rPr>
        <w:t xml:space="preserve">, F., et al. (2021). Faecal contamination of groundwater self-supply in low- and middle-income countries: A systematic review. </w:t>
      </w:r>
      <w:r w:rsidRPr="007E21AF">
        <w:rPr>
          <w:rFonts w:cs="Times New Roman"/>
          <w:i/>
          <w:iCs/>
          <w:szCs w:val="24"/>
          <w:lang w:val="en-GB" w:eastAsia="en-GB"/>
        </w:rPr>
        <w:t>Science of the Total Environment, 780</w:t>
      </w:r>
      <w:r w:rsidRPr="007E21AF">
        <w:rPr>
          <w:rFonts w:cs="Times New Roman"/>
          <w:szCs w:val="24"/>
          <w:lang w:val="en-GB" w:eastAsia="en-GB"/>
        </w:rPr>
        <w:t>, 146578.</w:t>
      </w:r>
    </w:p>
    <w:p w:rsidR="007E21AF" w:rsidRPr="007E21AF" w:rsidRDefault="007E21AF" w:rsidP="007E21AF">
      <w:pPr>
        <w:spacing w:before="100" w:beforeAutospacing="1" w:after="100" w:afterAutospacing="1" w:line="240" w:lineRule="auto"/>
        <w:rPr>
          <w:rFonts w:cs="Times New Roman"/>
          <w:szCs w:val="24"/>
          <w:lang w:val="en-GB" w:eastAsia="en-GB"/>
        </w:rPr>
      </w:pPr>
      <w:r w:rsidRPr="007E21AF">
        <w:rPr>
          <w:rFonts w:cs="Times New Roman"/>
          <w:szCs w:val="24"/>
          <w:lang w:val="en-GB" w:eastAsia="en-GB"/>
        </w:rPr>
        <w:t xml:space="preserve">Gibbs, R. J. (1970). Mechanisms controlling world water chemistry. </w:t>
      </w:r>
      <w:r w:rsidRPr="007E21AF">
        <w:rPr>
          <w:rFonts w:cs="Times New Roman"/>
          <w:i/>
          <w:iCs/>
          <w:szCs w:val="24"/>
          <w:lang w:val="en-GB" w:eastAsia="en-GB"/>
        </w:rPr>
        <w:t>Science, 170</w:t>
      </w:r>
      <w:r w:rsidRPr="007E21AF">
        <w:rPr>
          <w:rFonts w:cs="Times New Roman"/>
          <w:szCs w:val="24"/>
          <w:lang w:val="en-GB" w:eastAsia="en-GB"/>
        </w:rPr>
        <w:t>(3962), 1088–1090.</w:t>
      </w:r>
    </w:p>
    <w:p w:rsidR="007E21AF" w:rsidRPr="007E21AF" w:rsidRDefault="007E21AF" w:rsidP="007E21AF">
      <w:pPr>
        <w:spacing w:before="100" w:beforeAutospacing="1" w:after="100" w:afterAutospacing="1" w:line="240" w:lineRule="auto"/>
        <w:rPr>
          <w:rFonts w:cs="Times New Roman"/>
          <w:szCs w:val="24"/>
          <w:lang w:val="en-GB" w:eastAsia="en-GB"/>
        </w:rPr>
      </w:pPr>
      <w:r w:rsidRPr="007E21AF">
        <w:rPr>
          <w:rFonts w:cs="Times New Roman"/>
          <w:szCs w:val="24"/>
          <w:lang w:val="en-GB" w:eastAsia="en-GB"/>
        </w:rPr>
        <w:t xml:space="preserve">Global Water Partnership. (2000). </w:t>
      </w:r>
      <w:r w:rsidRPr="007E21AF">
        <w:rPr>
          <w:rFonts w:cs="Times New Roman"/>
          <w:i/>
          <w:iCs/>
          <w:szCs w:val="24"/>
          <w:lang w:val="en-GB" w:eastAsia="en-GB"/>
        </w:rPr>
        <w:t>Integrated water resources management (TAC Background Papers No. 4)</w:t>
      </w:r>
      <w:r w:rsidRPr="007E21AF">
        <w:rPr>
          <w:rFonts w:cs="Times New Roman"/>
          <w:szCs w:val="24"/>
          <w:lang w:val="en-GB" w:eastAsia="en-GB"/>
        </w:rPr>
        <w:t>.</w:t>
      </w:r>
    </w:p>
    <w:p w:rsidR="007E21AF" w:rsidRPr="007E21AF" w:rsidRDefault="007E21AF" w:rsidP="007E21AF">
      <w:pPr>
        <w:spacing w:before="100" w:beforeAutospacing="1" w:after="100" w:afterAutospacing="1" w:line="240" w:lineRule="auto"/>
        <w:rPr>
          <w:rFonts w:cs="Times New Roman"/>
          <w:szCs w:val="24"/>
          <w:lang w:val="en-GB" w:eastAsia="en-GB"/>
        </w:rPr>
      </w:pPr>
      <w:proofErr w:type="spellStart"/>
      <w:r w:rsidRPr="007E21AF">
        <w:rPr>
          <w:rFonts w:cs="Times New Roman"/>
          <w:szCs w:val="24"/>
          <w:lang w:val="en-GB" w:eastAsia="en-GB"/>
        </w:rPr>
        <w:t>Lapworth</w:t>
      </w:r>
      <w:proofErr w:type="spellEnd"/>
      <w:r w:rsidRPr="007E21AF">
        <w:rPr>
          <w:rFonts w:cs="Times New Roman"/>
          <w:szCs w:val="24"/>
          <w:lang w:val="en-GB" w:eastAsia="en-GB"/>
        </w:rPr>
        <w:t xml:space="preserve">, D. J., </w:t>
      </w:r>
      <w:proofErr w:type="spellStart"/>
      <w:r w:rsidRPr="007E21AF">
        <w:rPr>
          <w:rFonts w:cs="Times New Roman"/>
          <w:szCs w:val="24"/>
          <w:lang w:val="en-GB" w:eastAsia="en-GB"/>
        </w:rPr>
        <w:t>Nkhuwa</w:t>
      </w:r>
      <w:proofErr w:type="spellEnd"/>
      <w:r w:rsidRPr="007E21AF">
        <w:rPr>
          <w:rFonts w:cs="Times New Roman"/>
          <w:szCs w:val="24"/>
          <w:lang w:val="en-GB" w:eastAsia="en-GB"/>
        </w:rPr>
        <w:t xml:space="preserve">, D. C. W., </w:t>
      </w:r>
      <w:proofErr w:type="spellStart"/>
      <w:r w:rsidRPr="007E21AF">
        <w:rPr>
          <w:rFonts w:cs="Times New Roman"/>
          <w:szCs w:val="24"/>
          <w:lang w:val="en-GB" w:eastAsia="en-GB"/>
        </w:rPr>
        <w:t>Okotto-Okotto</w:t>
      </w:r>
      <w:proofErr w:type="spellEnd"/>
      <w:r w:rsidRPr="007E21AF">
        <w:rPr>
          <w:rFonts w:cs="Times New Roman"/>
          <w:szCs w:val="24"/>
          <w:lang w:val="en-GB" w:eastAsia="en-GB"/>
        </w:rPr>
        <w:t xml:space="preserve">, J., </w:t>
      </w:r>
      <w:proofErr w:type="spellStart"/>
      <w:r w:rsidRPr="007E21AF">
        <w:rPr>
          <w:rFonts w:cs="Times New Roman"/>
          <w:szCs w:val="24"/>
          <w:lang w:val="en-GB" w:eastAsia="en-GB"/>
        </w:rPr>
        <w:t>Pedley</w:t>
      </w:r>
      <w:proofErr w:type="spellEnd"/>
      <w:r w:rsidRPr="007E21AF">
        <w:rPr>
          <w:rFonts w:cs="Times New Roman"/>
          <w:szCs w:val="24"/>
          <w:lang w:val="en-GB" w:eastAsia="en-GB"/>
        </w:rPr>
        <w:t xml:space="preserve">, S., Stuart, M. E., Wright, J., &amp; Godfrey, L. (2017). Urban groundwater quality in sub-Saharan Africa: Current status and implications. </w:t>
      </w:r>
      <w:r w:rsidRPr="007E21AF">
        <w:rPr>
          <w:rFonts w:cs="Times New Roman"/>
          <w:i/>
          <w:iCs/>
          <w:szCs w:val="24"/>
          <w:lang w:val="en-GB" w:eastAsia="en-GB"/>
        </w:rPr>
        <w:t>Hydrogeology Journal, 25</w:t>
      </w:r>
      <w:r w:rsidRPr="007E21AF">
        <w:rPr>
          <w:rFonts w:cs="Times New Roman"/>
          <w:szCs w:val="24"/>
          <w:lang w:val="en-GB" w:eastAsia="en-GB"/>
        </w:rPr>
        <w:t>(4), 1093–1116.</w:t>
      </w:r>
    </w:p>
    <w:p w:rsidR="007E21AF" w:rsidRPr="007E21AF" w:rsidRDefault="007E21AF" w:rsidP="007E21AF">
      <w:pPr>
        <w:spacing w:before="100" w:beforeAutospacing="1" w:after="100" w:afterAutospacing="1" w:line="240" w:lineRule="auto"/>
        <w:rPr>
          <w:rFonts w:cs="Times New Roman"/>
          <w:szCs w:val="24"/>
          <w:lang w:val="en-GB" w:eastAsia="en-GB"/>
        </w:rPr>
      </w:pPr>
      <w:proofErr w:type="spellStart"/>
      <w:r w:rsidRPr="007E21AF">
        <w:rPr>
          <w:rFonts w:cs="Times New Roman"/>
          <w:szCs w:val="24"/>
          <w:lang w:val="en-GB" w:eastAsia="en-GB"/>
        </w:rPr>
        <w:t>Mbae</w:t>
      </w:r>
      <w:proofErr w:type="spellEnd"/>
      <w:r w:rsidRPr="007E21AF">
        <w:rPr>
          <w:rFonts w:cs="Times New Roman"/>
          <w:szCs w:val="24"/>
          <w:lang w:val="en-GB" w:eastAsia="en-GB"/>
        </w:rPr>
        <w:t xml:space="preserve">, C. K., </w:t>
      </w:r>
      <w:proofErr w:type="spellStart"/>
      <w:r w:rsidRPr="007E21AF">
        <w:rPr>
          <w:rFonts w:cs="Times New Roman"/>
          <w:szCs w:val="24"/>
          <w:lang w:val="en-GB" w:eastAsia="en-GB"/>
        </w:rPr>
        <w:t>Osiemo</w:t>
      </w:r>
      <w:proofErr w:type="spellEnd"/>
      <w:r w:rsidRPr="007E21AF">
        <w:rPr>
          <w:rFonts w:cs="Times New Roman"/>
          <w:szCs w:val="24"/>
          <w:lang w:val="en-GB" w:eastAsia="en-GB"/>
        </w:rPr>
        <w:t xml:space="preserve">, Z., &amp; </w:t>
      </w:r>
      <w:proofErr w:type="spellStart"/>
      <w:r w:rsidRPr="007E21AF">
        <w:rPr>
          <w:rFonts w:cs="Times New Roman"/>
          <w:szCs w:val="24"/>
          <w:lang w:val="en-GB" w:eastAsia="en-GB"/>
        </w:rPr>
        <w:t>Nyamota</w:t>
      </w:r>
      <w:proofErr w:type="spellEnd"/>
      <w:r w:rsidRPr="007E21AF">
        <w:rPr>
          <w:rFonts w:cs="Times New Roman"/>
          <w:szCs w:val="24"/>
          <w:lang w:val="en-GB" w:eastAsia="en-GB"/>
        </w:rPr>
        <w:t xml:space="preserve">, R. (2024). Microbiological contamination of shallow wells in relation to sanitation infrastructure in sub-Saharan Africa. </w:t>
      </w:r>
      <w:r w:rsidRPr="007E21AF">
        <w:rPr>
          <w:rFonts w:cs="Times New Roman"/>
          <w:i/>
          <w:iCs/>
          <w:szCs w:val="24"/>
          <w:lang w:val="en-GB" w:eastAsia="en-GB"/>
        </w:rPr>
        <w:t>Water Practice and Technology, 19</w:t>
      </w:r>
      <w:r w:rsidRPr="007E21AF">
        <w:rPr>
          <w:rFonts w:cs="Times New Roman"/>
          <w:szCs w:val="24"/>
          <w:lang w:val="en-GB" w:eastAsia="en-GB"/>
        </w:rPr>
        <w:t>(1), 152–160.</w:t>
      </w:r>
    </w:p>
    <w:p w:rsidR="007E21AF" w:rsidRPr="007E21AF" w:rsidRDefault="007E21AF" w:rsidP="007E21AF">
      <w:pPr>
        <w:spacing w:before="100" w:beforeAutospacing="1" w:after="100" w:afterAutospacing="1" w:line="240" w:lineRule="auto"/>
        <w:rPr>
          <w:rFonts w:cs="Times New Roman"/>
          <w:szCs w:val="24"/>
          <w:lang w:val="en-GB" w:eastAsia="en-GB"/>
        </w:rPr>
      </w:pPr>
      <w:proofErr w:type="spellStart"/>
      <w:r w:rsidRPr="007E21AF">
        <w:rPr>
          <w:rFonts w:cs="Times New Roman"/>
          <w:szCs w:val="24"/>
          <w:lang w:val="en-GB" w:eastAsia="en-GB"/>
        </w:rPr>
        <w:t>Nham</w:t>
      </w:r>
      <w:proofErr w:type="spellEnd"/>
      <w:r w:rsidRPr="007E21AF">
        <w:rPr>
          <w:rFonts w:cs="Times New Roman"/>
          <w:szCs w:val="24"/>
          <w:lang w:val="en-GB" w:eastAsia="en-GB"/>
        </w:rPr>
        <w:t xml:space="preserve">, T., </w:t>
      </w:r>
      <w:proofErr w:type="spellStart"/>
      <w:r w:rsidRPr="007E21AF">
        <w:rPr>
          <w:rFonts w:cs="Times New Roman"/>
          <w:szCs w:val="24"/>
          <w:lang w:val="en-GB" w:eastAsia="en-GB"/>
        </w:rPr>
        <w:t>Noubactep</w:t>
      </w:r>
      <w:proofErr w:type="spellEnd"/>
      <w:r w:rsidRPr="007E21AF">
        <w:rPr>
          <w:rFonts w:cs="Times New Roman"/>
          <w:szCs w:val="24"/>
          <w:lang w:val="en-GB" w:eastAsia="en-GB"/>
        </w:rPr>
        <w:t xml:space="preserve">, C., &amp; </w:t>
      </w:r>
      <w:proofErr w:type="spellStart"/>
      <w:r w:rsidRPr="007E21AF">
        <w:rPr>
          <w:rFonts w:cs="Times New Roman"/>
          <w:szCs w:val="24"/>
          <w:lang w:val="en-GB" w:eastAsia="en-GB"/>
        </w:rPr>
        <w:t>Caré</w:t>
      </w:r>
      <w:proofErr w:type="spellEnd"/>
      <w:r w:rsidRPr="007E21AF">
        <w:rPr>
          <w:rFonts w:cs="Times New Roman"/>
          <w:szCs w:val="24"/>
          <w:lang w:val="en-GB" w:eastAsia="en-GB"/>
        </w:rPr>
        <w:t xml:space="preserve">, S. (2020). Designing sustainable groundwater remediation systems. </w:t>
      </w:r>
      <w:r w:rsidRPr="007E21AF">
        <w:rPr>
          <w:rFonts w:cs="Times New Roman"/>
          <w:i/>
          <w:iCs/>
          <w:szCs w:val="24"/>
          <w:lang w:val="en-GB" w:eastAsia="en-GB"/>
        </w:rPr>
        <w:t>Sustainability, 12</w:t>
      </w:r>
      <w:r w:rsidRPr="007E21AF">
        <w:rPr>
          <w:rFonts w:cs="Times New Roman"/>
          <w:szCs w:val="24"/>
          <w:lang w:val="en-GB" w:eastAsia="en-GB"/>
        </w:rPr>
        <w:t>(15), 6207.</w:t>
      </w:r>
    </w:p>
    <w:p w:rsidR="007E21AF" w:rsidRPr="007E21AF" w:rsidRDefault="007E21AF" w:rsidP="007E21AF">
      <w:pPr>
        <w:spacing w:before="100" w:beforeAutospacing="1" w:after="100" w:afterAutospacing="1" w:line="240" w:lineRule="auto"/>
        <w:rPr>
          <w:rFonts w:cs="Times New Roman"/>
          <w:szCs w:val="24"/>
          <w:lang w:val="en-GB" w:eastAsia="en-GB"/>
        </w:rPr>
      </w:pPr>
      <w:proofErr w:type="spellStart"/>
      <w:r w:rsidRPr="007E21AF">
        <w:rPr>
          <w:rFonts w:cs="Times New Roman"/>
          <w:szCs w:val="24"/>
          <w:lang w:val="en-GB" w:eastAsia="en-GB"/>
        </w:rPr>
        <w:t>Nwankwoala</w:t>
      </w:r>
      <w:proofErr w:type="spellEnd"/>
      <w:r w:rsidRPr="007E21AF">
        <w:rPr>
          <w:rFonts w:cs="Times New Roman"/>
          <w:szCs w:val="24"/>
          <w:lang w:val="en-GB" w:eastAsia="en-GB"/>
        </w:rPr>
        <w:t xml:space="preserve">, H. O. (2011). The role of communities in improved water resources management in Nigeria. </w:t>
      </w:r>
      <w:r w:rsidRPr="007E21AF">
        <w:rPr>
          <w:rFonts w:cs="Times New Roman"/>
          <w:i/>
          <w:iCs/>
          <w:szCs w:val="24"/>
          <w:lang w:val="en-GB" w:eastAsia="en-GB"/>
        </w:rPr>
        <w:t>Journal of Applied Technology in Environmental Sanitation, 1</w:t>
      </w:r>
      <w:r w:rsidRPr="007E21AF">
        <w:rPr>
          <w:rFonts w:cs="Times New Roman"/>
          <w:szCs w:val="24"/>
          <w:lang w:val="en-GB" w:eastAsia="en-GB"/>
        </w:rPr>
        <w:t>(3), 295–302.</w:t>
      </w:r>
    </w:p>
    <w:p w:rsidR="007E21AF" w:rsidRPr="007E21AF" w:rsidRDefault="007E21AF" w:rsidP="007E21AF">
      <w:pPr>
        <w:spacing w:before="100" w:beforeAutospacing="1" w:after="100" w:afterAutospacing="1" w:line="240" w:lineRule="auto"/>
        <w:rPr>
          <w:rFonts w:cs="Times New Roman"/>
          <w:szCs w:val="24"/>
          <w:lang w:val="en-GB" w:eastAsia="en-GB"/>
        </w:rPr>
      </w:pPr>
      <w:proofErr w:type="spellStart"/>
      <w:r w:rsidRPr="007E21AF">
        <w:rPr>
          <w:rFonts w:cs="Times New Roman"/>
          <w:szCs w:val="24"/>
          <w:lang w:val="en-GB" w:eastAsia="en-GB"/>
        </w:rPr>
        <w:t>Obiora</w:t>
      </w:r>
      <w:proofErr w:type="spellEnd"/>
      <w:r w:rsidRPr="007E21AF">
        <w:rPr>
          <w:rFonts w:cs="Times New Roman"/>
          <w:szCs w:val="24"/>
          <w:lang w:val="en-GB" w:eastAsia="en-GB"/>
        </w:rPr>
        <w:t xml:space="preserve">, D. N., </w:t>
      </w:r>
      <w:proofErr w:type="spellStart"/>
      <w:r w:rsidRPr="007E21AF">
        <w:rPr>
          <w:rFonts w:cs="Times New Roman"/>
          <w:szCs w:val="24"/>
          <w:lang w:val="en-GB" w:eastAsia="en-GB"/>
        </w:rPr>
        <w:t>Omeje</w:t>
      </w:r>
      <w:proofErr w:type="spellEnd"/>
      <w:r w:rsidRPr="007E21AF">
        <w:rPr>
          <w:rFonts w:cs="Times New Roman"/>
          <w:szCs w:val="24"/>
          <w:lang w:val="en-GB" w:eastAsia="en-GB"/>
        </w:rPr>
        <w:t xml:space="preserve">, E. T., Okeke, F. N., &amp; </w:t>
      </w:r>
      <w:proofErr w:type="spellStart"/>
      <w:r w:rsidRPr="007E21AF">
        <w:rPr>
          <w:rFonts w:cs="Times New Roman"/>
          <w:szCs w:val="24"/>
          <w:lang w:val="en-GB" w:eastAsia="en-GB"/>
        </w:rPr>
        <w:t>Ibuot</w:t>
      </w:r>
      <w:proofErr w:type="spellEnd"/>
      <w:r w:rsidRPr="007E21AF">
        <w:rPr>
          <w:rFonts w:cs="Times New Roman"/>
          <w:szCs w:val="24"/>
          <w:lang w:val="en-GB" w:eastAsia="en-GB"/>
        </w:rPr>
        <w:t xml:space="preserve">, J. C. (2023). Groundwater pollution and risk assessment using indexed-based models. </w:t>
      </w:r>
      <w:r w:rsidRPr="007E21AF">
        <w:rPr>
          <w:rFonts w:cs="Times New Roman"/>
          <w:i/>
          <w:iCs/>
          <w:szCs w:val="24"/>
          <w:lang w:val="en-GB" w:eastAsia="en-GB"/>
        </w:rPr>
        <w:t>Environmental Monitoring and Assessment, 195</w:t>
      </w:r>
      <w:r w:rsidRPr="007E21AF">
        <w:rPr>
          <w:rFonts w:cs="Times New Roman"/>
          <w:szCs w:val="24"/>
          <w:lang w:val="en-GB" w:eastAsia="en-GB"/>
        </w:rPr>
        <w:t>, 999.</w:t>
      </w:r>
    </w:p>
    <w:p w:rsidR="007E21AF" w:rsidRPr="007E21AF" w:rsidRDefault="007E21AF" w:rsidP="007E21AF">
      <w:pPr>
        <w:spacing w:before="100" w:beforeAutospacing="1" w:after="100" w:afterAutospacing="1" w:line="240" w:lineRule="auto"/>
        <w:rPr>
          <w:rFonts w:cs="Times New Roman"/>
          <w:szCs w:val="24"/>
          <w:lang w:val="en-GB" w:eastAsia="en-GB"/>
        </w:rPr>
      </w:pPr>
      <w:proofErr w:type="spellStart"/>
      <w:r w:rsidRPr="007E21AF">
        <w:rPr>
          <w:rFonts w:cs="Times New Roman"/>
          <w:szCs w:val="24"/>
          <w:lang w:val="en-GB" w:eastAsia="en-GB"/>
        </w:rPr>
        <w:t>Odukoya</w:t>
      </w:r>
      <w:proofErr w:type="spellEnd"/>
      <w:r w:rsidRPr="007E21AF">
        <w:rPr>
          <w:rFonts w:cs="Times New Roman"/>
          <w:szCs w:val="24"/>
          <w:lang w:val="en-GB" w:eastAsia="en-GB"/>
        </w:rPr>
        <w:t xml:space="preserve">, A. M. (2015). Geochemical and quality assessment of groundwater in Nigerian basement complex terrain. </w:t>
      </w:r>
      <w:r w:rsidRPr="007E21AF">
        <w:rPr>
          <w:rFonts w:cs="Times New Roman"/>
          <w:i/>
          <w:iCs/>
          <w:szCs w:val="24"/>
          <w:lang w:val="en-GB" w:eastAsia="en-GB"/>
        </w:rPr>
        <w:t>Journal of Geography and Geology, 7</w:t>
      </w:r>
      <w:r w:rsidRPr="007E21AF">
        <w:rPr>
          <w:rFonts w:cs="Times New Roman"/>
          <w:szCs w:val="24"/>
          <w:lang w:val="en-GB" w:eastAsia="en-GB"/>
        </w:rPr>
        <w:t>(1), 176–187.</w:t>
      </w:r>
    </w:p>
    <w:p w:rsidR="007E21AF" w:rsidRPr="007E21AF" w:rsidRDefault="007E21AF" w:rsidP="007E21AF">
      <w:pPr>
        <w:spacing w:before="100" w:beforeAutospacing="1" w:after="100" w:afterAutospacing="1" w:line="240" w:lineRule="auto"/>
        <w:rPr>
          <w:rFonts w:cs="Times New Roman"/>
          <w:szCs w:val="24"/>
          <w:lang w:val="en-GB" w:eastAsia="en-GB"/>
        </w:rPr>
      </w:pPr>
      <w:proofErr w:type="spellStart"/>
      <w:r w:rsidRPr="007E21AF">
        <w:rPr>
          <w:rFonts w:cs="Times New Roman"/>
          <w:szCs w:val="24"/>
          <w:lang w:val="en-GB" w:eastAsia="en-GB"/>
        </w:rPr>
        <w:t>Olaseeni</w:t>
      </w:r>
      <w:proofErr w:type="spellEnd"/>
      <w:r w:rsidRPr="007E21AF">
        <w:rPr>
          <w:rFonts w:cs="Times New Roman"/>
          <w:szCs w:val="24"/>
          <w:lang w:val="en-GB" w:eastAsia="en-GB"/>
        </w:rPr>
        <w:t xml:space="preserve">, O. G., </w:t>
      </w:r>
      <w:proofErr w:type="spellStart"/>
      <w:r w:rsidRPr="007E21AF">
        <w:rPr>
          <w:rFonts w:cs="Times New Roman"/>
          <w:szCs w:val="24"/>
          <w:lang w:val="en-GB" w:eastAsia="en-GB"/>
        </w:rPr>
        <w:t>Oladapo</w:t>
      </w:r>
      <w:proofErr w:type="spellEnd"/>
      <w:r w:rsidRPr="007E21AF">
        <w:rPr>
          <w:rFonts w:cs="Times New Roman"/>
          <w:szCs w:val="24"/>
          <w:lang w:val="en-GB" w:eastAsia="en-GB"/>
        </w:rPr>
        <w:t xml:space="preserve">, M. I., &amp; </w:t>
      </w:r>
      <w:proofErr w:type="spellStart"/>
      <w:r w:rsidRPr="007E21AF">
        <w:rPr>
          <w:rFonts w:cs="Times New Roman"/>
          <w:szCs w:val="24"/>
          <w:lang w:val="en-GB" w:eastAsia="en-GB"/>
        </w:rPr>
        <w:t>Olayanju</w:t>
      </w:r>
      <w:proofErr w:type="spellEnd"/>
      <w:r w:rsidRPr="007E21AF">
        <w:rPr>
          <w:rFonts w:cs="Times New Roman"/>
          <w:szCs w:val="24"/>
          <w:lang w:val="en-GB" w:eastAsia="en-GB"/>
        </w:rPr>
        <w:t xml:space="preserve">, G. M. (2021). Aquifer vulnerability assessment in basement complex terrain. </w:t>
      </w:r>
      <w:proofErr w:type="spellStart"/>
      <w:r w:rsidRPr="007E21AF">
        <w:rPr>
          <w:rFonts w:cs="Times New Roman"/>
          <w:i/>
          <w:iCs/>
          <w:szCs w:val="24"/>
          <w:lang w:val="en-GB" w:eastAsia="en-GB"/>
        </w:rPr>
        <w:t>Modeling</w:t>
      </w:r>
      <w:proofErr w:type="spellEnd"/>
      <w:r w:rsidRPr="007E21AF">
        <w:rPr>
          <w:rFonts w:cs="Times New Roman"/>
          <w:i/>
          <w:iCs/>
          <w:szCs w:val="24"/>
          <w:lang w:val="en-GB" w:eastAsia="en-GB"/>
        </w:rPr>
        <w:t xml:space="preserve"> Earth Systems and Environment, 7</w:t>
      </w:r>
      <w:r w:rsidRPr="007E21AF">
        <w:rPr>
          <w:rFonts w:cs="Times New Roman"/>
          <w:szCs w:val="24"/>
          <w:lang w:val="en-GB" w:eastAsia="en-GB"/>
        </w:rPr>
        <w:t>, 833–852.</w:t>
      </w:r>
    </w:p>
    <w:p w:rsidR="007E21AF" w:rsidRPr="007E21AF" w:rsidRDefault="007E21AF" w:rsidP="007E21AF">
      <w:pPr>
        <w:spacing w:before="100" w:beforeAutospacing="1" w:after="100" w:afterAutospacing="1" w:line="240" w:lineRule="auto"/>
        <w:rPr>
          <w:rFonts w:cs="Times New Roman"/>
          <w:szCs w:val="24"/>
          <w:lang w:val="en-GB" w:eastAsia="en-GB"/>
        </w:rPr>
      </w:pPr>
      <w:proofErr w:type="spellStart"/>
      <w:r w:rsidRPr="007E21AF">
        <w:rPr>
          <w:rFonts w:cs="Times New Roman"/>
          <w:szCs w:val="24"/>
          <w:lang w:val="en-GB" w:eastAsia="en-GB"/>
        </w:rPr>
        <w:t>Ololade</w:t>
      </w:r>
      <w:proofErr w:type="spellEnd"/>
      <w:r w:rsidRPr="007E21AF">
        <w:rPr>
          <w:rFonts w:cs="Times New Roman"/>
          <w:szCs w:val="24"/>
          <w:lang w:val="en-GB" w:eastAsia="en-GB"/>
        </w:rPr>
        <w:t xml:space="preserve">, I. A., </w:t>
      </w:r>
      <w:proofErr w:type="spellStart"/>
      <w:r w:rsidRPr="007E21AF">
        <w:rPr>
          <w:rFonts w:cs="Times New Roman"/>
          <w:szCs w:val="24"/>
          <w:lang w:val="en-GB" w:eastAsia="en-GB"/>
        </w:rPr>
        <w:t>Annegarn</w:t>
      </w:r>
      <w:proofErr w:type="spellEnd"/>
      <w:r w:rsidRPr="007E21AF">
        <w:rPr>
          <w:rFonts w:cs="Times New Roman"/>
          <w:szCs w:val="24"/>
          <w:lang w:val="en-GB" w:eastAsia="en-GB"/>
        </w:rPr>
        <w:t xml:space="preserve">, H. J., &amp; Moodley, R. (2010). Application of DRASTIC model for groundwater vulnerability assessment. </w:t>
      </w:r>
      <w:r w:rsidRPr="007E21AF">
        <w:rPr>
          <w:rFonts w:cs="Times New Roman"/>
          <w:i/>
          <w:iCs/>
          <w:szCs w:val="24"/>
          <w:lang w:val="en-GB" w:eastAsia="en-GB"/>
        </w:rPr>
        <w:t>Environmental Earth Sciences, 61</w:t>
      </w:r>
      <w:r w:rsidRPr="007E21AF">
        <w:rPr>
          <w:rFonts w:cs="Times New Roman"/>
          <w:szCs w:val="24"/>
          <w:lang w:val="en-GB" w:eastAsia="en-GB"/>
        </w:rPr>
        <w:t>(4), 759–775.</w:t>
      </w:r>
    </w:p>
    <w:p w:rsidR="007E21AF" w:rsidRPr="007E21AF" w:rsidRDefault="007E21AF" w:rsidP="007E21AF">
      <w:pPr>
        <w:spacing w:before="100" w:beforeAutospacing="1" w:after="100" w:afterAutospacing="1" w:line="240" w:lineRule="auto"/>
        <w:rPr>
          <w:rFonts w:cs="Times New Roman"/>
          <w:szCs w:val="24"/>
          <w:lang w:val="en-GB" w:eastAsia="en-GB"/>
        </w:rPr>
      </w:pPr>
      <w:r w:rsidRPr="007E21AF">
        <w:rPr>
          <w:rFonts w:cs="Times New Roman"/>
          <w:szCs w:val="24"/>
          <w:lang w:val="en-GB" w:eastAsia="en-GB"/>
        </w:rPr>
        <w:t xml:space="preserve">Oyeyemi, K. D., </w:t>
      </w:r>
      <w:proofErr w:type="spellStart"/>
      <w:r w:rsidRPr="007E21AF">
        <w:rPr>
          <w:rFonts w:cs="Times New Roman"/>
          <w:szCs w:val="24"/>
          <w:lang w:val="en-GB" w:eastAsia="en-GB"/>
        </w:rPr>
        <w:t>Aizebeokhai</w:t>
      </w:r>
      <w:proofErr w:type="spellEnd"/>
      <w:r w:rsidRPr="007E21AF">
        <w:rPr>
          <w:rFonts w:cs="Times New Roman"/>
          <w:szCs w:val="24"/>
          <w:lang w:val="en-GB" w:eastAsia="en-GB"/>
        </w:rPr>
        <w:t xml:space="preserve">, A. P., &amp; </w:t>
      </w:r>
      <w:proofErr w:type="spellStart"/>
      <w:r w:rsidRPr="007E21AF">
        <w:rPr>
          <w:rFonts w:cs="Times New Roman"/>
          <w:szCs w:val="24"/>
          <w:lang w:val="en-GB" w:eastAsia="en-GB"/>
        </w:rPr>
        <w:t>Attat</w:t>
      </w:r>
      <w:proofErr w:type="spellEnd"/>
      <w:r w:rsidRPr="007E21AF">
        <w:rPr>
          <w:rFonts w:cs="Times New Roman"/>
          <w:szCs w:val="24"/>
          <w:lang w:val="en-GB" w:eastAsia="en-GB"/>
        </w:rPr>
        <w:t xml:space="preserve">, O. F. (2018). Groundwater pollution near landfill site using ERI technique. </w:t>
      </w:r>
      <w:r w:rsidRPr="007E21AF">
        <w:rPr>
          <w:rFonts w:cs="Times New Roman"/>
          <w:i/>
          <w:iCs/>
          <w:szCs w:val="24"/>
          <w:lang w:val="en-GB" w:eastAsia="en-GB"/>
        </w:rPr>
        <w:t>Nature, Environment and Pollution Technology, 17</w:t>
      </w:r>
      <w:r w:rsidRPr="007E21AF">
        <w:rPr>
          <w:rFonts w:cs="Times New Roman"/>
          <w:szCs w:val="24"/>
          <w:lang w:val="en-GB" w:eastAsia="en-GB"/>
        </w:rPr>
        <w:t>(2), 453–458.</w:t>
      </w:r>
    </w:p>
    <w:p w:rsidR="007E21AF" w:rsidRPr="007E21AF" w:rsidRDefault="007E21AF" w:rsidP="007E21AF">
      <w:pPr>
        <w:spacing w:before="100" w:beforeAutospacing="1" w:after="100" w:afterAutospacing="1" w:line="240" w:lineRule="auto"/>
        <w:rPr>
          <w:rFonts w:cs="Times New Roman"/>
          <w:szCs w:val="24"/>
          <w:lang w:val="en-GB" w:eastAsia="en-GB"/>
        </w:rPr>
      </w:pPr>
      <w:proofErr w:type="spellStart"/>
      <w:r w:rsidRPr="007E21AF">
        <w:rPr>
          <w:rFonts w:cs="Times New Roman"/>
          <w:szCs w:val="24"/>
          <w:lang w:val="en-GB" w:eastAsia="en-GB"/>
        </w:rPr>
        <w:t>Rahaman</w:t>
      </w:r>
      <w:proofErr w:type="spellEnd"/>
      <w:r w:rsidRPr="007E21AF">
        <w:rPr>
          <w:rFonts w:cs="Times New Roman"/>
          <w:szCs w:val="24"/>
          <w:lang w:val="en-GB" w:eastAsia="en-GB"/>
        </w:rPr>
        <w:t xml:space="preserve">, M. M., &amp; </w:t>
      </w:r>
      <w:proofErr w:type="spellStart"/>
      <w:r w:rsidRPr="007E21AF">
        <w:rPr>
          <w:rFonts w:cs="Times New Roman"/>
          <w:szCs w:val="24"/>
          <w:lang w:val="en-GB" w:eastAsia="en-GB"/>
        </w:rPr>
        <w:t>Varis</w:t>
      </w:r>
      <w:proofErr w:type="spellEnd"/>
      <w:r w:rsidRPr="007E21AF">
        <w:rPr>
          <w:rFonts w:cs="Times New Roman"/>
          <w:szCs w:val="24"/>
          <w:lang w:val="en-GB" w:eastAsia="en-GB"/>
        </w:rPr>
        <w:t xml:space="preserve">, O. (2005). Integrated water resources management: Evolution and challenges. </w:t>
      </w:r>
      <w:r w:rsidRPr="007E21AF">
        <w:rPr>
          <w:rFonts w:cs="Times New Roman"/>
          <w:i/>
          <w:iCs/>
          <w:szCs w:val="24"/>
          <w:lang w:val="en-GB" w:eastAsia="en-GB"/>
        </w:rPr>
        <w:t>Sustainability: Science, Practice and Policy, 1</w:t>
      </w:r>
      <w:r w:rsidRPr="007E21AF">
        <w:rPr>
          <w:rFonts w:cs="Times New Roman"/>
          <w:szCs w:val="24"/>
          <w:lang w:val="en-GB" w:eastAsia="en-GB"/>
        </w:rPr>
        <w:t>(1), 15–21.</w:t>
      </w:r>
    </w:p>
    <w:p w:rsidR="007E21AF" w:rsidRPr="007E21AF" w:rsidRDefault="007E21AF" w:rsidP="007E21AF">
      <w:pPr>
        <w:spacing w:before="100" w:beforeAutospacing="1" w:after="100" w:afterAutospacing="1" w:line="240" w:lineRule="auto"/>
        <w:rPr>
          <w:rFonts w:cs="Times New Roman"/>
          <w:szCs w:val="24"/>
          <w:lang w:val="en-GB" w:eastAsia="en-GB"/>
        </w:rPr>
      </w:pPr>
      <w:proofErr w:type="spellStart"/>
      <w:r w:rsidRPr="007E21AF">
        <w:rPr>
          <w:rFonts w:cs="Times New Roman"/>
          <w:szCs w:val="24"/>
          <w:lang w:val="en-GB" w:eastAsia="en-GB"/>
        </w:rPr>
        <w:t>Secunda</w:t>
      </w:r>
      <w:proofErr w:type="spellEnd"/>
      <w:r w:rsidRPr="007E21AF">
        <w:rPr>
          <w:rFonts w:cs="Times New Roman"/>
          <w:szCs w:val="24"/>
          <w:lang w:val="en-GB" w:eastAsia="en-GB"/>
        </w:rPr>
        <w:t xml:space="preserve">, S., Collin, M. L., &amp; </w:t>
      </w:r>
      <w:proofErr w:type="spellStart"/>
      <w:r w:rsidRPr="007E21AF">
        <w:rPr>
          <w:rFonts w:cs="Times New Roman"/>
          <w:szCs w:val="24"/>
          <w:lang w:val="en-GB" w:eastAsia="en-GB"/>
        </w:rPr>
        <w:t>Melloul</w:t>
      </w:r>
      <w:proofErr w:type="spellEnd"/>
      <w:r w:rsidRPr="007E21AF">
        <w:rPr>
          <w:rFonts w:cs="Times New Roman"/>
          <w:szCs w:val="24"/>
          <w:lang w:val="en-GB" w:eastAsia="en-GB"/>
        </w:rPr>
        <w:t xml:space="preserve">, A. J. (1998). Groundwater vulnerability assessment using DRASTIC model. </w:t>
      </w:r>
      <w:r w:rsidRPr="007E21AF">
        <w:rPr>
          <w:rFonts w:cs="Times New Roman"/>
          <w:i/>
          <w:iCs/>
          <w:szCs w:val="24"/>
          <w:lang w:val="en-GB" w:eastAsia="en-GB"/>
        </w:rPr>
        <w:t>Journal of Environmental Management, 54</w:t>
      </w:r>
      <w:r w:rsidRPr="007E21AF">
        <w:rPr>
          <w:rFonts w:cs="Times New Roman"/>
          <w:szCs w:val="24"/>
          <w:lang w:val="en-GB" w:eastAsia="en-GB"/>
        </w:rPr>
        <w:t>(1), 39–57.</w:t>
      </w:r>
    </w:p>
    <w:p w:rsidR="007E21AF" w:rsidRPr="007E21AF" w:rsidRDefault="007E21AF" w:rsidP="007E21AF">
      <w:pPr>
        <w:spacing w:before="100" w:beforeAutospacing="1" w:after="100" w:afterAutospacing="1" w:line="240" w:lineRule="auto"/>
        <w:rPr>
          <w:rFonts w:cs="Times New Roman"/>
          <w:szCs w:val="24"/>
          <w:lang w:val="en-GB" w:eastAsia="en-GB"/>
        </w:rPr>
      </w:pPr>
      <w:r w:rsidRPr="007E21AF">
        <w:rPr>
          <w:rFonts w:cs="Times New Roman"/>
          <w:szCs w:val="24"/>
          <w:lang w:val="en-GB" w:eastAsia="en-GB"/>
        </w:rPr>
        <w:t xml:space="preserve">Shankar, S., </w:t>
      </w:r>
      <w:proofErr w:type="spellStart"/>
      <w:r w:rsidRPr="007E21AF">
        <w:rPr>
          <w:rFonts w:cs="Times New Roman"/>
          <w:szCs w:val="24"/>
          <w:lang w:val="en-GB" w:eastAsia="en-GB"/>
        </w:rPr>
        <w:t>Shanker</w:t>
      </w:r>
      <w:proofErr w:type="spellEnd"/>
      <w:r w:rsidRPr="007E21AF">
        <w:rPr>
          <w:rFonts w:cs="Times New Roman"/>
          <w:szCs w:val="24"/>
          <w:lang w:val="en-GB" w:eastAsia="en-GB"/>
        </w:rPr>
        <w:t xml:space="preserve">, U., &amp; Shikha. (2014). Arsenic contamination of groundwater: A review. </w:t>
      </w:r>
      <w:r w:rsidRPr="007E21AF">
        <w:rPr>
          <w:rFonts w:cs="Times New Roman"/>
          <w:i/>
          <w:iCs/>
          <w:szCs w:val="24"/>
          <w:lang w:val="en-GB" w:eastAsia="en-GB"/>
        </w:rPr>
        <w:t>Science of the Total Environment, 488–489</w:t>
      </w:r>
      <w:r w:rsidRPr="007E21AF">
        <w:rPr>
          <w:rFonts w:cs="Times New Roman"/>
          <w:szCs w:val="24"/>
          <w:lang w:val="en-GB" w:eastAsia="en-GB"/>
        </w:rPr>
        <w:t>, 572–583.</w:t>
      </w:r>
    </w:p>
    <w:p w:rsidR="007E21AF" w:rsidRPr="007E21AF" w:rsidRDefault="007E21AF" w:rsidP="007E21AF">
      <w:pPr>
        <w:spacing w:before="100" w:beforeAutospacing="1" w:after="100" w:afterAutospacing="1" w:line="240" w:lineRule="auto"/>
        <w:rPr>
          <w:rFonts w:cs="Times New Roman"/>
          <w:szCs w:val="24"/>
          <w:lang w:val="en-GB" w:eastAsia="en-GB"/>
        </w:rPr>
      </w:pPr>
      <w:r w:rsidRPr="007E21AF">
        <w:rPr>
          <w:rFonts w:cs="Times New Roman"/>
          <w:szCs w:val="24"/>
          <w:lang w:val="en-GB" w:eastAsia="en-GB"/>
        </w:rPr>
        <w:t xml:space="preserve">Smedley, P. L., &amp; </w:t>
      </w:r>
      <w:proofErr w:type="spellStart"/>
      <w:r w:rsidRPr="007E21AF">
        <w:rPr>
          <w:rFonts w:cs="Times New Roman"/>
          <w:szCs w:val="24"/>
          <w:lang w:val="en-GB" w:eastAsia="en-GB"/>
        </w:rPr>
        <w:t>Kinniburgh</w:t>
      </w:r>
      <w:proofErr w:type="spellEnd"/>
      <w:r w:rsidRPr="007E21AF">
        <w:rPr>
          <w:rFonts w:cs="Times New Roman"/>
          <w:szCs w:val="24"/>
          <w:lang w:val="en-GB" w:eastAsia="en-GB"/>
        </w:rPr>
        <w:t xml:space="preserve">, D. G. (2002). Arsenic in natural waters. </w:t>
      </w:r>
      <w:r w:rsidRPr="007E21AF">
        <w:rPr>
          <w:rFonts w:cs="Times New Roman"/>
          <w:i/>
          <w:iCs/>
          <w:szCs w:val="24"/>
          <w:lang w:val="en-GB" w:eastAsia="en-GB"/>
        </w:rPr>
        <w:t>Applied Geochemistry, 17</w:t>
      </w:r>
      <w:r w:rsidRPr="007E21AF">
        <w:rPr>
          <w:rFonts w:cs="Times New Roman"/>
          <w:szCs w:val="24"/>
          <w:lang w:val="en-GB" w:eastAsia="en-GB"/>
        </w:rPr>
        <w:t>(5), 517–568.</w:t>
      </w:r>
    </w:p>
    <w:p w:rsidR="007E21AF" w:rsidRPr="007E21AF" w:rsidRDefault="007E21AF" w:rsidP="007E21AF">
      <w:pPr>
        <w:spacing w:before="100" w:beforeAutospacing="1" w:after="100" w:afterAutospacing="1" w:line="240" w:lineRule="auto"/>
        <w:rPr>
          <w:rFonts w:cs="Times New Roman"/>
          <w:szCs w:val="24"/>
          <w:lang w:val="en-GB" w:eastAsia="en-GB"/>
        </w:rPr>
      </w:pPr>
      <w:r w:rsidRPr="007E21AF">
        <w:rPr>
          <w:rFonts w:cs="Times New Roman"/>
          <w:szCs w:val="24"/>
          <w:lang w:val="en-GB" w:eastAsia="en-GB"/>
        </w:rPr>
        <w:t xml:space="preserve">Suthar, S., Sharma, J., </w:t>
      </w:r>
      <w:proofErr w:type="spellStart"/>
      <w:r w:rsidRPr="007E21AF">
        <w:rPr>
          <w:rFonts w:cs="Times New Roman"/>
          <w:szCs w:val="24"/>
          <w:lang w:val="en-GB" w:eastAsia="en-GB"/>
        </w:rPr>
        <w:t>Chabukdhara</w:t>
      </w:r>
      <w:proofErr w:type="spellEnd"/>
      <w:r w:rsidRPr="007E21AF">
        <w:rPr>
          <w:rFonts w:cs="Times New Roman"/>
          <w:szCs w:val="24"/>
          <w:lang w:val="en-GB" w:eastAsia="en-GB"/>
        </w:rPr>
        <w:t xml:space="preserve">, M., &amp; </w:t>
      </w:r>
      <w:proofErr w:type="spellStart"/>
      <w:r w:rsidRPr="007E21AF">
        <w:rPr>
          <w:rFonts w:cs="Times New Roman"/>
          <w:szCs w:val="24"/>
          <w:lang w:val="en-GB" w:eastAsia="en-GB"/>
        </w:rPr>
        <w:t>Nema</w:t>
      </w:r>
      <w:proofErr w:type="spellEnd"/>
      <w:r w:rsidRPr="007E21AF">
        <w:rPr>
          <w:rFonts w:cs="Times New Roman"/>
          <w:szCs w:val="24"/>
          <w:lang w:val="en-GB" w:eastAsia="en-GB"/>
        </w:rPr>
        <w:t xml:space="preserve">, A. K. (2022). In-situ bioremediation of groundwater contaminated with chlorinated solvents. </w:t>
      </w:r>
      <w:r w:rsidRPr="007E21AF">
        <w:rPr>
          <w:rFonts w:cs="Times New Roman"/>
          <w:i/>
          <w:iCs/>
          <w:szCs w:val="24"/>
          <w:lang w:val="en-GB" w:eastAsia="en-GB"/>
        </w:rPr>
        <w:t>Journal of Environmental Management, 301</w:t>
      </w:r>
      <w:r w:rsidRPr="007E21AF">
        <w:rPr>
          <w:rFonts w:cs="Times New Roman"/>
          <w:szCs w:val="24"/>
          <w:lang w:val="en-GB" w:eastAsia="en-GB"/>
        </w:rPr>
        <w:t>, 113794.</w:t>
      </w:r>
    </w:p>
    <w:p w:rsidR="007E21AF" w:rsidRPr="007E21AF" w:rsidRDefault="007E21AF" w:rsidP="007E21AF">
      <w:pPr>
        <w:spacing w:before="100" w:beforeAutospacing="1" w:after="100" w:afterAutospacing="1" w:line="240" w:lineRule="auto"/>
        <w:rPr>
          <w:rFonts w:cs="Times New Roman"/>
          <w:szCs w:val="24"/>
          <w:lang w:val="en-GB" w:eastAsia="en-GB"/>
        </w:rPr>
      </w:pPr>
      <w:proofErr w:type="spellStart"/>
      <w:r w:rsidRPr="007E21AF">
        <w:rPr>
          <w:rFonts w:cs="Times New Roman"/>
          <w:szCs w:val="24"/>
          <w:lang w:val="en-GB" w:eastAsia="en-GB"/>
        </w:rPr>
        <w:t>Talabi</w:t>
      </w:r>
      <w:proofErr w:type="spellEnd"/>
      <w:r w:rsidRPr="007E21AF">
        <w:rPr>
          <w:rFonts w:cs="Times New Roman"/>
          <w:szCs w:val="24"/>
          <w:lang w:val="en-GB" w:eastAsia="en-GB"/>
        </w:rPr>
        <w:t xml:space="preserve">, A. O., &amp; Tijani, M. N. (2013). </w:t>
      </w:r>
      <w:proofErr w:type="spellStart"/>
      <w:r w:rsidRPr="007E21AF">
        <w:rPr>
          <w:rFonts w:cs="Times New Roman"/>
          <w:szCs w:val="24"/>
          <w:lang w:val="en-GB" w:eastAsia="en-GB"/>
        </w:rPr>
        <w:t>Hydrochemical</w:t>
      </w:r>
      <w:proofErr w:type="spellEnd"/>
      <w:r w:rsidRPr="007E21AF">
        <w:rPr>
          <w:rFonts w:cs="Times New Roman"/>
          <w:szCs w:val="24"/>
          <w:lang w:val="en-GB" w:eastAsia="en-GB"/>
        </w:rPr>
        <w:t xml:space="preserve"> characterization of groundwater in crystalline basement terrain. </w:t>
      </w:r>
      <w:r w:rsidRPr="007E21AF">
        <w:rPr>
          <w:rFonts w:cs="Times New Roman"/>
          <w:i/>
          <w:iCs/>
          <w:szCs w:val="24"/>
          <w:lang w:val="en-GB" w:eastAsia="en-GB"/>
        </w:rPr>
        <w:t>Applied Water Science, 3</w:t>
      </w:r>
      <w:r w:rsidRPr="007E21AF">
        <w:rPr>
          <w:rFonts w:cs="Times New Roman"/>
          <w:szCs w:val="24"/>
          <w:lang w:val="en-GB" w:eastAsia="en-GB"/>
        </w:rPr>
        <w:t>, 229–245.</w:t>
      </w:r>
    </w:p>
    <w:p w:rsidR="007E21AF" w:rsidRPr="007E21AF" w:rsidRDefault="007E21AF" w:rsidP="007E21AF">
      <w:pPr>
        <w:spacing w:before="100" w:beforeAutospacing="1" w:after="100" w:afterAutospacing="1" w:line="240" w:lineRule="auto"/>
        <w:rPr>
          <w:rFonts w:cs="Times New Roman"/>
          <w:szCs w:val="24"/>
          <w:lang w:val="en-GB" w:eastAsia="en-GB"/>
        </w:rPr>
      </w:pPr>
      <w:r w:rsidRPr="007E21AF">
        <w:rPr>
          <w:rFonts w:cs="Times New Roman"/>
          <w:szCs w:val="24"/>
          <w:lang w:val="en-GB" w:eastAsia="en-GB"/>
        </w:rPr>
        <w:t xml:space="preserve">Tijani, M. N., </w:t>
      </w:r>
      <w:proofErr w:type="spellStart"/>
      <w:r w:rsidRPr="007E21AF">
        <w:rPr>
          <w:rFonts w:cs="Times New Roman"/>
          <w:szCs w:val="24"/>
          <w:lang w:val="en-GB" w:eastAsia="en-GB"/>
        </w:rPr>
        <w:t>Oke</w:t>
      </w:r>
      <w:proofErr w:type="spellEnd"/>
      <w:r w:rsidRPr="007E21AF">
        <w:rPr>
          <w:rFonts w:cs="Times New Roman"/>
          <w:szCs w:val="24"/>
          <w:lang w:val="en-GB" w:eastAsia="en-GB"/>
        </w:rPr>
        <w:t xml:space="preserve">, S. A., &amp; </w:t>
      </w:r>
      <w:proofErr w:type="spellStart"/>
      <w:r w:rsidRPr="007E21AF">
        <w:rPr>
          <w:rFonts w:cs="Times New Roman"/>
          <w:szCs w:val="24"/>
          <w:lang w:val="en-GB" w:eastAsia="en-GB"/>
        </w:rPr>
        <w:t>Olowookere</w:t>
      </w:r>
      <w:proofErr w:type="spellEnd"/>
      <w:r w:rsidRPr="007E21AF">
        <w:rPr>
          <w:rFonts w:cs="Times New Roman"/>
          <w:szCs w:val="24"/>
          <w:lang w:val="en-GB" w:eastAsia="en-GB"/>
        </w:rPr>
        <w:t xml:space="preserve">, A. T. (2014). Hydrogeochemical characterization of shallow groundwater in Ilesha. </w:t>
      </w:r>
      <w:r w:rsidRPr="007E21AF">
        <w:rPr>
          <w:rFonts w:cs="Times New Roman"/>
          <w:i/>
          <w:iCs/>
          <w:szCs w:val="24"/>
          <w:lang w:val="en-GB" w:eastAsia="en-GB"/>
        </w:rPr>
        <w:t>Proceedings of IAHS, 364</w:t>
      </w:r>
      <w:r w:rsidRPr="007E21AF">
        <w:rPr>
          <w:rFonts w:cs="Times New Roman"/>
          <w:szCs w:val="24"/>
          <w:lang w:val="en-GB" w:eastAsia="en-GB"/>
        </w:rPr>
        <w:t>, 475–480.</w:t>
      </w:r>
    </w:p>
    <w:p w:rsidR="007E21AF" w:rsidRPr="007E21AF" w:rsidRDefault="007E21AF" w:rsidP="007E21AF">
      <w:pPr>
        <w:spacing w:before="100" w:beforeAutospacing="1" w:after="100" w:afterAutospacing="1" w:line="240" w:lineRule="auto"/>
        <w:rPr>
          <w:rFonts w:cs="Times New Roman"/>
          <w:szCs w:val="24"/>
          <w:lang w:val="en-GB" w:eastAsia="en-GB"/>
        </w:rPr>
      </w:pPr>
      <w:r w:rsidRPr="007E21AF">
        <w:rPr>
          <w:rFonts w:cs="Times New Roman"/>
          <w:szCs w:val="24"/>
          <w:lang w:val="en-GB" w:eastAsia="en-GB"/>
        </w:rPr>
        <w:t xml:space="preserve">Todd, D. K., &amp; Mays, L. W. (2005). </w:t>
      </w:r>
      <w:r w:rsidRPr="007E21AF">
        <w:rPr>
          <w:rFonts w:cs="Times New Roman"/>
          <w:i/>
          <w:iCs/>
          <w:szCs w:val="24"/>
          <w:lang w:val="en-GB" w:eastAsia="en-GB"/>
        </w:rPr>
        <w:t>Groundwater hydrology</w:t>
      </w:r>
      <w:r w:rsidRPr="007E21AF">
        <w:rPr>
          <w:rFonts w:cs="Times New Roman"/>
          <w:szCs w:val="24"/>
          <w:lang w:val="en-GB" w:eastAsia="en-GB"/>
        </w:rPr>
        <w:t xml:space="preserve"> (3rd ed.). Wiley.</w:t>
      </w:r>
    </w:p>
    <w:p w:rsidR="007E21AF" w:rsidRPr="007E21AF" w:rsidRDefault="007E21AF" w:rsidP="007E21AF">
      <w:pPr>
        <w:spacing w:before="100" w:beforeAutospacing="1" w:after="100" w:afterAutospacing="1" w:line="240" w:lineRule="auto"/>
        <w:rPr>
          <w:rFonts w:cs="Times New Roman"/>
          <w:szCs w:val="24"/>
          <w:lang w:val="en-GB" w:eastAsia="en-GB"/>
        </w:rPr>
      </w:pPr>
      <w:r w:rsidRPr="007E21AF">
        <w:rPr>
          <w:rFonts w:cs="Times New Roman"/>
          <w:szCs w:val="24"/>
          <w:lang w:val="en-GB" w:eastAsia="en-GB"/>
        </w:rPr>
        <w:t xml:space="preserve">World Health Organization. (2017). </w:t>
      </w:r>
      <w:r w:rsidRPr="007E21AF">
        <w:rPr>
          <w:rFonts w:cs="Times New Roman"/>
          <w:i/>
          <w:iCs/>
          <w:szCs w:val="24"/>
          <w:lang w:val="en-GB" w:eastAsia="en-GB"/>
        </w:rPr>
        <w:t>Guidelines for drinking-water quality</w:t>
      </w:r>
      <w:r w:rsidRPr="007E21AF">
        <w:rPr>
          <w:rFonts w:cs="Times New Roman"/>
          <w:szCs w:val="24"/>
          <w:lang w:val="en-GB" w:eastAsia="en-GB"/>
        </w:rPr>
        <w:t xml:space="preserve"> (4th ed.). </w:t>
      </w:r>
      <w:proofErr w:type="gramStart"/>
      <w:r w:rsidRPr="007E21AF">
        <w:rPr>
          <w:rFonts w:cs="Times New Roman"/>
          <w:szCs w:val="24"/>
          <w:lang w:val="en-GB" w:eastAsia="en-GB"/>
        </w:rPr>
        <w:t>WHO.</w:t>
      </w:r>
      <w:proofErr w:type="gramEnd"/>
    </w:p>
    <w:p w:rsidR="007E21AF" w:rsidRPr="007E21AF" w:rsidRDefault="007E21AF" w:rsidP="00735BDE">
      <w:pPr>
        <w:spacing w:line="360" w:lineRule="auto"/>
        <w:ind w:left="60"/>
        <w:contextualSpacing/>
        <w:jc w:val="both"/>
        <w:rPr>
          <w:rFonts w:cs="Times New Roman"/>
          <w:b/>
          <w:szCs w:val="24"/>
        </w:rPr>
      </w:pPr>
    </w:p>
    <w:sectPr w:rsidR="007E21AF" w:rsidRPr="007E21AF" w:rsidSect="00D40A0C">
      <w:footerReference w:type="default" r:id="rId8"/>
      <w:pgSz w:w="11909" w:h="16834" w:code="9"/>
      <w:pgMar w:top="691" w:right="1440" w:bottom="69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2285" w:rsidRDefault="009E2285" w:rsidP="00433767">
      <w:pPr>
        <w:spacing w:after="0" w:line="240" w:lineRule="auto"/>
      </w:pPr>
      <w:r>
        <w:separator/>
      </w:r>
    </w:p>
  </w:endnote>
  <w:endnote w:type="continuationSeparator" w:id="0">
    <w:p w:rsidR="009E2285" w:rsidRDefault="009E2285" w:rsidP="00433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9585279"/>
      <w:docPartObj>
        <w:docPartGallery w:val="Page Numbers (Bottom of Page)"/>
        <w:docPartUnique/>
      </w:docPartObj>
    </w:sdtPr>
    <w:sdtEndPr>
      <w:rPr>
        <w:noProof/>
      </w:rPr>
    </w:sdtEndPr>
    <w:sdtContent>
      <w:p w:rsidR="00433767" w:rsidRDefault="0043376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33767" w:rsidRDefault="00433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2285" w:rsidRDefault="009E2285" w:rsidP="00433767">
      <w:pPr>
        <w:spacing w:after="0" w:line="240" w:lineRule="auto"/>
      </w:pPr>
      <w:r>
        <w:separator/>
      </w:r>
    </w:p>
  </w:footnote>
  <w:footnote w:type="continuationSeparator" w:id="0">
    <w:p w:rsidR="009E2285" w:rsidRDefault="009E2285" w:rsidP="004337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4E03B72"/>
    <w:multiLevelType w:val="multilevel"/>
    <w:tmpl w:val="8F8674A6"/>
    <w:lvl w:ilvl="0">
      <w:start w:val="4"/>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07724FC3"/>
    <w:multiLevelType w:val="hybridMultilevel"/>
    <w:tmpl w:val="EB7A2562"/>
    <w:lvl w:ilvl="0" w:tplc="3A4CDE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CA3916"/>
    <w:multiLevelType w:val="hybridMultilevel"/>
    <w:tmpl w:val="580E7768"/>
    <w:lvl w:ilvl="0" w:tplc="CF66065C">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2" w15:restartNumberingAfterBreak="0">
    <w:nsid w:val="63551291"/>
    <w:multiLevelType w:val="hybridMultilevel"/>
    <w:tmpl w:val="AB6240B0"/>
    <w:lvl w:ilvl="0" w:tplc="71985950">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3" w15:restartNumberingAfterBreak="0">
    <w:nsid w:val="6E157DCB"/>
    <w:multiLevelType w:val="multilevel"/>
    <w:tmpl w:val="3796B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2"/>
  </w:num>
  <w:num w:numId="11">
    <w:abstractNumId w:val="10"/>
  </w:num>
  <w:num w:numId="12">
    <w:abstractNumId w:val="13"/>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4E0B"/>
    <w:rsid w:val="00021F25"/>
    <w:rsid w:val="00034616"/>
    <w:rsid w:val="00045BB1"/>
    <w:rsid w:val="0006063C"/>
    <w:rsid w:val="0007213F"/>
    <w:rsid w:val="00091FBD"/>
    <w:rsid w:val="000C631D"/>
    <w:rsid w:val="000E1C0D"/>
    <w:rsid w:val="0015074B"/>
    <w:rsid w:val="00196EE3"/>
    <w:rsid w:val="001A5F61"/>
    <w:rsid w:val="001C06AF"/>
    <w:rsid w:val="001C5194"/>
    <w:rsid w:val="00260BE3"/>
    <w:rsid w:val="0027261E"/>
    <w:rsid w:val="0029639D"/>
    <w:rsid w:val="002B0901"/>
    <w:rsid w:val="00301B42"/>
    <w:rsid w:val="00320A4F"/>
    <w:rsid w:val="00326F90"/>
    <w:rsid w:val="00334C23"/>
    <w:rsid w:val="003635D5"/>
    <w:rsid w:val="00370731"/>
    <w:rsid w:val="003A00E2"/>
    <w:rsid w:val="003A0668"/>
    <w:rsid w:val="003D6903"/>
    <w:rsid w:val="0042567C"/>
    <w:rsid w:val="00433767"/>
    <w:rsid w:val="00452140"/>
    <w:rsid w:val="004B31C0"/>
    <w:rsid w:val="004F3BCC"/>
    <w:rsid w:val="0052633D"/>
    <w:rsid w:val="00554872"/>
    <w:rsid w:val="005777B2"/>
    <w:rsid w:val="00587DBD"/>
    <w:rsid w:val="005F38A8"/>
    <w:rsid w:val="0065592C"/>
    <w:rsid w:val="00696B6A"/>
    <w:rsid w:val="007043C7"/>
    <w:rsid w:val="00716DCC"/>
    <w:rsid w:val="00735BDE"/>
    <w:rsid w:val="00786A98"/>
    <w:rsid w:val="007A2395"/>
    <w:rsid w:val="007E21AF"/>
    <w:rsid w:val="00805F09"/>
    <w:rsid w:val="00816493"/>
    <w:rsid w:val="008F15A2"/>
    <w:rsid w:val="00905A19"/>
    <w:rsid w:val="00925A64"/>
    <w:rsid w:val="009618A2"/>
    <w:rsid w:val="00983A42"/>
    <w:rsid w:val="009D29A7"/>
    <w:rsid w:val="009E2285"/>
    <w:rsid w:val="00A02EA8"/>
    <w:rsid w:val="00A06FF5"/>
    <w:rsid w:val="00A16E56"/>
    <w:rsid w:val="00A45D83"/>
    <w:rsid w:val="00AA1D8D"/>
    <w:rsid w:val="00AA7DC5"/>
    <w:rsid w:val="00B367DF"/>
    <w:rsid w:val="00B47730"/>
    <w:rsid w:val="00C567C7"/>
    <w:rsid w:val="00CB0664"/>
    <w:rsid w:val="00CC3EB5"/>
    <w:rsid w:val="00D20949"/>
    <w:rsid w:val="00D40A0C"/>
    <w:rsid w:val="00D4711F"/>
    <w:rsid w:val="00DB167A"/>
    <w:rsid w:val="00E5103B"/>
    <w:rsid w:val="00E5390D"/>
    <w:rsid w:val="00EB6154"/>
    <w:rsid w:val="00EE39C6"/>
    <w:rsid w:val="00F85CC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D1B5A0"/>
  <w14:defaultImageDpi w14:val="300"/>
  <w15:docId w15:val="{5F73CCF7-250B-4AC5-BF11-D6FB45D61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983A42"/>
    <w:pPr>
      <w:spacing w:before="100" w:beforeAutospacing="1" w:after="100" w:afterAutospacing="1" w:line="240" w:lineRule="auto"/>
    </w:pPr>
    <w:rPr>
      <w:rFonts w:cs="Times New Roman"/>
      <w:szCs w:val="24"/>
      <w:lang w:val="en-GB" w:eastAsia="en-GB"/>
    </w:rPr>
  </w:style>
  <w:style w:type="character" w:styleId="Hyperlink">
    <w:name w:val="Hyperlink"/>
    <w:basedOn w:val="DefaultParagraphFont"/>
    <w:uiPriority w:val="99"/>
    <w:semiHidden/>
    <w:unhideWhenUsed/>
    <w:rsid w:val="00D40A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518049">
      <w:bodyDiv w:val="1"/>
      <w:marLeft w:val="0"/>
      <w:marRight w:val="0"/>
      <w:marTop w:val="0"/>
      <w:marBottom w:val="0"/>
      <w:divBdr>
        <w:top w:val="none" w:sz="0" w:space="0" w:color="auto"/>
        <w:left w:val="none" w:sz="0" w:space="0" w:color="auto"/>
        <w:bottom w:val="none" w:sz="0" w:space="0" w:color="auto"/>
        <w:right w:val="none" w:sz="0" w:space="0" w:color="auto"/>
      </w:divBdr>
    </w:div>
    <w:div w:id="653221144">
      <w:bodyDiv w:val="1"/>
      <w:marLeft w:val="0"/>
      <w:marRight w:val="0"/>
      <w:marTop w:val="0"/>
      <w:marBottom w:val="0"/>
      <w:divBdr>
        <w:top w:val="none" w:sz="0" w:space="0" w:color="auto"/>
        <w:left w:val="none" w:sz="0" w:space="0" w:color="auto"/>
        <w:bottom w:val="none" w:sz="0" w:space="0" w:color="auto"/>
        <w:right w:val="none" w:sz="0" w:space="0" w:color="auto"/>
      </w:divBdr>
    </w:div>
    <w:div w:id="789935958">
      <w:bodyDiv w:val="1"/>
      <w:marLeft w:val="0"/>
      <w:marRight w:val="0"/>
      <w:marTop w:val="0"/>
      <w:marBottom w:val="0"/>
      <w:divBdr>
        <w:top w:val="none" w:sz="0" w:space="0" w:color="auto"/>
        <w:left w:val="none" w:sz="0" w:space="0" w:color="auto"/>
        <w:bottom w:val="none" w:sz="0" w:space="0" w:color="auto"/>
        <w:right w:val="none" w:sz="0" w:space="0" w:color="auto"/>
      </w:divBdr>
      <w:divsChild>
        <w:div w:id="220941285">
          <w:marLeft w:val="0"/>
          <w:marRight w:val="0"/>
          <w:marTop w:val="0"/>
          <w:marBottom w:val="0"/>
          <w:divBdr>
            <w:top w:val="none" w:sz="0" w:space="0" w:color="auto"/>
            <w:left w:val="none" w:sz="0" w:space="0" w:color="auto"/>
            <w:bottom w:val="none" w:sz="0" w:space="0" w:color="auto"/>
            <w:right w:val="none" w:sz="0" w:space="0" w:color="auto"/>
          </w:divBdr>
          <w:divsChild>
            <w:div w:id="166882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838414">
      <w:bodyDiv w:val="1"/>
      <w:marLeft w:val="0"/>
      <w:marRight w:val="0"/>
      <w:marTop w:val="0"/>
      <w:marBottom w:val="0"/>
      <w:divBdr>
        <w:top w:val="none" w:sz="0" w:space="0" w:color="auto"/>
        <w:left w:val="none" w:sz="0" w:space="0" w:color="auto"/>
        <w:bottom w:val="none" w:sz="0" w:space="0" w:color="auto"/>
        <w:right w:val="none" w:sz="0" w:space="0" w:color="auto"/>
      </w:divBdr>
    </w:div>
    <w:div w:id="954023352">
      <w:bodyDiv w:val="1"/>
      <w:marLeft w:val="0"/>
      <w:marRight w:val="0"/>
      <w:marTop w:val="0"/>
      <w:marBottom w:val="0"/>
      <w:divBdr>
        <w:top w:val="none" w:sz="0" w:space="0" w:color="auto"/>
        <w:left w:val="none" w:sz="0" w:space="0" w:color="auto"/>
        <w:bottom w:val="none" w:sz="0" w:space="0" w:color="auto"/>
        <w:right w:val="none" w:sz="0" w:space="0" w:color="auto"/>
      </w:divBdr>
      <w:divsChild>
        <w:div w:id="220023838">
          <w:marLeft w:val="0"/>
          <w:marRight w:val="0"/>
          <w:marTop w:val="0"/>
          <w:marBottom w:val="0"/>
          <w:divBdr>
            <w:top w:val="none" w:sz="0" w:space="0" w:color="auto"/>
            <w:left w:val="none" w:sz="0" w:space="0" w:color="auto"/>
            <w:bottom w:val="none" w:sz="0" w:space="0" w:color="auto"/>
            <w:right w:val="none" w:sz="0" w:space="0" w:color="auto"/>
          </w:divBdr>
          <w:divsChild>
            <w:div w:id="1350178447">
              <w:marLeft w:val="0"/>
              <w:marRight w:val="0"/>
              <w:marTop w:val="0"/>
              <w:marBottom w:val="0"/>
              <w:divBdr>
                <w:top w:val="none" w:sz="0" w:space="0" w:color="auto"/>
                <w:left w:val="none" w:sz="0" w:space="0" w:color="auto"/>
                <w:bottom w:val="none" w:sz="0" w:space="0" w:color="auto"/>
                <w:right w:val="none" w:sz="0" w:space="0" w:color="auto"/>
              </w:divBdr>
            </w:div>
          </w:divsChild>
        </w:div>
        <w:div w:id="1870020456">
          <w:marLeft w:val="0"/>
          <w:marRight w:val="0"/>
          <w:marTop w:val="0"/>
          <w:marBottom w:val="0"/>
          <w:divBdr>
            <w:top w:val="none" w:sz="0" w:space="0" w:color="auto"/>
            <w:left w:val="none" w:sz="0" w:space="0" w:color="auto"/>
            <w:bottom w:val="none" w:sz="0" w:space="0" w:color="auto"/>
            <w:right w:val="none" w:sz="0" w:space="0" w:color="auto"/>
          </w:divBdr>
          <w:divsChild>
            <w:div w:id="1694109566">
              <w:marLeft w:val="0"/>
              <w:marRight w:val="0"/>
              <w:marTop w:val="0"/>
              <w:marBottom w:val="0"/>
              <w:divBdr>
                <w:top w:val="none" w:sz="0" w:space="0" w:color="auto"/>
                <w:left w:val="none" w:sz="0" w:space="0" w:color="auto"/>
                <w:bottom w:val="none" w:sz="0" w:space="0" w:color="auto"/>
                <w:right w:val="none" w:sz="0" w:space="0" w:color="auto"/>
              </w:divBdr>
            </w:div>
          </w:divsChild>
        </w:div>
        <w:div w:id="212930768">
          <w:marLeft w:val="0"/>
          <w:marRight w:val="0"/>
          <w:marTop w:val="0"/>
          <w:marBottom w:val="0"/>
          <w:divBdr>
            <w:top w:val="none" w:sz="0" w:space="0" w:color="auto"/>
            <w:left w:val="none" w:sz="0" w:space="0" w:color="auto"/>
            <w:bottom w:val="none" w:sz="0" w:space="0" w:color="auto"/>
            <w:right w:val="none" w:sz="0" w:space="0" w:color="auto"/>
          </w:divBdr>
          <w:divsChild>
            <w:div w:id="1270967704">
              <w:marLeft w:val="0"/>
              <w:marRight w:val="0"/>
              <w:marTop w:val="0"/>
              <w:marBottom w:val="0"/>
              <w:divBdr>
                <w:top w:val="none" w:sz="0" w:space="0" w:color="auto"/>
                <w:left w:val="none" w:sz="0" w:space="0" w:color="auto"/>
                <w:bottom w:val="none" w:sz="0" w:space="0" w:color="auto"/>
                <w:right w:val="none" w:sz="0" w:space="0" w:color="auto"/>
              </w:divBdr>
            </w:div>
          </w:divsChild>
        </w:div>
        <w:div w:id="720056555">
          <w:marLeft w:val="0"/>
          <w:marRight w:val="0"/>
          <w:marTop w:val="0"/>
          <w:marBottom w:val="0"/>
          <w:divBdr>
            <w:top w:val="none" w:sz="0" w:space="0" w:color="auto"/>
            <w:left w:val="none" w:sz="0" w:space="0" w:color="auto"/>
            <w:bottom w:val="none" w:sz="0" w:space="0" w:color="auto"/>
            <w:right w:val="none" w:sz="0" w:space="0" w:color="auto"/>
          </w:divBdr>
          <w:divsChild>
            <w:div w:id="17873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172888">
      <w:bodyDiv w:val="1"/>
      <w:marLeft w:val="0"/>
      <w:marRight w:val="0"/>
      <w:marTop w:val="0"/>
      <w:marBottom w:val="0"/>
      <w:divBdr>
        <w:top w:val="none" w:sz="0" w:space="0" w:color="auto"/>
        <w:left w:val="none" w:sz="0" w:space="0" w:color="auto"/>
        <w:bottom w:val="none" w:sz="0" w:space="0" w:color="auto"/>
        <w:right w:val="none" w:sz="0" w:space="0" w:color="auto"/>
      </w:divBdr>
    </w:div>
    <w:div w:id="1264263775">
      <w:bodyDiv w:val="1"/>
      <w:marLeft w:val="0"/>
      <w:marRight w:val="0"/>
      <w:marTop w:val="0"/>
      <w:marBottom w:val="0"/>
      <w:divBdr>
        <w:top w:val="none" w:sz="0" w:space="0" w:color="auto"/>
        <w:left w:val="none" w:sz="0" w:space="0" w:color="auto"/>
        <w:bottom w:val="none" w:sz="0" w:space="0" w:color="auto"/>
        <w:right w:val="none" w:sz="0" w:space="0" w:color="auto"/>
      </w:divBdr>
    </w:div>
    <w:div w:id="1452743013">
      <w:bodyDiv w:val="1"/>
      <w:marLeft w:val="0"/>
      <w:marRight w:val="0"/>
      <w:marTop w:val="0"/>
      <w:marBottom w:val="0"/>
      <w:divBdr>
        <w:top w:val="none" w:sz="0" w:space="0" w:color="auto"/>
        <w:left w:val="none" w:sz="0" w:space="0" w:color="auto"/>
        <w:bottom w:val="none" w:sz="0" w:space="0" w:color="auto"/>
        <w:right w:val="none" w:sz="0" w:space="0" w:color="auto"/>
      </w:divBdr>
    </w:div>
    <w:div w:id="1503426981">
      <w:bodyDiv w:val="1"/>
      <w:marLeft w:val="0"/>
      <w:marRight w:val="0"/>
      <w:marTop w:val="0"/>
      <w:marBottom w:val="0"/>
      <w:divBdr>
        <w:top w:val="none" w:sz="0" w:space="0" w:color="auto"/>
        <w:left w:val="none" w:sz="0" w:space="0" w:color="auto"/>
        <w:bottom w:val="none" w:sz="0" w:space="0" w:color="auto"/>
        <w:right w:val="none" w:sz="0" w:space="0" w:color="auto"/>
      </w:divBdr>
    </w:div>
    <w:div w:id="1554387592">
      <w:bodyDiv w:val="1"/>
      <w:marLeft w:val="0"/>
      <w:marRight w:val="0"/>
      <w:marTop w:val="0"/>
      <w:marBottom w:val="0"/>
      <w:divBdr>
        <w:top w:val="none" w:sz="0" w:space="0" w:color="auto"/>
        <w:left w:val="none" w:sz="0" w:space="0" w:color="auto"/>
        <w:bottom w:val="none" w:sz="0" w:space="0" w:color="auto"/>
        <w:right w:val="none" w:sz="0" w:space="0" w:color="auto"/>
      </w:divBdr>
    </w:div>
    <w:div w:id="1961691900">
      <w:bodyDiv w:val="1"/>
      <w:marLeft w:val="0"/>
      <w:marRight w:val="0"/>
      <w:marTop w:val="0"/>
      <w:marBottom w:val="0"/>
      <w:divBdr>
        <w:top w:val="none" w:sz="0" w:space="0" w:color="auto"/>
        <w:left w:val="none" w:sz="0" w:space="0" w:color="auto"/>
        <w:bottom w:val="none" w:sz="0" w:space="0" w:color="auto"/>
        <w:right w:val="none" w:sz="0" w:space="0" w:color="auto"/>
      </w:divBdr>
    </w:div>
    <w:div w:id="19975637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9C450-C5CC-4FDD-B4EB-85A8837BB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17</Pages>
  <Words>6479</Words>
  <Characters>36932</Characters>
  <Application>Microsoft Office Word</Application>
  <DocSecurity>0</DocSecurity>
  <Lines>307</Lines>
  <Paragraphs>86</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Table 2: Physicochemical Parameters (Right Side)</vt:lpstr>
      <vt:lpstr>        Table 3: Microbiological Parameters (Left Side)</vt:lpstr>
      <vt:lpstr>        Table 4: Microbiological Parameters (Right Side)</vt:lpstr>
    </vt:vector>
  </TitlesOfParts>
  <Manager/>
  <Company/>
  <LinksUpToDate>false</LinksUpToDate>
  <CharactersWithSpaces>43325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koladeakinpelu371@gmail.com</cp:lastModifiedBy>
  <cp:revision>64</cp:revision>
  <dcterms:created xsi:type="dcterms:W3CDTF">2013-12-23T23:15:00Z</dcterms:created>
  <dcterms:modified xsi:type="dcterms:W3CDTF">2026-05-14T22:06:00Z</dcterms:modified>
  <cp:category/>
</cp:coreProperties>
</file>