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7C0C273" w14:textId="1616AF09" w:rsidR="000000C4" w:rsidRDefault="000000C4" w:rsidP="00DC3FE6">
      <w:pPr>
        <w:pBdr>
          <w:top w:val="nil"/>
          <w:left w:val="nil"/>
          <w:bottom w:val="nil"/>
          <w:right w:val="nil"/>
          <w:between w:val="nil"/>
        </w:pBdr>
        <w:spacing w:line="240" w:lineRule="auto"/>
        <w:ind w:leftChars="0" w:left="0" w:firstLineChars="0" w:firstLine="0"/>
        <w:jc w:val="center"/>
        <w:rPr>
          <w:rFonts w:ascii="Arial" w:eastAsia="Arial" w:hAnsi="Arial" w:cs="Arial"/>
          <w:b/>
          <w:color w:val="000000"/>
          <w:sz w:val="22"/>
        </w:rPr>
      </w:pPr>
      <w:bookmarkStart w:id="0" w:name="OLE_LINK1"/>
      <w:r w:rsidRPr="000000C4">
        <w:rPr>
          <w:rFonts w:ascii="Arial" w:eastAsia="Arial" w:hAnsi="Arial" w:cs="Arial"/>
          <w:b/>
          <w:color w:val="000000"/>
          <w:sz w:val="22"/>
        </w:rPr>
        <w:t>Electronics Engineering Education and Licensure Examination Outcomes: Assessing Institutional Factors in Higher Education Institutions</w:t>
      </w:r>
    </w:p>
    <w:p w14:paraId="54225B46" w14:textId="677ED510" w:rsidR="000000C4" w:rsidRDefault="000000C4">
      <w:pPr>
        <w:pBdr>
          <w:top w:val="nil"/>
          <w:left w:val="nil"/>
          <w:bottom w:val="nil"/>
          <w:right w:val="nil"/>
          <w:between w:val="nil"/>
        </w:pBdr>
        <w:spacing w:line="240" w:lineRule="auto"/>
        <w:ind w:left="0" w:hanging="2"/>
        <w:jc w:val="center"/>
        <w:rPr>
          <w:rFonts w:ascii="Arial" w:eastAsia="Arial" w:hAnsi="Arial" w:cs="Arial"/>
          <w:b/>
          <w:color w:val="000000"/>
          <w:sz w:val="22"/>
        </w:rPr>
      </w:pPr>
      <w:r w:rsidRPr="000000C4">
        <w:rPr>
          <w:rFonts w:ascii="Arial" w:eastAsia="Arial" w:hAnsi="Arial" w:cs="Arial"/>
          <w:b/>
          <w:color w:val="000000"/>
          <w:sz w:val="22"/>
        </w:rPr>
        <w:t/>
      </w:r>
    </w:p>
    <w:p w14:paraId="085387B0" w14:textId="77777777" w:rsidR="000000C4" w:rsidRDefault="000000C4">
      <w:pPr>
        <w:pBdr>
          <w:top w:val="nil"/>
          <w:left w:val="nil"/>
          <w:bottom w:val="nil"/>
          <w:right w:val="nil"/>
          <w:between w:val="nil"/>
        </w:pBdr>
        <w:spacing w:line="240" w:lineRule="auto"/>
        <w:ind w:left="0" w:hanging="2"/>
        <w:jc w:val="center"/>
        <w:rPr>
          <w:rFonts w:ascii="Arial" w:eastAsia="Arial" w:hAnsi="Arial" w:cs="Arial"/>
          <w:b/>
          <w:color w:val="000000"/>
          <w:sz w:val="22"/>
        </w:rPr>
      </w:pPr>
    </w:p>
    <w:p w14:paraId="09971E9A" w14:textId="1636ECAD" w:rsidR="009E11D4" w:rsidRDefault="00000000">
      <w:pPr>
        <w:pBdr>
          <w:top w:val="nil"/>
          <w:left w:val="nil"/>
          <w:bottom w:val="nil"/>
          <w:right w:val="nil"/>
          <w:between w:val="nil"/>
        </w:pBdr>
        <w:spacing w:line="240" w:lineRule="auto"/>
        <w:ind w:left="0" w:hanging="2"/>
        <w:jc w:val="center"/>
        <w:rPr>
          <w:rFonts w:ascii="Arial" w:eastAsia="Arial" w:hAnsi="Arial" w:cs="Arial"/>
          <w:i/>
          <w:color w:val="000000"/>
          <w:sz w:val="22"/>
        </w:rPr>
      </w:pPr>
      <w:r>
        <w:rPr>
          <w:rFonts w:ascii="Arial" w:eastAsia="Arial" w:hAnsi="Arial" w:cs="Arial"/>
          <w:i/>
          <w:color w:val="000000"/>
          <w:sz w:val="22"/>
        </w:rPr>
        <w:t/>
      </w:r>
    </w:p>
    <w:p w14:paraId="5C412D8A" w14:textId="6C19AF69" w:rsidR="00DB6A7D" w:rsidRDefault="00DB6A7D">
      <w:pPr>
        <w:pBdr>
          <w:top w:val="nil"/>
          <w:left w:val="nil"/>
          <w:bottom w:val="nil"/>
          <w:right w:val="nil"/>
          <w:between w:val="nil"/>
        </w:pBdr>
        <w:spacing w:line="240" w:lineRule="auto"/>
        <w:ind w:left="0" w:hanging="2"/>
        <w:jc w:val="center"/>
        <w:rPr>
          <w:rFonts w:ascii="Arial" w:eastAsia="Arial" w:hAnsi="Arial" w:cs="Arial"/>
          <w:i/>
          <w:color w:val="000000"/>
          <w:sz w:val="22"/>
        </w:rPr>
      </w:pPr>
      <w:r>
        <w:rPr>
          <w:rFonts w:ascii="Arial" w:eastAsia="Arial" w:hAnsi="Arial" w:cs="Arial"/>
          <w:i/>
          <w:color w:val="000000"/>
          <w:sz w:val="22"/>
        </w:rPr>
        <w:t/>
      </w:r>
    </w:p>
    <w:p w14:paraId="20541522" w14:textId="24F763BF" w:rsidR="00DB6A7D" w:rsidRDefault="00DB6A7D" w:rsidP="00DB6A7D">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color w:val="000000"/>
          <w:sz w:val="22"/>
        </w:rPr>
        <w:t>Abstract</w:t>
      </w:r>
    </w:p>
    <w:p w14:paraId="42D0C4A7" w14:textId="77777777" w:rsidR="00DB6A7D" w:rsidRDefault="00DB6A7D" w:rsidP="00DB6A7D">
      <w:pPr>
        <w:pBdr>
          <w:top w:val="nil"/>
          <w:left w:val="nil"/>
          <w:bottom w:val="nil"/>
          <w:right w:val="nil"/>
          <w:between w:val="nil"/>
        </w:pBdr>
        <w:spacing w:line="240" w:lineRule="auto"/>
        <w:ind w:left="0" w:hanging="2"/>
        <w:rPr>
          <w:rFonts w:ascii="Arial" w:eastAsia="Arial" w:hAnsi="Arial" w:cs="Arial"/>
          <w:color w:val="000000"/>
          <w:sz w:val="22"/>
        </w:rPr>
      </w:pPr>
    </w:p>
    <w:p w14:paraId="3DBD7040" w14:textId="77777777" w:rsid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r w:rsidRPr="00DB6A7D">
        <w:rPr>
          <w:rFonts w:ascii="Arial" w:eastAsia="Arial" w:hAnsi="Arial" w:cs="Arial"/>
          <w:color w:val="000000"/>
          <w:sz w:val="22"/>
        </w:rPr>
        <w:t>The Electronics Engineer Licensure Examination (ECELE) serves as a key indicator of the quality and effectiveness of Electronics Engineering programs offered by higher education institutions (HEIs) in the Philippines. This study examined the performance of HEIs offering the Bachelor of Science in Electronics Engineering (BSECE) in Region II and identified the factors associated with licensure examination performance. Employing a descriptive-quantitative research design, the study involved 194 Electronics Engineering board passers and five HEIs in the region. Data were gathered through document analysis, checklists, and a validated survey questionnaire. Descriptive statistics, Pearson correlation, and multiple regression analysis were utilized in analyzing the data.</w:t>
      </w:r>
    </w:p>
    <w:p w14:paraId="0697CAE4" w14:textId="77777777" w:rsidR="00DB6A7D" w:rsidRPr="00DB6A7D" w:rsidRDefault="00DB6A7D" w:rsidP="00DB6A7D">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rPr>
      </w:pPr>
    </w:p>
    <w:p w14:paraId="2788279C" w14:textId="77777777" w:rsid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r w:rsidRPr="00DB6A7D">
        <w:rPr>
          <w:rFonts w:ascii="Arial" w:eastAsia="Arial" w:hAnsi="Arial" w:cs="Arial"/>
          <w:color w:val="000000"/>
          <w:sz w:val="22"/>
        </w:rPr>
        <w:t>Results revealed that most HEIs in Region II performed below the national passing rate in the Electronics Engineer Licensure Examination from 2015 to 2019. The implementation of the ECE program was assessed to a great extent across all areas, including faculty, teaching strategies, curriculum, instructional materials, library resources, laboratory facilities, admission and retention policies, and review preparation. Correlation analysis showed that faculty competence, teaching strategies, curriculum, and review preparation were significantly associated with licensure examination performance. However, multiple regression analysis indicated that none of these variables independently predicted board examination ratings. The model explained only 4.6% of the variance in licensure examination performance, suggesting that other factors not included in the study may influence examination outcomes.</w:t>
      </w:r>
    </w:p>
    <w:p w14:paraId="3BAD4F3C" w14:textId="77777777" w:rsidR="00DB6A7D" w:rsidRP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p>
    <w:p w14:paraId="2D6455C7" w14:textId="77777777" w:rsid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r w:rsidRPr="00DB6A7D">
        <w:rPr>
          <w:rFonts w:ascii="Arial" w:eastAsia="Arial" w:hAnsi="Arial" w:cs="Arial"/>
          <w:color w:val="000000"/>
          <w:sz w:val="22"/>
        </w:rPr>
        <w:t>The findings underscore the importance of strengthening instructional quality, curriculum implementation, and review preparation programs while exploring other institutional, academic, and personal factors that may affect licensure examination performance. The study provides evidence-based insights that may assist HEIs, the Commission on Higher Education, and professional organizations in developing interventions aimed at improving Electronics Engineering licensure examination outcomes.</w:t>
      </w:r>
    </w:p>
    <w:p w14:paraId="6EB508C6" w14:textId="77777777" w:rsidR="00DB6A7D" w:rsidRP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p>
    <w:p w14:paraId="23264FA8" w14:textId="7D3B7F6B"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Keywords: Electronics Engineering, licensure examination, board examination performance, engineering education, curriculum implementation, Region II, Philippines</w:t>
      </w:r>
    </w:p>
    <w:p w14:paraId="057DB8A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highlight w:val="white"/>
        </w:rPr>
      </w:pPr>
    </w:p>
    <w:p w14:paraId="43220682"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b/>
          <w:color w:val="000000"/>
          <w:sz w:val="22"/>
        </w:rPr>
        <w:t>INTRODUCTION</w:t>
      </w:r>
    </w:p>
    <w:p w14:paraId="0B607E46"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4D4A8618"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3F07195D"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bookmarkStart w:id="1" w:name="OLE_LINK2"/>
      <w:r w:rsidRPr="00DB6A7D">
        <w:rPr>
          <w:rFonts w:ascii="Arial" w:eastAsia="Arial" w:hAnsi="Arial" w:cs="Arial"/>
          <w:color w:val="000000"/>
          <w:sz w:val="22"/>
        </w:rPr>
        <w:t>Education plays a crucial role in societal development and is widely recognized as a key driver of individual growth, economic progress, and national advancement (</w:t>
      </w:r>
      <w:proofErr w:type="spellStart"/>
      <w:r w:rsidRPr="00DB6A7D">
        <w:rPr>
          <w:rFonts w:ascii="Arial" w:eastAsia="Arial" w:hAnsi="Arial" w:cs="Arial"/>
          <w:color w:val="000000"/>
          <w:sz w:val="22"/>
        </w:rPr>
        <w:t>Terano</w:t>
      </w:r>
      <w:proofErr w:type="spellEnd"/>
      <w:r w:rsidRPr="00DB6A7D">
        <w:rPr>
          <w:rFonts w:ascii="Arial" w:eastAsia="Arial" w:hAnsi="Arial" w:cs="Arial"/>
          <w:color w:val="000000"/>
          <w:sz w:val="22"/>
        </w:rPr>
        <w:t xml:space="preserve">, 2015). Higher education institutions (HEIs) are expected to develop graduates who possess the knowledge, skills, and competencies necessary to thrive in an increasingly competitive and globalized environment. In the Philippines, engineering remains one of </w:t>
      </w:r>
      <w:r w:rsidRPr="00DB6A7D">
        <w:rPr>
          <w:rFonts w:ascii="Arial" w:eastAsia="Arial" w:hAnsi="Arial" w:cs="Arial"/>
          <w:color w:val="000000"/>
          <w:sz w:val="22"/>
        </w:rPr>
        <w:lastRenderedPageBreak/>
        <w:t>the most popular fields of study, ranking second to technology in terms of enrollment (CHED, 2017). As a discipline, engineering serves as a foundation for technological innovation, economic development, and human flourishing (Mathebula, 2018). Consequently, ensuring the quality and relevance of engineering education has become a major concern among educational institutions and policymakers.</w:t>
      </w:r>
    </w:p>
    <w:p w14:paraId="0E64EC0A"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50BFFAA6"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The contemporary concept of quality education extends beyond effectiveness, efficiency, and sustainability to include relevance to societal and industry needs (CHED, 2017). Educational relevance entails providing students with curricula and learning experiences that are globally competitive and responsive to current labor market demands (Castillo, 2014). Higher education institutions are therefore challenged to produce graduates equipped with competencies that address global challenges and contribute to national development (Al Abduwani, 2017). In response, engineering programs in the Philippines have adopted outcomes-based education (OBE) and subjected their programs to various accreditation mechanisms, including those administered by the Philippine Technological Council-Accrediting and Certification Board for Engineering and Technology Engineering Accreditation Commission (PTC-ACBET-EAC), Accreditation Board for Engineering and Technology (ABET), Accrediting Agency of Chartered Colleges and Universities in the Philippines (AACCUP), and the Philippine Association of Colleges and Universities Commission on Accreditation (PACUCOA). These initiatives aim to ensure that engineering curricula comply with Commission on Higher Education (CHED) standards and produce graduates capable of meeting professional and societal expectations.</w:t>
      </w:r>
    </w:p>
    <w:p w14:paraId="6FFF82ED"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384EA905"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One important measure of educational quality among professional programs is graduates’ performance in licensure examinations. Higher education institutions employ various outcome indicators, such as graduate employability, employer satisfaction, and licensure examination performance, to evaluate the effectiveness of their academic programs. Among these indicators, licensure examination results are considered a critical measure of curriculum effectiveness and institutional quality because they reflect the extent to which graduates have acquired the competencies required by their profession (Flores et al., 2019). High passing rates enhance institutional prestige and are often viewed as indicators of program excellence (</w:t>
      </w:r>
      <w:proofErr w:type="spellStart"/>
      <w:r w:rsidRPr="00DB6A7D">
        <w:rPr>
          <w:rFonts w:ascii="Arial" w:eastAsia="Arial" w:hAnsi="Arial" w:cs="Arial"/>
          <w:color w:val="000000"/>
          <w:sz w:val="22"/>
        </w:rPr>
        <w:t>Tamayao</w:t>
      </w:r>
      <w:proofErr w:type="spellEnd"/>
      <w:r w:rsidRPr="00DB6A7D">
        <w:rPr>
          <w:rFonts w:ascii="Arial" w:eastAsia="Arial" w:hAnsi="Arial" w:cs="Arial"/>
          <w:color w:val="000000"/>
          <w:sz w:val="22"/>
        </w:rPr>
        <w:t xml:space="preserve"> et al., 2014; Mohammed et al., 2017). Furthermore, graduates’ performance in licensure examinations has been linked to the quality of education, curriculum implementation, and training provided by educational institutions (Tan et al., 2015; Flores et al., 2019; Professional Regulation Commission &amp; CHED, 2004). Conversely, poor licensure examination performance may negatively affect institutional reputation and student enrollment since board examination results often influence students’ choice of school (</w:t>
      </w:r>
      <w:proofErr w:type="spellStart"/>
      <w:r w:rsidRPr="00DB6A7D">
        <w:rPr>
          <w:rFonts w:ascii="Arial" w:eastAsia="Arial" w:hAnsi="Arial" w:cs="Arial"/>
          <w:color w:val="000000"/>
          <w:sz w:val="22"/>
        </w:rPr>
        <w:t>Laguador</w:t>
      </w:r>
      <w:proofErr w:type="spellEnd"/>
      <w:r w:rsidRPr="00DB6A7D">
        <w:rPr>
          <w:rFonts w:ascii="Arial" w:eastAsia="Arial" w:hAnsi="Arial" w:cs="Arial"/>
          <w:color w:val="000000"/>
          <w:sz w:val="22"/>
        </w:rPr>
        <w:t>, 2014; Aguado et al., 2015).</w:t>
      </w:r>
    </w:p>
    <w:p w14:paraId="3CB70673"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547F3741"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Among the engineering disciplines offered in Philippine higher education institutions, Electronics Engineering has emerged as one of the most in-demand and highly employable professions (</w:t>
      </w:r>
      <w:proofErr w:type="spellStart"/>
      <w:r w:rsidRPr="00DB6A7D">
        <w:rPr>
          <w:rFonts w:ascii="Arial" w:eastAsia="Arial" w:hAnsi="Arial" w:cs="Arial"/>
          <w:color w:val="000000"/>
          <w:sz w:val="22"/>
        </w:rPr>
        <w:t>Dotong</w:t>
      </w:r>
      <w:proofErr w:type="spellEnd"/>
      <w:r w:rsidRPr="00DB6A7D">
        <w:rPr>
          <w:rFonts w:ascii="Arial" w:eastAsia="Arial" w:hAnsi="Arial" w:cs="Arial"/>
          <w:color w:val="000000"/>
          <w:sz w:val="22"/>
        </w:rPr>
        <w:t xml:space="preserve"> et al., 2016; </w:t>
      </w:r>
      <w:proofErr w:type="spellStart"/>
      <w:r w:rsidRPr="00DB6A7D">
        <w:rPr>
          <w:rFonts w:ascii="Arial" w:eastAsia="Arial" w:hAnsi="Arial" w:cs="Arial"/>
          <w:color w:val="000000"/>
          <w:sz w:val="22"/>
        </w:rPr>
        <w:t>Loquias</w:t>
      </w:r>
      <w:proofErr w:type="spellEnd"/>
      <w:r w:rsidRPr="00DB6A7D">
        <w:rPr>
          <w:rFonts w:ascii="Arial" w:eastAsia="Arial" w:hAnsi="Arial" w:cs="Arial"/>
          <w:color w:val="000000"/>
          <w:sz w:val="22"/>
        </w:rPr>
        <w:t xml:space="preserve">, 2015). Electronics Engineering is a branch of engineering that integrates mathematics, natural sciences, social sciences, and emerging technologies to conceptualize, design, develop, and implement innovative electronic, computer, and communication systems (CHED Memorandum Order No. 24, s. 2008). The rapid expansion of the electronics, telecommunications, and information and communication technology industries </w:t>
      </w:r>
      <w:proofErr w:type="gramStart"/>
      <w:r w:rsidRPr="00DB6A7D">
        <w:rPr>
          <w:rFonts w:ascii="Arial" w:eastAsia="Arial" w:hAnsi="Arial" w:cs="Arial"/>
          <w:color w:val="000000"/>
          <w:sz w:val="22"/>
        </w:rPr>
        <w:t>has</w:t>
      </w:r>
      <w:proofErr w:type="gramEnd"/>
      <w:r w:rsidRPr="00DB6A7D">
        <w:rPr>
          <w:rFonts w:ascii="Arial" w:eastAsia="Arial" w:hAnsi="Arial" w:cs="Arial"/>
          <w:color w:val="000000"/>
          <w:sz w:val="22"/>
        </w:rPr>
        <w:t xml:space="preserve"> further increased the demand for competent Electronics Engineers. Consequently, graduates enjoy diverse employment opportunities both locally and internationally (</w:t>
      </w:r>
      <w:proofErr w:type="spellStart"/>
      <w:r w:rsidRPr="00DB6A7D">
        <w:rPr>
          <w:rFonts w:ascii="Arial" w:eastAsia="Arial" w:hAnsi="Arial" w:cs="Arial"/>
          <w:color w:val="000000"/>
          <w:sz w:val="22"/>
        </w:rPr>
        <w:t>Loquias</w:t>
      </w:r>
      <w:proofErr w:type="spellEnd"/>
      <w:r w:rsidRPr="00DB6A7D">
        <w:rPr>
          <w:rFonts w:ascii="Arial" w:eastAsia="Arial" w:hAnsi="Arial" w:cs="Arial"/>
          <w:color w:val="000000"/>
          <w:sz w:val="22"/>
        </w:rPr>
        <w:t>, 2015).</w:t>
      </w:r>
    </w:p>
    <w:p w14:paraId="2F778B69"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182C09F9"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lastRenderedPageBreak/>
        <w:t>Despite the favorable employment prospects, entry into the profession requires successful completion of the Electronics Engineer Licensure Examination administered by the Professional Regulation Commission (PRC). Under Republic Act No. 9292, the examination consists of four major areas: Engineering Mathematics (20%), Electronics Engineering (30%), General Engineering and Applied Sciences (20%), and Electronic Systems and Technologies (30%). To obtain a professional license, examinees must achieve an overall passing rating of at least 70 percent and satisfy the required passing mark in each examination area. However, national performance data reveal that the passing rate for the Electronics Engineering Licensure Examination has consistently remained below 50 percent since 2013, indicating persistent challenges in graduate preparedness and examination performance (</w:t>
      </w:r>
      <w:proofErr w:type="spellStart"/>
      <w:r w:rsidRPr="00DB6A7D">
        <w:rPr>
          <w:rFonts w:ascii="Arial" w:eastAsia="Arial" w:hAnsi="Arial" w:cs="Arial"/>
          <w:color w:val="000000"/>
          <w:sz w:val="22"/>
        </w:rPr>
        <w:t>Laguador</w:t>
      </w:r>
      <w:proofErr w:type="spellEnd"/>
      <w:r w:rsidRPr="00DB6A7D">
        <w:rPr>
          <w:rFonts w:ascii="Arial" w:eastAsia="Arial" w:hAnsi="Arial" w:cs="Arial"/>
          <w:color w:val="000000"/>
          <w:sz w:val="22"/>
        </w:rPr>
        <w:t xml:space="preserve"> et al., 2015).</w:t>
      </w:r>
    </w:p>
    <w:p w14:paraId="6C874C3A"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1D8444CF"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The relatively low passing rates in the Electronics Engineering Licensure Examination have prompted numerous studies examining the factors that influence licensure examination performance. Previous research has identified academic performance, pre-board examination results, faculty qualifications, instructional materials, curriculum quality, and review preparation as significant determinants of board examination success (</w:t>
      </w:r>
      <w:proofErr w:type="spellStart"/>
      <w:r w:rsidRPr="00DB6A7D">
        <w:rPr>
          <w:rFonts w:ascii="Arial" w:eastAsia="Arial" w:hAnsi="Arial" w:cs="Arial"/>
          <w:color w:val="000000"/>
          <w:sz w:val="22"/>
        </w:rPr>
        <w:t>Banluta</w:t>
      </w:r>
      <w:proofErr w:type="spellEnd"/>
      <w:r w:rsidRPr="00DB6A7D">
        <w:rPr>
          <w:rFonts w:ascii="Arial" w:eastAsia="Arial" w:hAnsi="Arial" w:cs="Arial"/>
          <w:color w:val="000000"/>
          <w:sz w:val="22"/>
        </w:rPr>
        <w:t xml:space="preserve">, 2013; </w:t>
      </w:r>
      <w:proofErr w:type="spellStart"/>
      <w:r w:rsidRPr="00DB6A7D">
        <w:rPr>
          <w:rFonts w:ascii="Arial" w:eastAsia="Arial" w:hAnsi="Arial" w:cs="Arial"/>
          <w:color w:val="000000"/>
          <w:sz w:val="22"/>
        </w:rPr>
        <w:t>Terano</w:t>
      </w:r>
      <w:proofErr w:type="spellEnd"/>
      <w:r w:rsidRPr="00DB6A7D">
        <w:rPr>
          <w:rFonts w:ascii="Arial" w:eastAsia="Arial" w:hAnsi="Arial" w:cs="Arial"/>
          <w:color w:val="000000"/>
          <w:sz w:val="22"/>
        </w:rPr>
        <w:t xml:space="preserve">, 2018; </w:t>
      </w:r>
      <w:proofErr w:type="spellStart"/>
      <w:r w:rsidRPr="00DB6A7D">
        <w:rPr>
          <w:rFonts w:ascii="Arial" w:eastAsia="Arial" w:hAnsi="Arial" w:cs="Arial"/>
          <w:color w:val="000000"/>
          <w:sz w:val="22"/>
        </w:rPr>
        <w:t>Dayaday</w:t>
      </w:r>
      <w:proofErr w:type="spellEnd"/>
      <w:r w:rsidRPr="00DB6A7D">
        <w:rPr>
          <w:rFonts w:ascii="Arial" w:eastAsia="Arial" w:hAnsi="Arial" w:cs="Arial"/>
          <w:color w:val="000000"/>
          <w:sz w:val="22"/>
        </w:rPr>
        <w:t xml:space="preserve">, 2018; Flores, Layson, &amp; Nacion, 2019). </w:t>
      </w:r>
      <w:proofErr w:type="spellStart"/>
      <w:r w:rsidRPr="00DB6A7D">
        <w:rPr>
          <w:rFonts w:ascii="Arial" w:eastAsia="Arial" w:hAnsi="Arial" w:cs="Arial"/>
          <w:color w:val="000000"/>
          <w:sz w:val="22"/>
        </w:rPr>
        <w:t>Terano</w:t>
      </w:r>
      <w:proofErr w:type="spellEnd"/>
      <w:r w:rsidRPr="00DB6A7D">
        <w:rPr>
          <w:rFonts w:ascii="Arial" w:eastAsia="Arial" w:hAnsi="Arial" w:cs="Arial"/>
          <w:color w:val="000000"/>
          <w:sz w:val="22"/>
        </w:rPr>
        <w:t xml:space="preserve"> (2018) reported that students’ academic achievement and pre-licensure examination performance were strong predictors of success in the board examination. Similarly, </w:t>
      </w:r>
      <w:proofErr w:type="spellStart"/>
      <w:r w:rsidRPr="00DB6A7D">
        <w:rPr>
          <w:rFonts w:ascii="Arial" w:eastAsia="Arial" w:hAnsi="Arial" w:cs="Arial"/>
          <w:color w:val="000000"/>
          <w:sz w:val="22"/>
        </w:rPr>
        <w:t>Dayaday</w:t>
      </w:r>
      <w:proofErr w:type="spellEnd"/>
      <w:r w:rsidRPr="00DB6A7D">
        <w:rPr>
          <w:rFonts w:ascii="Arial" w:eastAsia="Arial" w:hAnsi="Arial" w:cs="Arial"/>
          <w:color w:val="000000"/>
          <w:sz w:val="22"/>
        </w:rPr>
        <w:t xml:space="preserve"> (2018) found that faculty competence and instructional materials positively affected licensure examination outcomes, while Flores, Layson, and Nacion (2019) identified curriculum quality as a major influencing factor. Other studies have highlighted the importance of academic performance (</w:t>
      </w:r>
      <w:proofErr w:type="spellStart"/>
      <w:r w:rsidRPr="00DB6A7D">
        <w:rPr>
          <w:rFonts w:ascii="Arial" w:eastAsia="Arial" w:hAnsi="Arial" w:cs="Arial"/>
          <w:color w:val="000000"/>
          <w:sz w:val="22"/>
        </w:rPr>
        <w:t>Forones</w:t>
      </w:r>
      <w:proofErr w:type="spellEnd"/>
      <w:r w:rsidRPr="00DB6A7D">
        <w:rPr>
          <w:rFonts w:ascii="Arial" w:eastAsia="Arial" w:hAnsi="Arial" w:cs="Arial"/>
          <w:color w:val="000000"/>
          <w:sz w:val="22"/>
        </w:rPr>
        <w:t xml:space="preserve">, 2012; </w:t>
      </w:r>
      <w:proofErr w:type="spellStart"/>
      <w:r w:rsidRPr="00DB6A7D">
        <w:rPr>
          <w:rFonts w:ascii="Arial" w:eastAsia="Arial" w:hAnsi="Arial" w:cs="Arial"/>
          <w:color w:val="000000"/>
          <w:sz w:val="22"/>
        </w:rPr>
        <w:t>Tamayao</w:t>
      </w:r>
      <w:proofErr w:type="spellEnd"/>
      <w:r w:rsidRPr="00DB6A7D">
        <w:rPr>
          <w:rFonts w:ascii="Arial" w:eastAsia="Arial" w:hAnsi="Arial" w:cs="Arial"/>
          <w:color w:val="000000"/>
          <w:sz w:val="22"/>
        </w:rPr>
        <w:t xml:space="preserve"> et al., 2014; </w:t>
      </w:r>
      <w:proofErr w:type="spellStart"/>
      <w:r w:rsidRPr="00DB6A7D">
        <w:rPr>
          <w:rFonts w:ascii="Arial" w:eastAsia="Arial" w:hAnsi="Arial" w:cs="Arial"/>
          <w:color w:val="000000"/>
          <w:sz w:val="22"/>
        </w:rPr>
        <w:t>Banluta</w:t>
      </w:r>
      <w:proofErr w:type="spellEnd"/>
      <w:r w:rsidRPr="00DB6A7D">
        <w:rPr>
          <w:rFonts w:ascii="Arial" w:eastAsia="Arial" w:hAnsi="Arial" w:cs="Arial"/>
          <w:color w:val="000000"/>
          <w:sz w:val="22"/>
        </w:rPr>
        <w:t>, 2013), admission and retention policies (Nool &amp; Ladia, 2017), review class attendance (Nicolas et al., 2020), laboratory and library resources (Quiambao et al., 2015), and institutional support mechanisms (Lascano et al., 2017).</w:t>
      </w:r>
    </w:p>
    <w:p w14:paraId="765076B6"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07E72932" w14:textId="1367A8E3"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Moreover, low licensure examination performance is not an isolated concern affecting only a few institutions but appears to be a widespread challenge among many higher education institutions offering Electronics Engineering programs in the Philippines (Rivera, 2021). Given the continuing fluctuations in national and institutional passing rates and the strategic role of Electronics Engineering in national development, there is a need for a more comprehensive examination of the factors influencing licensure examination performance.</w:t>
      </w:r>
    </w:p>
    <w:p w14:paraId="4A24070E" w14:textId="77777777" w:rsidR="00DB6A7D" w:rsidRP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3026862B" w14:textId="632F7E26" w:rsidR="009E11D4"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Anchored on Weiner’s Attribution Theory (1974, 1985, 2005), which posits that achievement outcomes are influenced by internal and external factors such as ability, effort, environmental conditions, and contextual circumstances, this study investigates the performance of Higher Education Institutions offering Bachelor of Science in Electronics Engineering (BSECE) programs in Region II (Cagayan Valley) in the Electronics Engineering Licensure Examination. Specifically, the study examines institutional characteristics, graduate profiles, and program implementation factors that may influence board examination outcomes. By identifying the determinants of licensure examination performance, the study seeks to provide evidence-based recommendations for policy formulation, curriculum enhancement, instructional improvement, and intervention programs aimed at strengthening Electronics Engineering education and improving licensure examination performance among Higher Education Institutions in the region.</w:t>
      </w:r>
    </w:p>
    <w:p w14:paraId="201C774E" w14:textId="77777777"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796B76A9" w14:textId="77777777" w:rsidR="009E11D4" w:rsidRDefault="009E11D4" w:rsidP="00F160D5">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rPr>
      </w:pPr>
    </w:p>
    <w:p w14:paraId="76ECA583"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F96982F"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Literature Review</w:t>
      </w:r>
    </w:p>
    <w:p w14:paraId="7F593E2E"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1DB35556"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Underpinning Theory</w:t>
      </w:r>
    </w:p>
    <w:p w14:paraId="03DD8A01" w14:textId="77777777" w:rsidR="009E11D4" w:rsidRDefault="009E11D4">
      <w:pPr>
        <w:ind w:left="0" w:hanging="2"/>
        <w:jc w:val="both"/>
        <w:rPr>
          <w:rFonts w:ascii="Arial" w:eastAsia="Arial" w:hAnsi="Arial" w:cs="Arial"/>
          <w:sz w:val="22"/>
        </w:rPr>
      </w:pPr>
    </w:p>
    <w:p w14:paraId="6503FFF5" w14:textId="77777777" w:rsidR="009E11D4" w:rsidRDefault="00000000">
      <w:pPr>
        <w:ind w:left="0" w:hanging="2"/>
        <w:jc w:val="both"/>
        <w:rPr>
          <w:rFonts w:ascii="Arial" w:eastAsia="Arial" w:hAnsi="Arial" w:cs="Arial"/>
          <w:sz w:val="22"/>
        </w:rPr>
      </w:pPr>
      <w:r>
        <w:rPr>
          <w:rFonts w:ascii="Arial" w:eastAsia="Arial" w:hAnsi="Arial" w:cs="Arial"/>
          <w:sz w:val="22"/>
        </w:rPr>
        <w:t>This study is anchored on the Attribution Theory of Weiner (1985, 2005)</w:t>
      </w:r>
      <w:r>
        <w:rPr>
          <w:rFonts w:ascii="Arial" w:eastAsia="Arial" w:hAnsi="Arial" w:cs="Arial"/>
          <w:i/>
          <w:sz w:val="22"/>
        </w:rPr>
        <w:t xml:space="preserve">. </w:t>
      </w:r>
      <w:r>
        <w:rPr>
          <w:rFonts w:ascii="Arial" w:eastAsia="Arial" w:hAnsi="Arial" w:cs="Arial"/>
          <w:sz w:val="22"/>
        </w:rPr>
        <w:t>Weiner's attribution theory was centered on achievement. He identified ability, effort, task complexity, and luck as the most essential elements influencing accomplishment attributions. Attributes are categorized into three categories based on their causative dimensions: locus of control, stability, and controllability. The locus of control dimension is divided into two poles: internal and external locus of control. The stability dimension describes whether or not causes change over time. For example, ability may be classed as a stable, internal cause, whereas effort is unstable and internal. Controllability distinguishes between reasons that can be controlled, such as skill/efficacy, and those that cannot be controlled, such as aptitude, mood, the actions of others, and chance.</w:t>
      </w:r>
    </w:p>
    <w:p w14:paraId="657F51AA" w14:textId="77777777" w:rsidR="009E11D4" w:rsidRDefault="009E11D4">
      <w:pPr>
        <w:ind w:left="0" w:hanging="2"/>
        <w:jc w:val="both"/>
        <w:rPr>
          <w:rFonts w:ascii="Arial" w:eastAsia="Arial" w:hAnsi="Arial" w:cs="Arial"/>
          <w:sz w:val="22"/>
        </w:rPr>
      </w:pPr>
    </w:p>
    <w:p w14:paraId="606CC3AB" w14:textId="77777777" w:rsidR="009E11D4" w:rsidRDefault="00000000">
      <w:pPr>
        <w:ind w:left="0" w:hanging="2"/>
        <w:jc w:val="both"/>
        <w:rPr>
          <w:rFonts w:ascii="Arial" w:eastAsia="Arial" w:hAnsi="Arial" w:cs="Arial"/>
          <w:sz w:val="22"/>
        </w:rPr>
      </w:pPr>
      <w:r>
        <w:rPr>
          <w:rFonts w:ascii="Arial" w:eastAsia="Arial" w:hAnsi="Arial" w:cs="Arial"/>
          <w:sz w:val="22"/>
        </w:rPr>
        <w:t>Moreover, this theory outlines a method for scrutinizing and understanding motivation and achievement in the academe, which is appropriate for the study at hand. In the said model, the proponent outlined the processes through which learners form causal beliefs. Moreover, a basic assumed principle of the model is that learners are affected factors found in the environment (characteristics of the learner’s home or school environment) and by personal factors (past experiences and stock knowledge). The above-mentioned factors affect the types of beliefs or attributions that learners are possible to make.</w:t>
      </w:r>
    </w:p>
    <w:p w14:paraId="479B59F4"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DD6AF8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ab/>
      </w:r>
      <w:r>
        <w:rPr>
          <w:rFonts w:ascii="Arial" w:eastAsia="Arial" w:hAnsi="Arial" w:cs="Arial"/>
          <w:color w:val="000000"/>
          <w:sz w:val="22"/>
        </w:rPr>
        <w:t>Thus, this theory was utilized since this study focused on the premise that success or failure of a student taking an examination, particularly a board or licensure examination depends greatly on several factors as perceived by the reviewers and the reviewees and those who have successfully passed the examination already.</w:t>
      </w:r>
      <w:r>
        <w:rPr>
          <w:rFonts w:ascii="Arial" w:eastAsia="Arial" w:hAnsi="Arial" w:cs="Arial"/>
          <w:color w:val="000000"/>
          <w:sz w:val="22"/>
        </w:rPr>
        <w:br/>
      </w:r>
    </w:p>
    <w:p w14:paraId="20185EE7"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Engineering Education</w:t>
      </w:r>
    </w:p>
    <w:p w14:paraId="61FD98BC"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58D955D0"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ab/>
      </w:r>
      <w:r>
        <w:rPr>
          <w:rFonts w:ascii="Arial" w:eastAsia="Arial" w:hAnsi="Arial" w:cs="Arial"/>
          <w:color w:val="000000"/>
          <w:sz w:val="22"/>
        </w:rPr>
        <w:t>Engineering is ranked second, next to Technology, in terms of the number of enrollees in AY 2016-2017. There are 334,299 students taking engineering programs. There are fifteen (15) engineering programs offered in different HEIs in the country with established policies, standards and guidelines by CHED. These are Aeronautical, Agricultural and Biosystems, Ceramic, Chemical, Civil, Computer, Electrical, Electronics, Geodetic, Industrial, Materials, Mechanical, Metallurgical, Mining, and Sanitary Engineering. However, there are other engineering programs offered in the country such as, Instrumentation, Mechatronics, Petroleum engineering. The establishment of the programs were benchmarked from different educational institutions offering those programs. In November 2016, CHED through TPET, drafted the revised PSG for the fifteen engineering programs. And took effect on year 2018-2019. The main purpose of the revision is to integrate the principles of OBE system, the K to12 educational program and the new general education curriculum (CHED, 2017).</w:t>
      </w:r>
    </w:p>
    <w:p w14:paraId="24BDED86" w14:textId="77777777" w:rsidR="009E11D4" w:rsidRDefault="009E11D4">
      <w:pPr>
        <w:ind w:left="0" w:hanging="2"/>
        <w:jc w:val="both"/>
        <w:rPr>
          <w:rFonts w:ascii="Arial" w:eastAsia="Arial" w:hAnsi="Arial" w:cs="Arial"/>
          <w:sz w:val="22"/>
        </w:rPr>
      </w:pPr>
    </w:p>
    <w:p w14:paraId="254DE2CE" w14:textId="77777777" w:rsidR="009E11D4" w:rsidRDefault="00000000">
      <w:pPr>
        <w:ind w:left="0" w:hanging="2"/>
        <w:jc w:val="both"/>
        <w:rPr>
          <w:rFonts w:ascii="Arial" w:eastAsia="Arial" w:hAnsi="Arial" w:cs="Arial"/>
          <w:sz w:val="22"/>
        </w:rPr>
      </w:pPr>
      <w:r>
        <w:rPr>
          <w:rFonts w:ascii="Arial" w:eastAsia="Arial" w:hAnsi="Arial" w:cs="Arial"/>
          <w:sz w:val="22"/>
        </w:rPr>
        <w:t xml:space="preserve">The Philippine educational system consists of K to12 program and tertiary level. The K to 12 Program covers Kindergarten and 12 years of basic education to provide sufficient time for mastery of concepts and skills, develop lifelong learners, and prepare graduates for tertiary education, middle-level skills development, employment, and </w:t>
      </w:r>
      <w:r>
        <w:rPr>
          <w:rFonts w:ascii="Arial" w:eastAsia="Arial" w:hAnsi="Arial" w:cs="Arial"/>
          <w:sz w:val="22"/>
        </w:rPr>
        <w:lastRenderedPageBreak/>
        <w:t>entrepreneurship. The last two years of this program is the senior high school where the students can choose from learning areas of core curriculum or specific tracks: Academic; Technical-Vocational-Livelihood; Sports and Arts; and Design. Academic tracks include Accountancy, Business and Management (ABM), Humanities and Social Sciences (HUMSS), Science, Technology, Engineering and Mathematics (STEM) and General Academic Strand (GAS). The students in STEM strand will continue pursuing their studies to engineering education in the tertiary level.  The Commission on Higher Education (CHED) is the governing body of higher education institutions (HEIs) in the Philippines. CHED memorandum order (CMO) No. 37 Series of 2012, gives the policies, standards and guidelines in the establishment of an outcomes-based education (OBE) system in HEIs offering engineering programs. It aims to transform engineering education into an outcomes-based system to meet the equivalent global quality standards. OBE focuses on what is essential for all students to be able to do successfully at the end of their learning experiences. HEIs are now on the process of implementation of OBE (</w:t>
      </w:r>
      <w:proofErr w:type="spellStart"/>
      <w:r>
        <w:rPr>
          <w:rFonts w:ascii="Arial" w:eastAsia="Arial" w:hAnsi="Arial" w:cs="Arial"/>
          <w:sz w:val="22"/>
        </w:rPr>
        <w:t>Cabaces</w:t>
      </w:r>
      <w:proofErr w:type="spellEnd"/>
      <w:r>
        <w:rPr>
          <w:rFonts w:ascii="Arial" w:eastAsia="Arial" w:hAnsi="Arial" w:cs="Arial"/>
          <w:sz w:val="22"/>
        </w:rPr>
        <w:t>, 2018).</w:t>
      </w:r>
    </w:p>
    <w:p w14:paraId="3802CA5C" w14:textId="77777777" w:rsidR="009E11D4" w:rsidRDefault="009E11D4">
      <w:pPr>
        <w:ind w:left="0" w:hanging="2"/>
        <w:jc w:val="both"/>
        <w:rPr>
          <w:rFonts w:ascii="Arial" w:eastAsia="Arial" w:hAnsi="Arial" w:cs="Arial"/>
          <w:sz w:val="22"/>
        </w:rPr>
      </w:pPr>
    </w:p>
    <w:p w14:paraId="5E19F6E0" w14:textId="77777777" w:rsidR="009E11D4" w:rsidRDefault="00000000">
      <w:pPr>
        <w:ind w:left="0" w:hanging="2"/>
        <w:jc w:val="both"/>
        <w:rPr>
          <w:rFonts w:ascii="Arial" w:eastAsia="Arial" w:hAnsi="Arial" w:cs="Arial"/>
          <w:sz w:val="22"/>
        </w:rPr>
      </w:pPr>
      <w:r>
        <w:rPr>
          <w:rFonts w:ascii="Arial" w:eastAsia="Arial" w:hAnsi="Arial" w:cs="Arial"/>
          <w:sz w:val="22"/>
        </w:rPr>
        <w:t xml:space="preserve">As a profession that has to be thought-out, engineers play a substantial role in facilitating to mold and develop a better nation. In the Philippines, the Commission on Higher Education (CHED) was mandated by Republic Act 7722 to administer tertiary education including engineering education. Accordingly, the CHED technical panel recommends course outlines for all subjects in each academic program. In this method, the university professors and instructors lay emphasis on the points provided by the technical panel concerning the subjects. </w:t>
      </w:r>
    </w:p>
    <w:p w14:paraId="2520C5D8" w14:textId="77777777" w:rsidR="009E11D4" w:rsidRDefault="009E11D4">
      <w:pPr>
        <w:ind w:left="0" w:hanging="2"/>
        <w:jc w:val="both"/>
        <w:rPr>
          <w:rFonts w:ascii="Arial" w:eastAsia="Arial" w:hAnsi="Arial" w:cs="Arial"/>
          <w:sz w:val="22"/>
        </w:rPr>
      </w:pPr>
    </w:p>
    <w:p w14:paraId="7552BA78" w14:textId="77777777" w:rsidR="009E11D4" w:rsidRDefault="00000000">
      <w:pPr>
        <w:ind w:left="0" w:hanging="2"/>
        <w:jc w:val="both"/>
        <w:rPr>
          <w:rFonts w:ascii="Arial" w:eastAsia="Arial" w:hAnsi="Arial" w:cs="Arial"/>
          <w:sz w:val="22"/>
        </w:rPr>
      </w:pPr>
      <w:r>
        <w:rPr>
          <w:rFonts w:ascii="Arial" w:eastAsia="Arial" w:hAnsi="Arial" w:cs="Arial"/>
          <w:sz w:val="22"/>
        </w:rPr>
        <w:t>In an academic setting, it is the responsibility and accountability of the members in the academic system to ensure the success of their graduates. This would be accomplished through the adoption of appropriate engineering education and experience requirements as prerequisites for licensure (Mohammed, 2017).</w:t>
      </w:r>
    </w:p>
    <w:p w14:paraId="01C886FB" w14:textId="77777777" w:rsidR="009E11D4" w:rsidRDefault="009E11D4">
      <w:pPr>
        <w:ind w:left="0" w:hanging="2"/>
        <w:jc w:val="both"/>
        <w:rPr>
          <w:rFonts w:ascii="Arial" w:eastAsia="Arial" w:hAnsi="Arial" w:cs="Arial"/>
          <w:sz w:val="22"/>
        </w:rPr>
      </w:pPr>
    </w:p>
    <w:p w14:paraId="04EF088E"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The higher learning institutions in the Philippines have adopted the Outcomes-Based Education (OBE) as a new paradigm in the engineering curriculum to address the rising demand in the global engineering market. The paradigm focuses on what learners are expected to learn at the end of the program. Results revealed that OBE is moderately implemented in terms of practices and environment. The students perceived that OBE is somewhat influential in terms of academic, attitude and instruction. Moreover, there is a significant correlation between the extent of OBE implementation and the level of its influence. When grouped by year level, the findings revealed that there was a significant statistical difference between the means of the variables. Understanding this relationship may help the university guide the students to cope with the new educational approach and to find solutions to the identified concerns or problems with the OBE implementation (Canini &amp; Dalis, 2016).</w:t>
      </w:r>
    </w:p>
    <w:p w14:paraId="6127D9FF" w14:textId="77777777" w:rsidR="009E11D4" w:rsidRDefault="009E11D4">
      <w:pPr>
        <w:ind w:left="0" w:hanging="2"/>
        <w:jc w:val="both"/>
        <w:rPr>
          <w:rFonts w:ascii="Arial" w:eastAsia="Arial" w:hAnsi="Arial" w:cs="Arial"/>
          <w:sz w:val="22"/>
        </w:rPr>
      </w:pPr>
    </w:p>
    <w:p w14:paraId="50E2F521" w14:textId="77777777" w:rsidR="009E11D4" w:rsidRDefault="00000000">
      <w:pPr>
        <w:ind w:left="0" w:hanging="2"/>
        <w:jc w:val="both"/>
        <w:rPr>
          <w:rFonts w:ascii="Arial" w:eastAsia="Arial" w:hAnsi="Arial" w:cs="Arial"/>
          <w:sz w:val="22"/>
        </w:rPr>
      </w:pPr>
      <w:r>
        <w:rPr>
          <w:rFonts w:ascii="Arial" w:eastAsia="Arial" w:hAnsi="Arial" w:cs="Arial"/>
          <w:sz w:val="22"/>
        </w:rPr>
        <w:t xml:space="preserve">Current understanding of expertise, and the learning processes that develop it, indicates that engineering education should encompass a set of learning experiences that allow students to construct deep conceptual knowledge, to develop the ability to apply key technical and professional skills fluently, and to engage in a number of authentic engineering projects. Engineering curricula and teaching methods are often not well aligned with these goals. Curriculum-level instructional design processes should be used to design and implement changes that will improve alignment (Litzinger </w:t>
      </w:r>
      <w:proofErr w:type="spellStart"/>
      <w:r>
        <w:rPr>
          <w:rFonts w:ascii="Arial" w:eastAsia="Arial" w:hAnsi="Arial" w:cs="Arial"/>
          <w:sz w:val="22"/>
        </w:rPr>
        <w:t>etal</w:t>
      </w:r>
      <w:proofErr w:type="spellEnd"/>
      <w:r>
        <w:rPr>
          <w:rFonts w:ascii="Arial" w:eastAsia="Arial" w:hAnsi="Arial" w:cs="Arial"/>
          <w:sz w:val="22"/>
        </w:rPr>
        <w:t>., 2011)</w:t>
      </w:r>
    </w:p>
    <w:p w14:paraId="2DE2E1F5" w14:textId="77777777" w:rsidR="009E11D4" w:rsidRDefault="009E11D4">
      <w:pPr>
        <w:ind w:left="0" w:hanging="2"/>
        <w:jc w:val="both"/>
        <w:rPr>
          <w:rFonts w:ascii="Arial" w:eastAsia="Arial" w:hAnsi="Arial" w:cs="Arial"/>
          <w:sz w:val="22"/>
        </w:rPr>
      </w:pPr>
    </w:p>
    <w:p w14:paraId="74034E37" w14:textId="77777777" w:rsidR="009E11D4" w:rsidRDefault="00000000">
      <w:pPr>
        <w:ind w:left="0" w:hanging="2"/>
        <w:jc w:val="both"/>
        <w:rPr>
          <w:rFonts w:ascii="Arial" w:eastAsia="Arial" w:hAnsi="Arial" w:cs="Arial"/>
          <w:sz w:val="22"/>
        </w:rPr>
      </w:pPr>
      <w:r>
        <w:rPr>
          <w:rFonts w:ascii="Arial" w:eastAsia="Arial" w:hAnsi="Arial" w:cs="Arial"/>
          <w:sz w:val="22"/>
        </w:rPr>
        <w:lastRenderedPageBreak/>
        <w:t>Also, findings revealed that the engineering graduates are highly employable with 95.54 percent employment rating, with regular status and presently working as associate professionals in the Philippine manufacturing companies related to their college degrees who found their first job as walk-in applicants and stayed on their jobs for more than three (3) years. Communication skill is considered the foremost competency learned in college that found very useful to their job placement (</w:t>
      </w:r>
      <w:proofErr w:type="spellStart"/>
      <w:r>
        <w:rPr>
          <w:rFonts w:ascii="Arial" w:eastAsia="Arial" w:hAnsi="Arial" w:cs="Arial"/>
          <w:sz w:val="22"/>
        </w:rPr>
        <w:t>Dotong</w:t>
      </w:r>
      <w:proofErr w:type="spellEnd"/>
      <w:r>
        <w:rPr>
          <w:rFonts w:ascii="Arial" w:eastAsia="Arial" w:hAnsi="Arial" w:cs="Arial"/>
          <w:sz w:val="22"/>
        </w:rPr>
        <w:t xml:space="preserve"> et.al, 2016).</w:t>
      </w:r>
    </w:p>
    <w:p w14:paraId="3DDC887F" w14:textId="77777777" w:rsidR="009E11D4" w:rsidRDefault="009E11D4">
      <w:pPr>
        <w:ind w:left="0" w:hanging="2"/>
        <w:jc w:val="both"/>
        <w:rPr>
          <w:rFonts w:ascii="Arial" w:eastAsia="Arial" w:hAnsi="Arial" w:cs="Arial"/>
          <w:sz w:val="22"/>
        </w:rPr>
      </w:pPr>
    </w:p>
    <w:p w14:paraId="506D34FF" w14:textId="77777777" w:rsidR="009E11D4" w:rsidRDefault="00000000">
      <w:pPr>
        <w:ind w:left="0" w:hanging="2"/>
        <w:jc w:val="both"/>
        <w:rPr>
          <w:rFonts w:ascii="Arial" w:eastAsia="Arial" w:hAnsi="Arial" w:cs="Arial"/>
          <w:sz w:val="22"/>
        </w:rPr>
      </w:pPr>
      <w:r>
        <w:rPr>
          <w:rFonts w:ascii="Arial" w:eastAsia="Arial" w:hAnsi="Arial" w:cs="Arial"/>
          <w:sz w:val="22"/>
        </w:rPr>
        <w:t>Successful attributes for the engineering education graduates in 2020 must be at strong level are as follows: lifelong learners, ability to frame problems, putting them in a socio-technical and operational context, dynamic/agile/resilient/flexible, high ethical standards and a strong sense of professionalism, good communication skills with multiple stakeholders, possess strong analytical skills, exhibit practical ingenuity; possess creativity, and business and management skills; leadership abilities. Moreover, the problems which engineering education graduates in 2020 encounter and have strong ability to solve. They are maintaining technical currency &amp; lifelong learning, environmental and energy related problems, managing globalization, problems related to population growth, ultra-nanoscale, miniaturization, and bioengineering and medical problems (</w:t>
      </w:r>
      <w:proofErr w:type="spellStart"/>
      <w:r>
        <w:rPr>
          <w:rFonts w:ascii="Arial" w:eastAsia="Arial" w:hAnsi="Arial" w:cs="Arial"/>
          <w:sz w:val="22"/>
        </w:rPr>
        <w:t>Sunthonkanokpong</w:t>
      </w:r>
      <w:proofErr w:type="spellEnd"/>
      <w:r>
        <w:rPr>
          <w:rFonts w:ascii="Arial" w:eastAsia="Arial" w:hAnsi="Arial" w:cs="Arial"/>
          <w:sz w:val="22"/>
        </w:rPr>
        <w:t>, 2011).</w:t>
      </w:r>
    </w:p>
    <w:p w14:paraId="0896F1B5" w14:textId="77777777" w:rsidR="009E11D4" w:rsidRDefault="009E11D4">
      <w:pPr>
        <w:ind w:left="0" w:hanging="2"/>
        <w:rPr>
          <w:rFonts w:ascii="Arial" w:eastAsia="Arial" w:hAnsi="Arial" w:cs="Arial"/>
          <w:sz w:val="22"/>
        </w:rPr>
      </w:pPr>
    </w:p>
    <w:p w14:paraId="21C362C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Electronics Engineering Education</w:t>
      </w:r>
    </w:p>
    <w:p w14:paraId="5FB144B5"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EA5BA7B" w14:textId="77777777" w:rsidR="009E11D4" w:rsidRDefault="00000000">
      <w:pPr>
        <w:ind w:left="0" w:hanging="2"/>
        <w:jc w:val="both"/>
        <w:rPr>
          <w:rFonts w:ascii="Arial" w:eastAsia="Arial" w:hAnsi="Arial" w:cs="Arial"/>
          <w:sz w:val="22"/>
        </w:rPr>
      </w:pPr>
      <w:r>
        <w:rPr>
          <w:rFonts w:ascii="Arial" w:eastAsia="Arial" w:hAnsi="Arial" w:cs="Arial"/>
          <w:sz w:val="22"/>
        </w:rPr>
        <w:t xml:space="preserve">Electronics Engineering is a branch of engineering that integrates available and emerging technologies with knowledge of mathematics, natural, social and applied sciences to conceptualize, design, and implement new, improved, or innovative electronic, computer and communication systems, devices, goods, services and processes. An Electronics Engineer is endowed with spiritual, moral, and ethical values, mindful of safety concerns and guided with responsibility to society and environment in the discharge of his functions (CHED Memorandum Order, CMO No. 24, series of 2008). In order for Electronics Engineering graduates to become licensed engineers, they must follow to the policies and guidelines set by the Professional Regulation Commission for taking the Licensure Examination. </w:t>
      </w:r>
    </w:p>
    <w:p w14:paraId="26EFDBA6" w14:textId="77777777" w:rsidR="009E11D4" w:rsidRDefault="009E11D4">
      <w:pPr>
        <w:ind w:left="0" w:hanging="2"/>
        <w:jc w:val="both"/>
        <w:rPr>
          <w:rFonts w:ascii="Arial" w:eastAsia="Arial" w:hAnsi="Arial" w:cs="Arial"/>
          <w:sz w:val="22"/>
        </w:rPr>
      </w:pPr>
    </w:p>
    <w:p w14:paraId="5ACA3669" w14:textId="77777777" w:rsidR="009E11D4" w:rsidRDefault="00000000">
      <w:pPr>
        <w:ind w:left="0" w:hanging="2"/>
        <w:jc w:val="both"/>
        <w:rPr>
          <w:rFonts w:ascii="Arial" w:eastAsia="Arial" w:hAnsi="Arial" w:cs="Arial"/>
          <w:sz w:val="22"/>
        </w:rPr>
      </w:pPr>
      <w:r>
        <w:rPr>
          <w:rFonts w:ascii="Arial" w:eastAsia="Arial" w:hAnsi="Arial" w:cs="Arial"/>
          <w:sz w:val="22"/>
        </w:rPr>
        <w:t>According to CMO number 101, series of 2017, the Electronics Engineering curriculum contains mandated general education and elective sources as connected to the desired program outcomes. This is also, to ensure that the Electronics engineering graduates can understand and articulate the nature of the special roles in society and the impact of their work on the environment. The curriculum is designed to guarantee a certain breadth of knowledge of Electronics Engineering disciplines through a set of a core courses.</w:t>
      </w:r>
    </w:p>
    <w:p w14:paraId="1A964273" w14:textId="77777777" w:rsidR="009E11D4" w:rsidRDefault="009E11D4">
      <w:pPr>
        <w:ind w:left="0" w:hanging="2"/>
        <w:jc w:val="both"/>
        <w:rPr>
          <w:rFonts w:ascii="Arial" w:eastAsia="Arial" w:hAnsi="Arial" w:cs="Arial"/>
          <w:sz w:val="22"/>
        </w:rPr>
      </w:pPr>
    </w:p>
    <w:p w14:paraId="117FE343" w14:textId="77777777" w:rsidR="009E11D4" w:rsidRDefault="00000000">
      <w:pPr>
        <w:ind w:left="0" w:hanging="2"/>
        <w:jc w:val="both"/>
        <w:rPr>
          <w:rFonts w:ascii="Arial" w:eastAsia="Arial" w:hAnsi="Arial" w:cs="Arial"/>
          <w:sz w:val="22"/>
        </w:rPr>
      </w:pPr>
      <w:r>
        <w:rPr>
          <w:rFonts w:ascii="Arial" w:eastAsia="Arial" w:hAnsi="Arial" w:cs="Arial"/>
          <w:sz w:val="22"/>
        </w:rPr>
        <w:t xml:space="preserve">The Electronics Engineering course content is very comprehensive and relevant to the </w:t>
      </w:r>
      <w:proofErr w:type="gramStart"/>
      <w:r>
        <w:rPr>
          <w:rFonts w:ascii="Arial" w:eastAsia="Arial" w:hAnsi="Arial" w:cs="Arial"/>
          <w:sz w:val="22"/>
        </w:rPr>
        <w:t>job,</w:t>
      </w:r>
      <w:proofErr w:type="gramEnd"/>
      <w:r>
        <w:rPr>
          <w:rFonts w:ascii="Arial" w:eastAsia="Arial" w:hAnsi="Arial" w:cs="Arial"/>
          <w:sz w:val="22"/>
        </w:rPr>
        <w:t xml:space="preserve"> its program components are also relevant to the job. Its objectives have been achieved and is similar to the workplace. It is sufficient to produce graduates with the required entry-level knowledge and/or skill in the field/workplace. Its program description captures the duties a graduate can expect to perform in the work environment. Its courses are relevant to the intended career. It develops interpersonal relationship in the institution, with these, the institution provides quality education to students in the field of Electronics Engineering (Balba, 2019).</w:t>
      </w:r>
    </w:p>
    <w:p w14:paraId="723E3EA1" w14:textId="77777777" w:rsidR="009E11D4" w:rsidRDefault="009E11D4">
      <w:pPr>
        <w:ind w:left="0" w:hanging="2"/>
        <w:jc w:val="both"/>
        <w:rPr>
          <w:rFonts w:ascii="Arial" w:eastAsia="Arial" w:hAnsi="Arial" w:cs="Arial"/>
          <w:sz w:val="22"/>
        </w:rPr>
      </w:pPr>
    </w:p>
    <w:p w14:paraId="58F596A8" w14:textId="77777777" w:rsidR="009E11D4" w:rsidRDefault="00000000">
      <w:pPr>
        <w:ind w:left="0" w:hanging="2"/>
        <w:jc w:val="both"/>
        <w:rPr>
          <w:rFonts w:ascii="Arial" w:eastAsia="Arial" w:hAnsi="Arial" w:cs="Arial"/>
          <w:sz w:val="22"/>
        </w:rPr>
      </w:pPr>
      <w:r>
        <w:rPr>
          <w:rFonts w:ascii="Arial" w:eastAsia="Arial" w:hAnsi="Arial" w:cs="Arial"/>
          <w:sz w:val="22"/>
        </w:rPr>
        <w:t xml:space="preserve">Findings revealed that ECE graduates are highly employable in a wide range of industry such as electronics manufacturing, electronics design, telecommunications, </w:t>
      </w:r>
      <w:r>
        <w:rPr>
          <w:rFonts w:ascii="Arial" w:eastAsia="Arial" w:hAnsi="Arial" w:cs="Arial"/>
          <w:sz w:val="22"/>
        </w:rPr>
        <w:lastRenderedPageBreak/>
        <w:t>broadcasting, and data communications and ICT-related areas, were able to pass the licensure examinations and other certifications, currently enjoying regular permanent job positions as supervisors, production engineers, process engineers, educators and others, and are working for companies located in Metro Manila and industrial zones in Laguna and Cavite. The skills the graduates found most useful to their first jobs are critical thinking, problem solving, and communication skills (</w:t>
      </w:r>
      <w:proofErr w:type="spellStart"/>
      <w:r>
        <w:rPr>
          <w:rFonts w:ascii="Arial" w:eastAsia="Arial" w:hAnsi="Arial" w:cs="Arial"/>
          <w:sz w:val="22"/>
        </w:rPr>
        <w:t>Loquias</w:t>
      </w:r>
      <w:proofErr w:type="spellEnd"/>
      <w:r>
        <w:rPr>
          <w:rFonts w:ascii="Arial" w:eastAsia="Arial" w:hAnsi="Arial" w:cs="Arial"/>
          <w:sz w:val="22"/>
        </w:rPr>
        <w:t>, 2015). Moreover, results also revealed that employers considered electronics and mechanical engineering with very good job performance compared to Industrial engineering in terms of competence. Engineering graduates are considered highly committed on providing necessary support, service and assistance for the welfare of the organization. They have very high level of credibility in performing their duties and responsibilities. They have strong sense of dependability when job requires being responsible and reliable in fulfilling certain duty and obligations (</w:t>
      </w:r>
      <w:proofErr w:type="spellStart"/>
      <w:r>
        <w:rPr>
          <w:rFonts w:ascii="Arial" w:eastAsia="Arial" w:hAnsi="Arial" w:cs="Arial"/>
          <w:sz w:val="22"/>
        </w:rPr>
        <w:t>Dotong</w:t>
      </w:r>
      <w:proofErr w:type="spellEnd"/>
      <w:r>
        <w:rPr>
          <w:rFonts w:ascii="Arial" w:eastAsia="Arial" w:hAnsi="Arial" w:cs="Arial"/>
          <w:sz w:val="22"/>
        </w:rPr>
        <w:t>, Pamplona &amp; Camello, 2017).</w:t>
      </w:r>
    </w:p>
    <w:p w14:paraId="60A181B9"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EFA761E" w14:textId="77777777" w:rsidR="009E11D4" w:rsidRDefault="00000000">
      <w:pPr>
        <w:ind w:left="0" w:hanging="2"/>
        <w:jc w:val="both"/>
        <w:rPr>
          <w:rFonts w:ascii="Arial" w:eastAsia="Arial" w:hAnsi="Arial" w:cs="Arial"/>
          <w:sz w:val="22"/>
        </w:rPr>
      </w:pPr>
      <w:r>
        <w:rPr>
          <w:rFonts w:ascii="Arial" w:eastAsia="Arial" w:hAnsi="Arial" w:cs="Arial"/>
          <w:sz w:val="22"/>
        </w:rPr>
        <w:t>Wlodkowski’s five-factor theory of adult learner motivation provides a good framework for the design of engineering instructional development programs. The criteria are compatible with the cognitive science based How People Learn instructional model and with recommendations of faculty development authorities. Making engineering instructional development effective at an institution will require applying the criteria to program design and delivery and creating an institutional expectation of faculty participation in the programs (Felder, 2011).</w:t>
      </w:r>
    </w:p>
    <w:p w14:paraId="5992238E" w14:textId="77777777" w:rsidR="009E11D4" w:rsidRDefault="009E11D4">
      <w:pPr>
        <w:ind w:left="0" w:hanging="2"/>
        <w:jc w:val="both"/>
        <w:rPr>
          <w:rFonts w:ascii="Arial" w:eastAsia="Arial" w:hAnsi="Arial" w:cs="Arial"/>
          <w:sz w:val="22"/>
        </w:rPr>
      </w:pPr>
    </w:p>
    <w:p w14:paraId="566AE370"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ab/>
      </w:r>
    </w:p>
    <w:p w14:paraId="5DA42C42"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Board Exam Performance</w:t>
      </w:r>
    </w:p>
    <w:p w14:paraId="7E42C161" w14:textId="77777777" w:rsidR="009E11D4" w:rsidRDefault="009E11D4">
      <w:pPr>
        <w:ind w:left="0" w:hanging="2"/>
        <w:jc w:val="both"/>
        <w:rPr>
          <w:rFonts w:ascii="Arial" w:eastAsia="Arial" w:hAnsi="Arial" w:cs="Arial"/>
          <w:sz w:val="22"/>
        </w:rPr>
      </w:pPr>
    </w:p>
    <w:p w14:paraId="6201AB89" w14:textId="77777777" w:rsidR="009E11D4" w:rsidRDefault="00000000">
      <w:pPr>
        <w:ind w:left="0" w:hanging="2"/>
        <w:jc w:val="both"/>
        <w:rPr>
          <w:rFonts w:ascii="Arial" w:eastAsia="Arial" w:hAnsi="Arial" w:cs="Arial"/>
          <w:sz w:val="22"/>
        </w:rPr>
      </w:pPr>
      <w:r>
        <w:rPr>
          <w:rFonts w:ascii="Arial" w:eastAsia="Arial" w:hAnsi="Arial" w:cs="Arial"/>
          <w:sz w:val="22"/>
        </w:rPr>
        <w:tab/>
        <w:t>The Licensure Examination for Engineers is a tool that measures and ensures the quality of engineers who would join the workforce of various manufacturing industries in the Philippines and abroad. The Professional Regulations Commission (PRC) as the duly constituted body created for this function has been consistent in its task of screening who among the graduates from all board courses will be granted the professional licenses based on the board exam results (</w:t>
      </w:r>
      <w:proofErr w:type="spellStart"/>
      <w:r>
        <w:rPr>
          <w:rFonts w:ascii="Arial" w:eastAsia="Arial" w:hAnsi="Arial" w:cs="Arial"/>
          <w:sz w:val="22"/>
        </w:rPr>
        <w:t>Laguador</w:t>
      </w:r>
      <w:proofErr w:type="spellEnd"/>
      <w:r>
        <w:rPr>
          <w:rFonts w:ascii="Arial" w:eastAsia="Arial" w:hAnsi="Arial" w:cs="Arial"/>
          <w:sz w:val="22"/>
        </w:rPr>
        <w:t xml:space="preserve">, J. M., &amp; Dizon, N. C. 2013). </w:t>
      </w:r>
    </w:p>
    <w:p w14:paraId="751E8600" w14:textId="77777777" w:rsidR="009E11D4" w:rsidRDefault="009E11D4">
      <w:pPr>
        <w:ind w:left="0" w:hanging="2"/>
        <w:jc w:val="both"/>
        <w:rPr>
          <w:rFonts w:ascii="Arial" w:eastAsia="Arial" w:hAnsi="Arial" w:cs="Arial"/>
          <w:sz w:val="22"/>
        </w:rPr>
      </w:pPr>
    </w:p>
    <w:p w14:paraId="2F07A909" w14:textId="77777777" w:rsidR="009E11D4" w:rsidRDefault="00000000">
      <w:pPr>
        <w:ind w:left="0" w:hanging="2"/>
        <w:jc w:val="both"/>
        <w:rPr>
          <w:rFonts w:ascii="Arial" w:eastAsia="Arial" w:hAnsi="Arial" w:cs="Arial"/>
          <w:sz w:val="22"/>
        </w:rPr>
      </w:pPr>
      <w:r>
        <w:rPr>
          <w:rFonts w:ascii="Arial" w:eastAsia="Arial" w:hAnsi="Arial" w:cs="Arial"/>
          <w:sz w:val="22"/>
        </w:rPr>
        <w:t>Based on relevant findings of some studies conducted in the local areas in the country, the performance of the engineering graduates in the licensure examinations may be attributed to the following: their grades in all their subjects in the baccalaureate, from the general education subjects to the professional engineering subjects; their participation in the review classes or engagement in intervention programs; their consideration as regards to the time interval of taking or re-taking the examination; their skills and affective domain (Ferrer, 2016). This is true with the study of (</w:t>
      </w:r>
      <w:proofErr w:type="spellStart"/>
      <w:r>
        <w:rPr>
          <w:rFonts w:ascii="Arial" w:eastAsia="Arial" w:hAnsi="Arial" w:cs="Arial"/>
          <w:sz w:val="22"/>
        </w:rPr>
        <w:t>Bongalosa</w:t>
      </w:r>
      <w:proofErr w:type="spellEnd"/>
      <w:r>
        <w:rPr>
          <w:rFonts w:ascii="Arial" w:eastAsia="Arial" w:hAnsi="Arial" w:cs="Arial"/>
          <w:sz w:val="22"/>
        </w:rPr>
        <w:t xml:space="preserve"> et.al., 2021) in the case of Licensure Examination for Teachers takers, where academic performance is significantly related to the LET performance. The results also revealed that academic performance is a determinant in passing the LET.</w:t>
      </w:r>
    </w:p>
    <w:p w14:paraId="53EC7B7C" w14:textId="77777777" w:rsidR="009E11D4" w:rsidRDefault="009E11D4">
      <w:pPr>
        <w:ind w:left="0" w:hanging="2"/>
        <w:jc w:val="both"/>
        <w:rPr>
          <w:rFonts w:ascii="Arial" w:eastAsia="Arial" w:hAnsi="Arial" w:cs="Arial"/>
          <w:sz w:val="22"/>
        </w:rPr>
      </w:pPr>
    </w:p>
    <w:p w14:paraId="324A2D3F" w14:textId="77777777" w:rsidR="009E11D4" w:rsidRDefault="00000000">
      <w:pPr>
        <w:ind w:left="0" w:hanging="2"/>
        <w:rPr>
          <w:rFonts w:ascii="Arial" w:eastAsia="Arial" w:hAnsi="Arial" w:cs="Arial"/>
          <w:sz w:val="22"/>
        </w:rPr>
      </w:pPr>
      <w:r>
        <w:rPr>
          <w:rFonts w:ascii="Arial" w:eastAsia="Arial" w:hAnsi="Arial" w:cs="Arial"/>
          <w:sz w:val="22"/>
        </w:rPr>
        <w:tab/>
        <w:t>Findings also revealed that teachers’ educational attainment, teachers’ length of service, quality of library facilities, quality of laboratory facilities, students’ intelligence quotient, and students’ grade point average formed a very significant set of predictors for passing the licensure examinations. Hence, these factors are to be considered vital in developing policies to further improve the education graduate’s performance in the licensure examination (</w:t>
      </w:r>
      <w:r>
        <w:rPr>
          <w:rFonts w:ascii="Arial" w:eastAsia="Arial" w:hAnsi="Arial" w:cs="Arial"/>
          <w:sz w:val="22"/>
          <w:highlight w:val="white"/>
        </w:rPr>
        <w:t>Quiambao et.al., 2015).</w:t>
      </w:r>
    </w:p>
    <w:p w14:paraId="62B6A4A0" w14:textId="77777777" w:rsidR="009E11D4" w:rsidRDefault="009E11D4">
      <w:pPr>
        <w:ind w:left="0" w:hanging="2"/>
        <w:jc w:val="both"/>
        <w:rPr>
          <w:rFonts w:ascii="Arial" w:eastAsia="Arial" w:hAnsi="Arial" w:cs="Arial"/>
          <w:sz w:val="22"/>
        </w:rPr>
      </w:pPr>
    </w:p>
    <w:p w14:paraId="13D666B1" w14:textId="77777777" w:rsidR="009E11D4" w:rsidRDefault="00000000">
      <w:pPr>
        <w:ind w:left="0" w:hanging="2"/>
        <w:jc w:val="both"/>
        <w:rPr>
          <w:rFonts w:ascii="Arial" w:eastAsia="Arial" w:hAnsi="Arial" w:cs="Arial"/>
          <w:sz w:val="22"/>
        </w:rPr>
      </w:pPr>
      <w:r>
        <w:rPr>
          <w:rFonts w:ascii="Arial" w:eastAsia="Arial" w:hAnsi="Arial" w:cs="Arial"/>
          <w:sz w:val="22"/>
        </w:rPr>
        <w:lastRenderedPageBreak/>
        <w:tab/>
        <w:t>Socio-demographic factors investigated in the study (age, sex and civil status) all had weak correlation to Licensure examination in Agriculture (LEA)performance. For the academic factors, both GPA in college and in general education courses had high correlation, college admission test (CAT) score had moderate correlation, while high school average grade and GPA in major courses had weak correlation to board exam results. For the academic-related factors, the number of takes had strong correlation, attendance to review class had moderate correlation, while time gap between graduation and board exam and having agriculture as first or second course had weak correlation to LEA performance. Hence, results showed the importance of academic performance, admission test scores, attendance to review classes and taking the LEA only once (or passing it on the first try) as determinants of performance in the licensure exam (Nicolas et.al., 2020).</w:t>
      </w:r>
    </w:p>
    <w:p w14:paraId="232E629A" w14:textId="77777777" w:rsidR="009E11D4" w:rsidRDefault="009E11D4">
      <w:pPr>
        <w:ind w:left="0" w:hanging="2"/>
        <w:jc w:val="both"/>
        <w:rPr>
          <w:rFonts w:ascii="Arial" w:eastAsia="Arial" w:hAnsi="Arial" w:cs="Arial"/>
          <w:sz w:val="22"/>
        </w:rPr>
      </w:pPr>
    </w:p>
    <w:p w14:paraId="458980AB" w14:textId="77777777" w:rsidR="009E11D4" w:rsidRDefault="00000000">
      <w:pPr>
        <w:ind w:left="0" w:hanging="2"/>
        <w:jc w:val="both"/>
        <w:rPr>
          <w:rFonts w:ascii="Arial" w:eastAsia="Arial" w:hAnsi="Arial" w:cs="Arial"/>
          <w:sz w:val="22"/>
        </w:rPr>
      </w:pPr>
      <w:r>
        <w:rPr>
          <w:rFonts w:ascii="Arial" w:eastAsia="Arial" w:hAnsi="Arial" w:cs="Arial"/>
          <w:sz w:val="22"/>
        </w:rPr>
        <w:t>Moreover, the results of Customs Broker Licensure Examination for the   academic year 2008 to 2010 showed good performances and Mock Board Examination is not a predictor in the performance of the customs graduates in Customs Broker Licensure Examination. In this regard, a plan of action was designed to enhance the passing percentage in the Customs Broker Licensure Examination. Considering the conclusions presented, the researchers highly recommended that the mock board examination questionnaires may undergo a pre and post item analysis (Manalo et.al., 2013)</w:t>
      </w:r>
      <w:r>
        <w:rPr>
          <w:rFonts w:ascii="Arial" w:eastAsia="Arial" w:hAnsi="Arial" w:cs="Arial"/>
          <w:sz w:val="22"/>
        </w:rPr>
        <w:tab/>
      </w:r>
    </w:p>
    <w:p w14:paraId="4719E7FA" w14:textId="77777777" w:rsidR="009E11D4" w:rsidRDefault="009E11D4">
      <w:pPr>
        <w:ind w:left="0" w:hanging="2"/>
        <w:jc w:val="both"/>
        <w:rPr>
          <w:rFonts w:ascii="Arial" w:eastAsia="Arial" w:hAnsi="Arial" w:cs="Arial"/>
          <w:sz w:val="22"/>
        </w:rPr>
      </w:pPr>
    </w:p>
    <w:p w14:paraId="47E54314" w14:textId="77777777" w:rsidR="009E11D4" w:rsidRDefault="00000000">
      <w:pPr>
        <w:ind w:left="0" w:hanging="2"/>
        <w:jc w:val="both"/>
        <w:rPr>
          <w:rFonts w:ascii="Arial" w:eastAsia="Arial" w:hAnsi="Arial" w:cs="Arial"/>
          <w:sz w:val="22"/>
        </w:rPr>
      </w:pPr>
      <w:r>
        <w:rPr>
          <w:rFonts w:ascii="Arial" w:eastAsia="Arial" w:hAnsi="Arial" w:cs="Arial"/>
          <w:sz w:val="22"/>
        </w:rPr>
        <w:t>There was also a significant positive relationship between the number of first timers and LET performance, which implies that the greater the number of first timers, the greater the tendency to attain better performance, and the number of repeaters and LET performance were significantly but negatively correlated, which suggests that TEIs with fewer repeaters tend to obtain a higher performance. This suggests that the TEIs have to implement strict admission and retention policy so that only qualified and outstanding students will be retained (Nool &amp; Ladia, 2017).</w:t>
      </w:r>
    </w:p>
    <w:p w14:paraId="414B2743" w14:textId="77777777" w:rsidR="009E11D4" w:rsidRDefault="009E11D4">
      <w:pPr>
        <w:ind w:left="0" w:hanging="2"/>
        <w:jc w:val="both"/>
        <w:rPr>
          <w:rFonts w:ascii="Arial" w:eastAsia="Arial" w:hAnsi="Arial" w:cs="Arial"/>
          <w:sz w:val="22"/>
        </w:rPr>
      </w:pPr>
    </w:p>
    <w:p w14:paraId="7B2E1CBD" w14:textId="77777777" w:rsidR="009E11D4" w:rsidRDefault="00000000">
      <w:pPr>
        <w:ind w:left="0" w:hanging="2"/>
        <w:jc w:val="both"/>
        <w:rPr>
          <w:rFonts w:ascii="Arial" w:eastAsia="Arial" w:hAnsi="Arial" w:cs="Arial"/>
          <w:sz w:val="22"/>
        </w:rPr>
      </w:pPr>
      <w:r>
        <w:rPr>
          <w:rFonts w:ascii="Arial" w:eastAsia="Arial" w:hAnsi="Arial" w:cs="Arial"/>
          <w:sz w:val="22"/>
        </w:rPr>
        <w:t>Aside from merely passing the board exam, it’s very examinees goal to topnotch it also. In the study of (</w:t>
      </w:r>
      <w:proofErr w:type="spellStart"/>
      <w:r>
        <w:rPr>
          <w:rFonts w:ascii="Arial" w:eastAsia="Arial" w:hAnsi="Arial" w:cs="Arial"/>
          <w:sz w:val="22"/>
        </w:rPr>
        <w:t>Pattaguan</w:t>
      </w:r>
      <w:proofErr w:type="spellEnd"/>
      <w:r>
        <w:rPr>
          <w:rFonts w:ascii="Arial" w:eastAsia="Arial" w:hAnsi="Arial" w:cs="Arial"/>
          <w:sz w:val="22"/>
        </w:rPr>
        <w:t>, 2018) topping the Board Licensure Examination for Certified Public Accountant is a result of different complimentary factors. The formula derived from his study is aptly illustrated in the following framework for Accounting Education Achievement which basically is a complement of the internal and external environments of the achievers. It is dubbed as P-SHP Theory of Productivity in Accounting Education. P-SHP refers to Personal Factors, being supported by School factors, Home Factors and Peer Factor. This framework was conceived as the researcher’s contribution towards Excellence in Accounting Education. For most part, personal factors such as good study habits, coupled with strong faith in God, being consistent academically, determination and positive outlook in life, represent the internal environment that play a major role in the achievement of the topnotch graduates. Complementing the internal environment is the school, home and peer factors- the external environment. The school’s high standard curriculum, qualified faculty, up-to-date learning resources, Structured Review Program and Administration’s support form part of school factors that contribute to excellent performance. These school factors are ably supported by home factors-inspiring family, father as icon of leadership, and peer factor-with classmates as review buddies/group.</w:t>
      </w:r>
    </w:p>
    <w:p w14:paraId="331171FA" w14:textId="77777777" w:rsidR="009E11D4" w:rsidRDefault="009E11D4">
      <w:pPr>
        <w:ind w:left="0" w:hanging="2"/>
        <w:jc w:val="both"/>
        <w:rPr>
          <w:rFonts w:ascii="Arial" w:eastAsia="Arial" w:hAnsi="Arial" w:cs="Arial"/>
          <w:sz w:val="22"/>
        </w:rPr>
      </w:pPr>
    </w:p>
    <w:p w14:paraId="3F4E4C47"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Factors Affecting Electronics Engineering Board Exam Performance</w:t>
      </w:r>
    </w:p>
    <w:p w14:paraId="39D10C12"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3C8E4EF"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lastRenderedPageBreak/>
        <w:tab/>
      </w:r>
      <w:r>
        <w:rPr>
          <w:rFonts w:ascii="Arial" w:eastAsia="Arial" w:hAnsi="Arial" w:cs="Arial"/>
          <w:color w:val="000000"/>
          <w:sz w:val="22"/>
        </w:rPr>
        <w:t xml:space="preserve">Passing the licensure examination given by the PRC is one of the greatest achievements in one’s life. This examination is intended to prove the graduates’ knowledge, progress, skills and qualification in a particular profession. It needs a lot of time to </w:t>
      </w:r>
      <w:proofErr w:type="gramStart"/>
      <w:r>
        <w:rPr>
          <w:rFonts w:ascii="Arial" w:eastAsia="Arial" w:hAnsi="Arial" w:cs="Arial"/>
          <w:color w:val="000000"/>
          <w:sz w:val="22"/>
        </w:rPr>
        <w:t>study,</w:t>
      </w:r>
      <w:proofErr w:type="gramEnd"/>
      <w:r>
        <w:rPr>
          <w:rFonts w:ascii="Arial" w:eastAsia="Arial" w:hAnsi="Arial" w:cs="Arial"/>
          <w:color w:val="000000"/>
          <w:sz w:val="22"/>
        </w:rPr>
        <w:t xml:space="preserve"> to have self-discipline, patience and determination and these will not be possible without prayers, support and encouragement (Manalo &amp; </w:t>
      </w:r>
      <w:proofErr w:type="spellStart"/>
      <w:r>
        <w:rPr>
          <w:rFonts w:ascii="Arial" w:eastAsia="Arial" w:hAnsi="Arial" w:cs="Arial"/>
          <w:color w:val="000000"/>
          <w:sz w:val="22"/>
        </w:rPr>
        <w:t>Obligar</w:t>
      </w:r>
      <w:proofErr w:type="spellEnd"/>
      <w:r>
        <w:rPr>
          <w:rFonts w:ascii="Arial" w:eastAsia="Arial" w:hAnsi="Arial" w:cs="Arial"/>
          <w:color w:val="000000"/>
          <w:sz w:val="22"/>
        </w:rPr>
        <w:t xml:space="preserve">, 2013) </w:t>
      </w:r>
    </w:p>
    <w:p w14:paraId="6D0368DB"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6DA9710"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The RA 9292, an act providing for a more responsive and comprehensive regulation for the registration and practice of Professional Electronics Engineers, Electronics Engineers and Electronics Technician repealing RA 5734, otherwise known as the Electronics and Communications Engineering Act of the Philippines, to pass the licensure examination, a candidate for Electronics Engineer or Electronics Technician must obtain a passing rating of seventy percent (70%) in each subject given during the examination: Provided, however, That a candidate who obtains a passing rating in the majority of the subjects but obtains a rating in the other subject/s below seventy percent (70%) but not lower than sixty percent (60%), shall be allowed to take one removal examination on the subject/s where he/she failed to obtain the passing rating. Provided, finally, that should the examinee fail to obtain a passing rating in the removal examination, he/she shall be considered as having failed the entire licensure examination (RA 9292). To pass these licensure examinations, engineering students have to undergo five years of baccalaureate studies through educating and cultivating their knowledge, skills and values with the application of different concepts and theories of learning.</w:t>
      </w:r>
    </w:p>
    <w:p w14:paraId="7AE2243D"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509539C9" w14:textId="77777777" w:rsidR="009E11D4" w:rsidRDefault="00000000">
      <w:pPr>
        <w:ind w:left="0" w:hanging="2"/>
        <w:jc w:val="both"/>
        <w:rPr>
          <w:rFonts w:ascii="Arial" w:eastAsia="Arial" w:hAnsi="Arial" w:cs="Arial"/>
          <w:sz w:val="22"/>
        </w:rPr>
      </w:pPr>
      <w:r>
        <w:rPr>
          <w:rFonts w:ascii="Arial" w:eastAsia="Arial" w:hAnsi="Arial" w:cs="Arial"/>
          <w:sz w:val="22"/>
        </w:rPr>
        <w:t>Results showed in the study of (Rivera, 2021) that in all ten examinations in ECE Board Exam from the year 2012-2016, the average passing rates of majority of HEIs are less than the national passing rates. Both the national passing rates and the average passing rates of HEIs have been fluctuating but mostly hovering between 30 to 40% over the ten examinations. Moreover, the most frequent occurring passing rate of HEIs with less than 25 takers is 0%. There is then a need to monitor and investigate HEIs with less than 25 takers to probe on the causes of low passing rates. To pass the licensure examination for ECE, graduates should obtain the passing rate of 70% in the four areas, namely, Engineering Mathematics (20%), Electronics Engineering (30%), General Engineering and Applied Sciences (20%), and Electronic Systems and Technologies (30%) (RA9292)</w:t>
      </w:r>
    </w:p>
    <w:p w14:paraId="07D6B701"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533752D1" w14:textId="77777777" w:rsidR="009E11D4" w:rsidRDefault="00000000">
      <w:pPr>
        <w:ind w:left="0" w:hanging="2"/>
        <w:jc w:val="both"/>
        <w:rPr>
          <w:rFonts w:ascii="Arial" w:eastAsia="Arial" w:hAnsi="Arial" w:cs="Arial"/>
          <w:sz w:val="22"/>
        </w:rPr>
      </w:pPr>
      <w:r>
        <w:rPr>
          <w:rFonts w:ascii="Arial" w:eastAsia="Arial" w:hAnsi="Arial" w:cs="Arial"/>
          <w:sz w:val="22"/>
        </w:rPr>
        <w:t>Moreover, according to the results of the study of (</w:t>
      </w:r>
      <w:proofErr w:type="spellStart"/>
      <w:r>
        <w:rPr>
          <w:rFonts w:ascii="Arial" w:eastAsia="Arial" w:hAnsi="Arial" w:cs="Arial"/>
          <w:sz w:val="22"/>
        </w:rPr>
        <w:t>Dayaday</w:t>
      </w:r>
      <w:proofErr w:type="spellEnd"/>
      <w:r>
        <w:rPr>
          <w:rFonts w:ascii="Arial" w:eastAsia="Arial" w:hAnsi="Arial" w:cs="Arial"/>
          <w:sz w:val="22"/>
        </w:rPr>
        <w:t xml:space="preserve">, 2018) the facility and laboratory facility/equipment is the factor that rated poorly with regard to its effect on the performance of their institution in the board exam with respect to the assessment of the respondents (passers and non-passers). It revealed that the higher the score in their comprehensive exam the greater the possibility in passing the licensure examination. Faculty and instructional materials favorably affect the board examination of the passers. Curriculum, admission/retention policy, review preparation and mental /study behavior </w:t>
      </w:r>
      <w:proofErr w:type="gramStart"/>
      <w:r>
        <w:rPr>
          <w:rFonts w:ascii="Arial" w:eastAsia="Arial" w:hAnsi="Arial" w:cs="Arial"/>
          <w:sz w:val="22"/>
        </w:rPr>
        <w:t>has</w:t>
      </w:r>
      <w:proofErr w:type="gramEnd"/>
      <w:r>
        <w:rPr>
          <w:rFonts w:ascii="Arial" w:eastAsia="Arial" w:hAnsi="Arial" w:cs="Arial"/>
          <w:sz w:val="22"/>
        </w:rPr>
        <w:t xml:space="preserve"> less significant effects on the performance of their institution. Also, (</w:t>
      </w:r>
      <w:proofErr w:type="spellStart"/>
      <w:r>
        <w:rPr>
          <w:rFonts w:ascii="Arial" w:eastAsia="Arial" w:hAnsi="Arial" w:cs="Arial"/>
          <w:sz w:val="22"/>
        </w:rPr>
        <w:t>Terano</w:t>
      </w:r>
      <w:proofErr w:type="spellEnd"/>
      <w:r>
        <w:rPr>
          <w:rFonts w:ascii="Arial" w:eastAsia="Arial" w:hAnsi="Arial" w:cs="Arial"/>
          <w:sz w:val="22"/>
        </w:rPr>
        <w:t>, 2018) stated that academic performances and pre-board examination performances were good predictors of the graduates’ achievement in the licensure examinations. But in the study of (Flores, Layson &amp; Nacion, 2019), academic performance best predicts the Licensure Examination. Therefore, a student must exert much effort in studying well, because all the basic information and knowledge they need for the preparation for the LE are all gained during their collegiate years. Hence, it should be taken into consideration that the curriculum of the University’s Electronics Engineering program should be in line with the syllabi used for the Board examination.</w:t>
      </w:r>
    </w:p>
    <w:p w14:paraId="0C70F146" w14:textId="77777777" w:rsidR="009E11D4" w:rsidRDefault="009E11D4">
      <w:pPr>
        <w:ind w:left="0" w:hanging="2"/>
        <w:jc w:val="both"/>
        <w:rPr>
          <w:rFonts w:ascii="Arial" w:eastAsia="Arial" w:hAnsi="Arial" w:cs="Arial"/>
          <w:sz w:val="22"/>
        </w:rPr>
      </w:pPr>
    </w:p>
    <w:p w14:paraId="63E4B9A2" w14:textId="77777777" w:rsidR="009E11D4" w:rsidRDefault="00000000">
      <w:pPr>
        <w:ind w:left="0" w:hanging="2"/>
        <w:jc w:val="both"/>
        <w:rPr>
          <w:rFonts w:ascii="Arial" w:eastAsia="Arial" w:hAnsi="Arial" w:cs="Arial"/>
          <w:sz w:val="22"/>
        </w:rPr>
      </w:pPr>
      <w:r>
        <w:rPr>
          <w:rFonts w:ascii="Arial" w:eastAsia="Arial" w:hAnsi="Arial" w:cs="Arial"/>
          <w:sz w:val="22"/>
        </w:rPr>
        <w:lastRenderedPageBreak/>
        <w:t>Results showed also that ECE examinees obtained low performance in comprehensive examinations with high levels of study habits and academic behavior. Affective domain is significantly related to and predicts Licensure examination Performance of the respondents. Outcomes-based curriculum must be adapted to periodically monitor the academic performance and behavior as well as the result of study habits of the students. Teachers must consistently monitor the academic performance and behavior of engineering students to provide thorough guidance for those who are low achievers (</w:t>
      </w:r>
      <w:proofErr w:type="spellStart"/>
      <w:r>
        <w:rPr>
          <w:rFonts w:ascii="Arial" w:eastAsia="Arial" w:hAnsi="Arial" w:cs="Arial"/>
          <w:sz w:val="22"/>
        </w:rPr>
        <w:t>Laguador</w:t>
      </w:r>
      <w:proofErr w:type="spellEnd"/>
      <w:r>
        <w:rPr>
          <w:rFonts w:ascii="Arial" w:eastAsia="Arial" w:hAnsi="Arial" w:cs="Arial"/>
          <w:sz w:val="22"/>
        </w:rPr>
        <w:t xml:space="preserve"> et.al., 2013). As there is a substantial relationship between the academic achievement and the board examination rating of the ECE graduates in all subjects (</w:t>
      </w:r>
      <w:proofErr w:type="spellStart"/>
      <w:r>
        <w:rPr>
          <w:rFonts w:ascii="Arial" w:eastAsia="Arial" w:hAnsi="Arial" w:cs="Arial"/>
          <w:sz w:val="22"/>
        </w:rPr>
        <w:t>Banluta</w:t>
      </w:r>
      <w:proofErr w:type="spellEnd"/>
      <w:r>
        <w:rPr>
          <w:rFonts w:ascii="Arial" w:eastAsia="Arial" w:hAnsi="Arial" w:cs="Arial"/>
          <w:sz w:val="22"/>
        </w:rPr>
        <w:t>, 2013).</w:t>
      </w:r>
    </w:p>
    <w:p w14:paraId="58B26653" w14:textId="77777777" w:rsidR="009E11D4" w:rsidRDefault="009E11D4">
      <w:pPr>
        <w:ind w:left="0" w:hanging="2"/>
        <w:jc w:val="both"/>
        <w:rPr>
          <w:rFonts w:ascii="Arial" w:eastAsia="Arial" w:hAnsi="Arial" w:cs="Arial"/>
          <w:sz w:val="22"/>
        </w:rPr>
      </w:pPr>
    </w:p>
    <w:p w14:paraId="4F0C5C43" w14:textId="77777777" w:rsidR="009E11D4" w:rsidRDefault="00000000">
      <w:pPr>
        <w:ind w:left="0" w:hanging="2"/>
        <w:jc w:val="both"/>
        <w:rPr>
          <w:rFonts w:ascii="Arial" w:eastAsia="Arial" w:hAnsi="Arial" w:cs="Arial"/>
          <w:sz w:val="22"/>
        </w:rPr>
      </w:pPr>
      <w:r>
        <w:rPr>
          <w:rFonts w:ascii="Arial" w:eastAsia="Arial" w:hAnsi="Arial" w:cs="Arial"/>
          <w:sz w:val="22"/>
        </w:rPr>
        <w:t>The Electronics Engineer Licensure Examination (ECE Board Exam) is a rigorous test of knowledge and skills in Electronics Engineering, administered by the Professional Regulation Commission (PRC) in the Philippines. The exam is designed to ensure that only qualified individuals are granted a license to practice Electronics Engineering in the country. However, in recent years, the ECE Board Exam results have been a cause for concern, as the passing rates have been very low. According to the PRC, the average passing rate for the ECE Board Exam from 2016 to 2021 was only 39.56%. This means that more than 60% of the examinees failed to meet the minimum passing score. This is a worrying trend, as it indicates that a significant number of graduates of Bachelor of Science in Electronics Engineering (BSECE) programs in the Philippines are not adequately prepared for the demands of the profession (Aguilar, 2020).</w:t>
      </w:r>
    </w:p>
    <w:p w14:paraId="283C5593" w14:textId="77777777" w:rsidR="009E11D4" w:rsidRDefault="009E11D4">
      <w:pPr>
        <w:ind w:left="0" w:hanging="2"/>
        <w:jc w:val="both"/>
        <w:rPr>
          <w:rFonts w:ascii="Arial" w:eastAsia="Arial" w:hAnsi="Arial" w:cs="Arial"/>
          <w:sz w:val="22"/>
        </w:rPr>
      </w:pPr>
    </w:p>
    <w:p w14:paraId="2DABBD13" w14:textId="77777777" w:rsidR="009E11D4" w:rsidRDefault="00000000">
      <w:pPr>
        <w:ind w:left="0" w:hanging="2"/>
        <w:jc w:val="both"/>
        <w:rPr>
          <w:rFonts w:ascii="Arial" w:eastAsia="Arial" w:hAnsi="Arial" w:cs="Arial"/>
          <w:sz w:val="22"/>
        </w:rPr>
      </w:pPr>
      <w:r>
        <w:rPr>
          <w:rFonts w:ascii="Arial" w:eastAsia="Arial" w:hAnsi="Arial" w:cs="Arial"/>
          <w:sz w:val="22"/>
        </w:rPr>
        <w:t>There is still a need to consider studying and/or revisiting the impact of the present departmental and institutional practices on Licensure Examination performance. The problematic areas must be given more focus and emphasis during instruction and review. Graduates must be encouraged to attend review classes, and the institution must do something to reach out to the repeaters. Course appraisal must also be properly monitored and implemented. Moreover, the institution might consider benchmarking on the best practices of top-performing institutions. Moreover, there must be a follow-up study on the impact of other examinee variables, teacher characteristics and administrative support on licensure performance. Furthermore, evaluation and studies should also be conducted on the effect of other intervention programs on licensure results (Lascano et.al., 2017).</w:t>
      </w:r>
    </w:p>
    <w:p w14:paraId="30813F1F" w14:textId="77777777" w:rsidR="009E11D4" w:rsidRDefault="009E11D4">
      <w:pPr>
        <w:ind w:left="0" w:hanging="2"/>
        <w:jc w:val="both"/>
        <w:rPr>
          <w:rFonts w:ascii="Arial" w:eastAsia="Arial" w:hAnsi="Arial" w:cs="Arial"/>
          <w:sz w:val="22"/>
        </w:rPr>
      </w:pPr>
    </w:p>
    <w:p w14:paraId="695F4B18" w14:textId="77777777" w:rsidR="009E11D4" w:rsidRDefault="009E11D4">
      <w:pPr>
        <w:ind w:left="0" w:hanging="2"/>
        <w:jc w:val="both"/>
        <w:rPr>
          <w:rFonts w:ascii="Arial" w:eastAsia="Arial" w:hAnsi="Arial" w:cs="Arial"/>
          <w:sz w:val="22"/>
        </w:rPr>
      </w:pPr>
    </w:p>
    <w:p w14:paraId="07D0D8D3" w14:textId="77777777" w:rsidR="009E11D4" w:rsidRDefault="00000000">
      <w:pPr>
        <w:ind w:left="0" w:hanging="2"/>
        <w:jc w:val="both"/>
        <w:rPr>
          <w:rFonts w:ascii="Arial" w:eastAsia="Arial" w:hAnsi="Arial" w:cs="Arial"/>
          <w:sz w:val="22"/>
        </w:rPr>
      </w:pPr>
      <w:r>
        <w:rPr>
          <w:rFonts w:ascii="Arial" w:eastAsia="Arial" w:hAnsi="Arial" w:cs="Arial"/>
          <w:sz w:val="22"/>
        </w:rPr>
        <w:t>The students’ grade point average and the grade in a correlation course, which was added in the curriculum to enhance chances of passing the licensure examination, were determined as predictors of performance in electronics and communication engineer licensure examination. It was further observed in their study that in order to pass the board examination, the applicant must obtain good grades in the following subjects: mathematics; electronics; general electronics and applied science; and electronics science and technology (</w:t>
      </w:r>
      <w:proofErr w:type="spellStart"/>
      <w:r>
        <w:rPr>
          <w:rFonts w:ascii="Arial" w:eastAsia="Arial" w:hAnsi="Arial" w:cs="Arial"/>
          <w:sz w:val="22"/>
        </w:rPr>
        <w:t>Tamayao</w:t>
      </w:r>
      <w:proofErr w:type="spellEnd"/>
      <w:r>
        <w:rPr>
          <w:rFonts w:ascii="Arial" w:eastAsia="Arial" w:hAnsi="Arial" w:cs="Arial"/>
          <w:sz w:val="22"/>
        </w:rPr>
        <w:t xml:space="preserve"> et.al., 2014). Moreover, (</w:t>
      </w:r>
      <w:proofErr w:type="spellStart"/>
      <w:r>
        <w:rPr>
          <w:rFonts w:ascii="Arial" w:eastAsia="Arial" w:hAnsi="Arial" w:cs="Arial"/>
          <w:sz w:val="22"/>
        </w:rPr>
        <w:t>Forones</w:t>
      </w:r>
      <w:proofErr w:type="spellEnd"/>
      <w:r>
        <w:rPr>
          <w:rFonts w:ascii="Arial" w:eastAsia="Arial" w:hAnsi="Arial" w:cs="Arial"/>
          <w:sz w:val="22"/>
        </w:rPr>
        <w:t xml:space="preserve">, 2012) also found out that the general education grades and professional subject grades are both significantly related to the board examination ratings of the electronics engineering graduates. </w:t>
      </w:r>
    </w:p>
    <w:p w14:paraId="721AC8DA" w14:textId="77777777" w:rsidR="009E11D4" w:rsidRDefault="009E11D4">
      <w:pPr>
        <w:ind w:left="0" w:hanging="2"/>
        <w:jc w:val="both"/>
        <w:rPr>
          <w:rFonts w:ascii="Arial" w:eastAsia="Arial" w:hAnsi="Arial" w:cs="Arial"/>
          <w:sz w:val="22"/>
        </w:rPr>
      </w:pPr>
    </w:p>
    <w:p w14:paraId="089847DD"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Students’ Experiences in Engineering Education</w:t>
      </w:r>
    </w:p>
    <w:p w14:paraId="550995B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BC182AA"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lastRenderedPageBreak/>
        <w:tab/>
      </w:r>
      <w:r>
        <w:rPr>
          <w:rFonts w:ascii="Arial" w:eastAsia="Arial" w:hAnsi="Arial" w:cs="Arial"/>
          <w:color w:val="000000"/>
          <w:sz w:val="22"/>
        </w:rPr>
        <w:t xml:space="preserve">The performance of the students in every institution plays a very important role   in determining the quality of education, which eventually guarantees the efficiency and effectiveness in application of a chosen profession or career. It suggests higher standard of performance of instructional </w:t>
      </w:r>
      <w:r>
        <w:rPr>
          <w:rFonts w:ascii="Arial" w:eastAsia="Arial" w:hAnsi="Arial" w:cs="Arial"/>
          <w:sz w:val="22"/>
        </w:rPr>
        <w:t>systems</w:t>
      </w:r>
      <w:r>
        <w:rPr>
          <w:rFonts w:ascii="Arial" w:eastAsia="Arial" w:hAnsi="Arial" w:cs="Arial"/>
          <w:color w:val="000000"/>
          <w:sz w:val="22"/>
        </w:rPr>
        <w:t xml:space="preserve"> and consequently, the performance of   the students in the licensure examination reflects the institution’s efficiency as well as the intellectual capacity of the students (</w:t>
      </w:r>
      <w:proofErr w:type="spellStart"/>
      <w:r>
        <w:rPr>
          <w:rFonts w:ascii="Arial" w:eastAsia="Arial" w:hAnsi="Arial" w:cs="Arial"/>
          <w:color w:val="000000"/>
          <w:sz w:val="22"/>
        </w:rPr>
        <w:t>Amanonce</w:t>
      </w:r>
      <w:proofErr w:type="spellEnd"/>
      <w:r>
        <w:rPr>
          <w:rFonts w:ascii="Arial" w:eastAsia="Arial" w:hAnsi="Arial" w:cs="Arial"/>
          <w:color w:val="000000"/>
          <w:sz w:val="22"/>
        </w:rPr>
        <w:t xml:space="preserve"> and Maramag, 2020).</w:t>
      </w:r>
    </w:p>
    <w:p w14:paraId="79BEB741"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2489306D"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Engineering students </w:t>
      </w:r>
      <w:r>
        <w:rPr>
          <w:rFonts w:ascii="Arial" w:eastAsia="Arial" w:hAnsi="Arial" w:cs="Arial"/>
          <w:sz w:val="22"/>
        </w:rPr>
        <w:t>have a significantly</w:t>
      </w:r>
      <w:r>
        <w:rPr>
          <w:rFonts w:ascii="Arial" w:eastAsia="Arial" w:hAnsi="Arial" w:cs="Arial"/>
          <w:color w:val="000000"/>
          <w:sz w:val="22"/>
        </w:rPr>
        <w:t xml:space="preserve"> higher level of positive attitude towards academic performance during their junior level but significantly lower after taking professional courses. Attaining high academic performance still really matters for the engineering students during their junior level but continuously changing their perspective due to </w:t>
      </w:r>
      <w:r>
        <w:rPr>
          <w:rFonts w:ascii="Arial" w:eastAsia="Arial" w:hAnsi="Arial" w:cs="Arial"/>
          <w:sz w:val="22"/>
        </w:rPr>
        <w:t>encountering</w:t>
      </w:r>
      <w:r>
        <w:rPr>
          <w:rFonts w:ascii="Arial" w:eastAsia="Arial" w:hAnsi="Arial" w:cs="Arial"/>
          <w:color w:val="000000"/>
          <w:sz w:val="22"/>
        </w:rPr>
        <w:t xml:space="preserve"> challenging experiences while taking the professional courses. Performance in General Engineering courses describes the attitude of the students towards academic performance </w:t>
      </w:r>
      <w:r>
        <w:rPr>
          <w:rFonts w:ascii="Arial" w:eastAsia="Arial" w:hAnsi="Arial" w:cs="Arial"/>
          <w:sz w:val="22"/>
        </w:rPr>
        <w:t>in the personal</w:t>
      </w:r>
      <w:r>
        <w:rPr>
          <w:rFonts w:ascii="Arial" w:eastAsia="Arial" w:hAnsi="Arial" w:cs="Arial"/>
          <w:color w:val="000000"/>
          <w:sz w:val="22"/>
        </w:rPr>
        <w:t xml:space="preserve"> aspect while professional courses define their attitude </w:t>
      </w:r>
      <w:r>
        <w:rPr>
          <w:rFonts w:ascii="Arial" w:eastAsia="Arial" w:hAnsi="Arial" w:cs="Arial"/>
          <w:sz w:val="22"/>
        </w:rPr>
        <w:t>in the professional</w:t>
      </w:r>
      <w:r>
        <w:rPr>
          <w:rFonts w:ascii="Arial" w:eastAsia="Arial" w:hAnsi="Arial" w:cs="Arial"/>
          <w:color w:val="000000"/>
          <w:sz w:val="22"/>
        </w:rPr>
        <w:t xml:space="preserve"> aspect (</w:t>
      </w:r>
      <w:proofErr w:type="spellStart"/>
      <w:r>
        <w:rPr>
          <w:rFonts w:ascii="Arial" w:eastAsia="Arial" w:hAnsi="Arial" w:cs="Arial"/>
          <w:color w:val="000000"/>
          <w:sz w:val="22"/>
        </w:rPr>
        <w:t>Laguador</w:t>
      </w:r>
      <w:proofErr w:type="spellEnd"/>
      <w:r>
        <w:rPr>
          <w:rFonts w:ascii="Arial" w:eastAsia="Arial" w:hAnsi="Arial" w:cs="Arial"/>
          <w:color w:val="000000"/>
          <w:sz w:val="22"/>
        </w:rPr>
        <w:t xml:space="preserve"> et.al., 2020). </w:t>
      </w:r>
    </w:p>
    <w:p w14:paraId="3E138A28"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EA80217"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There are six broad factors driving students to leave engineering: classroom and academic climate, grades and conceptual understanding, self-efficacy and self-confidence, high school preparation, interest and career goals, and race and gender. Furthermore, published retention studies suggest that retention can be increased by addressing one or more of these six factors. The review identified a clear gap in the literature, namely the costs associated with losing students, and the costs associated with implementing retention strategies. A better understanding of these costs might encourage academic units to focus more strongly on retention and might also provide useful guidance to educators and administrators on the most cost-effective approaches to increasing retention (Geisinger &amp; Raman, 2013).</w:t>
      </w:r>
    </w:p>
    <w:p w14:paraId="5E64F2DD"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1C5DF33"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i/>
          <w:color w:val="000000"/>
          <w:sz w:val="22"/>
        </w:rPr>
        <w:tab/>
      </w:r>
      <w:r>
        <w:rPr>
          <w:rFonts w:ascii="Arial" w:eastAsia="Arial" w:hAnsi="Arial" w:cs="Arial"/>
          <w:color w:val="000000"/>
          <w:sz w:val="22"/>
        </w:rPr>
        <w:t>Results indicate that when engineering is introduced at the beginning of the unit to provide context for the learning, and revisited throughout the duration of the unit, student achievement gains with engineering assessment items are greater than when engineering is incorporated only at the end of the unit as a design challenge in the form of a culminating project (Crotty et.al., 2017).</w:t>
      </w:r>
    </w:p>
    <w:p w14:paraId="7F109C56"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B4A9643"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Identifying with math and physics upon entrance to college predicts engineering choice for both men and women. These subject-related identities are the types of identities that students hold prior to having direct experience with engineering. By fostering the development of these subject-related identities prior to college enrollment and early in students’ college careers, more students may be recruited and retained in engineering. Students’ agency beliefs are also important to their engineering career choice. Students who see practical applications for engineering as a way to improve the world are more likely to choose engineering as a career. It is imperative to understand how students are developing a sense of identity with engineering both in high school and in college, especially for students who have been traditionally marginalized. The development of the critical engineering agency framework and application through structural equation modeling adds to the current understanding of what leads students to choose engineering as a career at the beginning of college. (Godwin et.al, 2016).</w:t>
      </w:r>
    </w:p>
    <w:p w14:paraId="37736E51"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25BFB6E"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Results indicate that average examination scores improved by about 6% in active learning sections, and that students in classes with traditional lecturing were 1.5 times more likely to fail than were students in classes with active learning. The results also </w:t>
      </w:r>
      <w:r>
        <w:rPr>
          <w:rFonts w:ascii="Arial" w:eastAsia="Arial" w:hAnsi="Arial" w:cs="Arial"/>
          <w:color w:val="000000"/>
          <w:sz w:val="22"/>
        </w:rPr>
        <w:lastRenderedPageBreak/>
        <w:t xml:space="preserve">appear robust to variation in the methodological rigor of the included studies, based on the quality of controls over student quality and instructor identity. This is the largest and most comprehensive </w:t>
      </w:r>
      <w:proofErr w:type="spellStart"/>
      <w:r>
        <w:rPr>
          <w:rFonts w:ascii="Arial" w:eastAsia="Arial" w:hAnsi="Arial" w:cs="Arial"/>
          <w:color w:val="000000"/>
          <w:sz w:val="22"/>
        </w:rPr>
        <w:t>metaanalysis</w:t>
      </w:r>
      <w:proofErr w:type="spellEnd"/>
      <w:r>
        <w:rPr>
          <w:rFonts w:ascii="Arial" w:eastAsia="Arial" w:hAnsi="Arial" w:cs="Arial"/>
          <w:color w:val="000000"/>
          <w:sz w:val="22"/>
        </w:rPr>
        <w:t xml:space="preserve"> of undergraduate STEM education published to date. The results raise questions about the continued use of traditional lecturing as a control in research studies, and support active learning as the preferred, empirically validated teaching practice in regular classrooms (Freeman et.al., 2014). </w:t>
      </w:r>
    </w:p>
    <w:p w14:paraId="7DC99B46"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A56D759"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Results also showed that percentages of students who switched out of a STEM major after taking a physics course taught using traditional lectures only or one taught using PI, finding that nearly twice the percentage of students </w:t>
      </w:r>
      <w:r>
        <w:rPr>
          <w:rFonts w:ascii="Arial" w:eastAsia="Arial" w:hAnsi="Arial" w:cs="Arial"/>
          <w:sz w:val="22"/>
        </w:rPr>
        <w:t>switched</w:t>
      </w:r>
      <w:r>
        <w:rPr>
          <w:rFonts w:ascii="Arial" w:eastAsia="Arial" w:hAnsi="Arial" w:cs="Arial"/>
          <w:color w:val="000000"/>
          <w:sz w:val="22"/>
        </w:rPr>
        <w:t xml:space="preserve"> after the lecture- based course. In light of the literature on STEM retention, the study proposed that providing opportunities for students to think, respond, and interact in class may have a substantial impact on the retention of students in STEM disciplines (Watkins et.al., 2013).</w:t>
      </w:r>
      <w:r>
        <w:rPr>
          <w:rFonts w:ascii="Arial" w:eastAsia="Arial" w:hAnsi="Arial" w:cs="Arial"/>
          <w:color w:val="000000"/>
          <w:sz w:val="22"/>
        </w:rPr>
        <w:br/>
      </w:r>
    </w:p>
    <w:p w14:paraId="3090420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The survey in the study of (Briones et.al., 2020) revealed that students were exceptionally high in their personal drive along self-motivation, but their commitment/goal setting needs to be defined. The use of resources was noted to be very highly used </w:t>
      </w:r>
      <w:r>
        <w:rPr>
          <w:rFonts w:ascii="Arial" w:eastAsia="Arial" w:hAnsi="Arial" w:cs="Arial"/>
          <w:sz w:val="22"/>
        </w:rPr>
        <w:t>along with study</w:t>
      </w:r>
      <w:r>
        <w:rPr>
          <w:rFonts w:ascii="Arial" w:eastAsia="Arial" w:hAnsi="Arial" w:cs="Arial"/>
          <w:color w:val="000000"/>
          <w:sz w:val="22"/>
        </w:rPr>
        <w:t xml:space="preserve"> skills, but health habits were the least given attention. It was further revealed that time management skills of the respondents were very high </w:t>
      </w:r>
      <w:r>
        <w:rPr>
          <w:rFonts w:ascii="Arial" w:eastAsia="Arial" w:hAnsi="Arial" w:cs="Arial"/>
          <w:sz w:val="22"/>
        </w:rPr>
        <w:t>along with deciding</w:t>
      </w:r>
      <w:r>
        <w:rPr>
          <w:rFonts w:ascii="Arial" w:eastAsia="Arial" w:hAnsi="Arial" w:cs="Arial"/>
          <w:color w:val="000000"/>
          <w:sz w:val="22"/>
        </w:rPr>
        <w:t xml:space="preserve"> and starting their study routine but are struggling with difficult tasks that are not of their interest but might be highly relevant to their professional examination.</w:t>
      </w:r>
    </w:p>
    <w:p w14:paraId="2941F870"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2E497C2"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In </w:t>
      </w:r>
      <w:proofErr w:type="gramStart"/>
      <w:r>
        <w:rPr>
          <w:rFonts w:ascii="Arial" w:eastAsia="Arial" w:hAnsi="Arial" w:cs="Arial"/>
          <w:color w:val="000000"/>
          <w:sz w:val="22"/>
        </w:rPr>
        <w:t>a research</w:t>
      </w:r>
      <w:proofErr w:type="gramEnd"/>
      <w:r>
        <w:rPr>
          <w:rFonts w:ascii="Arial" w:eastAsia="Arial" w:hAnsi="Arial" w:cs="Arial"/>
          <w:color w:val="000000"/>
          <w:sz w:val="22"/>
        </w:rPr>
        <w:t xml:space="preserve"> conducted (by </w:t>
      </w:r>
      <w:proofErr w:type="spellStart"/>
      <w:r>
        <w:rPr>
          <w:rFonts w:ascii="Arial" w:eastAsia="Arial" w:hAnsi="Arial" w:cs="Arial"/>
          <w:color w:val="000000"/>
          <w:sz w:val="22"/>
        </w:rPr>
        <w:t>Abanado</w:t>
      </w:r>
      <w:proofErr w:type="spellEnd"/>
      <w:r>
        <w:rPr>
          <w:rFonts w:ascii="Arial" w:eastAsia="Arial" w:hAnsi="Arial" w:cs="Arial"/>
          <w:color w:val="000000"/>
          <w:sz w:val="22"/>
        </w:rPr>
        <w:t xml:space="preserve"> et.al., 2014), most students preferred content-focused </w:t>
      </w:r>
      <w:r>
        <w:rPr>
          <w:rFonts w:ascii="Arial" w:eastAsia="Arial" w:hAnsi="Arial" w:cs="Arial"/>
          <w:sz w:val="22"/>
        </w:rPr>
        <w:t>methods</w:t>
      </w:r>
      <w:r>
        <w:rPr>
          <w:rFonts w:ascii="Arial" w:eastAsia="Arial" w:hAnsi="Arial" w:cs="Arial"/>
          <w:color w:val="000000"/>
          <w:sz w:val="22"/>
        </w:rPr>
        <w:t xml:space="preserve"> as their effective learning. In content-focused teaching methods, both the teacher and the learners have to fit into the content that is taught. Generally, this means the information and skills to be taught are regarded as sacrosanct or very important. A lot of emphasis is laid on the clarity and careful analyses of content. Both the teacher and the learners cannot alter or become critical of anything to do with the content. Moreover, General Engineering students’ primary mode of learning is visual learning. The factors that greatly affect the learning of General Engineering students are physical and environmental factors, thus environmental factors have greater impact to their learning compared to physical factors (Abante et.al., 2014).</w:t>
      </w:r>
    </w:p>
    <w:p w14:paraId="769EDAB8"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b/>
          <w:color w:val="000000"/>
          <w:sz w:val="22"/>
        </w:rPr>
        <w:t>Research Paradigm</w:t>
      </w:r>
    </w:p>
    <w:p w14:paraId="4739BE9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0D51FA3B"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b/>
          <w:color w:val="000000"/>
          <w:sz w:val="22"/>
        </w:rPr>
        <w:tab/>
      </w:r>
      <w:r>
        <w:rPr>
          <w:rFonts w:ascii="Arial" w:eastAsia="Arial" w:hAnsi="Arial" w:cs="Arial"/>
          <w:color w:val="000000"/>
          <w:sz w:val="22"/>
        </w:rPr>
        <w:t>Independent Variable</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 xml:space="preserve">         Dependent Variable</w:t>
      </w:r>
      <w:r>
        <w:rPr>
          <w:noProof/>
        </w:rPr>
        <mc:AlternateContent>
          <mc:Choice Requires="wpg">
            <w:drawing>
              <wp:anchor distT="0" distB="0" distL="114300" distR="114300" simplePos="0" relativeHeight="251658240" behindDoc="0" locked="0" layoutInCell="1" hidden="0" allowOverlap="1" wp14:anchorId="4D030F13" wp14:editId="09662CA3">
                <wp:simplePos x="0" y="0"/>
                <wp:positionH relativeFrom="column">
                  <wp:posOffset>50801</wp:posOffset>
                </wp:positionH>
                <wp:positionV relativeFrom="paragraph">
                  <wp:posOffset>152400</wp:posOffset>
                </wp:positionV>
                <wp:extent cx="3371215" cy="3938905"/>
                <wp:effectExtent l="0" t="0" r="0" b="0"/>
                <wp:wrapNone/>
                <wp:docPr id="1031" name="Rectangle 1031"/>
                <wp:cNvGraphicFramePr/>
                <a:graphic xmlns:a="http://schemas.openxmlformats.org/drawingml/2006/main">
                  <a:graphicData uri="http://schemas.microsoft.com/office/word/2010/wordprocessingShape">
                    <wps:wsp>
                      <wps:cNvSpPr/>
                      <wps:spPr>
                        <a:xfrm>
                          <a:off x="4241100" y="1317788"/>
                          <a:ext cx="2209800" cy="49244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F4BEAE8" w14:textId="77777777" w:rsidR="009E11D4" w:rsidRDefault="00000000">
                            <w:pPr>
                              <w:spacing w:line="240" w:lineRule="auto"/>
                              <w:ind w:left="0" w:hanging="2"/>
                            </w:pPr>
                            <w:r>
                              <w:rPr>
                                <w:rFonts w:ascii="Arimo" w:eastAsia="Arimo" w:hAnsi="Arimo" w:cs="Arimo"/>
                                <w:color w:val="000000"/>
                                <w:sz w:val="20"/>
                              </w:rPr>
                              <w:t>Profile of schools along the following:</w:t>
                            </w:r>
                          </w:p>
                          <w:p w14:paraId="5E7F9F25" w14:textId="77777777" w:rsidR="009E11D4" w:rsidRDefault="00000000">
                            <w:pPr>
                              <w:spacing w:line="240" w:lineRule="auto"/>
                              <w:ind w:left="0" w:hanging="2"/>
                              <w:jc w:val="both"/>
                            </w:pPr>
                            <w:r>
                              <w:rPr>
                                <w:rFonts w:ascii="Arimo" w:eastAsia="Arimo" w:hAnsi="Arimo" w:cs="Arimo"/>
                                <w:color w:val="000000"/>
                                <w:sz w:val="20"/>
                              </w:rPr>
                              <w:t>Year of establishment of the ECE program</w:t>
                            </w:r>
                          </w:p>
                          <w:p w14:paraId="6109389D" w14:textId="77777777" w:rsidR="009E11D4" w:rsidRDefault="00000000">
                            <w:pPr>
                              <w:spacing w:line="240" w:lineRule="auto"/>
                              <w:ind w:left="0" w:hanging="2"/>
                              <w:jc w:val="both"/>
                            </w:pPr>
                            <w:r>
                              <w:rPr>
                                <w:rFonts w:ascii="Arimo" w:eastAsia="Arimo" w:hAnsi="Arimo" w:cs="Arimo"/>
                                <w:color w:val="000000"/>
                                <w:sz w:val="20"/>
                              </w:rPr>
                              <w:t>CHED Typology</w:t>
                            </w:r>
                          </w:p>
                          <w:p w14:paraId="39CDC7A3" w14:textId="77777777" w:rsidR="009E11D4" w:rsidRDefault="00000000">
                            <w:pPr>
                              <w:spacing w:line="240" w:lineRule="auto"/>
                              <w:ind w:left="0" w:hanging="2"/>
                              <w:jc w:val="both"/>
                            </w:pPr>
                            <w:r>
                              <w:rPr>
                                <w:rFonts w:ascii="Arimo" w:eastAsia="Arimo" w:hAnsi="Arimo" w:cs="Arimo"/>
                                <w:color w:val="000000"/>
                                <w:sz w:val="20"/>
                              </w:rPr>
                              <w:t>Accreditation status</w:t>
                            </w:r>
                          </w:p>
                          <w:p w14:paraId="26708192" w14:textId="77777777" w:rsidR="009E11D4" w:rsidRDefault="00000000">
                            <w:pPr>
                              <w:spacing w:line="240" w:lineRule="auto"/>
                              <w:ind w:left="0" w:hanging="2"/>
                              <w:jc w:val="both"/>
                            </w:pPr>
                            <w:r>
                              <w:rPr>
                                <w:rFonts w:ascii="Arimo" w:eastAsia="Arimo" w:hAnsi="Arimo" w:cs="Arimo"/>
                                <w:color w:val="000000"/>
                                <w:sz w:val="20"/>
                              </w:rPr>
                              <w:t>Type of Institution</w:t>
                            </w:r>
                          </w:p>
                          <w:p w14:paraId="45279136" w14:textId="77777777" w:rsidR="009E11D4" w:rsidRDefault="00000000">
                            <w:pPr>
                              <w:spacing w:line="240" w:lineRule="auto"/>
                              <w:ind w:left="0" w:hanging="2"/>
                              <w:jc w:val="both"/>
                            </w:pPr>
                            <w:r>
                              <w:rPr>
                                <w:rFonts w:ascii="Arimo" w:eastAsia="Arimo" w:hAnsi="Arimo" w:cs="Arimo"/>
                                <w:color w:val="000000"/>
                                <w:sz w:val="20"/>
                              </w:rPr>
                              <w:t>Number of full-time faculty for the past five years.</w:t>
                            </w:r>
                          </w:p>
                          <w:p w14:paraId="19FA8FEC" w14:textId="77777777" w:rsidR="009E11D4" w:rsidRDefault="00000000">
                            <w:pPr>
                              <w:spacing w:line="240" w:lineRule="auto"/>
                              <w:ind w:left="0" w:hanging="2"/>
                              <w:jc w:val="both"/>
                            </w:pPr>
                            <w:r>
                              <w:rPr>
                                <w:rFonts w:ascii="Arimo" w:eastAsia="Arimo" w:hAnsi="Arimo" w:cs="Arimo"/>
                                <w:color w:val="000000"/>
                                <w:sz w:val="20"/>
                              </w:rPr>
                              <w:t>Number of graduates for the past five years.</w:t>
                            </w:r>
                          </w:p>
                          <w:p w14:paraId="3C701944" w14:textId="77777777" w:rsidR="009E11D4" w:rsidRDefault="00000000">
                            <w:pPr>
                              <w:spacing w:line="240" w:lineRule="auto"/>
                              <w:ind w:left="0" w:hanging="2"/>
                            </w:pPr>
                            <w:r>
                              <w:rPr>
                                <w:rFonts w:ascii="Arimo" w:eastAsia="Arimo" w:hAnsi="Arimo" w:cs="Arimo"/>
                                <w:color w:val="000000"/>
                                <w:sz w:val="20"/>
                              </w:rPr>
                              <w:t>Profile of ECE Graduates along:</w:t>
                            </w:r>
                          </w:p>
                          <w:p w14:paraId="338618F3" w14:textId="77777777" w:rsidR="009E11D4" w:rsidRDefault="00000000">
                            <w:pPr>
                              <w:spacing w:line="240" w:lineRule="auto"/>
                              <w:ind w:left="0" w:hanging="2"/>
                              <w:jc w:val="both"/>
                            </w:pPr>
                            <w:r>
                              <w:rPr>
                                <w:rFonts w:ascii="Arimo" w:eastAsia="Arimo" w:hAnsi="Arimo" w:cs="Arimo"/>
                                <w:color w:val="000000"/>
                                <w:sz w:val="20"/>
                              </w:rPr>
                              <w:t>Sex</w:t>
                            </w:r>
                          </w:p>
                          <w:p w14:paraId="3A77F48D" w14:textId="77777777" w:rsidR="009E11D4" w:rsidRDefault="00000000">
                            <w:pPr>
                              <w:spacing w:line="240" w:lineRule="auto"/>
                              <w:ind w:left="0" w:hanging="2"/>
                              <w:jc w:val="both"/>
                            </w:pPr>
                            <w:r>
                              <w:rPr>
                                <w:rFonts w:ascii="Arimo" w:eastAsia="Arimo" w:hAnsi="Arimo" w:cs="Arimo"/>
                                <w:color w:val="000000"/>
                                <w:sz w:val="20"/>
                              </w:rPr>
                              <w:t>Civil Status</w:t>
                            </w:r>
                          </w:p>
                          <w:p w14:paraId="26ED89A2" w14:textId="77777777" w:rsidR="009E11D4" w:rsidRDefault="00000000">
                            <w:pPr>
                              <w:spacing w:line="240" w:lineRule="auto"/>
                              <w:ind w:left="0" w:hanging="2"/>
                              <w:jc w:val="both"/>
                            </w:pPr>
                            <w:r>
                              <w:rPr>
                                <w:rFonts w:ascii="Arimo" w:eastAsia="Arimo" w:hAnsi="Arimo" w:cs="Arimo"/>
                                <w:color w:val="000000"/>
                                <w:sz w:val="20"/>
                              </w:rPr>
                              <w:t>School graduated from</w:t>
                            </w:r>
                          </w:p>
                          <w:p w14:paraId="01C5DF7A" w14:textId="77777777" w:rsidR="009E11D4" w:rsidRDefault="00000000">
                            <w:pPr>
                              <w:spacing w:line="240" w:lineRule="auto"/>
                              <w:ind w:left="0" w:hanging="2"/>
                              <w:jc w:val="both"/>
                            </w:pPr>
                            <w:r>
                              <w:rPr>
                                <w:rFonts w:ascii="Arimo" w:eastAsia="Arimo" w:hAnsi="Arimo" w:cs="Arimo"/>
                                <w:color w:val="000000"/>
                                <w:sz w:val="20"/>
                              </w:rPr>
                              <w:t>Number of takes before passing the board exam</w:t>
                            </w:r>
                          </w:p>
                          <w:p w14:paraId="1F1AF3B6" w14:textId="77777777" w:rsidR="009E11D4" w:rsidRDefault="00000000">
                            <w:pPr>
                              <w:spacing w:line="240" w:lineRule="auto"/>
                              <w:ind w:left="0" w:hanging="2"/>
                              <w:jc w:val="both"/>
                            </w:pPr>
                            <w:r>
                              <w:rPr>
                                <w:rFonts w:ascii="Arimo" w:eastAsia="Arimo" w:hAnsi="Arimo" w:cs="Arimo"/>
                                <w:color w:val="000000"/>
                                <w:sz w:val="20"/>
                              </w:rPr>
                              <w:t>Academic achievement</w:t>
                            </w:r>
                          </w:p>
                          <w:p w14:paraId="68043CEC" w14:textId="77777777" w:rsidR="009E11D4" w:rsidRDefault="00000000">
                            <w:pPr>
                              <w:spacing w:line="240" w:lineRule="auto"/>
                              <w:ind w:left="0" w:hanging="2"/>
                              <w:jc w:val="both"/>
                            </w:pPr>
                            <w:r>
                              <w:rPr>
                                <w:rFonts w:ascii="Arimo" w:eastAsia="Arimo" w:hAnsi="Arimo" w:cs="Arimo"/>
                                <w:color w:val="000000"/>
                                <w:sz w:val="20"/>
                              </w:rPr>
                              <w:t>Socio-economic Status</w:t>
                            </w:r>
                          </w:p>
                          <w:p w14:paraId="05A2163C" w14:textId="77777777" w:rsidR="009E11D4" w:rsidRDefault="00000000">
                            <w:pPr>
                              <w:spacing w:line="240" w:lineRule="auto"/>
                              <w:ind w:left="0" w:hanging="2"/>
                              <w:jc w:val="both"/>
                            </w:pPr>
                            <w:r>
                              <w:rPr>
                                <w:rFonts w:ascii="Arimo" w:eastAsia="Arimo" w:hAnsi="Arimo" w:cs="Arimo"/>
                                <w:color w:val="000000"/>
                                <w:sz w:val="20"/>
                              </w:rPr>
                              <w:t>Status of the following in relation to the implementation of the ECE Program?</w:t>
                            </w:r>
                          </w:p>
                          <w:p w14:paraId="363BAFDF" w14:textId="77777777" w:rsidR="009E11D4" w:rsidRDefault="00000000">
                            <w:pPr>
                              <w:spacing w:line="240" w:lineRule="auto"/>
                              <w:ind w:left="0" w:hanging="2"/>
                              <w:jc w:val="both"/>
                            </w:pPr>
                            <w:r>
                              <w:rPr>
                                <w:rFonts w:ascii="Arimo" w:eastAsia="Arimo" w:hAnsi="Arimo" w:cs="Arimo"/>
                                <w:color w:val="000000"/>
                                <w:sz w:val="20"/>
                              </w:rPr>
                              <w:t>Faculty</w:t>
                            </w:r>
                          </w:p>
                          <w:p w14:paraId="2AD6E112" w14:textId="77777777" w:rsidR="009E11D4" w:rsidRDefault="00000000">
                            <w:pPr>
                              <w:spacing w:line="240" w:lineRule="auto"/>
                              <w:ind w:left="0" w:hanging="2"/>
                              <w:jc w:val="both"/>
                            </w:pPr>
                            <w:r>
                              <w:rPr>
                                <w:rFonts w:ascii="Arimo" w:eastAsia="Arimo" w:hAnsi="Arimo" w:cs="Arimo"/>
                                <w:color w:val="000000"/>
                                <w:sz w:val="20"/>
                              </w:rPr>
                              <w:t>Teaching strategy/pedagogy</w:t>
                            </w:r>
                          </w:p>
                          <w:p w14:paraId="108527F7" w14:textId="77777777" w:rsidR="009E11D4" w:rsidRDefault="00000000">
                            <w:pPr>
                              <w:spacing w:line="240" w:lineRule="auto"/>
                              <w:ind w:left="0" w:hanging="2"/>
                              <w:jc w:val="both"/>
                            </w:pPr>
                            <w:r>
                              <w:rPr>
                                <w:rFonts w:ascii="Arimo" w:eastAsia="Arimo" w:hAnsi="Arimo" w:cs="Arimo"/>
                                <w:color w:val="000000"/>
                                <w:sz w:val="20"/>
                              </w:rPr>
                              <w:t>Curriculum</w:t>
                            </w:r>
                          </w:p>
                          <w:p w14:paraId="5F5AD996" w14:textId="77777777" w:rsidR="009E11D4" w:rsidRDefault="00000000">
                            <w:pPr>
                              <w:spacing w:line="240" w:lineRule="auto"/>
                              <w:ind w:left="0" w:hanging="2"/>
                              <w:jc w:val="both"/>
                            </w:pPr>
                            <w:r>
                              <w:rPr>
                                <w:rFonts w:ascii="Arimo" w:eastAsia="Arimo" w:hAnsi="Arimo" w:cs="Arimo"/>
                                <w:color w:val="000000"/>
                                <w:sz w:val="20"/>
                              </w:rPr>
                              <w:t>instructional materials</w:t>
                            </w:r>
                          </w:p>
                          <w:p w14:paraId="3B5A4BCD" w14:textId="77777777" w:rsidR="009E11D4" w:rsidRDefault="00000000">
                            <w:pPr>
                              <w:spacing w:line="240" w:lineRule="auto"/>
                              <w:ind w:left="0" w:hanging="2"/>
                              <w:jc w:val="both"/>
                            </w:pPr>
                            <w:r>
                              <w:rPr>
                                <w:rFonts w:ascii="Arimo" w:eastAsia="Arimo" w:hAnsi="Arimo" w:cs="Arimo"/>
                                <w:color w:val="000000"/>
                                <w:sz w:val="20"/>
                              </w:rPr>
                              <w:t>Library</w:t>
                            </w:r>
                          </w:p>
                          <w:p w14:paraId="121AB810" w14:textId="77777777" w:rsidR="009E11D4" w:rsidRDefault="00000000">
                            <w:pPr>
                              <w:spacing w:line="240" w:lineRule="auto"/>
                              <w:ind w:left="0" w:hanging="2"/>
                              <w:jc w:val="both"/>
                            </w:pPr>
                            <w:r>
                              <w:rPr>
                                <w:rFonts w:ascii="Arimo" w:eastAsia="Arimo" w:hAnsi="Arimo" w:cs="Arimo"/>
                                <w:color w:val="000000"/>
                                <w:sz w:val="20"/>
                              </w:rPr>
                              <w:t>Laboratory</w:t>
                            </w:r>
                          </w:p>
                          <w:p w14:paraId="26140752" w14:textId="77777777" w:rsidR="009E11D4" w:rsidRDefault="00000000">
                            <w:pPr>
                              <w:spacing w:line="240" w:lineRule="auto"/>
                              <w:ind w:left="0" w:hanging="2"/>
                              <w:jc w:val="both"/>
                            </w:pPr>
                            <w:r>
                              <w:rPr>
                                <w:rFonts w:ascii="Arimo" w:eastAsia="Arimo" w:hAnsi="Arimo" w:cs="Arimo"/>
                                <w:color w:val="000000"/>
                                <w:sz w:val="20"/>
                              </w:rPr>
                              <w:t>Admission and retention policy</w:t>
                            </w:r>
                          </w:p>
                          <w:p w14:paraId="69698F88" w14:textId="77777777" w:rsidR="009E11D4" w:rsidRDefault="00000000">
                            <w:pPr>
                              <w:spacing w:line="240" w:lineRule="auto"/>
                              <w:ind w:left="0" w:hanging="2"/>
                              <w:jc w:val="both"/>
                            </w:pPr>
                            <w:r>
                              <w:rPr>
                                <w:rFonts w:ascii="Arimo" w:eastAsia="Arimo" w:hAnsi="Arimo" w:cs="Arimo"/>
                                <w:color w:val="000000"/>
                                <w:sz w:val="20"/>
                              </w:rPr>
                              <w:t>Review preparation</w:t>
                            </w:r>
                          </w:p>
                          <w:p w14:paraId="11B43DD5" w14:textId="77777777" w:rsidR="009E11D4" w:rsidRDefault="009E11D4">
                            <w:pPr>
                              <w:spacing w:line="240" w:lineRule="auto"/>
                              <w:ind w:left="0" w:hanging="2"/>
                              <w:jc w:val="both"/>
                            </w:pPr>
                          </w:p>
                          <w:p w14:paraId="4AB4DDA9" w14:textId="77777777" w:rsidR="009E11D4" w:rsidRDefault="009E11D4">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3371215" cy="3938905"/>
                <wp:effectExtent b="0" l="0" r="0" t="0"/>
                <wp:wrapNone/>
                <wp:docPr id="103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371215" cy="393890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FCB2FCC" wp14:editId="20F582FF">
                <wp:simplePos x="0" y="0"/>
                <wp:positionH relativeFrom="column">
                  <wp:posOffset>3886200</wp:posOffset>
                </wp:positionH>
                <wp:positionV relativeFrom="paragraph">
                  <wp:posOffset>152400</wp:posOffset>
                </wp:positionV>
                <wp:extent cx="1497330" cy="2704465"/>
                <wp:effectExtent l="0" t="0" r="0" b="0"/>
                <wp:wrapNone/>
                <wp:docPr id="1030" name="Rectangle 1030"/>
                <wp:cNvGraphicFramePr/>
                <a:graphic xmlns:a="http://schemas.openxmlformats.org/drawingml/2006/main">
                  <a:graphicData uri="http://schemas.microsoft.com/office/word/2010/wordprocessingShape">
                    <wps:wsp>
                      <wps:cNvSpPr/>
                      <wps:spPr>
                        <a:xfrm>
                          <a:off x="4241100" y="1317788"/>
                          <a:ext cx="2209800" cy="49244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2C18502" w14:textId="77777777" w:rsidR="009E11D4" w:rsidRDefault="009E11D4">
                            <w:pPr>
                              <w:spacing w:line="240" w:lineRule="auto"/>
                              <w:ind w:left="0" w:hanging="2"/>
                              <w:jc w:val="both"/>
                            </w:pPr>
                          </w:p>
                          <w:p w14:paraId="451865E2" w14:textId="77777777" w:rsidR="009E11D4" w:rsidRDefault="009E11D4">
                            <w:pPr>
                              <w:spacing w:line="240" w:lineRule="auto"/>
                              <w:ind w:left="0" w:hanging="2"/>
                              <w:jc w:val="both"/>
                            </w:pPr>
                          </w:p>
                          <w:p w14:paraId="540965DE" w14:textId="77777777" w:rsidR="009E11D4" w:rsidRDefault="009E11D4">
                            <w:pPr>
                              <w:spacing w:line="240" w:lineRule="auto"/>
                              <w:ind w:left="0" w:hanging="2"/>
                              <w:jc w:val="both"/>
                            </w:pPr>
                          </w:p>
                          <w:p w14:paraId="0795DC87" w14:textId="77777777" w:rsidR="009E11D4" w:rsidRDefault="009E11D4">
                            <w:pPr>
                              <w:spacing w:line="240" w:lineRule="auto"/>
                              <w:ind w:left="0" w:hanging="2"/>
                              <w:jc w:val="both"/>
                            </w:pPr>
                          </w:p>
                          <w:p w14:paraId="1B39E995" w14:textId="77777777" w:rsidR="009E11D4" w:rsidRDefault="009E11D4">
                            <w:pPr>
                              <w:spacing w:line="240" w:lineRule="auto"/>
                              <w:ind w:left="0" w:hanging="2"/>
                              <w:jc w:val="both"/>
                            </w:pPr>
                          </w:p>
                          <w:p w14:paraId="17C2B7FF" w14:textId="77777777" w:rsidR="009E11D4" w:rsidRDefault="009E11D4">
                            <w:pPr>
                              <w:spacing w:line="240" w:lineRule="auto"/>
                              <w:ind w:left="0" w:hanging="2"/>
                              <w:jc w:val="both"/>
                            </w:pPr>
                          </w:p>
                          <w:p w14:paraId="24197453" w14:textId="77777777" w:rsidR="009E11D4" w:rsidRDefault="009E11D4">
                            <w:pPr>
                              <w:spacing w:line="240" w:lineRule="auto"/>
                              <w:ind w:left="0" w:hanging="2"/>
                              <w:jc w:val="both"/>
                            </w:pPr>
                          </w:p>
                          <w:p w14:paraId="7F9060F3" w14:textId="77777777" w:rsidR="009E11D4" w:rsidRDefault="00000000">
                            <w:pPr>
                              <w:spacing w:line="240" w:lineRule="auto"/>
                              <w:ind w:left="0" w:hanging="2"/>
                              <w:jc w:val="both"/>
                            </w:pPr>
                            <w:r>
                              <w:rPr>
                                <w:rFonts w:ascii="Arimo" w:eastAsia="Arimo" w:hAnsi="Arimo" w:cs="Arimo"/>
                                <w:color w:val="000000"/>
                                <w:sz w:val="20"/>
                              </w:rPr>
                              <w:t>Licensure Examination performance of ECE schools for the past five years.</w:t>
                            </w:r>
                          </w:p>
                          <w:p w14:paraId="60E45172" w14:textId="77777777" w:rsidR="009E11D4" w:rsidRDefault="009E11D4">
                            <w:pPr>
                              <w:spacing w:line="240" w:lineRule="auto"/>
                              <w:ind w:left="0" w:hanging="2"/>
                              <w:jc w:val="center"/>
                            </w:pPr>
                          </w:p>
                          <w:p w14:paraId="32157654" w14:textId="77777777" w:rsidR="009E11D4" w:rsidRDefault="009E11D4">
                            <w:pPr>
                              <w:spacing w:line="240" w:lineRule="auto"/>
                              <w:ind w:left="0" w:hanging="2"/>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152400</wp:posOffset>
                </wp:positionV>
                <wp:extent cx="1497330" cy="2704465"/>
                <wp:effectExtent b="0" l="0" r="0" t="0"/>
                <wp:wrapNone/>
                <wp:docPr id="103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497330" cy="2704465"/>
                        </a:xfrm>
                        <a:prstGeom prst="rect"/>
                        <a:ln/>
                      </pic:spPr>
                    </pic:pic>
                  </a:graphicData>
                </a:graphic>
              </wp:anchor>
            </w:drawing>
          </mc:Fallback>
        </mc:AlternateContent>
      </w:r>
    </w:p>
    <w:p w14:paraId="1CF96C92"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27C6ED4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1589F7F7"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8FA8E87"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F3ABC0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3B4CB429"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08A84B5C"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noProof/>
        </w:rPr>
        <mc:AlternateContent>
          <mc:Choice Requires="wps">
            <w:drawing>
              <wp:anchor distT="0" distB="0" distL="114300" distR="114300" simplePos="0" relativeHeight="251660288" behindDoc="0" locked="0" layoutInCell="1" hidden="0" allowOverlap="1" wp14:anchorId="05AF3AF8" wp14:editId="2E75F6C4">
                <wp:simplePos x="0" y="0"/>
                <wp:positionH relativeFrom="column">
                  <wp:posOffset>2527300</wp:posOffset>
                </wp:positionH>
                <wp:positionV relativeFrom="paragraph">
                  <wp:posOffset>1092200</wp:posOffset>
                </wp:positionV>
                <wp:extent cx="0" cy="25400"/>
                <wp:effectExtent l="0" t="0" r="0" b="0"/>
                <wp:wrapNone/>
                <wp:docPr id="1033" name="Straight Arrow Connector 1033"/>
                <wp:cNvGraphicFramePr/>
                <a:graphic xmlns:a="http://schemas.openxmlformats.org/drawingml/2006/main">
                  <a:graphicData uri="http://schemas.microsoft.com/office/word/2010/wordprocessingShape">
                    <wps:wsp>
                      <wps:cNvCnPr/>
                      <wps:spPr>
                        <a:xfrm rot="10800000">
                          <a:off x="5346000" y="2674783"/>
                          <a:ext cx="0" cy="2210435"/>
                        </a:xfrm>
                        <a:prstGeom prst="straightConnector1">
                          <a:avLst/>
                        </a:prstGeom>
                        <a:noFill/>
                        <a:ln w="12700" cap="flat" cmpd="sng">
                          <a:solidFill>
                            <a:srgbClr val="000000"/>
                          </a:solidFill>
                          <a:prstDash val="solid"/>
                          <a:miter lim="800000"/>
                          <a:headEnd type="none" w="med" len="med"/>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2527300</wp:posOffset>
                </wp:positionH>
                <wp:positionV relativeFrom="paragraph">
                  <wp:posOffset>1092200</wp:posOffset>
                </wp:positionV>
                <wp:extent cx="0" cy="25400"/>
                <wp:effectExtent b="0" l="0" r="0" t="0"/>
                <wp:wrapNone/>
                <wp:docPr id="103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E88794B" wp14:editId="54A22602">
                <wp:simplePos x="0" y="0"/>
                <wp:positionH relativeFrom="column">
                  <wp:posOffset>3403600</wp:posOffset>
                </wp:positionH>
                <wp:positionV relativeFrom="paragraph">
                  <wp:posOffset>0</wp:posOffset>
                </wp:positionV>
                <wp:extent cx="0" cy="254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4841175" y="3780000"/>
                          <a:ext cx="1009650" cy="1"/>
                        </a:xfrm>
                        <a:prstGeom prst="straightConnector1">
                          <a:avLst/>
                        </a:prstGeom>
                        <a:noFill/>
                        <a:ln w="127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0" cy="25400"/>
                <wp:effectExtent b="0" l="0" r="0" t="0"/>
                <wp:wrapNone/>
                <wp:docPr id="103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3B5FC052"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361D098"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3A8C4A02"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3300130F"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24E7E23E"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EDF3C69"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051D8AD3"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59636BBC"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5628F625"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7C77C407"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19A8318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4812B4F"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4A676E09"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noProof/>
        </w:rPr>
        <mc:AlternateContent>
          <mc:Choice Requires="wpg">
            <w:drawing>
              <wp:anchor distT="0" distB="0" distL="114300" distR="114300" simplePos="0" relativeHeight="251662336" behindDoc="0" locked="0" layoutInCell="1" hidden="0" allowOverlap="1" wp14:anchorId="6B990CFD" wp14:editId="6994462F">
                <wp:simplePos x="0" y="0"/>
                <wp:positionH relativeFrom="column">
                  <wp:posOffset>3543300</wp:posOffset>
                </wp:positionH>
                <wp:positionV relativeFrom="paragraph">
                  <wp:posOffset>76200</wp:posOffset>
                </wp:positionV>
                <wp:extent cx="1889760" cy="530860"/>
                <wp:effectExtent l="0" t="0" r="0" b="0"/>
                <wp:wrapNone/>
                <wp:docPr id="1028" name="Rectangle 1028"/>
                <wp:cNvGraphicFramePr/>
                <a:graphic xmlns:a="http://schemas.openxmlformats.org/drawingml/2006/main">
                  <a:graphicData uri="http://schemas.microsoft.com/office/word/2010/wordprocessingShape">
                    <wps:wsp>
                      <wps:cNvSpPr/>
                      <wps:spPr>
                        <a:xfrm>
                          <a:off x="4241100" y="3094200"/>
                          <a:ext cx="2209800" cy="13716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EECEADB" w14:textId="77777777" w:rsidR="009E11D4" w:rsidRDefault="00000000">
                            <w:pPr>
                              <w:spacing w:line="240" w:lineRule="auto"/>
                              <w:ind w:left="0" w:hanging="2"/>
                              <w:jc w:val="both"/>
                            </w:pPr>
                            <w:r>
                              <w:rPr>
                                <w:rFonts w:ascii="Arimo" w:eastAsia="Arimo" w:hAnsi="Arimo" w:cs="Arimo"/>
                                <w:color w:val="000000"/>
                                <w:sz w:val="20"/>
                              </w:rPr>
                              <w:t>Experiences of ECE passers during their undergraduate</w:t>
                            </w:r>
                            <w:r>
                              <w:rPr>
                                <w:rFonts w:ascii="Arimo" w:eastAsia="Arimo" w:hAnsi="Arimo" w:cs="Arimo"/>
                                <w:color w:val="000000"/>
                                <w:sz w:val="22"/>
                              </w:rPr>
                              <w:t>.</w:t>
                            </w:r>
                          </w:p>
                          <w:p w14:paraId="11FAD783" w14:textId="77777777" w:rsidR="009E11D4" w:rsidRDefault="009E11D4">
                            <w:pPr>
                              <w:spacing w:line="240" w:lineRule="auto"/>
                              <w:ind w:left="0" w:hanging="2"/>
                              <w:jc w:val="both"/>
                            </w:pPr>
                          </w:p>
                          <w:p w14:paraId="5F2A6B1E" w14:textId="77777777" w:rsidR="009E11D4" w:rsidRDefault="009E11D4">
                            <w:pPr>
                              <w:spacing w:line="240" w:lineRule="auto"/>
                              <w:ind w:left="0" w:hanging="2"/>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1889760" cy="530860"/>
                <wp:effectExtent b="0" l="0" r="0" t="0"/>
                <wp:wrapNone/>
                <wp:docPr id="1028"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889760" cy="530860"/>
                        </a:xfrm>
                        <a:prstGeom prst="rect"/>
                        <a:ln/>
                      </pic:spPr>
                    </pic:pic>
                  </a:graphicData>
                </a:graphic>
              </wp:anchor>
            </w:drawing>
          </mc:Fallback>
        </mc:AlternateContent>
      </w:r>
    </w:p>
    <w:p w14:paraId="7CF51E2A"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62933BB9"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45671BD2"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rPr>
      </w:pPr>
    </w:p>
    <w:p w14:paraId="1FA32B8C" w14:textId="77777777" w:rsidR="009E11D4" w:rsidRDefault="009E11D4">
      <w:pPr>
        <w:pBdr>
          <w:top w:val="nil"/>
          <w:left w:val="nil"/>
          <w:bottom w:val="nil"/>
          <w:right w:val="nil"/>
          <w:between w:val="nil"/>
        </w:pBdr>
        <w:spacing w:line="240" w:lineRule="auto"/>
        <w:ind w:left="0" w:hanging="2"/>
        <w:jc w:val="center"/>
        <w:rPr>
          <w:rFonts w:ascii="Arial" w:eastAsia="Arial" w:hAnsi="Arial" w:cs="Arial"/>
          <w:color w:val="000000"/>
          <w:sz w:val="22"/>
        </w:rPr>
      </w:pPr>
    </w:p>
    <w:p w14:paraId="51CA4EAF" w14:textId="77777777" w:rsidR="009E11D4" w:rsidRDefault="009E11D4">
      <w:pPr>
        <w:pBdr>
          <w:top w:val="nil"/>
          <w:left w:val="nil"/>
          <w:bottom w:val="nil"/>
          <w:right w:val="nil"/>
          <w:between w:val="nil"/>
        </w:pBdr>
        <w:spacing w:line="240" w:lineRule="auto"/>
        <w:ind w:left="0" w:hanging="2"/>
        <w:jc w:val="center"/>
        <w:rPr>
          <w:rFonts w:ascii="Arial" w:eastAsia="Arial" w:hAnsi="Arial" w:cs="Arial"/>
          <w:color w:val="000000"/>
          <w:sz w:val="22"/>
        </w:rPr>
      </w:pPr>
    </w:p>
    <w:p w14:paraId="59396B96" w14:textId="77777777" w:rsidR="009E11D4" w:rsidRDefault="00000000">
      <w:pPr>
        <w:pBdr>
          <w:top w:val="nil"/>
          <w:left w:val="nil"/>
          <w:bottom w:val="nil"/>
          <w:right w:val="nil"/>
          <w:between w:val="nil"/>
        </w:pBdr>
        <w:spacing w:line="240" w:lineRule="auto"/>
        <w:ind w:left="0" w:hanging="2"/>
        <w:jc w:val="center"/>
        <w:rPr>
          <w:rFonts w:ascii="Arial" w:eastAsia="Arial" w:hAnsi="Arial" w:cs="Arial"/>
          <w:color w:val="000000"/>
          <w:sz w:val="22"/>
        </w:rPr>
      </w:pPr>
      <w:r>
        <w:rPr>
          <w:rFonts w:ascii="Arial" w:eastAsia="Arial" w:hAnsi="Arial" w:cs="Arial"/>
          <w:b/>
          <w:i/>
          <w:color w:val="000000"/>
          <w:sz w:val="22"/>
        </w:rPr>
        <w:t>Figure 1. Research Paradigm of the Study</w:t>
      </w:r>
    </w:p>
    <w:p w14:paraId="0AE1356F" w14:textId="77777777" w:rsidR="009E11D4" w:rsidRDefault="00000000">
      <w:pPr>
        <w:ind w:left="0" w:hanging="2"/>
        <w:jc w:val="both"/>
        <w:rPr>
          <w:rFonts w:ascii="Arial" w:eastAsia="Arial" w:hAnsi="Arial" w:cs="Arial"/>
          <w:sz w:val="22"/>
        </w:rPr>
      </w:pPr>
      <w:r>
        <w:rPr>
          <w:rFonts w:ascii="Arial" w:eastAsia="Arial" w:hAnsi="Arial" w:cs="Arial"/>
          <w:sz w:val="22"/>
        </w:rPr>
        <w:t xml:space="preserve">Figure 1 presents the research paradigm of the study. The paradigm makes use of the IV-DV Model. The independent variables consist of the profile of the respondents while the dependent variables involve Board Exam performance of ECE schools for the past five years. Moreover, the figure also shows the different profile variables of schools and passers that affect their board examination performance. Thus, broken lines that connect between the independent variables and dependent variables serve as a mediating factor to further consolidate the study. </w:t>
      </w:r>
    </w:p>
    <w:p w14:paraId="7CCB91ED"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8AA308D"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METHODS</w:t>
      </w:r>
    </w:p>
    <w:p w14:paraId="24156A04"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490D84B"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Research Design</w:t>
      </w:r>
    </w:p>
    <w:p w14:paraId="23C6A1F8"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16407014" w14:textId="37DAB491"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r>
        <w:rPr>
          <w:rFonts w:ascii="Arial" w:eastAsia="Arial" w:hAnsi="Arial" w:cs="Arial"/>
          <w:b/>
          <w:color w:val="000000"/>
          <w:sz w:val="22"/>
        </w:rPr>
        <w:tab/>
      </w:r>
      <w:r>
        <w:rPr>
          <w:rFonts w:ascii="Arial" w:eastAsia="Arial" w:hAnsi="Arial" w:cs="Arial"/>
          <w:color w:val="000000"/>
          <w:sz w:val="22"/>
        </w:rPr>
        <w:t xml:space="preserve">The study utilized a </w:t>
      </w:r>
      <w:r w:rsidR="00DB6A7D">
        <w:rPr>
          <w:rFonts w:ascii="Arial" w:eastAsia="Arial" w:hAnsi="Arial" w:cs="Arial"/>
          <w:color w:val="000000"/>
          <w:sz w:val="22"/>
        </w:rPr>
        <w:t xml:space="preserve">descriptive </w:t>
      </w:r>
      <w:r>
        <w:rPr>
          <w:rFonts w:ascii="Arial" w:eastAsia="Arial" w:hAnsi="Arial" w:cs="Arial"/>
          <w:color w:val="000000"/>
          <w:sz w:val="22"/>
        </w:rPr>
        <w:t>quantitative research design</w:t>
      </w:r>
      <w:r w:rsidR="00DB6A7D">
        <w:rPr>
          <w:rFonts w:ascii="Arial" w:eastAsia="Arial" w:hAnsi="Arial" w:cs="Arial"/>
          <w:color w:val="000000"/>
          <w:sz w:val="22"/>
        </w:rPr>
        <w:t xml:space="preserve"> </w:t>
      </w:r>
      <w:r>
        <w:rPr>
          <w:rFonts w:ascii="Arial" w:eastAsia="Arial" w:hAnsi="Arial" w:cs="Arial"/>
          <w:color w:val="000000"/>
          <w:sz w:val="22"/>
        </w:rPr>
        <w:t xml:space="preserve">to analyze the board exam performance of HEIs offering BSECE in Region 2 for the past five years. </w:t>
      </w:r>
    </w:p>
    <w:p w14:paraId="41185F98"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39C18A82"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50EB7B7C"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r>
        <w:rPr>
          <w:rFonts w:ascii="Arial" w:eastAsia="Arial" w:hAnsi="Arial" w:cs="Arial"/>
          <w:b/>
          <w:color w:val="000000"/>
          <w:sz w:val="22"/>
          <w:highlight w:val="white"/>
        </w:rPr>
        <w:t>Respondents of the Study</w:t>
      </w:r>
    </w:p>
    <w:p w14:paraId="74ED313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4A85FDC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r>
        <w:rPr>
          <w:rFonts w:ascii="Arial" w:eastAsia="Arial" w:hAnsi="Arial" w:cs="Arial"/>
          <w:b/>
          <w:color w:val="000000"/>
          <w:sz w:val="22"/>
          <w:highlight w:val="white"/>
        </w:rPr>
        <w:tab/>
      </w:r>
      <w:r>
        <w:rPr>
          <w:rFonts w:ascii="Arial" w:eastAsia="Arial" w:hAnsi="Arial" w:cs="Arial"/>
          <w:color w:val="000000"/>
          <w:sz w:val="22"/>
          <w:highlight w:val="white"/>
        </w:rPr>
        <w:t>The respondents of the study were the instructors, and graduates who took the ECE Board examination within 2014-2019 among HEIs offering BS Electronics Engineering in Region 2. Stratified Random Sampling will be used for the selection of respondents per HEI.</w:t>
      </w:r>
    </w:p>
    <w:p w14:paraId="116552E6"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7729FD5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r>
        <w:rPr>
          <w:rFonts w:ascii="Arial" w:eastAsia="Arial" w:hAnsi="Arial" w:cs="Arial"/>
          <w:b/>
          <w:color w:val="000000"/>
          <w:sz w:val="22"/>
          <w:highlight w:val="white"/>
        </w:rPr>
        <w:t>Research Instruments</w:t>
      </w:r>
    </w:p>
    <w:p w14:paraId="20E9173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292CC21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Multiple data collection techniques will be considered in the study such checklist, document analysis, and Focus-Group Interview and Discussion. </w:t>
      </w:r>
    </w:p>
    <w:p w14:paraId="351EEB23"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7E2F5E13"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i/>
          <w:color w:val="000000"/>
          <w:sz w:val="22"/>
        </w:rPr>
        <w:t>Checklist</w:t>
      </w:r>
    </w:p>
    <w:p w14:paraId="7A39003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7CA9E8A"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A checklist will be developed to describe the profile of HEIs offering BS Electronics Engineering and their board exam passers. For the school, it will include the following: year of establishment of the ECE program, accreditation status, CHED Typology, Type of institution, number of full-time faculty for the past five years, number of graduates for the past five years. Meanwhile, the profile of the passers will consist of the following: sex, civil status, the school graduated from, the number of takes before passing the board exam, academic achievement during his/her graduation, and socio-economic status. </w:t>
      </w:r>
    </w:p>
    <w:p w14:paraId="3330FC82"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953E21D"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i/>
          <w:color w:val="000000"/>
          <w:sz w:val="22"/>
        </w:rPr>
        <w:t xml:space="preserve">Questionnaire </w:t>
      </w:r>
    </w:p>
    <w:p w14:paraId="2216590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4E629AB1"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 self-made survey questionnaire will be utilized to determine the factors affecting the performance of the ECE passers in Board Examination along faculty/teaching strategy, curriculum, instructional materials, facilities/laboratory, equipment/laboratory activities, admission and retention policy and review preparation. The questionnaire will undergo validation from experts.</w:t>
      </w:r>
    </w:p>
    <w:p w14:paraId="37D54BC6"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CC8ABBF"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i/>
          <w:color w:val="000000"/>
          <w:sz w:val="22"/>
        </w:rPr>
        <w:t>Document Analysis</w:t>
      </w:r>
    </w:p>
    <w:p w14:paraId="09717670"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0D95511"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Document analysis was conducted to determine the board exam performance of HEIs offering BSECE in the region from 2014-2019.</w:t>
      </w:r>
    </w:p>
    <w:p w14:paraId="0CA157BA" w14:textId="77777777" w:rsidR="009E11D4" w:rsidRDefault="009E11D4">
      <w:pPr>
        <w:ind w:left="0" w:hanging="2"/>
        <w:jc w:val="both"/>
        <w:rPr>
          <w:rFonts w:ascii="Arial" w:eastAsia="Arial" w:hAnsi="Arial" w:cs="Arial"/>
          <w:sz w:val="22"/>
        </w:rPr>
      </w:pPr>
    </w:p>
    <w:p w14:paraId="24AF394A" w14:textId="77777777" w:rsidR="009E11D4" w:rsidRDefault="00000000">
      <w:pPr>
        <w:ind w:left="0" w:hanging="2"/>
        <w:jc w:val="both"/>
        <w:rPr>
          <w:rFonts w:ascii="Arial" w:eastAsia="Arial" w:hAnsi="Arial" w:cs="Arial"/>
          <w:sz w:val="22"/>
        </w:rPr>
      </w:pPr>
      <w:r>
        <w:rPr>
          <w:rFonts w:ascii="Arial" w:eastAsia="Arial" w:hAnsi="Arial" w:cs="Arial"/>
          <w:i/>
          <w:sz w:val="22"/>
        </w:rPr>
        <w:t>Interview</w:t>
      </w:r>
    </w:p>
    <w:p w14:paraId="713580A1" w14:textId="77777777" w:rsidR="009E11D4" w:rsidRDefault="00000000">
      <w:pPr>
        <w:ind w:left="0" w:hanging="2"/>
        <w:jc w:val="both"/>
        <w:rPr>
          <w:rFonts w:ascii="Arial" w:eastAsia="Arial" w:hAnsi="Arial" w:cs="Arial"/>
          <w:sz w:val="22"/>
        </w:rPr>
      </w:pPr>
      <w:r>
        <w:rPr>
          <w:rFonts w:ascii="Arial" w:eastAsia="Arial" w:hAnsi="Arial" w:cs="Arial"/>
          <w:i/>
          <w:sz w:val="22"/>
        </w:rPr>
        <w:tab/>
      </w:r>
    </w:p>
    <w:p w14:paraId="2C949BE6"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An interview was done </w:t>
      </w:r>
      <w:r>
        <w:rPr>
          <w:rFonts w:ascii="Arial" w:eastAsia="Arial" w:hAnsi="Arial" w:cs="Arial"/>
          <w:sz w:val="22"/>
        </w:rPr>
        <w:t>through a series</w:t>
      </w:r>
      <w:r>
        <w:rPr>
          <w:rFonts w:ascii="Arial" w:eastAsia="Arial" w:hAnsi="Arial" w:cs="Arial"/>
          <w:color w:val="000000"/>
          <w:sz w:val="22"/>
        </w:rPr>
        <w:t xml:space="preserve"> of Focus Group Discussion (FGD) that will include ECE passers to explore their experiences during their college days. </w:t>
      </w:r>
    </w:p>
    <w:p w14:paraId="5C2D8053"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58A0CBB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2BB403F9"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Data Gathering Procedure</w:t>
      </w:r>
    </w:p>
    <w:p w14:paraId="34092EC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5F54D239"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highlight w:val="white"/>
        </w:rPr>
        <w:t xml:space="preserve">This study strictly followed a systematic process of data-gathering. A letter was forwarded to the different university and college presidents heads for the conduct of the study. The questionnaires were distributed by the researcher to targets respondents personally. </w:t>
      </w:r>
      <w:r>
        <w:rPr>
          <w:rFonts w:ascii="Arial" w:eastAsia="Arial" w:hAnsi="Arial" w:cs="Arial"/>
          <w:color w:val="000000"/>
          <w:sz w:val="22"/>
        </w:rPr>
        <w:t xml:space="preserve">Furthermore, ethical considerations were employed by the researcher throughout the conduct of the study. An informed consent will be sought from the respondents and informants </w:t>
      </w:r>
      <w:r>
        <w:rPr>
          <w:rFonts w:ascii="Arial" w:eastAsia="Arial" w:hAnsi="Arial" w:cs="Arial"/>
          <w:sz w:val="22"/>
        </w:rPr>
        <w:t>prior to the</w:t>
      </w:r>
      <w:r>
        <w:rPr>
          <w:rFonts w:ascii="Arial" w:eastAsia="Arial" w:hAnsi="Arial" w:cs="Arial"/>
          <w:color w:val="000000"/>
          <w:sz w:val="22"/>
        </w:rPr>
        <w:t xml:space="preserve"> start of the data-gathering. Anonymity of the informants and confidentiality of information were assured to them. In ensuring rigor, the researcher will go back to the informants for an interview for the aggregated and analyzed results. This ensures that the analyses are the same with what the informants conveyed during the interview sessions. The interview transcript will only be accessible to the researcher and to the research adviser. At the conclusion of the study, all transcripts will be destroyed.</w:t>
      </w:r>
    </w:p>
    <w:p w14:paraId="5411C28D"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48618000"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Moreover, the performance of the schools was generated from the data released by the Philippine Regulatory Commission (PRC). </w:t>
      </w:r>
    </w:p>
    <w:p w14:paraId="5F78659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28DEAA7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13EC28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Data Analysis</w:t>
      </w:r>
    </w:p>
    <w:p w14:paraId="5FB924A2"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5CBF3D2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i/>
          <w:color w:val="000000"/>
          <w:sz w:val="22"/>
        </w:rPr>
        <w:t>Quantitative Data Analysis</w:t>
      </w:r>
    </w:p>
    <w:p w14:paraId="2F9A18D3"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i/>
          <w:color w:val="000000"/>
          <w:sz w:val="22"/>
        </w:rPr>
        <w:tab/>
      </w:r>
    </w:p>
    <w:p w14:paraId="45B722B4"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Frequency and Percentage were used to describe the profile of schools offering BSECE and profile of the respondents. </w:t>
      </w:r>
    </w:p>
    <w:p w14:paraId="1DBB3B3E"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2DC89EC"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Weighted mean was utilized to determine the factors affecting the board examination of HEIs offering BSECE with the following mean range and qualitative descriptions:</w:t>
      </w:r>
    </w:p>
    <w:p w14:paraId="51A3F8C0"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1A8ACBAC"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Mean Range</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Qualitative Descriptions</w:t>
      </w:r>
    </w:p>
    <w:p w14:paraId="59B44ADE"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3.50 – 4.00</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To a very great extent</w:t>
      </w:r>
    </w:p>
    <w:p w14:paraId="74A90821"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2.50 – 3.49</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To a great extent</w:t>
      </w:r>
    </w:p>
    <w:p w14:paraId="13A9BFE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1.50 – 2.49</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To a less extent</w:t>
      </w:r>
    </w:p>
    <w:p w14:paraId="723368DD" w14:textId="77777777" w:rsidR="009E11D4"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lastRenderedPageBreak/>
        <w:t>– 1.49</w:t>
      </w:r>
      <w:r>
        <w:rPr>
          <w:rFonts w:ascii="Arial" w:eastAsia="Arial" w:hAnsi="Arial" w:cs="Arial"/>
          <w:color w:val="000000"/>
          <w:sz w:val="22"/>
        </w:rPr>
        <w:tab/>
      </w:r>
      <w:r>
        <w:rPr>
          <w:rFonts w:ascii="Arial" w:eastAsia="Arial" w:hAnsi="Arial" w:cs="Arial"/>
          <w:color w:val="000000"/>
          <w:sz w:val="22"/>
        </w:rPr>
        <w:tab/>
      </w:r>
      <w:r>
        <w:rPr>
          <w:rFonts w:ascii="Arial" w:eastAsia="Arial" w:hAnsi="Arial" w:cs="Arial"/>
          <w:color w:val="000000"/>
          <w:sz w:val="22"/>
        </w:rPr>
        <w:tab/>
        <w:t>No extent at all</w:t>
      </w:r>
    </w:p>
    <w:p w14:paraId="394ADAB9"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7B5CF64"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Multiple Regression was used to determine the significant difference between the factors affecting the performance of the ECE passer in board examination when grouped according to profile variable.</w:t>
      </w:r>
    </w:p>
    <w:p w14:paraId="64E1DD2F"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EA04233"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5189BBB"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RESULTS</w:t>
      </w:r>
    </w:p>
    <w:p w14:paraId="7C1B42D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CE090F1" w14:textId="77777777" w:rsidR="009E11D4" w:rsidRDefault="00000000">
      <w:pPr>
        <w:ind w:left="0" w:hanging="2"/>
        <w:rPr>
          <w:rFonts w:ascii="Arial" w:eastAsia="Arial" w:hAnsi="Arial" w:cs="Arial"/>
          <w:sz w:val="22"/>
        </w:rPr>
      </w:pPr>
      <w:r>
        <w:rPr>
          <w:rFonts w:ascii="Arial" w:eastAsia="Arial" w:hAnsi="Arial" w:cs="Arial"/>
          <w:b/>
          <w:sz w:val="22"/>
        </w:rPr>
        <w:t>Table 1. Profile of the Schools</w:t>
      </w:r>
    </w:p>
    <w:tbl>
      <w:tblPr>
        <w:tblStyle w:val="a"/>
        <w:tblW w:w="87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1825"/>
        <w:gridCol w:w="1827"/>
      </w:tblGrid>
      <w:tr w:rsidR="009E11D4" w14:paraId="1481B53D" w14:textId="77777777">
        <w:tc>
          <w:tcPr>
            <w:tcW w:w="5114" w:type="dxa"/>
          </w:tcPr>
          <w:p w14:paraId="0E254F09" w14:textId="77777777" w:rsidR="009E11D4" w:rsidRDefault="00000000">
            <w:pPr>
              <w:ind w:left="0" w:hanging="2"/>
              <w:jc w:val="center"/>
              <w:rPr>
                <w:rFonts w:ascii="Arial" w:eastAsia="Arial" w:hAnsi="Arial" w:cs="Arial"/>
                <w:sz w:val="22"/>
              </w:rPr>
            </w:pPr>
            <w:r>
              <w:rPr>
                <w:rFonts w:ascii="Arial" w:eastAsia="Arial" w:hAnsi="Arial" w:cs="Arial"/>
                <w:b/>
                <w:sz w:val="22"/>
              </w:rPr>
              <w:t>Variable</w:t>
            </w:r>
          </w:p>
        </w:tc>
        <w:tc>
          <w:tcPr>
            <w:tcW w:w="1825" w:type="dxa"/>
          </w:tcPr>
          <w:p w14:paraId="4855CBCF" w14:textId="77777777" w:rsidR="009E11D4" w:rsidRDefault="00000000">
            <w:pPr>
              <w:ind w:left="0" w:hanging="2"/>
              <w:jc w:val="center"/>
              <w:rPr>
                <w:rFonts w:ascii="Arial" w:eastAsia="Arial" w:hAnsi="Arial" w:cs="Arial"/>
                <w:sz w:val="22"/>
              </w:rPr>
            </w:pPr>
            <w:r>
              <w:rPr>
                <w:rFonts w:ascii="Arial" w:eastAsia="Arial" w:hAnsi="Arial" w:cs="Arial"/>
                <w:b/>
                <w:sz w:val="22"/>
              </w:rPr>
              <w:t>Frequency</w:t>
            </w:r>
          </w:p>
        </w:tc>
        <w:tc>
          <w:tcPr>
            <w:tcW w:w="1827" w:type="dxa"/>
          </w:tcPr>
          <w:p w14:paraId="1E789F3D" w14:textId="77777777" w:rsidR="009E11D4" w:rsidRDefault="00000000">
            <w:pPr>
              <w:ind w:left="0" w:hanging="2"/>
              <w:jc w:val="center"/>
              <w:rPr>
                <w:rFonts w:ascii="Arial" w:eastAsia="Arial" w:hAnsi="Arial" w:cs="Arial"/>
                <w:sz w:val="22"/>
              </w:rPr>
            </w:pPr>
            <w:r>
              <w:rPr>
                <w:rFonts w:ascii="Arial" w:eastAsia="Arial" w:hAnsi="Arial" w:cs="Arial"/>
                <w:b/>
                <w:sz w:val="22"/>
              </w:rPr>
              <w:t>Percentage</w:t>
            </w:r>
          </w:p>
        </w:tc>
      </w:tr>
      <w:tr w:rsidR="009E11D4" w14:paraId="2245CAC5" w14:textId="77777777">
        <w:tc>
          <w:tcPr>
            <w:tcW w:w="5114" w:type="dxa"/>
            <w:shd w:val="clear" w:color="auto" w:fill="F2F2F2"/>
          </w:tcPr>
          <w:p w14:paraId="4F12A2FA" w14:textId="77777777" w:rsidR="009E11D4" w:rsidRDefault="00000000">
            <w:pPr>
              <w:ind w:left="0" w:hanging="2"/>
              <w:jc w:val="center"/>
              <w:rPr>
                <w:rFonts w:ascii="Arial" w:eastAsia="Arial" w:hAnsi="Arial" w:cs="Arial"/>
                <w:sz w:val="22"/>
              </w:rPr>
            </w:pPr>
            <w:r>
              <w:rPr>
                <w:rFonts w:ascii="Arial" w:eastAsia="Arial" w:hAnsi="Arial" w:cs="Arial"/>
                <w:b/>
                <w:sz w:val="22"/>
              </w:rPr>
              <w:t>No. of Years of Establishment of ECE Program</w:t>
            </w:r>
          </w:p>
        </w:tc>
        <w:tc>
          <w:tcPr>
            <w:tcW w:w="1825" w:type="dxa"/>
            <w:shd w:val="clear" w:color="auto" w:fill="F2F2F2"/>
          </w:tcPr>
          <w:p w14:paraId="1903250B" w14:textId="77777777" w:rsidR="009E11D4" w:rsidRDefault="009E11D4">
            <w:pPr>
              <w:ind w:left="0" w:hanging="2"/>
              <w:jc w:val="center"/>
              <w:rPr>
                <w:rFonts w:ascii="Arial" w:eastAsia="Arial" w:hAnsi="Arial" w:cs="Arial"/>
                <w:sz w:val="22"/>
              </w:rPr>
            </w:pPr>
          </w:p>
        </w:tc>
        <w:tc>
          <w:tcPr>
            <w:tcW w:w="1827" w:type="dxa"/>
            <w:shd w:val="clear" w:color="auto" w:fill="F2F2F2"/>
          </w:tcPr>
          <w:p w14:paraId="28B0D0C4" w14:textId="77777777" w:rsidR="009E11D4" w:rsidRDefault="009E11D4">
            <w:pPr>
              <w:ind w:left="0" w:hanging="2"/>
              <w:jc w:val="center"/>
              <w:rPr>
                <w:rFonts w:ascii="Arial" w:eastAsia="Arial" w:hAnsi="Arial" w:cs="Arial"/>
                <w:sz w:val="22"/>
              </w:rPr>
            </w:pPr>
          </w:p>
        </w:tc>
      </w:tr>
      <w:tr w:rsidR="009E11D4" w14:paraId="7684372A" w14:textId="77777777">
        <w:tc>
          <w:tcPr>
            <w:tcW w:w="5114" w:type="dxa"/>
          </w:tcPr>
          <w:p w14:paraId="6A8099B1" w14:textId="77777777" w:rsidR="009E11D4" w:rsidRDefault="00000000">
            <w:pPr>
              <w:ind w:left="0" w:hanging="2"/>
              <w:jc w:val="center"/>
              <w:rPr>
                <w:rFonts w:ascii="Arial" w:eastAsia="Arial" w:hAnsi="Arial" w:cs="Arial"/>
                <w:sz w:val="22"/>
              </w:rPr>
            </w:pPr>
            <w:r>
              <w:rPr>
                <w:rFonts w:ascii="Arial" w:eastAsia="Arial" w:hAnsi="Arial" w:cs="Arial"/>
                <w:sz w:val="22"/>
              </w:rPr>
              <w:t>&lt; 20 years</w:t>
            </w:r>
          </w:p>
        </w:tc>
        <w:tc>
          <w:tcPr>
            <w:tcW w:w="1825" w:type="dxa"/>
          </w:tcPr>
          <w:p w14:paraId="629508FE" w14:textId="77777777" w:rsidR="009E11D4" w:rsidRDefault="00000000">
            <w:pPr>
              <w:ind w:left="0" w:hanging="2"/>
              <w:jc w:val="center"/>
              <w:rPr>
                <w:rFonts w:ascii="Arial" w:eastAsia="Arial" w:hAnsi="Arial" w:cs="Arial"/>
                <w:sz w:val="22"/>
              </w:rPr>
            </w:pPr>
            <w:r>
              <w:rPr>
                <w:rFonts w:ascii="Arial" w:eastAsia="Arial" w:hAnsi="Arial" w:cs="Arial"/>
                <w:sz w:val="22"/>
              </w:rPr>
              <w:t>2</w:t>
            </w:r>
          </w:p>
        </w:tc>
        <w:tc>
          <w:tcPr>
            <w:tcW w:w="1827" w:type="dxa"/>
          </w:tcPr>
          <w:p w14:paraId="0A86F57B" w14:textId="77777777" w:rsidR="009E11D4" w:rsidRDefault="00000000">
            <w:pPr>
              <w:ind w:left="0" w:hanging="2"/>
              <w:jc w:val="center"/>
              <w:rPr>
                <w:rFonts w:ascii="Arial" w:eastAsia="Arial" w:hAnsi="Arial" w:cs="Arial"/>
                <w:sz w:val="22"/>
              </w:rPr>
            </w:pPr>
            <w:r>
              <w:rPr>
                <w:rFonts w:ascii="Arial" w:eastAsia="Arial" w:hAnsi="Arial" w:cs="Arial"/>
                <w:sz w:val="22"/>
              </w:rPr>
              <w:t>40.00</w:t>
            </w:r>
          </w:p>
        </w:tc>
      </w:tr>
      <w:tr w:rsidR="009E11D4" w14:paraId="36018B95" w14:textId="77777777">
        <w:tc>
          <w:tcPr>
            <w:tcW w:w="5114" w:type="dxa"/>
          </w:tcPr>
          <w:p w14:paraId="49452B09" w14:textId="77777777" w:rsidR="009E11D4" w:rsidRDefault="00000000">
            <w:pPr>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2"/>
              </w:rPr>
            </w:pPr>
            <w:r>
              <w:rPr>
                <w:rFonts w:ascii="Arial" w:eastAsia="Arial" w:hAnsi="Arial" w:cs="Arial"/>
                <w:color w:val="000000"/>
                <w:sz w:val="22"/>
              </w:rPr>
              <w:t>- 30 years</w:t>
            </w:r>
          </w:p>
        </w:tc>
        <w:tc>
          <w:tcPr>
            <w:tcW w:w="1825" w:type="dxa"/>
          </w:tcPr>
          <w:p w14:paraId="7D90DDF2" w14:textId="77777777" w:rsidR="009E11D4" w:rsidRDefault="00000000">
            <w:pPr>
              <w:ind w:left="0" w:hanging="2"/>
              <w:jc w:val="center"/>
              <w:rPr>
                <w:rFonts w:ascii="Arial" w:eastAsia="Arial" w:hAnsi="Arial" w:cs="Arial"/>
                <w:sz w:val="22"/>
              </w:rPr>
            </w:pPr>
            <w:r>
              <w:rPr>
                <w:rFonts w:ascii="Arial" w:eastAsia="Arial" w:hAnsi="Arial" w:cs="Arial"/>
                <w:sz w:val="22"/>
              </w:rPr>
              <w:t>2</w:t>
            </w:r>
          </w:p>
        </w:tc>
        <w:tc>
          <w:tcPr>
            <w:tcW w:w="1827" w:type="dxa"/>
          </w:tcPr>
          <w:p w14:paraId="399F7969" w14:textId="77777777" w:rsidR="009E11D4" w:rsidRDefault="00000000">
            <w:pPr>
              <w:ind w:left="0" w:hanging="2"/>
              <w:jc w:val="center"/>
              <w:rPr>
                <w:rFonts w:ascii="Arial" w:eastAsia="Arial" w:hAnsi="Arial" w:cs="Arial"/>
                <w:sz w:val="22"/>
              </w:rPr>
            </w:pPr>
            <w:r>
              <w:rPr>
                <w:rFonts w:ascii="Arial" w:eastAsia="Arial" w:hAnsi="Arial" w:cs="Arial"/>
                <w:sz w:val="22"/>
              </w:rPr>
              <w:t>40.00</w:t>
            </w:r>
          </w:p>
        </w:tc>
      </w:tr>
      <w:tr w:rsidR="009E11D4" w14:paraId="090BC555" w14:textId="77777777">
        <w:tc>
          <w:tcPr>
            <w:tcW w:w="5114" w:type="dxa"/>
          </w:tcPr>
          <w:p w14:paraId="7454B62E" w14:textId="77777777" w:rsidR="009E11D4" w:rsidRDefault="00000000">
            <w:pPr>
              <w:ind w:left="0" w:hanging="2"/>
              <w:jc w:val="center"/>
              <w:rPr>
                <w:rFonts w:ascii="Arial" w:eastAsia="Arial" w:hAnsi="Arial" w:cs="Arial"/>
                <w:sz w:val="22"/>
              </w:rPr>
            </w:pPr>
            <w:r>
              <w:rPr>
                <w:rFonts w:ascii="Arial" w:eastAsia="Arial" w:hAnsi="Arial" w:cs="Arial"/>
                <w:sz w:val="22"/>
              </w:rPr>
              <w:t>&gt;30 years</w:t>
            </w:r>
          </w:p>
        </w:tc>
        <w:tc>
          <w:tcPr>
            <w:tcW w:w="1825" w:type="dxa"/>
          </w:tcPr>
          <w:p w14:paraId="70DE07DB"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10E05439" w14:textId="77777777" w:rsidR="009E11D4" w:rsidRDefault="00000000">
            <w:pPr>
              <w:ind w:left="0" w:hanging="2"/>
              <w:jc w:val="center"/>
              <w:rPr>
                <w:rFonts w:ascii="Arial" w:eastAsia="Arial" w:hAnsi="Arial" w:cs="Arial"/>
                <w:sz w:val="22"/>
              </w:rPr>
            </w:pPr>
            <w:r>
              <w:rPr>
                <w:rFonts w:ascii="Arial" w:eastAsia="Arial" w:hAnsi="Arial" w:cs="Arial"/>
                <w:sz w:val="22"/>
              </w:rPr>
              <w:t>20.00</w:t>
            </w:r>
          </w:p>
        </w:tc>
      </w:tr>
      <w:tr w:rsidR="009E11D4" w14:paraId="19D21592" w14:textId="77777777">
        <w:tc>
          <w:tcPr>
            <w:tcW w:w="5114" w:type="dxa"/>
            <w:shd w:val="clear" w:color="auto" w:fill="F2F2F2"/>
          </w:tcPr>
          <w:p w14:paraId="239E1151" w14:textId="77777777" w:rsidR="009E11D4" w:rsidRDefault="00000000">
            <w:pPr>
              <w:ind w:left="0" w:hanging="2"/>
              <w:jc w:val="center"/>
              <w:rPr>
                <w:rFonts w:ascii="Arial" w:eastAsia="Arial" w:hAnsi="Arial" w:cs="Arial"/>
                <w:sz w:val="22"/>
              </w:rPr>
            </w:pPr>
            <w:r>
              <w:rPr>
                <w:rFonts w:ascii="Arial" w:eastAsia="Arial" w:hAnsi="Arial" w:cs="Arial"/>
                <w:b/>
                <w:sz w:val="22"/>
              </w:rPr>
              <w:t>CHED Typology</w:t>
            </w:r>
          </w:p>
        </w:tc>
        <w:tc>
          <w:tcPr>
            <w:tcW w:w="1825" w:type="dxa"/>
            <w:shd w:val="clear" w:color="auto" w:fill="F2F2F2"/>
          </w:tcPr>
          <w:p w14:paraId="020B1630" w14:textId="77777777" w:rsidR="009E11D4" w:rsidRDefault="009E11D4">
            <w:pPr>
              <w:ind w:left="0" w:hanging="2"/>
              <w:jc w:val="center"/>
              <w:rPr>
                <w:rFonts w:ascii="Arial" w:eastAsia="Arial" w:hAnsi="Arial" w:cs="Arial"/>
                <w:sz w:val="22"/>
              </w:rPr>
            </w:pPr>
          </w:p>
        </w:tc>
        <w:tc>
          <w:tcPr>
            <w:tcW w:w="1827" w:type="dxa"/>
            <w:shd w:val="clear" w:color="auto" w:fill="F2F2F2"/>
          </w:tcPr>
          <w:p w14:paraId="7E5EE708" w14:textId="77777777" w:rsidR="009E11D4" w:rsidRDefault="009E11D4">
            <w:pPr>
              <w:ind w:left="0" w:hanging="2"/>
              <w:jc w:val="center"/>
              <w:rPr>
                <w:rFonts w:ascii="Arial" w:eastAsia="Arial" w:hAnsi="Arial" w:cs="Arial"/>
                <w:sz w:val="22"/>
              </w:rPr>
            </w:pPr>
          </w:p>
        </w:tc>
      </w:tr>
      <w:tr w:rsidR="009E11D4" w14:paraId="31606DBE" w14:textId="77777777">
        <w:tc>
          <w:tcPr>
            <w:tcW w:w="5114" w:type="dxa"/>
          </w:tcPr>
          <w:p w14:paraId="2B924F97" w14:textId="77777777" w:rsidR="009E11D4" w:rsidRDefault="00000000">
            <w:pPr>
              <w:ind w:left="0" w:hanging="2"/>
              <w:jc w:val="center"/>
              <w:rPr>
                <w:rFonts w:ascii="Arial" w:eastAsia="Arial" w:hAnsi="Arial" w:cs="Arial"/>
                <w:sz w:val="22"/>
              </w:rPr>
            </w:pPr>
            <w:r>
              <w:rPr>
                <w:rFonts w:ascii="Arial" w:eastAsia="Arial" w:hAnsi="Arial" w:cs="Arial"/>
                <w:sz w:val="22"/>
              </w:rPr>
              <w:t>State University/College</w:t>
            </w:r>
          </w:p>
        </w:tc>
        <w:tc>
          <w:tcPr>
            <w:tcW w:w="1825" w:type="dxa"/>
          </w:tcPr>
          <w:p w14:paraId="27042D9F" w14:textId="77777777" w:rsidR="009E11D4" w:rsidRDefault="00000000">
            <w:pPr>
              <w:ind w:left="0" w:hanging="2"/>
              <w:jc w:val="center"/>
              <w:rPr>
                <w:rFonts w:ascii="Arial" w:eastAsia="Arial" w:hAnsi="Arial" w:cs="Arial"/>
                <w:sz w:val="22"/>
              </w:rPr>
            </w:pPr>
            <w:r>
              <w:rPr>
                <w:rFonts w:ascii="Arial" w:eastAsia="Arial" w:hAnsi="Arial" w:cs="Arial"/>
                <w:sz w:val="22"/>
              </w:rPr>
              <w:t>2</w:t>
            </w:r>
          </w:p>
        </w:tc>
        <w:tc>
          <w:tcPr>
            <w:tcW w:w="1827" w:type="dxa"/>
          </w:tcPr>
          <w:p w14:paraId="6656F777" w14:textId="77777777" w:rsidR="009E11D4" w:rsidRDefault="00000000">
            <w:pPr>
              <w:ind w:left="0" w:hanging="2"/>
              <w:jc w:val="center"/>
              <w:rPr>
                <w:rFonts w:ascii="Arial" w:eastAsia="Arial" w:hAnsi="Arial" w:cs="Arial"/>
                <w:sz w:val="22"/>
              </w:rPr>
            </w:pPr>
            <w:r>
              <w:rPr>
                <w:rFonts w:ascii="Arial" w:eastAsia="Arial" w:hAnsi="Arial" w:cs="Arial"/>
                <w:sz w:val="22"/>
              </w:rPr>
              <w:t>40.00</w:t>
            </w:r>
          </w:p>
        </w:tc>
      </w:tr>
      <w:tr w:rsidR="009E11D4" w14:paraId="7AC15E78" w14:textId="77777777">
        <w:tc>
          <w:tcPr>
            <w:tcW w:w="5114" w:type="dxa"/>
          </w:tcPr>
          <w:p w14:paraId="5B5EDFDF" w14:textId="77777777" w:rsidR="009E11D4" w:rsidRDefault="00000000">
            <w:pPr>
              <w:ind w:left="0" w:hanging="2"/>
              <w:jc w:val="center"/>
              <w:rPr>
                <w:rFonts w:ascii="Arial" w:eastAsia="Arial" w:hAnsi="Arial" w:cs="Arial"/>
                <w:sz w:val="22"/>
              </w:rPr>
            </w:pPr>
            <w:r>
              <w:rPr>
                <w:rFonts w:ascii="Arial" w:eastAsia="Arial" w:hAnsi="Arial" w:cs="Arial"/>
                <w:sz w:val="22"/>
              </w:rPr>
              <w:t>Catholic PHEI</w:t>
            </w:r>
          </w:p>
        </w:tc>
        <w:tc>
          <w:tcPr>
            <w:tcW w:w="1825" w:type="dxa"/>
          </w:tcPr>
          <w:p w14:paraId="61BF63A6" w14:textId="77777777" w:rsidR="009E11D4" w:rsidRDefault="00000000">
            <w:pPr>
              <w:ind w:left="0" w:hanging="2"/>
              <w:jc w:val="center"/>
              <w:rPr>
                <w:rFonts w:ascii="Arial" w:eastAsia="Arial" w:hAnsi="Arial" w:cs="Arial"/>
                <w:sz w:val="22"/>
              </w:rPr>
            </w:pPr>
            <w:r>
              <w:rPr>
                <w:rFonts w:ascii="Arial" w:eastAsia="Arial" w:hAnsi="Arial" w:cs="Arial"/>
                <w:sz w:val="22"/>
              </w:rPr>
              <w:t>3</w:t>
            </w:r>
          </w:p>
        </w:tc>
        <w:tc>
          <w:tcPr>
            <w:tcW w:w="1827" w:type="dxa"/>
          </w:tcPr>
          <w:p w14:paraId="065EB7E4" w14:textId="77777777" w:rsidR="009E11D4" w:rsidRDefault="00000000">
            <w:pPr>
              <w:ind w:left="0" w:hanging="2"/>
              <w:jc w:val="center"/>
              <w:rPr>
                <w:rFonts w:ascii="Arial" w:eastAsia="Arial" w:hAnsi="Arial" w:cs="Arial"/>
                <w:sz w:val="22"/>
              </w:rPr>
            </w:pPr>
            <w:r>
              <w:rPr>
                <w:rFonts w:ascii="Arial" w:eastAsia="Arial" w:hAnsi="Arial" w:cs="Arial"/>
                <w:sz w:val="22"/>
              </w:rPr>
              <w:t>60.00</w:t>
            </w:r>
          </w:p>
        </w:tc>
      </w:tr>
      <w:tr w:rsidR="009E11D4" w14:paraId="7B7D0FBA" w14:textId="77777777">
        <w:tc>
          <w:tcPr>
            <w:tcW w:w="5114" w:type="dxa"/>
            <w:shd w:val="clear" w:color="auto" w:fill="F2F2F2"/>
          </w:tcPr>
          <w:p w14:paraId="67522E15" w14:textId="77777777" w:rsidR="009E11D4" w:rsidRDefault="00000000">
            <w:pPr>
              <w:ind w:left="0" w:hanging="2"/>
              <w:jc w:val="center"/>
              <w:rPr>
                <w:rFonts w:ascii="Arial" w:eastAsia="Arial" w:hAnsi="Arial" w:cs="Arial"/>
                <w:sz w:val="22"/>
              </w:rPr>
            </w:pPr>
            <w:r>
              <w:rPr>
                <w:rFonts w:ascii="Arial" w:eastAsia="Arial" w:hAnsi="Arial" w:cs="Arial"/>
                <w:b/>
                <w:sz w:val="22"/>
              </w:rPr>
              <w:t>Type of Institution</w:t>
            </w:r>
          </w:p>
        </w:tc>
        <w:tc>
          <w:tcPr>
            <w:tcW w:w="1825" w:type="dxa"/>
            <w:shd w:val="clear" w:color="auto" w:fill="F2F2F2"/>
          </w:tcPr>
          <w:p w14:paraId="56BECBA5" w14:textId="77777777" w:rsidR="009E11D4" w:rsidRDefault="009E11D4">
            <w:pPr>
              <w:ind w:left="0" w:hanging="2"/>
              <w:jc w:val="center"/>
              <w:rPr>
                <w:rFonts w:ascii="Arial" w:eastAsia="Arial" w:hAnsi="Arial" w:cs="Arial"/>
                <w:sz w:val="22"/>
              </w:rPr>
            </w:pPr>
          </w:p>
        </w:tc>
        <w:tc>
          <w:tcPr>
            <w:tcW w:w="1827" w:type="dxa"/>
            <w:shd w:val="clear" w:color="auto" w:fill="F2F2F2"/>
          </w:tcPr>
          <w:p w14:paraId="709767FC" w14:textId="77777777" w:rsidR="009E11D4" w:rsidRDefault="009E11D4">
            <w:pPr>
              <w:ind w:left="0" w:hanging="2"/>
              <w:jc w:val="center"/>
              <w:rPr>
                <w:rFonts w:ascii="Arial" w:eastAsia="Arial" w:hAnsi="Arial" w:cs="Arial"/>
                <w:sz w:val="22"/>
              </w:rPr>
            </w:pPr>
          </w:p>
        </w:tc>
      </w:tr>
      <w:tr w:rsidR="009E11D4" w14:paraId="40CD28C8" w14:textId="77777777">
        <w:tc>
          <w:tcPr>
            <w:tcW w:w="5114" w:type="dxa"/>
          </w:tcPr>
          <w:p w14:paraId="07D1430B" w14:textId="77777777" w:rsidR="009E11D4" w:rsidRDefault="00000000">
            <w:pPr>
              <w:ind w:left="0" w:hanging="2"/>
              <w:jc w:val="center"/>
              <w:rPr>
                <w:rFonts w:ascii="Arial" w:eastAsia="Arial" w:hAnsi="Arial" w:cs="Arial"/>
                <w:sz w:val="22"/>
              </w:rPr>
            </w:pPr>
            <w:r>
              <w:rPr>
                <w:rFonts w:ascii="Arial" w:eastAsia="Arial" w:hAnsi="Arial" w:cs="Arial"/>
                <w:sz w:val="22"/>
              </w:rPr>
              <w:t>University</w:t>
            </w:r>
          </w:p>
        </w:tc>
        <w:tc>
          <w:tcPr>
            <w:tcW w:w="1825" w:type="dxa"/>
          </w:tcPr>
          <w:p w14:paraId="0205A2D7" w14:textId="77777777" w:rsidR="009E11D4" w:rsidRDefault="00000000">
            <w:pPr>
              <w:ind w:left="0" w:hanging="2"/>
              <w:jc w:val="center"/>
              <w:rPr>
                <w:rFonts w:ascii="Arial" w:eastAsia="Arial" w:hAnsi="Arial" w:cs="Arial"/>
                <w:sz w:val="22"/>
              </w:rPr>
            </w:pPr>
            <w:r>
              <w:rPr>
                <w:rFonts w:ascii="Arial" w:eastAsia="Arial" w:hAnsi="Arial" w:cs="Arial"/>
                <w:sz w:val="22"/>
              </w:rPr>
              <w:t>5</w:t>
            </w:r>
          </w:p>
        </w:tc>
        <w:tc>
          <w:tcPr>
            <w:tcW w:w="1827" w:type="dxa"/>
          </w:tcPr>
          <w:p w14:paraId="2D44BB2B" w14:textId="77777777" w:rsidR="009E11D4" w:rsidRDefault="00000000">
            <w:pPr>
              <w:ind w:left="0" w:hanging="2"/>
              <w:jc w:val="center"/>
              <w:rPr>
                <w:rFonts w:ascii="Arial" w:eastAsia="Arial" w:hAnsi="Arial" w:cs="Arial"/>
                <w:sz w:val="22"/>
              </w:rPr>
            </w:pPr>
            <w:r>
              <w:rPr>
                <w:rFonts w:ascii="Arial" w:eastAsia="Arial" w:hAnsi="Arial" w:cs="Arial"/>
                <w:sz w:val="22"/>
              </w:rPr>
              <w:t>100.00</w:t>
            </w:r>
          </w:p>
        </w:tc>
      </w:tr>
      <w:tr w:rsidR="009E11D4" w14:paraId="0C642635" w14:textId="77777777">
        <w:tc>
          <w:tcPr>
            <w:tcW w:w="5114" w:type="dxa"/>
            <w:shd w:val="clear" w:color="auto" w:fill="F2F2F2"/>
          </w:tcPr>
          <w:p w14:paraId="19A24811" w14:textId="77777777" w:rsidR="009E11D4" w:rsidRDefault="00000000">
            <w:pPr>
              <w:ind w:left="0" w:hanging="2"/>
              <w:jc w:val="center"/>
              <w:rPr>
                <w:rFonts w:ascii="Arial" w:eastAsia="Arial" w:hAnsi="Arial" w:cs="Arial"/>
                <w:sz w:val="22"/>
              </w:rPr>
            </w:pPr>
            <w:r>
              <w:rPr>
                <w:rFonts w:ascii="Arial" w:eastAsia="Arial" w:hAnsi="Arial" w:cs="Arial"/>
                <w:b/>
                <w:sz w:val="22"/>
              </w:rPr>
              <w:t>Program Accreditation Status</w:t>
            </w:r>
          </w:p>
        </w:tc>
        <w:tc>
          <w:tcPr>
            <w:tcW w:w="1825" w:type="dxa"/>
            <w:shd w:val="clear" w:color="auto" w:fill="F2F2F2"/>
          </w:tcPr>
          <w:p w14:paraId="01B36BA0" w14:textId="77777777" w:rsidR="009E11D4" w:rsidRDefault="009E11D4">
            <w:pPr>
              <w:ind w:left="0" w:hanging="2"/>
              <w:jc w:val="center"/>
              <w:rPr>
                <w:rFonts w:ascii="Arial" w:eastAsia="Arial" w:hAnsi="Arial" w:cs="Arial"/>
                <w:sz w:val="22"/>
              </w:rPr>
            </w:pPr>
          </w:p>
        </w:tc>
        <w:tc>
          <w:tcPr>
            <w:tcW w:w="1827" w:type="dxa"/>
            <w:shd w:val="clear" w:color="auto" w:fill="F2F2F2"/>
          </w:tcPr>
          <w:p w14:paraId="5B349C7C" w14:textId="77777777" w:rsidR="009E11D4" w:rsidRDefault="009E11D4">
            <w:pPr>
              <w:ind w:left="0" w:hanging="2"/>
              <w:jc w:val="center"/>
              <w:rPr>
                <w:rFonts w:ascii="Arial" w:eastAsia="Arial" w:hAnsi="Arial" w:cs="Arial"/>
                <w:sz w:val="22"/>
              </w:rPr>
            </w:pPr>
          </w:p>
        </w:tc>
      </w:tr>
      <w:tr w:rsidR="009E11D4" w14:paraId="7825ADDB" w14:textId="77777777">
        <w:tc>
          <w:tcPr>
            <w:tcW w:w="5114" w:type="dxa"/>
          </w:tcPr>
          <w:p w14:paraId="791A6B9C" w14:textId="77777777" w:rsidR="009E11D4" w:rsidRDefault="00000000">
            <w:pPr>
              <w:ind w:left="0" w:hanging="2"/>
              <w:jc w:val="center"/>
              <w:rPr>
                <w:rFonts w:ascii="Arial" w:eastAsia="Arial" w:hAnsi="Arial" w:cs="Arial"/>
                <w:sz w:val="22"/>
              </w:rPr>
            </w:pPr>
            <w:r>
              <w:rPr>
                <w:rFonts w:ascii="Arial" w:eastAsia="Arial" w:hAnsi="Arial" w:cs="Arial"/>
                <w:sz w:val="22"/>
              </w:rPr>
              <w:t>Accredited</w:t>
            </w:r>
          </w:p>
        </w:tc>
        <w:tc>
          <w:tcPr>
            <w:tcW w:w="1825" w:type="dxa"/>
          </w:tcPr>
          <w:p w14:paraId="059F2DE5" w14:textId="77777777" w:rsidR="009E11D4" w:rsidRDefault="00000000">
            <w:pPr>
              <w:ind w:left="0" w:hanging="2"/>
              <w:jc w:val="center"/>
              <w:rPr>
                <w:rFonts w:ascii="Arial" w:eastAsia="Arial" w:hAnsi="Arial" w:cs="Arial"/>
                <w:sz w:val="22"/>
              </w:rPr>
            </w:pPr>
            <w:r>
              <w:rPr>
                <w:rFonts w:ascii="Arial" w:eastAsia="Arial" w:hAnsi="Arial" w:cs="Arial"/>
                <w:sz w:val="22"/>
              </w:rPr>
              <w:t>2</w:t>
            </w:r>
          </w:p>
        </w:tc>
        <w:tc>
          <w:tcPr>
            <w:tcW w:w="1827" w:type="dxa"/>
          </w:tcPr>
          <w:p w14:paraId="46B06529" w14:textId="77777777" w:rsidR="009E11D4" w:rsidRDefault="00000000">
            <w:pPr>
              <w:ind w:left="0" w:hanging="2"/>
              <w:jc w:val="center"/>
              <w:rPr>
                <w:rFonts w:ascii="Arial" w:eastAsia="Arial" w:hAnsi="Arial" w:cs="Arial"/>
                <w:sz w:val="22"/>
              </w:rPr>
            </w:pPr>
            <w:r>
              <w:rPr>
                <w:rFonts w:ascii="Arial" w:eastAsia="Arial" w:hAnsi="Arial" w:cs="Arial"/>
                <w:sz w:val="22"/>
              </w:rPr>
              <w:t>40.00</w:t>
            </w:r>
          </w:p>
        </w:tc>
      </w:tr>
      <w:tr w:rsidR="009E11D4" w14:paraId="1EDECCDA" w14:textId="77777777">
        <w:tc>
          <w:tcPr>
            <w:tcW w:w="5114" w:type="dxa"/>
          </w:tcPr>
          <w:p w14:paraId="588BB433" w14:textId="77777777" w:rsidR="009E11D4" w:rsidRDefault="00000000">
            <w:pPr>
              <w:ind w:left="0" w:hanging="2"/>
              <w:jc w:val="center"/>
              <w:rPr>
                <w:rFonts w:ascii="Arial" w:eastAsia="Arial" w:hAnsi="Arial" w:cs="Arial"/>
                <w:sz w:val="22"/>
              </w:rPr>
            </w:pPr>
            <w:r>
              <w:rPr>
                <w:rFonts w:ascii="Arial" w:eastAsia="Arial" w:hAnsi="Arial" w:cs="Arial"/>
                <w:sz w:val="22"/>
              </w:rPr>
              <w:t>Not Accredited</w:t>
            </w:r>
          </w:p>
        </w:tc>
        <w:tc>
          <w:tcPr>
            <w:tcW w:w="1825" w:type="dxa"/>
          </w:tcPr>
          <w:p w14:paraId="028CFC4C" w14:textId="77777777" w:rsidR="009E11D4" w:rsidRDefault="00000000">
            <w:pPr>
              <w:ind w:left="0" w:hanging="2"/>
              <w:jc w:val="center"/>
              <w:rPr>
                <w:rFonts w:ascii="Arial" w:eastAsia="Arial" w:hAnsi="Arial" w:cs="Arial"/>
                <w:sz w:val="22"/>
              </w:rPr>
            </w:pPr>
            <w:r>
              <w:rPr>
                <w:rFonts w:ascii="Arial" w:eastAsia="Arial" w:hAnsi="Arial" w:cs="Arial"/>
                <w:sz w:val="22"/>
              </w:rPr>
              <w:t>3</w:t>
            </w:r>
          </w:p>
        </w:tc>
        <w:tc>
          <w:tcPr>
            <w:tcW w:w="1827" w:type="dxa"/>
          </w:tcPr>
          <w:p w14:paraId="75B79512" w14:textId="77777777" w:rsidR="009E11D4" w:rsidRDefault="00000000">
            <w:pPr>
              <w:ind w:left="0" w:hanging="2"/>
              <w:jc w:val="center"/>
              <w:rPr>
                <w:rFonts w:ascii="Arial" w:eastAsia="Arial" w:hAnsi="Arial" w:cs="Arial"/>
                <w:sz w:val="22"/>
              </w:rPr>
            </w:pPr>
            <w:r>
              <w:rPr>
                <w:rFonts w:ascii="Arial" w:eastAsia="Arial" w:hAnsi="Arial" w:cs="Arial"/>
                <w:sz w:val="22"/>
              </w:rPr>
              <w:t>60.00</w:t>
            </w:r>
          </w:p>
        </w:tc>
      </w:tr>
      <w:tr w:rsidR="009E11D4" w14:paraId="34E7671E" w14:textId="77777777">
        <w:tc>
          <w:tcPr>
            <w:tcW w:w="5114" w:type="dxa"/>
            <w:shd w:val="clear" w:color="auto" w:fill="F2F2F2"/>
          </w:tcPr>
          <w:p w14:paraId="64659498" w14:textId="77777777" w:rsidR="009E11D4" w:rsidRDefault="00000000">
            <w:pPr>
              <w:ind w:left="0" w:hanging="2"/>
              <w:jc w:val="center"/>
              <w:rPr>
                <w:rFonts w:ascii="Arial" w:eastAsia="Arial" w:hAnsi="Arial" w:cs="Arial"/>
                <w:sz w:val="22"/>
              </w:rPr>
            </w:pPr>
            <w:r>
              <w:rPr>
                <w:rFonts w:ascii="Arial" w:eastAsia="Arial" w:hAnsi="Arial" w:cs="Arial"/>
                <w:b/>
                <w:sz w:val="22"/>
              </w:rPr>
              <w:t>Faculty-Student Ratio</w:t>
            </w:r>
          </w:p>
        </w:tc>
        <w:tc>
          <w:tcPr>
            <w:tcW w:w="1825" w:type="dxa"/>
            <w:shd w:val="clear" w:color="auto" w:fill="F2F2F2"/>
          </w:tcPr>
          <w:p w14:paraId="28027D69" w14:textId="77777777" w:rsidR="009E11D4" w:rsidRDefault="009E11D4">
            <w:pPr>
              <w:ind w:left="0" w:hanging="2"/>
              <w:jc w:val="center"/>
              <w:rPr>
                <w:rFonts w:ascii="Arial" w:eastAsia="Arial" w:hAnsi="Arial" w:cs="Arial"/>
                <w:sz w:val="22"/>
              </w:rPr>
            </w:pPr>
          </w:p>
        </w:tc>
        <w:tc>
          <w:tcPr>
            <w:tcW w:w="1827" w:type="dxa"/>
            <w:shd w:val="clear" w:color="auto" w:fill="F2F2F2"/>
          </w:tcPr>
          <w:p w14:paraId="0291F818" w14:textId="77777777" w:rsidR="009E11D4" w:rsidRDefault="009E11D4">
            <w:pPr>
              <w:ind w:left="0" w:hanging="2"/>
              <w:jc w:val="center"/>
              <w:rPr>
                <w:rFonts w:ascii="Arial" w:eastAsia="Arial" w:hAnsi="Arial" w:cs="Arial"/>
                <w:sz w:val="22"/>
              </w:rPr>
            </w:pPr>
          </w:p>
        </w:tc>
      </w:tr>
      <w:tr w:rsidR="009E11D4" w14:paraId="7ABF0557" w14:textId="77777777">
        <w:tc>
          <w:tcPr>
            <w:tcW w:w="5114" w:type="dxa"/>
          </w:tcPr>
          <w:p w14:paraId="2C6BBECC" w14:textId="77777777" w:rsidR="009E11D4" w:rsidRDefault="00000000">
            <w:pPr>
              <w:ind w:left="0" w:hanging="2"/>
              <w:jc w:val="center"/>
              <w:rPr>
                <w:rFonts w:ascii="Arial" w:eastAsia="Arial" w:hAnsi="Arial" w:cs="Arial"/>
                <w:sz w:val="22"/>
              </w:rPr>
            </w:pPr>
            <w:r>
              <w:rPr>
                <w:rFonts w:ascii="Arial" w:eastAsia="Arial" w:hAnsi="Arial" w:cs="Arial"/>
                <w:sz w:val="22"/>
              </w:rPr>
              <w:t>1:40</w:t>
            </w:r>
          </w:p>
        </w:tc>
        <w:tc>
          <w:tcPr>
            <w:tcW w:w="1825" w:type="dxa"/>
          </w:tcPr>
          <w:p w14:paraId="3C835ADF" w14:textId="77777777" w:rsidR="009E11D4" w:rsidRDefault="00000000">
            <w:pPr>
              <w:ind w:left="0" w:hanging="2"/>
              <w:jc w:val="center"/>
              <w:rPr>
                <w:rFonts w:ascii="Arial" w:eastAsia="Arial" w:hAnsi="Arial" w:cs="Arial"/>
                <w:sz w:val="22"/>
              </w:rPr>
            </w:pPr>
            <w:r>
              <w:rPr>
                <w:rFonts w:ascii="Arial" w:eastAsia="Arial" w:hAnsi="Arial" w:cs="Arial"/>
                <w:sz w:val="22"/>
              </w:rPr>
              <w:t>4</w:t>
            </w:r>
          </w:p>
        </w:tc>
        <w:tc>
          <w:tcPr>
            <w:tcW w:w="1827" w:type="dxa"/>
          </w:tcPr>
          <w:p w14:paraId="1641F0C9" w14:textId="77777777" w:rsidR="009E11D4" w:rsidRDefault="00000000">
            <w:pPr>
              <w:ind w:left="0" w:hanging="2"/>
              <w:jc w:val="center"/>
              <w:rPr>
                <w:rFonts w:ascii="Arial" w:eastAsia="Arial" w:hAnsi="Arial" w:cs="Arial"/>
                <w:sz w:val="22"/>
              </w:rPr>
            </w:pPr>
            <w:r>
              <w:rPr>
                <w:rFonts w:ascii="Arial" w:eastAsia="Arial" w:hAnsi="Arial" w:cs="Arial"/>
                <w:sz w:val="22"/>
              </w:rPr>
              <w:t>80.00</w:t>
            </w:r>
          </w:p>
        </w:tc>
      </w:tr>
      <w:tr w:rsidR="009E11D4" w14:paraId="23866968" w14:textId="77777777">
        <w:tc>
          <w:tcPr>
            <w:tcW w:w="5114" w:type="dxa"/>
          </w:tcPr>
          <w:p w14:paraId="0D3CCEE6" w14:textId="77777777" w:rsidR="009E11D4" w:rsidRDefault="00000000">
            <w:pPr>
              <w:ind w:left="0" w:hanging="2"/>
              <w:jc w:val="center"/>
              <w:rPr>
                <w:rFonts w:ascii="Arial" w:eastAsia="Arial" w:hAnsi="Arial" w:cs="Arial"/>
                <w:sz w:val="22"/>
              </w:rPr>
            </w:pPr>
            <w:r>
              <w:rPr>
                <w:rFonts w:ascii="Arial" w:eastAsia="Arial" w:hAnsi="Arial" w:cs="Arial"/>
                <w:sz w:val="22"/>
              </w:rPr>
              <w:t>1:45</w:t>
            </w:r>
          </w:p>
        </w:tc>
        <w:tc>
          <w:tcPr>
            <w:tcW w:w="1825" w:type="dxa"/>
          </w:tcPr>
          <w:p w14:paraId="70D9FD6E"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75DC67C8" w14:textId="77777777" w:rsidR="009E11D4" w:rsidRDefault="00000000">
            <w:pPr>
              <w:ind w:left="0" w:hanging="2"/>
              <w:jc w:val="center"/>
              <w:rPr>
                <w:rFonts w:ascii="Arial" w:eastAsia="Arial" w:hAnsi="Arial" w:cs="Arial"/>
                <w:sz w:val="22"/>
              </w:rPr>
            </w:pPr>
            <w:r>
              <w:rPr>
                <w:rFonts w:ascii="Arial" w:eastAsia="Arial" w:hAnsi="Arial" w:cs="Arial"/>
                <w:sz w:val="22"/>
              </w:rPr>
              <w:t>20.00</w:t>
            </w:r>
          </w:p>
        </w:tc>
      </w:tr>
      <w:tr w:rsidR="009E11D4" w14:paraId="2A83EAD1" w14:textId="77777777">
        <w:tc>
          <w:tcPr>
            <w:tcW w:w="5114" w:type="dxa"/>
          </w:tcPr>
          <w:p w14:paraId="76867718" w14:textId="77777777" w:rsidR="009E11D4" w:rsidRDefault="00000000">
            <w:pPr>
              <w:ind w:left="0" w:hanging="2"/>
              <w:jc w:val="center"/>
              <w:rPr>
                <w:rFonts w:ascii="Arial" w:eastAsia="Arial" w:hAnsi="Arial" w:cs="Arial"/>
                <w:sz w:val="22"/>
              </w:rPr>
            </w:pPr>
            <w:r>
              <w:rPr>
                <w:rFonts w:ascii="Arial" w:eastAsia="Arial" w:hAnsi="Arial" w:cs="Arial"/>
                <w:sz w:val="22"/>
              </w:rPr>
              <w:t>Ave. No. of enrollment for past 5 years</w:t>
            </w:r>
          </w:p>
        </w:tc>
        <w:tc>
          <w:tcPr>
            <w:tcW w:w="1825" w:type="dxa"/>
          </w:tcPr>
          <w:p w14:paraId="1F93DC64" w14:textId="77777777" w:rsidR="009E11D4" w:rsidRDefault="009E11D4">
            <w:pPr>
              <w:ind w:left="0" w:hanging="2"/>
              <w:jc w:val="center"/>
              <w:rPr>
                <w:rFonts w:ascii="Arial" w:eastAsia="Arial" w:hAnsi="Arial" w:cs="Arial"/>
                <w:sz w:val="22"/>
              </w:rPr>
            </w:pPr>
          </w:p>
        </w:tc>
        <w:tc>
          <w:tcPr>
            <w:tcW w:w="1827" w:type="dxa"/>
          </w:tcPr>
          <w:p w14:paraId="067AA7CC" w14:textId="77777777" w:rsidR="009E11D4" w:rsidRDefault="009E11D4">
            <w:pPr>
              <w:ind w:left="0" w:hanging="2"/>
              <w:jc w:val="center"/>
              <w:rPr>
                <w:rFonts w:ascii="Arial" w:eastAsia="Arial" w:hAnsi="Arial" w:cs="Arial"/>
                <w:sz w:val="22"/>
              </w:rPr>
            </w:pPr>
          </w:p>
        </w:tc>
      </w:tr>
      <w:tr w:rsidR="009E11D4" w14:paraId="5B374BBF" w14:textId="77777777">
        <w:tc>
          <w:tcPr>
            <w:tcW w:w="5114" w:type="dxa"/>
          </w:tcPr>
          <w:p w14:paraId="21D42620" w14:textId="77777777" w:rsidR="009E11D4" w:rsidRDefault="00000000">
            <w:pPr>
              <w:ind w:left="0" w:hanging="2"/>
              <w:jc w:val="center"/>
              <w:rPr>
                <w:rFonts w:ascii="Arial" w:eastAsia="Arial" w:hAnsi="Arial" w:cs="Arial"/>
                <w:sz w:val="22"/>
              </w:rPr>
            </w:pPr>
            <w:r>
              <w:rPr>
                <w:rFonts w:ascii="Arial" w:eastAsia="Arial" w:hAnsi="Arial" w:cs="Arial"/>
                <w:sz w:val="22"/>
              </w:rPr>
              <w:t xml:space="preserve">&lt; 20 </w:t>
            </w:r>
          </w:p>
        </w:tc>
        <w:tc>
          <w:tcPr>
            <w:tcW w:w="1825" w:type="dxa"/>
          </w:tcPr>
          <w:p w14:paraId="62C75710"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1463FEEB" w14:textId="77777777" w:rsidR="009E11D4" w:rsidRDefault="00000000">
            <w:pPr>
              <w:ind w:left="0" w:hanging="2"/>
              <w:jc w:val="center"/>
              <w:rPr>
                <w:rFonts w:ascii="Arial" w:eastAsia="Arial" w:hAnsi="Arial" w:cs="Arial"/>
                <w:sz w:val="22"/>
              </w:rPr>
            </w:pPr>
            <w:r>
              <w:rPr>
                <w:rFonts w:ascii="Arial" w:eastAsia="Arial" w:hAnsi="Arial" w:cs="Arial"/>
                <w:sz w:val="22"/>
              </w:rPr>
              <w:t>25.00</w:t>
            </w:r>
          </w:p>
        </w:tc>
      </w:tr>
      <w:tr w:rsidR="009E11D4" w14:paraId="78388453" w14:textId="77777777">
        <w:tc>
          <w:tcPr>
            <w:tcW w:w="5114" w:type="dxa"/>
          </w:tcPr>
          <w:p w14:paraId="7361B813" w14:textId="77777777" w:rsidR="009E11D4" w:rsidRDefault="00000000">
            <w:pPr>
              <w:numPr>
                <w:ilvl w:val="0"/>
                <w:numId w:val="5"/>
              </w:numPr>
              <w:pBdr>
                <w:top w:val="nil"/>
                <w:left w:val="nil"/>
                <w:bottom w:val="nil"/>
                <w:right w:val="nil"/>
                <w:between w:val="nil"/>
              </w:pBdr>
              <w:spacing w:line="240" w:lineRule="auto"/>
              <w:ind w:left="0" w:hanging="2"/>
              <w:jc w:val="center"/>
              <w:rPr>
                <w:rFonts w:ascii="Arial" w:eastAsia="Arial" w:hAnsi="Arial" w:cs="Arial"/>
                <w:color w:val="000000"/>
                <w:sz w:val="22"/>
              </w:rPr>
            </w:pPr>
            <w:r>
              <w:rPr>
                <w:rFonts w:ascii="Arial" w:eastAsia="Arial" w:hAnsi="Arial" w:cs="Arial"/>
                <w:color w:val="000000"/>
                <w:sz w:val="22"/>
              </w:rPr>
              <w:t xml:space="preserve">- 30 </w:t>
            </w:r>
          </w:p>
        </w:tc>
        <w:tc>
          <w:tcPr>
            <w:tcW w:w="1825" w:type="dxa"/>
          </w:tcPr>
          <w:p w14:paraId="06DF9B01"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4B4A30A2" w14:textId="77777777" w:rsidR="009E11D4" w:rsidRDefault="00000000">
            <w:pPr>
              <w:ind w:left="0" w:hanging="2"/>
              <w:jc w:val="center"/>
              <w:rPr>
                <w:rFonts w:ascii="Arial" w:eastAsia="Arial" w:hAnsi="Arial" w:cs="Arial"/>
                <w:sz w:val="22"/>
              </w:rPr>
            </w:pPr>
            <w:r>
              <w:rPr>
                <w:rFonts w:ascii="Arial" w:eastAsia="Arial" w:hAnsi="Arial" w:cs="Arial"/>
                <w:sz w:val="22"/>
              </w:rPr>
              <w:t>25.00</w:t>
            </w:r>
          </w:p>
        </w:tc>
      </w:tr>
      <w:tr w:rsidR="009E11D4" w14:paraId="37F54035" w14:textId="77777777">
        <w:tc>
          <w:tcPr>
            <w:tcW w:w="5114" w:type="dxa"/>
          </w:tcPr>
          <w:p w14:paraId="2B395D50" w14:textId="77777777" w:rsidR="009E11D4" w:rsidRDefault="00000000">
            <w:pPr>
              <w:numPr>
                <w:ilvl w:val="0"/>
                <w:numId w:val="7"/>
              </w:numPr>
              <w:pBdr>
                <w:top w:val="nil"/>
                <w:left w:val="nil"/>
                <w:bottom w:val="nil"/>
                <w:right w:val="nil"/>
                <w:between w:val="nil"/>
              </w:pBdr>
              <w:tabs>
                <w:tab w:val="left" w:pos="447"/>
              </w:tabs>
              <w:spacing w:line="240" w:lineRule="auto"/>
              <w:ind w:left="0" w:hanging="2"/>
              <w:jc w:val="center"/>
              <w:rPr>
                <w:rFonts w:ascii="Arial" w:eastAsia="Arial" w:hAnsi="Arial" w:cs="Arial"/>
                <w:color w:val="000000"/>
                <w:sz w:val="22"/>
              </w:rPr>
            </w:pPr>
            <w:r>
              <w:rPr>
                <w:rFonts w:ascii="Arial" w:eastAsia="Arial" w:hAnsi="Arial" w:cs="Arial"/>
                <w:color w:val="000000"/>
                <w:sz w:val="22"/>
              </w:rPr>
              <w:t>- 40</w:t>
            </w:r>
          </w:p>
        </w:tc>
        <w:tc>
          <w:tcPr>
            <w:tcW w:w="1825" w:type="dxa"/>
          </w:tcPr>
          <w:p w14:paraId="52BD94F6"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4E088579" w14:textId="77777777" w:rsidR="009E11D4" w:rsidRDefault="00000000">
            <w:pPr>
              <w:ind w:left="0" w:hanging="2"/>
              <w:jc w:val="center"/>
              <w:rPr>
                <w:rFonts w:ascii="Arial" w:eastAsia="Arial" w:hAnsi="Arial" w:cs="Arial"/>
                <w:sz w:val="22"/>
              </w:rPr>
            </w:pPr>
            <w:r>
              <w:rPr>
                <w:rFonts w:ascii="Arial" w:eastAsia="Arial" w:hAnsi="Arial" w:cs="Arial"/>
                <w:sz w:val="22"/>
              </w:rPr>
              <w:t>25.00</w:t>
            </w:r>
          </w:p>
        </w:tc>
      </w:tr>
      <w:tr w:rsidR="009E11D4" w14:paraId="4770BF41" w14:textId="77777777">
        <w:tc>
          <w:tcPr>
            <w:tcW w:w="5114" w:type="dxa"/>
          </w:tcPr>
          <w:p w14:paraId="56AD1582" w14:textId="77777777" w:rsidR="009E11D4" w:rsidRDefault="00000000">
            <w:pPr>
              <w:ind w:left="0" w:hanging="2"/>
              <w:jc w:val="center"/>
              <w:rPr>
                <w:rFonts w:ascii="Arial" w:eastAsia="Arial" w:hAnsi="Arial" w:cs="Arial"/>
                <w:sz w:val="22"/>
              </w:rPr>
            </w:pPr>
            <w:r>
              <w:rPr>
                <w:rFonts w:ascii="Arial" w:eastAsia="Arial" w:hAnsi="Arial" w:cs="Arial"/>
                <w:sz w:val="22"/>
              </w:rPr>
              <w:t xml:space="preserve">   &gt; 40</w:t>
            </w:r>
          </w:p>
        </w:tc>
        <w:tc>
          <w:tcPr>
            <w:tcW w:w="1825" w:type="dxa"/>
          </w:tcPr>
          <w:p w14:paraId="491EF76A" w14:textId="77777777" w:rsidR="009E11D4" w:rsidRDefault="00000000">
            <w:pPr>
              <w:ind w:left="0" w:hanging="2"/>
              <w:jc w:val="center"/>
              <w:rPr>
                <w:rFonts w:ascii="Arial" w:eastAsia="Arial" w:hAnsi="Arial" w:cs="Arial"/>
                <w:sz w:val="22"/>
              </w:rPr>
            </w:pPr>
            <w:r>
              <w:rPr>
                <w:rFonts w:ascii="Arial" w:eastAsia="Arial" w:hAnsi="Arial" w:cs="Arial"/>
                <w:sz w:val="22"/>
              </w:rPr>
              <w:t>1</w:t>
            </w:r>
          </w:p>
        </w:tc>
        <w:tc>
          <w:tcPr>
            <w:tcW w:w="1827" w:type="dxa"/>
          </w:tcPr>
          <w:p w14:paraId="44067985" w14:textId="77777777" w:rsidR="009E11D4" w:rsidRDefault="00000000">
            <w:pPr>
              <w:ind w:left="0" w:hanging="2"/>
              <w:jc w:val="center"/>
              <w:rPr>
                <w:rFonts w:ascii="Arial" w:eastAsia="Arial" w:hAnsi="Arial" w:cs="Arial"/>
                <w:sz w:val="22"/>
              </w:rPr>
            </w:pPr>
            <w:r>
              <w:rPr>
                <w:rFonts w:ascii="Arial" w:eastAsia="Arial" w:hAnsi="Arial" w:cs="Arial"/>
                <w:sz w:val="22"/>
              </w:rPr>
              <w:t>25.00</w:t>
            </w:r>
          </w:p>
        </w:tc>
      </w:tr>
    </w:tbl>
    <w:p w14:paraId="4B65F59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Table 1 presents the profile of the schools that were included in the study. As shown, two schools have had the ECE program for less than 20 years, while two schools have had the program for 20 to 30 years and one school has had the program for over 30 years. Regarding CHED typology, two schools are state universities or colleges, while three schools are Catholic private higher education institutions. All schools in the sample are universities. Regarding program accreditation status, two schools have accredited ECE programs, while three schools do not. Moreover, for the faculty-student ratio, four schools have a ratio of 1:40, while one school has a ratio of 1:45.</w:t>
      </w:r>
    </w:p>
    <w:p w14:paraId="218B2E39"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378F30E"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Finally, the average number of enrollees for the past five years varies across schools, with one school having an average of less than 20 enrollees, one school having an average of 21 to 30 enrollees, one school having an average of 31 to 40 enrollees, and one school having an average of more than 40 enrollees. One school did not provide data of their graduates.</w:t>
      </w:r>
    </w:p>
    <w:p w14:paraId="021162B1"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003C47D" w14:textId="77777777" w:rsidR="009E11D4" w:rsidRDefault="00000000">
      <w:pPr>
        <w:ind w:left="0" w:hanging="2"/>
        <w:rPr>
          <w:rFonts w:ascii="Arial" w:eastAsia="Arial" w:hAnsi="Arial" w:cs="Arial"/>
          <w:sz w:val="22"/>
        </w:rPr>
      </w:pPr>
      <w:r>
        <w:rPr>
          <w:rFonts w:ascii="Arial" w:eastAsia="Arial" w:hAnsi="Arial" w:cs="Arial"/>
          <w:b/>
          <w:sz w:val="22"/>
        </w:rPr>
        <w:t xml:space="preserve">    Table 2. Profile of the Respondents</w:t>
      </w:r>
    </w:p>
    <w:tbl>
      <w:tblPr>
        <w:tblStyle w:val="a0"/>
        <w:tblW w:w="87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5"/>
        <w:gridCol w:w="1950"/>
        <w:gridCol w:w="1951"/>
      </w:tblGrid>
      <w:tr w:rsidR="009E11D4" w14:paraId="1869B55F" w14:textId="77777777">
        <w:tc>
          <w:tcPr>
            <w:tcW w:w="4865" w:type="dxa"/>
            <w:vAlign w:val="center"/>
          </w:tcPr>
          <w:p w14:paraId="5B95E559" w14:textId="77777777" w:rsidR="009E11D4" w:rsidRDefault="00000000">
            <w:pPr>
              <w:ind w:left="0" w:hanging="2"/>
              <w:jc w:val="center"/>
              <w:rPr>
                <w:rFonts w:ascii="Arial" w:eastAsia="Arial" w:hAnsi="Arial" w:cs="Arial"/>
                <w:sz w:val="22"/>
              </w:rPr>
            </w:pPr>
            <w:r>
              <w:rPr>
                <w:rFonts w:ascii="Arial" w:eastAsia="Arial" w:hAnsi="Arial" w:cs="Arial"/>
                <w:b/>
                <w:sz w:val="22"/>
              </w:rPr>
              <w:t>Variable</w:t>
            </w:r>
          </w:p>
        </w:tc>
        <w:tc>
          <w:tcPr>
            <w:tcW w:w="1950" w:type="dxa"/>
            <w:vAlign w:val="center"/>
          </w:tcPr>
          <w:p w14:paraId="208C745B" w14:textId="77777777" w:rsidR="009E11D4" w:rsidRDefault="00000000">
            <w:pPr>
              <w:ind w:left="0" w:hanging="2"/>
              <w:jc w:val="center"/>
              <w:rPr>
                <w:rFonts w:ascii="Arial" w:eastAsia="Arial" w:hAnsi="Arial" w:cs="Arial"/>
                <w:sz w:val="22"/>
              </w:rPr>
            </w:pPr>
            <w:r>
              <w:rPr>
                <w:rFonts w:ascii="Arial" w:eastAsia="Arial" w:hAnsi="Arial" w:cs="Arial"/>
                <w:b/>
                <w:sz w:val="22"/>
              </w:rPr>
              <w:t>Frequency</w:t>
            </w:r>
          </w:p>
          <w:p w14:paraId="4758858C" w14:textId="77777777" w:rsidR="009E11D4" w:rsidRDefault="00000000">
            <w:pPr>
              <w:ind w:left="0" w:hanging="2"/>
              <w:jc w:val="center"/>
              <w:rPr>
                <w:rFonts w:ascii="Arial" w:eastAsia="Arial" w:hAnsi="Arial" w:cs="Arial"/>
                <w:sz w:val="22"/>
              </w:rPr>
            </w:pPr>
            <w:r>
              <w:rPr>
                <w:rFonts w:ascii="Arial" w:eastAsia="Arial" w:hAnsi="Arial" w:cs="Arial"/>
                <w:sz w:val="22"/>
              </w:rPr>
              <w:t>(N = 194)</w:t>
            </w:r>
          </w:p>
        </w:tc>
        <w:tc>
          <w:tcPr>
            <w:tcW w:w="1951" w:type="dxa"/>
            <w:vAlign w:val="center"/>
          </w:tcPr>
          <w:p w14:paraId="2A08386F" w14:textId="77777777" w:rsidR="009E11D4" w:rsidRDefault="00000000">
            <w:pPr>
              <w:ind w:left="0" w:hanging="2"/>
              <w:jc w:val="center"/>
              <w:rPr>
                <w:rFonts w:ascii="Arial" w:eastAsia="Arial" w:hAnsi="Arial" w:cs="Arial"/>
                <w:sz w:val="22"/>
              </w:rPr>
            </w:pPr>
            <w:r>
              <w:rPr>
                <w:rFonts w:ascii="Arial" w:eastAsia="Arial" w:hAnsi="Arial" w:cs="Arial"/>
                <w:b/>
                <w:sz w:val="22"/>
              </w:rPr>
              <w:t>Percentage</w:t>
            </w:r>
          </w:p>
        </w:tc>
      </w:tr>
      <w:tr w:rsidR="009E11D4" w14:paraId="091DA655" w14:textId="77777777">
        <w:tc>
          <w:tcPr>
            <w:tcW w:w="4865" w:type="dxa"/>
            <w:shd w:val="clear" w:color="auto" w:fill="F2F2F2"/>
          </w:tcPr>
          <w:p w14:paraId="2A5FB616" w14:textId="77777777" w:rsidR="009E11D4" w:rsidRDefault="00000000">
            <w:pPr>
              <w:ind w:left="0" w:hanging="2"/>
              <w:jc w:val="center"/>
              <w:rPr>
                <w:rFonts w:ascii="Arial" w:eastAsia="Arial" w:hAnsi="Arial" w:cs="Arial"/>
                <w:sz w:val="22"/>
              </w:rPr>
            </w:pPr>
            <w:r>
              <w:rPr>
                <w:rFonts w:ascii="Arial" w:eastAsia="Arial" w:hAnsi="Arial" w:cs="Arial"/>
                <w:b/>
                <w:sz w:val="22"/>
              </w:rPr>
              <w:lastRenderedPageBreak/>
              <w:t xml:space="preserve">Sex </w:t>
            </w:r>
          </w:p>
        </w:tc>
        <w:tc>
          <w:tcPr>
            <w:tcW w:w="1950" w:type="dxa"/>
            <w:shd w:val="clear" w:color="auto" w:fill="F2F2F2"/>
          </w:tcPr>
          <w:p w14:paraId="34D922CA" w14:textId="77777777" w:rsidR="009E11D4" w:rsidRDefault="009E11D4">
            <w:pPr>
              <w:ind w:left="0" w:hanging="2"/>
              <w:jc w:val="center"/>
              <w:rPr>
                <w:rFonts w:ascii="Arial" w:eastAsia="Arial" w:hAnsi="Arial" w:cs="Arial"/>
                <w:sz w:val="22"/>
              </w:rPr>
            </w:pPr>
          </w:p>
        </w:tc>
        <w:tc>
          <w:tcPr>
            <w:tcW w:w="1951" w:type="dxa"/>
            <w:shd w:val="clear" w:color="auto" w:fill="F2F2F2"/>
          </w:tcPr>
          <w:p w14:paraId="09186D16" w14:textId="77777777" w:rsidR="009E11D4" w:rsidRDefault="009E11D4">
            <w:pPr>
              <w:ind w:left="0" w:hanging="2"/>
              <w:jc w:val="center"/>
              <w:rPr>
                <w:rFonts w:ascii="Arial" w:eastAsia="Arial" w:hAnsi="Arial" w:cs="Arial"/>
                <w:sz w:val="22"/>
              </w:rPr>
            </w:pPr>
          </w:p>
        </w:tc>
      </w:tr>
      <w:tr w:rsidR="009E11D4" w14:paraId="4F11B3EE" w14:textId="77777777">
        <w:tc>
          <w:tcPr>
            <w:tcW w:w="4865" w:type="dxa"/>
          </w:tcPr>
          <w:p w14:paraId="5182CD57" w14:textId="77777777" w:rsidR="009E11D4" w:rsidRDefault="00000000">
            <w:pPr>
              <w:ind w:left="0" w:hanging="2"/>
              <w:jc w:val="center"/>
              <w:rPr>
                <w:rFonts w:ascii="Arial" w:eastAsia="Arial" w:hAnsi="Arial" w:cs="Arial"/>
                <w:sz w:val="22"/>
              </w:rPr>
            </w:pPr>
            <w:r>
              <w:rPr>
                <w:rFonts w:ascii="Arial" w:eastAsia="Arial" w:hAnsi="Arial" w:cs="Arial"/>
                <w:sz w:val="22"/>
              </w:rPr>
              <w:t>Male</w:t>
            </w:r>
          </w:p>
        </w:tc>
        <w:tc>
          <w:tcPr>
            <w:tcW w:w="1950" w:type="dxa"/>
          </w:tcPr>
          <w:p w14:paraId="220C60DE" w14:textId="77777777" w:rsidR="009E11D4" w:rsidRDefault="00000000">
            <w:pPr>
              <w:ind w:left="0" w:hanging="2"/>
              <w:jc w:val="center"/>
              <w:rPr>
                <w:rFonts w:ascii="Arial" w:eastAsia="Arial" w:hAnsi="Arial" w:cs="Arial"/>
                <w:sz w:val="22"/>
              </w:rPr>
            </w:pPr>
            <w:r>
              <w:rPr>
                <w:rFonts w:ascii="Arial" w:eastAsia="Arial" w:hAnsi="Arial" w:cs="Arial"/>
                <w:sz w:val="22"/>
              </w:rPr>
              <w:t>139</w:t>
            </w:r>
          </w:p>
        </w:tc>
        <w:tc>
          <w:tcPr>
            <w:tcW w:w="1951" w:type="dxa"/>
          </w:tcPr>
          <w:p w14:paraId="4FECEB74" w14:textId="77777777" w:rsidR="009E11D4" w:rsidRDefault="00000000">
            <w:pPr>
              <w:ind w:left="0" w:hanging="2"/>
              <w:jc w:val="center"/>
              <w:rPr>
                <w:rFonts w:ascii="Arial" w:eastAsia="Arial" w:hAnsi="Arial" w:cs="Arial"/>
                <w:sz w:val="22"/>
              </w:rPr>
            </w:pPr>
            <w:r>
              <w:rPr>
                <w:rFonts w:ascii="Arial" w:eastAsia="Arial" w:hAnsi="Arial" w:cs="Arial"/>
                <w:sz w:val="22"/>
              </w:rPr>
              <w:t>71.60</w:t>
            </w:r>
          </w:p>
        </w:tc>
      </w:tr>
      <w:tr w:rsidR="009E11D4" w14:paraId="4726F87E" w14:textId="77777777">
        <w:tc>
          <w:tcPr>
            <w:tcW w:w="4865" w:type="dxa"/>
          </w:tcPr>
          <w:p w14:paraId="753095C9" w14:textId="77777777" w:rsidR="009E11D4" w:rsidRDefault="00000000">
            <w:pPr>
              <w:ind w:left="0" w:hanging="2"/>
              <w:jc w:val="center"/>
              <w:rPr>
                <w:rFonts w:ascii="Arial" w:eastAsia="Arial" w:hAnsi="Arial" w:cs="Arial"/>
                <w:sz w:val="22"/>
              </w:rPr>
            </w:pPr>
            <w:r>
              <w:rPr>
                <w:rFonts w:ascii="Arial" w:eastAsia="Arial" w:hAnsi="Arial" w:cs="Arial"/>
                <w:sz w:val="22"/>
              </w:rPr>
              <w:t>Female</w:t>
            </w:r>
          </w:p>
        </w:tc>
        <w:tc>
          <w:tcPr>
            <w:tcW w:w="1950" w:type="dxa"/>
          </w:tcPr>
          <w:p w14:paraId="63EF4889" w14:textId="77777777" w:rsidR="009E11D4" w:rsidRDefault="00000000">
            <w:pPr>
              <w:ind w:left="0" w:hanging="2"/>
              <w:jc w:val="center"/>
              <w:rPr>
                <w:rFonts w:ascii="Arial" w:eastAsia="Arial" w:hAnsi="Arial" w:cs="Arial"/>
                <w:sz w:val="22"/>
              </w:rPr>
            </w:pPr>
            <w:r>
              <w:rPr>
                <w:rFonts w:ascii="Arial" w:eastAsia="Arial" w:hAnsi="Arial" w:cs="Arial"/>
                <w:sz w:val="22"/>
              </w:rPr>
              <w:t>55</w:t>
            </w:r>
          </w:p>
        </w:tc>
        <w:tc>
          <w:tcPr>
            <w:tcW w:w="1951" w:type="dxa"/>
          </w:tcPr>
          <w:p w14:paraId="6DBEAE05" w14:textId="77777777" w:rsidR="009E11D4" w:rsidRDefault="00000000">
            <w:pPr>
              <w:ind w:left="0" w:hanging="2"/>
              <w:jc w:val="center"/>
              <w:rPr>
                <w:rFonts w:ascii="Arial" w:eastAsia="Arial" w:hAnsi="Arial" w:cs="Arial"/>
                <w:sz w:val="22"/>
              </w:rPr>
            </w:pPr>
            <w:r>
              <w:rPr>
                <w:rFonts w:ascii="Arial" w:eastAsia="Arial" w:hAnsi="Arial" w:cs="Arial"/>
                <w:sz w:val="22"/>
              </w:rPr>
              <w:t>28.40</w:t>
            </w:r>
          </w:p>
        </w:tc>
      </w:tr>
      <w:tr w:rsidR="009E11D4" w14:paraId="79FAEEF4" w14:textId="77777777">
        <w:tc>
          <w:tcPr>
            <w:tcW w:w="4865" w:type="dxa"/>
            <w:shd w:val="clear" w:color="auto" w:fill="F2F2F2"/>
          </w:tcPr>
          <w:p w14:paraId="3D17CB39" w14:textId="77777777" w:rsidR="009E11D4" w:rsidRDefault="00000000">
            <w:pPr>
              <w:ind w:left="0" w:hanging="2"/>
              <w:jc w:val="center"/>
              <w:rPr>
                <w:rFonts w:ascii="Arial" w:eastAsia="Arial" w:hAnsi="Arial" w:cs="Arial"/>
                <w:sz w:val="22"/>
              </w:rPr>
            </w:pPr>
            <w:r>
              <w:rPr>
                <w:rFonts w:ascii="Arial" w:eastAsia="Arial" w:hAnsi="Arial" w:cs="Arial"/>
                <w:b/>
                <w:sz w:val="22"/>
              </w:rPr>
              <w:t>Civil Status</w:t>
            </w:r>
          </w:p>
        </w:tc>
        <w:tc>
          <w:tcPr>
            <w:tcW w:w="1950" w:type="dxa"/>
            <w:shd w:val="clear" w:color="auto" w:fill="F2F2F2"/>
          </w:tcPr>
          <w:p w14:paraId="54DC0E31" w14:textId="77777777" w:rsidR="009E11D4" w:rsidRDefault="009E11D4">
            <w:pPr>
              <w:ind w:left="0" w:hanging="2"/>
              <w:jc w:val="center"/>
              <w:rPr>
                <w:rFonts w:ascii="Arial" w:eastAsia="Arial" w:hAnsi="Arial" w:cs="Arial"/>
                <w:sz w:val="22"/>
              </w:rPr>
            </w:pPr>
          </w:p>
        </w:tc>
        <w:tc>
          <w:tcPr>
            <w:tcW w:w="1951" w:type="dxa"/>
            <w:shd w:val="clear" w:color="auto" w:fill="F2F2F2"/>
          </w:tcPr>
          <w:p w14:paraId="19194864" w14:textId="77777777" w:rsidR="009E11D4" w:rsidRDefault="009E11D4">
            <w:pPr>
              <w:ind w:left="0" w:hanging="2"/>
              <w:jc w:val="center"/>
              <w:rPr>
                <w:rFonts w:ascii="Arial" w:eastAsia="Arial" w:hAnsi="Arial" w:cs="Arial"/>
                <w:sz w:val="22"/>
              </w:rPr>
            </w:pPr>
          </w:p>
        </w:tc>
      </w:tr>
      <w:tr w:rsidR="009E11D4" w14:paraId="421CBECA" w14:textId="77777777">
        <w:tc>
          <w:tcPr>
            <w:tcW w:w="4865" w:type="dxa"/>
          </w:tcPr>
          <w:p w14:paraId="2AAE038C" w14:textId="77777777" w:rsidR="009E11D4" w:rsidRDefault="00000000">
            <w:pPr>
              <w:ind w:left="0" w:hanging="2"/>
              <w:jc w:val="center"/>
              <w:rPr>
                <w:rFonts w:ascii="Arial" w:eastAsia="Arial" w:hAnsi="Arial" w:cs="Arial"/>
                <w:sz w:val="22"/>
              </w:rPr>
            </w:pPr>
            <w:r>
              <w:rPr>
                <w:rFonts w:ascii="Arial" w:eastAsia="Arial" w:hAnsi="Arial" w:cs="Arial"/>
                <w:sz w:val="22"/>
              </w:rPr>
              <w:t>Single</w:t>
            </w:r>
          </w:p>
        </w:tc>
        <w:tc>
          <w:tcPr>
            <w:tcW w:w="1950" w:type="dxa"/>
          </w:tcPr>
          <w:p w14:paraId="70CAE3E7" w14:textId="77777777" w:rsidR="009E11D4" w:rsidRDefault="00000000">
            <w:pPr>
              <w:ind w:left="0" w:hanging="2"/>
              <w:jc w:val="center"/>
              <w:rPr>
                <w:rFonts w:ascii="Arial" w:eastAsia="Arial" w:hAnsi="Arial" w:cs="Arial"/>
                <w:sz w:val="22"/>
              </w:rPr>
            </w:pPr>
            <w:r>
              <w:rPr>
                <w:rFonts w:ascii="Arial" w:eastAsia="Arial" w:hAnsi="Arial" w:cs="Arial"/>
                <w:sz w:val="22"/>
              </w:rPr>
              <w:t>164</w:t>
            </w:r>
          </w:p>
        </w:tc>
        <w:tc>
          <w:tcPr>
            <w:tcW w:w="1951" w:type="dxa"/>
          </w:tcPr>
          <w:p w14:paraId="32961126" w14:textId="77777777" w:rsidR="009E11D4" w:rsidRDefault="00000000">
            <w:pPr>
              <w:ind w:left="0" w:hanging="2"/>
              <w:jc w:val="center"/>
              <w:rPr>
                <w:rFonts w:ascii="Arial" w:eastAsia="Arial" w:hAnsi="Arial" w:cs="Arial"/>
                <w:sz w:val="22"/>
              </w:rPr>
            </w:pPr>
            <w:r>
              <w:rPr>
                <w:rFonts w:ascii="Arial" w:eastAsia="Arial" w:hAnsi="Arial" w:cs="Arial"/>
                <w:sz w:val="22"/>
              </w:rPr>
              <w:t>84.50</w:t>
            </w:r>
          </w:p>
        </w:tc>
      </w:tr>
      <w:tr w:rsidR="009E11D4" w14:paraId="26B66CAA" w14:textId="77777777">
        <w:tc>
          <w:tcPr>
            <w:tcW w:w="4865" w:type="dxa"/>
          </w:tcPr>
          <w:p w14:paraId="63D01902" w14:textId="77777777" w:rsidR="009E11D4" w:rsidRDefault="00000000">
            <w:pPr>
              <w:ind w:left="0" w:hanging="2"/>
              <w:jc w:val="center"/>
              <w:rPr>
                <w:rFonts w:ascii="Arial" w:eastAsia="Arial" w:hAnsi="Arial" w:cs="Arial"/>
                <w:sz w:val="22"/>
              </w:rPr>
            </w:pPr>
            <w:r>
              <w:rPr>
                <w:rFonts w:ascii="Arial" w:eastAsia="Arial" w:hAnsi="Arial" w:cs="Arial"/>
                <w:sz w:val="22"/>
              </w:rPr>
              <w:t>Married</w:t>
            </w:r>
          </w:p>
        </w:tc>
        <w:tc>
          <w:tcPr>
            <w:tcW w:w="1950" w:type="dxa"/>
          </w:tcPr>
          <w:p w14:paraId="415C4276" w14:textId="77777777" w:rsidR="009E11D4" w:rsidRDefault="00000000">
            <w:pPr>
              <w:ind w:left="0" w:hanging="2"/>
              <w:jc w:val="center"/>
              <w:rPr>
                <w:rFonts w:ascii="Arial" w:eastAsia="Arial" w:hAnsi="Arial" w:cs="Arial"/>
                <w:sz w:val="22"/>
              </w:rPr>
            </w:pPr>
            <w:r>
              <w:rPr>
                <w:rFonts w:ascii="Arial" w:eastAsia="Arial" w:hAnsi="Arial" w:cs="Arial"/>
                <w:sz w:val="22"/>
              </w:rPr>
              <w:t>30</w:t>
            </w:r>
          </w:p>
        </w:tc>
        <w:tc>
          <w:tcPr>
            <w:tcW w:w="1951" w:type="dxa"/>
          </w:tcPr>
          <w:p w14:paraId="0B6E6F74" w14:textId="77777777" w:rsidR="009E11D4" w:rsidRDefault="00000000">
            <w:pPr>
              <w:ind w:left="0" w:hanging="2"/>
              <w:jc w:val="center"/>
              <w:rPr>
                <w:rFonts w:ascii="Arial" w:eastAsia="Arial" w:hAnsi="Arial" w:cs="Arial"/>
                <w:sz w:val="22"/>
              </w:rPr>
            </w:pPr>
            <w:r>
              <w:rPr>
                <w:rFonts w:ascii="Arial" w:eastAsia="Arial" w:hAnsi="Arial" w:cs="Arial"/>
                <w:sz w:val="22"/>
              </w:rPr>
              <w:t>15.50</w:t>
            </w:r>
          </w:p>
        </w:tc>
      </w:tr>
      <w:tr w:rsidR="009E11D4" w14:paraId="3804B79E" w14:textId="77777777">
        <w:tc>
          <w:tcPr>
            <w:tcW w:w="4865" w:type="dxa"/>
          </w:tcPr>
          <w:p w14:paraId="3F738016" w14:textId="77777777" w:rsidR="009E11D4" w:rsidRDefault="00000000">
            <w:pPr>
              <w:ind w:left="0" w:hanging="2"/>
              <w:jc w:val="center"/>
              <w:rPr>
                <w:rFonts w:ascii="Arial" w:eastAsia="Arial" w:hAnsi="Arial" w:cs="Arial"/>
                <w:sz w:val="22"/>
              </w:rPr>
            </w:pPr>
            <w:r>
              <w:rPr>
                <w:rFonts w:ascii="Arial" w:eastAsia="Arial" w:hAnsi="Arial" w:cs="Arial"/>
                <w:b/>
                <w:sz w:val="22"/>
              </w:rPr>
              <w:t>Type of School Graduated From</w:t>
            </w:r>
          </w:p>
        </w:tc>
        <w:tc>
          <w:tcPr>
            <w:tcW w:w="1950" w:type="dxa"/>
          </w:tcPr>
          <w:p w14:paraId="4D05AD06" w14:textId="77777777" w:rsidR="009E11D4" w:rsidRDefault="009E11D4">
            <w:pPr>
              <w:ind w:left="0" w:hanging="2"/>
              <w:jc w:val="center"/>
              <w:rPr>
                <w:rFonts w:ascii="Arial" w:eastAsia="Arial" w:hAnsi="Arial" w:cs="Arial"/>
                <w:sz w:val="22"/>
              </w:rPr>
            </w:pPr>
          </w:p>
        </w:tc>
        <w:tc>
          <w:tcPr>
            <w:tcW w:w="1951" w:type="dxa"/>
          </w:tcPr>
          <w:p w14:paraId="6DCBA1A2" w14:textId="77777777" w:rsidR="009E11D4" w:rsidRDefault="009E11D4">
            <w:pPr>
              <w:ind w:left="0" w:hanging="2"/>
              <w:jc w:val="center"/>
              <w:rPr>
                <w:rFonts w:ascii="Arial" w:eastAsia="Arial" w:hAnsi="Arial" w:cs="Arial"/>
                <w:sz w:val="22"/>
              </w:rPr>
            </w:pPr>
          </w:p>
        </w:tc>
      </w:tr>
      <w:tr w:rsidR="009E11D4" w14:paraId="56DAA913" w14:textId="77777777">
        <w:tc>
          <w:tcPr>
            <w:tcW w:w="4865" w:type="dxa"/>
          </w:tcPr>
          <w:p w14:paraId="2804F44D" w14:textId="77777777" w:rsidR="009E11D4" w:rsidRDefault="00000000">
            <w:pPr>
              <w:ind w:left="0" w:hanging="2"/>
              <w:jc w:val="center"/>
              <w:rPr>
                <w:rFonts w:ascii="Arial" w:eastAsia="Arial" w:hAnsi="Arial" w:cs="Arial"/>
                <w:sz w:val="22"/>
              </w:rPr>
            </w:pPr>
            <w:r>
              <w:rPr>
                <w:rFonts w:ascii="Arial" w:eastAsia="Arial" w:hAnsi="Arial" w:cs="Arial"/>
                <w:sz w:val="22"/>
              </w:rPr>
              <w:t>Private</w:t>
            </w:r>
          </w:p>
        </w:tc>
        <w:tc>
          <w:tcPr>
            <w:tcW w:w="1950" w:type="dxa"/>
          </w:tcPr>
          <w:p w14:paraId="611D07E3" w14:textId="77777777" w:rsidR="009E11D4" w:rsidRDefault="00000000">
            <w:pPr>
              <w:ind w:left="0" w:hanging="2"/>
              <w:jc w:val="center"/>
              <w:rPr>
                <w:rFonts w:ascii="Arial" w:eastAsia="Arial" w:hAnsi="Arial" w:cs="Arial"/>
                <w:sz w:val="22"/>
              </w:rPr>
            </w:pPr>
            <w:r>
              <w:rPr>
                <w:rFonts w:ascii="Arial" w:eastAsia="Arial" w:hAnsi="Arial" w:cs="Arial"/>
                <w:sz w:val="22"/>
              </w:rPr>
              <w:t>71</w:t>
            </w:r>
          </w:p>
        </w:tc>
        <w:tc>
          <w:tcPr>
            <w:tcW w:w="1951" w:type="dxa"/>
          </w:tcPr>
          <w:p w14:paraId="31C4681B" w14:textId="77777777" w:rsidR="009E11D4" w:rsidRDefault="00000000">
            <w:pPr>
              <w:ind w:left="0" w:hanging="2"/>
              <w:jc w:val="center"/>
              <w:rPr>
                <w:rFonts w:ascii="Arial" w:eastAsia="Arial" w:hAnsi="Arial" w:cs="Arial"/>
                <w:sz w:val="22"/>
              </w:rPr>
            </w:pPr>
            <w:r>
              <w:rPr>
                <w:rFonts w:ascii="Arial" w:eastAsia="Arial" w:hAnsi="Arial" w:cs="Arial"/>
                <w:sz w:val="22"/>
              </w:rPr>
              <w:t>36.60</w:t>
            </w:r>
          </w:p>
        </w:tc>
      </w:tr>
      <w:tr w:rsidR="009E11D4" w14:paraId="08268BCB" w14:textId="77777777">
        <w:tc>
          <w:tcPr>
            <w:tcW w:w="4865" w:type="dxa"/>
          </w:tcPr>
          <w:p w14:paraId="1D9532DE" w14:textId="77777777" w:rsidR="009E11D4" w:rsidRDefault="00000000">
            <w:pPr>
              <w:ind w:left="0" w:hanging="2"/>
              <w:jc w:val="center"/>
              <w:rPr>
                <w:rFonts w:ascii="Arial" w:eastAsia="Arial" w:hAnsi="Arial" w:cs="Arial"/>
                <w:sz w:val="22"/>
              </w:rPr>
            </w:pPr>
            <w:r>
              <w:rPr>
                <w:rFonts w:ascii="Arial" w:eastAsia="Arial" w:hAnsi="Arial" w:cs="Arial"/>
                <w:sz w:val="22"/>
              </w:rPr>
              <w:t>Public</w:t>
            </w:r>
          </w:p>
        </w:tc>
        <w:tc>
          <w:tcPr>
            <w:tcW w:w="1950" w:type="dxa"/>
          </w:tcPr>
          <w:p w14:paraId="7FCD36E0" w14:textId="77777777" w:rsidR="009E11D4" w:rsidRDefault="00000000">
            <w:pPr>
              <w:ind w:left="0" w:hanging="2"/>
              <w:jc w:val="center"/>
              <w:rPr>
                <w:rFonts w:ascii="Arial" w:eastAsia="Arial" w:hAnsi="Arial" w:cs="Arial"/>
                <w:sz w:val="22"/>
              </w:rPr>
            </w:pPr>
            <w:r>
              <w:rPr>
                <w:rFonts w:ascii="Arial" w:eastAsia="Arial" w:hAnsi="Arial" w:cs="Arial"/>
                <w:sz w:val="22"/>
              </w:rPr>
              <w:t>123</w:t>
            </w:r>
          </w:p>
        </w:tc>
        <w:tc>
          <w:tcPr>
            <w:tcW w:w="1951" w:type="dxa"/>
          </w:tcPr>
          <w:p w14:paraId="7EBF3378" w14:textId="77777777" w:rsidR="009E11D4" w:rsidRDefault="00000000">
            <w:pPr>
              <w:ind w:left="0" w:hanging="2"/>
              <w:jc w:val="center"/>
              <w:rPr>
                <w:rFonts w:ascii="Arial" w:eastAsia="Arial" w:hAnsi="Arial" w:cs="Arial"/>
                <w:sz w:val="22"/>
              </w:rPr>
            </w:pPr>
            <w:r>
              <w:rPr>
                <w:rFonts w:ascii="Arial" w:eastAsia="Arial" w:hAnsi="Arial" w:cs="Arial"/>
                <w:sz w:val="22"/>
              </w:rPr>
              <w:t>63.40</w:t>
            </w:r>
          </w:p>
        </w:tc>
      </w:tr>
      <w:tr w:rsidR="009E11D4" w14:paraId="44966FCD" w14:textId="77777777">
        <w:tc>
          <w:tcPr>
            <w:tcW w:w="4865" w:type="dxa"/>
          </w:tcPr>
          <w:p w14:paraId="49CD8E56" w14:textId="77777777" w:rsidR="009E11D4" w:rsidRDefault="00000000">
            <w:pPr>
              <w:ind w:left="0" w:hanging="2"/>
              <w:jc w:val="center"/>
              <w:rPr>
                <w:rFonts w:ascii="Arial" w:eastAsia="Arial" w:hAnsi="Arial" w:cs="Arial"/>
                <w:sz w:val="22"/>
              </w:rPr>
            </w:pPr>
            <w:r>
              <w:rPr>
                <w:rFonts w:ascii="Arial" w:eastAsia="Arial" w:hAnsi="Arial" w:cs="Arial"/>
                <w:b/>
                <w:sz w:val="22"/>
              </w:rPr>
              <w:t>Number of takes before passing the board exam</w:t>
            </w:r>
          </w:p>
        </w:tc>
        <w:tc>
          <w:tcPr>
            <w:tcW w:w="1950" w:type="dxa"/>
          </w:tcPr>
          <w:p w14:paraId="6DDA5DCB" w14:textId="77777777" w:rsidR="009E11D4" w:rsidRDefault="009E11D4">
            <w:pPr>
              <w:ind w:left="0" w:hanging="2"/>
              <w:jc w:val="center"/>
              <w:rPr>
                <w:rFonts w:ascii="Arial" w:eastAsia="Arial" w:hAnsi="Arial" w:cs="Arial"/>
                <w:sz w:val="22"/>
              </w:rPr>
            </w:pPr>
          </w:p>
        </w:tc>
        <w:tc>
          <w:tcPr>
            <w:tcW w:w="1951" w:type="dxa"/>
          </w:tcPr>
          <w:p w14:paraId="6D4D2BCE" w14:textId="77777777" w:rsidR="009E11D4" w:rsidRDefault="009E11D4">
            <w:pPr>
              <w:ind w:left="0" w:hanging="2"/>
              <w:jc w:val="center"/>
              <w:rPr>
                <w:rFonts w:ascii="Arial" w:eastAsia="Arial" w:hAnsi="Arial" w:cs="Arial"/>
                <w:sz w:val="22"/>
              </w:rPr>
            </w:pPr>
          </w:p>
        </w:tc>
      </w:tr>
      <w:tr w:rsidR="009E11D4" w14:paraId="7A13B2F4" w14:textId="77777777">
        <w:tc>
          <w:tcPr>
            <w:tcW w:w="4865" w:type="dxa"/>
          </w:tcPr>
          <w:p w14:paraId="5A4BEFF3" w14:textId="77777777" w:rsidR="009E11D4" w:rsidRDefault="00000000">
            <w:pPr>
              <w:ind w:left="0" w:hanging="2"/>
              <w:jc w:val="center"/>
              <w:rPr>
                <w:rFonts w:ascii="Arial" w:eastAsia="Arial" w:hAnsi="Arial" w:cs="Arial"/>
                <w:sz w:val="22"/>
              </w:rPr>
            </w:pPr>
            <w:r>
              <w:rPr>
                <w:rFonts w:ascii="Arial" w:eastAsia="Arial" w:hAnsi="Arial" w:cs="Arial"/>
                <w:sz w:val="22"/>
              </w:rPr>
              <w:t>Once</w:t>
            </w:r>
          </w:p>
        </w:tc>
        <w:tc>
          <w:tcPr>
            <w:tcW w:w="1950" w:type="dxa"/>
          </w:tcPr>
          <w:p w14:paraId="2E412D5F" w14:textId="77777777" w:rsidR="009E11D4" w:rsidRDefault="00000000">
            <w:pPr>
              <w:ind w:left="0" w:hanging="2"/>
              <w:jc w:val="center"/>
              <w:rPr>
                <w:rFonts w:ascii="Arial" w:eastAsia="Arial" w:hAnsi="Arial" w:cs="Arial"/>
                <w:sz w:val="22"/>
              </w:rPr>
            </w:pPr>
            <w:r>
              <w:rPr>
                <w:rFonts w:ascii="Arial" w:eastAsia="Arial" w:hAnsi="Arial" w:cs="Arial"/>
                <w:sz w:val="22"/>
              </w:rPr>
              <w:t>126</w:t>
            </w:r>
          </w:p>
        </w:tc>
        <w:tc>
          <w:tcPr>
            <w:tcW w:w="1951" w:type="dxa"/>
          </w:tcPr>
          <w:p w14:paraId="1576652A" w14:textId="77777777" w:rsidR="009E11D4" w:rsidRDefault="00000000">
            <w:pPr>
              <w:ind w:left="0" w:hanging="2"/>
              <w:jc w:val="center"/>
              <w:rPr>
                <w:rFonts w:ascii="Arial" w:eastAsia="Arial" w:hAnsi="Arial" w:cs="Arial"/>
                <w:sz w:val="22"/>
              </w:rPr>
            </w:pPr>
            <w:r>
              <w:rPr>
                <w:rFonts w:ascii="Arial" w:eastAsia="Arial" w:hAnsi="Arial" w:cs="Arial"/>
                <w:sz w:val="22"/>
              </w:rPr>
              <w:t>64.90</w:t>
            </w:r>
          </w:p>
        </w:tc>
      </w:tr>
      <w:tr w:rsidR="009E11D4" w14:paraId="36E601F1" w14:textId="77777777">
        <w:tc>
          <w:tcPr>
            <w:tcW w:w="4865" w:type="dxa"/>
          </w:tcPr>
          <w:p w14:paraId="60C52B68" w14:textId="77777777" w:rsidR="009E11D4" w:rsidRDefault="00000000">
            <w:pPr>
              <w:ind w:left="0" w:hanging="2"/>
              <w:jc w:val="center"/>
              <w:rPr>
                <w:rFonts w:ascii="Arial" w:eastAsia="Arial" w:hAnsi="Arial" w:cs="Arial"/>
                <w:sz w:val="22"/>
              </w:rPr>
            </w:pPr>
            <w:r>
              <w:rPr>
                <w:rFonts w:ascii="Arial" w:eastAsia="Arial" w:hAnsi="Arial" w:cs="Arial"/>
                <w:sz w:val="22"/>
              </w:rPr>
              <w:t>Twice</w:t>
            </w:r>
          </w:p>
        </w:tc>
        <w:tc>
          <w:tcPr>
            <w:tcW w:w="1950" w:type="dxa"/>
          </w:tcPr>
          <w:p w14:paraId="071F1CDC" w14:textId="77777777" w:rsidR="009E11D4" w:rsidRDefault="00000000">
            <w:pPr>
              <w:ind w:left="0" w:hanging="2"/>
              <w:jc w:val="center"/>
              <w:rPr>
                <w:rFonts w:ascii="Arial" w:eastAsia="Arial" w:hAnsi="Arial" w:cs="Arial"/>
                <w:sz w:val="22"/>
              </w:rPr>
            </w:pPr>
            <w:r>
              <w:rPr>
                <w:rFonts w:ascii="Arial" w:eastAsia="Arial" w:hAnsi="Arial" w:cs="Arial"/>
                <w:sz w:val="22"/>
              </w:rPr>
              <w:t>57</w:t>
            </w:r>
          </w:p>
        </w:tc>
        <w:tc>
          <w:tcPr>
            <w:tcW w:w="1951" w:type="dxa"/>
          </w:tcPr>
          <w:p w14:paraId="4FA2E2DC" w14:textId="77777777" w:rsidR="009E11D4" w:rsidRDefault="00000000">
            <w:pPr>
              <w:ind w:left="0" w:hanging="2"/>
              <w:jc w:val="center"/>
              <w:rPr>
                <w:rFonts w:ascii="Arial" w:eastAsia="Arial" w:hAnsi="Arial" w:cs="Arial"/>
                <w:sz w:val="22"/>
              </w:rPr>
            </w:pPr>
            <w:r>
              <w:rPr>
                <w:rFonts w:ascii="Arial" w:eastAsia="Arial" w:hAnsi="Arial" w:cs="Arial"/>
                <w:sz w:val="22"/>
              </w:rPr>
              <w:t>29.40</w:t>
            </w:r>
          </w:p>
        </w:tc>
      </w:tr>
      <w:tr w:rsidR="009E11D4" w14:paraId="3FBE431F" w14:textId="77777777">
        <w:tc>
          <w:tcPr>
            <w:tcW w:w="4865" w:type="dxa"/>
          </w:tcPr>
          <w:p w14:paraId="30E5433C" w14:textId="77777777" w:rsidR="009E11D4" w:rsidRDefault="00000000">
            <w:pPr>
              <w:ind w:left="0" w:hanging="2"/>
              <w:jc w:val="center"/>
              <w:rPr>
                <w:rFonts w:ascii="Arial" w:eastAsia="Arial" w:hAnsi="Arial" w:cs="Arial"/>
                <w:sz w:val="22"/>
              </w:rPr>
            </w:pPr>
            <w:r>
              <w:rPr>
                <w:rFonts w:ascii="Arial" w:eastAsia="Arial" w:hAnsi="Arial" w:cs="Arial"/>
                <w:sz w:val="22"/>
              </w:rPr>
              <w:t>Thrice</w:t>
            </w:r>
          </w:p>
        </w:tc>
        <w:tc>
          <w:tcPr>
            <w:tcW w:w="1950" w:type="dxa"/>
          </w:tcPr>
          <w:p w14:paraId="66510F9D" w14:textId="77777777" w:rsidR="009E11D4" w:rsidRDefault="00000000">
            <w:pPr>
              <w:ind w:left="0" w:hanging="2"/>
              <w:jc w:val="center"/>
              <w:rPr>
                <w:rFonts w:ascii="Arial" w:eastAsia="Arial" w:hAnsi="Arial" w:cs="Arial"/>
                <w:sz w:val="22"/>
              </w:rPr>
            </w:pPr>
            <w:r>
              <w:rPr>
                <w:rFonts w:ascii="Arial" w:eastAsia="Arial" w:hAnsi="Arial" w:cs="Arial"/>
                <w:sz w:val="22"/>
              </w:rPr>
              <w:t>9</w:t>
            </w:r>
          </w:p>
        </w:tc>
        <w:tc>
          <w:tcPr>
            <w:tcW w:w="1951" w:type="dxa"/>
          </w:tcPr>
          <w:p w14:paraId="4ED0EA6D" w14:textId="77777777" w:rsidR="009E11D4" w:rsidRDefault="00000000">
            <w:pPr>
              <w:ind w:left="0" w:hanging="2"/>
              <w:jc w:val="center"/>
              <w:rPr>
                <w:rFonts w:ascii="Arial" w:eastAsia="Arial" w:hAnsi="Arial" w:cs="Arial"/>
                <w:sz w:val="22"/>
              </w:rPr>
            </w:pPr>
            <w:r>
              <w:rPr>
                <w:rFonts w:ascii="Arial" w:eastAsia="Arial" w:hAnsi="Arial" w:cs="Arial"/>
                <w:sz w:val="22"/>
              </w:rPr>
              <w:t>4.60</w:t>
            </w:r>
          </w:p>
        </w:tc>
      </w:tr>
      <w:tr w:rsidR="009E11D4" w14:paraId="32C551B9" w14:textId="77777777">
        <w:tc>
          <w:tcPr>
            <w:tcW w:w="4865" w:type="dxa"/>
          </w:tcPr>
          <w:p w14:paraId="0121C8D8" w14:textId="77777777" w:rsidR="009E11D4" w:rsidRDefault="00000000">
            <w:pPr>
              <w:ind w:left="0" w:hanging="2"/>
              <w:jc w:val="center"/>
              <w:rPr>
                <w:rFonts w:ascii="Arial" w:eastAsia="Arial" w:hAnsi="Arial" w:cs="Arial"/>
                <w:sz w:val="22"/>
              </w:rPr>
            </w:pPr>
            <w:r>
              <w:rPr>
                <w:rFonts w:ascii="Arial" w:eastAsia="Arial" w:hAnsi="Arial" w:cs="Arial"/>
                <w:sz w:val="22"/>
              </w:rPr>
              <w:t>More than three</w:t>
            </w:r>
          </w:p>
        </w:tc>
        <w:tc>
          <w:tcPr>
            <w:tcW w:w="1950" w:type="dxa"/>
          </w:tcPr>
          <w:p w14:paraId="0822AC03" w14:textId="77777777" w:rsidR="009E11D4" w:rsidRDefault="00000000">
            <w:pPr>
              <w:ind w:left="0" w:hanging="2"/>
              <w:jc w:val="center"/>
              <w:rPr>
                <w:rFonts w:ascii="Arial" w:eastAsia="Arial" w:hAnsi="Arial" w:cs="Arial"/>
                <w:sz w:val="22"/>
              </w:rPr>
            </w:pPr>
            <w:r>
              <w:rPr>
                <w:rFonts w:ascii="Arial" w:eastAsia="Arial" w:hAnsi="Arial" w:cs="Arial"/>
                <w:sz w:val="22"/>
              </w:rPr>
              <w:t xml:space="preserve">2 </w:t>
            </w:r>
          </w:p>
        </w:tc>
        <w:tc>
          <w:tcPr>
            <w:tcW w:w="1951" w:type="dxa"/>
          </w:tcPr>
          <w:p w14:paraId="352DA2A5" w14:textId="77777777" w:rsidR="009E11D4" w:rsidRDefault="00000000">
            <w:pPr>
              <w:ind w:left="0" w:hanging="2"/>
              <w:jc w:val="center"/>
              <w:rPr>
                <w:rFonts w:ascii="Arial" w:eastAsia="Arial" w:hAnsi="Arial" w:cs="Arial"/>
                <w:sz w:val="22"/>
              </w:rPr>
            </w:pPr>
            <w:r>
              <w:rPr>
                <w:rFonts w:ascii="Arial" w:eastAsia="Arial" w:hAnsi="Arial" w:cs="Arial"/>
                <w:sz w:val="22"/>
              </w:rPr>
              <w:t>1.00</w:t>
            </w:r>
          </w:p>
        </w:tc>
      </w:tr>
      <w:tr w:rsidR="009E11D4" w14:paraId="2D64C73A" w14:textId="77777777">
        <w:tc>
          <w:tcPr>
            <w:tcW w:w="4865" w:type="dxa"/>
          </w:tcPr>
          <w:p w14:paraId="56DCE3C2" w14:textId="77777777" w:rsidR="009E11D4" w:rsidRDefault="00000000">
            <w:pPr>
              <w:ind w:left="0" w:hanging="2"/>
              <w:jc w:val="center"/>
              <w:rPr>
                <w:rFonts w:ascii="Arial" w:eastAsia="Arial" w:hAnsi="Arial" w:cs="Arial"/>
                <w:sz w:val="22"/>
              </w:rPr>
            </w:pPr>
            <w:r>
              <w:rPr>
                <w:rFonts w:ascii="Arial" w:eastAsia="Arial" w:hAnsi="Arial" w:cs="Arial"/>
                <w:b/>
                <w:sz w:val="22"/>
              </w:rPr>
              <w:t>Academic Achievement/Awards</w:t>
            </w:r>
          </w:p>
        </w:tc>
        <w:tc>
          <w:tcPr>
            <w:tcW w:w="1950" w:type="dxa"/>
          </w:tcPr>
          <w:p w14:paraId="731A7ED9" w14:textId="77777777" w:rsidR="009E11D4" w:rsidRDefault="009E11D4">
            <w:pPr>
              <w:ind w:left="0" w:hanging="2"/>
              <w:jc w:val="center"/>
              <w:rPr>
                <w:rFonts w:ascii="Arial" w:eastAsia="Arial" w:hAnsi="Arial" w:cs="Arial"/>
                <w:sz w:val="22"/>
              </w:rPr>
            </w:pPr>
          </w:p>
        </w:tc>
        <w:tc>
          <w:tcPr>
            <w:tcW w:w="1951" w:type="dxa"/>
          </w:tcPr>
          <w:p w14:paraId="5A814C9B" w14:textId="77777777" w:rsidR="009E11D4" w:rsidRDefault="009E11D4">
            <w:pPr>
              <w:ind w:left="0" w:hanging="2"/>
              <w:jc w:val="center"/>
              <w:rPr>
                <w:rFonts w:ascii="Arial" w:eastAsia="Arial" w:hAnsi="Arial" w:cs="Arial"/>
                <w:sz w:val="22"/>
              </w:rPr>
            </w:pPr>
          </w:p>
        </w:tc>
      </w:tr>
      <w:tr w:rsidR="009E11D4" w14:paraId="53AA855F" w14:textId="77777777">
        <w:tc>
          <w:tcPr>
            <w:tcW w:w="4865" w:type="dxa"/>
          </w:tcPr>
          <w:p w14:paraId="0E3BCBA6" w14:textId="77777777" w:rsidR="009E11D4" w:rsidRDefault="00000000">
            <w:pPr>
              <w:ind w:left="0" w:hanging="2"/>
              <w:jc w:val="center"/>
              <w:rPr>
                <w:rFonts w:ascii="Arial" w:eastAsia="Arial" w:hAnsi="Arial" w:cs="Arial"/>
                <w:sz w:val="22"/>
              </w:rPr>
            </w:pPr>
            <w:r>
              <w:rPr>
                <w:rFonts w:ascii="Arial" w:eastAsia="Arial" w:hAnsi="Arial" w:cs="Arial"/>
                <w:sz w:val="22"/>
              </w:rPr>
              <w:t>Yes</w:t>
            </w:r>
          </w:p>
        </w:tc>
        <w:tc>
          <w:tcPr>
            <w:tcW w:w="1950" w:type="dxa"/>
          </w:tcPr>
          <w:p w14:paraId="27004F09" w14:textId="77777777" w:rsidR="009E11D4" w:rsidRDefault="00000000">
            <w:pPr>
              <w:ind w:left="0" w:hanging="2"/>
              <w:jc w:val="center"/>
              <w:rPr>
                <w:rFonts w:ascii="Arial" w:eastAsia="Arial" w:hAnsi="Arial" w:cs="Arial"/>
                <w:sz w:val="22"/>
              </w:rPr>
            </w:pPr>
            <w:r>
              <w:rPr>
                <w:rFonts w:ascii="Arial" w:eastAsia="Arial" w:hAnsi="Arial" w:cs="Arial"/>
                <w:sz w:val="22"/>
              </w:rPr>
              <w:t>22</w:t>
            </w:r>
          </w:p>
        </w:tc>
        <w:tc>
          <w:tcPr>
            <w:tcW w:w="1951" w:type="dxa"/>
          </w:tcPr>
          <w:p w14:paraId="51E4DACB" w14:textId="77777777" w:rsidR="009E11D4" w:rsidRDefault="00000000">
            <w:pPr>
              <w:ind w:left="0" w:hanging="2"/>
              <w:jc w:val="center"/>
              <w:rPr>
                <w:rFonts w:ascii="Arial" w:eastAsia="Arial" w:hAnsi="Arial" w:cs="Arial"/>
                <w:sz w:val="22"/>
              </w:rPr>
            </w:pPr>
            <w:r>
              <w:rPr>
                <w:rFonts w:ascii="Arial" w:eastAsia="Arial" w:hAnsi="Arial" w:cs="Arial"/>
                <w:sz w:val="22"/>
              </w:rPr>
              <w:t>11.30</w:t>
            </w:r>
          </w:p>
        </w:tc>
      </w:tr>
      <w:tr w:rsidR="009E11D4" w14:paraId="15F8160F" w14:textId="77777777">
        <w:tc>
          <w:tcPr>
            <w:tcW w:w="4865" w:type="dxa"/>
          </w:tcPr>
          <w:p w14:paraId="4FCB6F5E" w14:textId="77777777" w:rsidR="009E11D4" w:rsidRDefault="00000000">
            <w:pPr>
              <w:ind w:left="0" w:hanging="2"/>
              <w:jc w:val="center"/>
              <w:rPr>
                <w:rFonts w:ascii="Arial" w:eastAsia="Arial" w:hAnsi="Arial" w:cs="Arial"/>
                <w:sz w:val="22"/>
              </w:rPr>
            </w:pPr>
            <w:r>
              <w:rPr>
                <w:rFonts w:ascii="Arial" w:eastAsia="Arial" w:hAnsi="Arial" w:cs="Arial"/>
                <w:sz w:val="22"/>
              </w:rPr>
              <w:t>No</w:t>
            </w:r>
          </w:p>
        </w:tc>
        <w:tc>
          <w:tcPr>
            <w:tcW w:w="1950" w:type="dxa"/>
          </w:tcPr>
          <w:p w14:paraId="4A7C4B87" w14:textId="77777777" w:rsidR="009E11D4" w:rsidRDefault="00000000">
            <w:pPr>
              <w:ind w:left="0" w:hanging="2"/>
              <w:jc w:val="center"/>
              <w:rPr>
                <w:rFonts w:ascii="Arial" w:eastAsia="Arial" w:hAnsi="Arial" w:cs="Arial"/>
                <w:sz w:val="22"/>
              </w:rPr>
            </w:pPr>
            <w:r>
              <w:rPr>
                <w:rFonts w:ascii="Arial" w:eastAsia="Arial" w:hAnsi="Arial" w:cs="Arial"/>
                <w:sz w:val="22"/>
              </w:rPr>
              <w:t>172</w:t>
            </w:r>
          </w:p>
        </w:tc>
        <w:tc>
          <w:tcPr>
            <w:tcW w:w="1951" w:type="dxa"/>
          </w:tcPr>
          <w:p w14:paraId="1D6A66D7" w14:textId="77777777" w:rsidR="009E11D4" w:rsidRDefault="00000000">
            <w:pPr>
              <w:ind w:left="0" w:hanging="2"/>
              <w:jc w:val="center"/>
              <w:rPr>
                <w:rFonts w:ascii="Arial" w:eastAsia="Arial" w:hAnsi="Arial" w:cs="Arial"/>
                <w:sz w:val="22"/>
              </w:rPr>
            </w:pPr>
            <w:r>
              <w:rPr>
                <w:rFonts w:ascii="Arial" w:eastAsia="Arial" w:hAnsi="Arial" w:cs="Arial"/>
                <w:sz w:val="22"/>
              </w:rPr>
              <w:t>88.70</w:t>
            </w:r>
          </w:p>
        </w:tc>
      </w:tr>
      <w:tr w:rsidR="009E11D4" w14:paraId="2111B490" w14:textId="77777777">
        <w:tc>
          <w:tcPr>
            <w:tcW w:w="4865" w:type="dxa"/>
          </w:tcPr>
          <w:p w14:paraId="6972E9A8" w14:textId="77777777" w:rsidR="009E11D4" w:rsidRDefault="00000000">
            <w:pPr>
              <w:ind w:left="0" w:hanging="2"/>
              <w:jc w:val="center"/>
              <w:rPr>
                <w:rFonts w:ascii="Arial" w:eastAsia="Arial" w:hAnsi="Arial" w:cs="Arial"/>
                <w:sz w:val="22"/>
              </w:rPr>
            </w:pPr>
            <w:r>
              <w:rPr>
                <w:rFonts w:ascii="Arial" w:eastAsia="Arial" w:hAnsi="Arial" w:cs="Arial"/>
                <w:b/>
                <w:sz w:val="22"/>
              </w:rPr>
              <w:t>Socio-Economic Status</w:t>
            </w:r>
          </w:p>
        </w:tc>
        <w:tc>
          <w:tcPr>
            <w:tcW w:w="1950" w:type="dxa"/>
          </w:tcPr>
          <w:p w14:paraId="787AB250" w14:textId="77777777" w:rsidR="009E11D4" w:rsidRDefault="009E11D4">
            <w:pPr>
              <w:ind w:left="0" w:hanging="2"/>
              <w:jc w:val="center"/>
              <w:rPr>
                <w:rFonts w:ascii="Arial" w:eastAsia="Arial" w:hAnsi="Arial" w:cs="Arial"/>
                <w:sz w:val="22"/>
              </w:rPr>
            </w:pPr>
          </w:p>
        </w:tc>
        <w:tc>
          <w:tcPr>
            <w:tcW w:w="1951" w:type="dxa"/>
          </w:tcPr>
          <w:p w14:paraId="16179090" w14:textId="77777777" w:rsidR="009E11D4" w:rsidRDefault="009E11D4">
            <w:pPr>
              <w:ind w:left="0" w:hanging="2"/>
              <w:jc w:val="center"/>
              <w:rPr>
                <w:rFonts w:ascii="Arial" w:eastAsia="Arial" w:hAnsi="Arial" w:cs="Arial"/>
                <w:sz w:val="22"/>
              </w:rPr>
            </w:pPr>
          </w:p>
        </w:tc>
      </w:tr>
      <w:tr w:rsidR="009E11D4" w14:paraId="73468E4E" w14:textId="77777777">
        <w:tc>
          <w:tcPr>
            <w:tcW w:w="4865" w:type="dxa"/>
          </w:tcPr>
          <w:p w14:paraId="3F48C065" w14:textId="77777777" w:rsidR="009E11D4" w:rsidRDefault="00000000">
            <w:pPr>
              <w:ind w:left="0" w:hanging="2"/>
              <w:jc w:val="center"/>
              <w:rPr>
                <w:rFonts w:ascii="Arial" w:eastAsia="Arial" w:hAnsi="Arial" w:cs="Arial"/>
                <w:sz w:val="22"/>
              </w:rPr>
            </w:pPr>
            <w:r>
              <w:rPr>
                <w:rFonts w:ascii="Arial" w:eastAsia="Arial" w:hAnsi="Arial" w:cs="Arial"/>
                <w:sz w:val="22"/>
              </w:rPr>
              <w:t>&lt;10,000</w:t>
            </w:r>
          </w:p>
        </w:tc>
        <w:tc>
          <w:tcPr>
            <w:tcW w:w="1950" w:type="dxa"/>
          </w:tcPr>
          <w:p w14:paraId="6509B27D" w14:textId="77777777" w:rsidR="009E11D4" w:rsidRDefault="00000000">
            <w:pPr>
              <w:ind w:left="0" w:hanging="2"/>
              <w:jc w:val="center"/>
              <w:rPr>
                <w:rFonts w:ascii="Arial" w:eastAsia="Arial" w:hAnsi="Arial" w:cs="Arial"/>
                <w:sz w:val="22"/>
              </w:rPr>
            </w:pPr>
            <w:r>
              <w:rPr>
                <w:rFonts w:ascii="Arial" w:eastAsia="Arial" w:hAnsi="Arial" w:cs="Arial"/>
                <w:sz w:val="22"/>
              </w:rPr>
              <w:t>47</w:t>
            </w:r>
          </w:p>
        </w:tc>
        <w:tc>
          <w:tcPr>
            <w:tcW w:w="1951" w:type="dxa"/>
          </w:tcPr>
          <w:p w14:paraId="40115068" w14:textId="77777777" w:rsidR="009E11D4" w:rsidRDefault="00000000">
            <w:pPr>
              <w:ind w:left="0" w:hanging="2"/>
              <w:jc w:val="center"/>
              <w:rPr>
                <w:rFonts w:ascii="Arial" w:eastAsia="Arial" w:hAnsi="Arial" w:cs="Arial"/>
                <w:sz w:val="22"/>
              </w:rPr>
            </w:pPr>
            <w:r>
              <w:rPr>
                <w:rFonts w:ascii="Arial" w:eastAsia="Arial" w:hAnsi="Arial" w:cs="Arial"/>
                <w:sz w:val="22"/>
              </w:rPr>
              <w:t>24.20</w:t>
            </w:r>
          </w:p>
        </w:tc>
      </w:tr>
      <w:tr w:rsidR="009E11D4" w14:paraId="58C33CB3" w14:textId="77777777">
        <w:tc>
          <w:tcPr>
            <w:tcW w:w="4865" w:type="dxa"/>
          </w:tcPr>
          <w:p w14:paraId="74CE2F15" w14:textId="77777777" w:rsidR="009E11D4" w:rsidRDefault="00000000">
            <w:pPr>
              <w:ind w:left="0" w:hanging="2"/>
              <w:jc w:val="center"/>
              <w:rPr>
                <w:rFonts w:ascii="Arial" w:eastAsia="Arial" w:hAnsi="Arial" w:cs="Arial"/>
                <w:sz w:val="22"/>
              </w:rPr>
            </w:pPr>
            <w:r>
              <w:rPr>
                <w:rFonts w:ascii="Arial" w:eastAsia="Arial" w:hAnsi="Arial" w:cs="Arial"/>
                <w:sz w:val="22"/>
              </w:rPr>
              <w:t>11,000 – 20,000</w:t>
            </w:r>
          </w:p>
        </w:tc>
        <w:tc>
          <w:tcPr>
            <w:tcW w:w="1950" w:type="dxa"/>
          </w:tcPr>
          <w:p w14:paraId="24F13649" w14:textId="77777777" w:rsidR="009E11D4" w:rsidRDefault="00000000">
            <w:pPr>
              <w:ind w:left="0" w:hanging="2"/>
              <w:jc w:val="center"/>
              <w:rPr>
                <w:rFonts w:ascii="Arial" w:eastAsia="Arial" w:hAnsi="Arial" w:cs="Arial"/>
                <w:sz w:val="22"/>
              </w:rPr>
            </w:pPr>
            <w:r>
              <w:rPr>
                <w:rFonts w:ascii="Arial" w:eastAsia="Arial" w:hAnsi="Arial" w:cs="Arial"/>
                <w:sz w:val="22"/>
              </w:rPr>
              <w:t>53</w:t>
            </w:r>
          </w:p>
        </w:tc>
        <w:tc>
          <w:tcPr>
            <w:tcW w:w="1951" w:type="dxa"/>
          </w:tcPr>
          <w:p w14:paraId="54BC5986" w14:textId="77777777" w:rsidR="009E11D4" w:rsidRDefault="00000000">
            <w:pPr>
              <w:ind w:left="0" w:hanging="2"/>
              <w:jc w:val="center"/>
              <w:rPr>
                <w:rFonts w:ascii="Arial" w:eastAsia="Arial" w:hAnsi="Arial" w:cs="Arial"/>
                <w:sz w:val="22"/>
              </w:rPr>
            </w:pPr>
            <w:r>
              <w:rPr>
                <w:rFonts w:ascii="Arial" w:eastAsia="Arial" w:hAnsi="Arial" w:cs="Arial"/>
                <w:sz w:val="22"/>
              </w:rPr>
              <w:t>27.30</w:t>
            </w:r>
          </w:p>
        </w:tc>
      </w:tr>
      <w:tr w:rsidR="009E11D4" w14:paraId="77DC62C6" w14:textId="77777777">
        <w:tc>
          <w:tcPr>
            <w:tcW w:w="4865" w:type="dxa"/>
          </w:tcPr>
          <w:p w14:paraId="54FC82C2" w14:textId="77777777" w:rsidR="009E11D4" w:rsidRDefault="00000000">
            <w:pPr>
              <w:ind w:left="0" w:hanging="2"/>
              <w:jc w:val="center"/>
              <w:rPr>
                <w:rFonts w:ascii="Arial" w:eastAsia="Arial" w:hAnsi="Arial" w:cs="Arial"/>
                <w:sz w:val="22"/>
              </w:rPr>
            </w:pPr>
            <w:r>
              <w:rPr>
                <w:rFonts w:ascii="Arial" w:eastAsia="Arial" w:hAnsi="Arial" w:cs="Arial"/>
                <w:sz w:val="22"/>
              </w:rPr>
              <w:t>21,0000 – 30,000</w:t>
            </w:r>
          </w:p>
        </w:tc>
        <w:tc>
          <w:tcPr>
            <w:tcW w:w="1950" w:type="dxa"/>
          </w:tcPr>
          <w:p w14:paraId="76311D3F" w14:textId="77777777" w:rsidR="009E11D4" w:rsidRDefault="00000000">
            <w:pPr>
              <w:ind w:left="0" w:hanging="2"/>
              <w:jc w:val="center"/>
              <w:rPr>
                <w:rFonts w:ascii="Arial" w:eastAsia="Arial" w:hAnsi="Arial" w:cs="Arial"/>
                <w:sz w:val="22"/>
              </w:rPr>
            </w:pPr>
            <w:r>
              <w:rPr>
                <w:rFonts w:ascii="Arial" w:eastAsia="Arial" w:hAnsi="Arial" w:cs="Arial"/>
                <w:sz w:val="22"/>
              </w:rPr>
              <w:t>49</w:t>
            </w:r>
          </w:p>
        </w:tc>
        <w:tc>
          <w:tcPr>
            <w:tcW w:w="1951" w:type="dxa"/>
          </w:tcPr>
          <w:p w14:paraId="553BF2BF" w14:textId="77777777" w:rsidR="009E11D4" w:rsidRDefault="00000000">
            <w:pPr>
              <w:ind w:left="0" w:hanging="2"/>
              <w:jc w:val="center"/>
              <w:rPr>
                <w:rFonts w:ascii="Arial" w:eastAsia="Arial" w:hAnsi="Arial" w:cs="Arial"/>
                <w:sz w:val="22"/>
              </w:rPr>
            </w:pPr>
            <w:r>
              <w:rPr>
                <w:rFonts w:ascii="Arial" w:eastAsia="Arial" w:hAnsi="Arial" w:cs="Arial"/>
                <w:sz w:val="22"/>
              </w:rPr>
              <w:t>25.30</w:t>
            </w:r>
          </w:p>
        </w:tc>
      </w:tr>
      <w:tr w:rsidR="009E11D4" w14:paraId="73A89AD5" w14:textId="77777777">
        <w:tc>
          <w:tcPr>
            <w:tcW w:w="4865" w:type="dxa"/>
          </w:tcPr>
          <w:p w14:paraId="5CC63A84" w14:textId="77777777" w:rsidR="009E11D4" w:rsidRDefault="00000000">
            <w:pPr>
              <w:ind w:left="0" w:hanging="2"/>
              <w:jc w:val="center"/>
              <w:rPr>
                <w:rFonts w:ascii="Arial" w:eastAsia="Arial" w:hAnsi="Arial" w:cs="Arial"/>
                <w:sz w:val="22"/>
              </w:rPr>
            </w:pPr>
            <w:r>
              <w:rPr>
                <w:rFonts w:ascii="Arial" w:eastAsia="Arial" w:hAnsi="Arial" w:cs="Arial"/>
                <w:sz w:val="22"/>
              </w:rPr>
              <w:t>31,000 – 40,000</w:t>
            </w:r>
          </w:p>
        </w:tc>
        <w:tc>
          <w:tcPr>
            <w:tcW w:w="1950" w:type="dxa"/>
          </w:tcPr>
          <w:p w14:paraId="3BBFCC12" w14:textId="77777777" w:rsidR="009E11D4" w:rsidRDefault="00000000">
            <w:pPr>
              <w:ind w:left="0" w:hanging="2"/>
              <w:jc w:val="center"/>
              <w:rPr>
                <w:rFonts w:ascii="Arial" w:eastAsia="Arial" w:hAnsi="Arial" w:cs="Arial"/>
                <w:sz w:val="22"/>
              </w:rPr>
            </w:pPr>
            <w:r>
              <w:rPr>
                <w:rFonts w:ascii="Arial" w:eastAsia="Arial" w:hAnsi="Arial" w:cs="Arial"/>
                <w:sz w:val="22"/>
              </w:rPr>
              <w:t>32</w:t>
            </w:r>
          </w:p>
        </w:tc>
        <w:tc>
          <w:tcPr>
            <w:tcW w:w="1951" w:type="dxa"/>
          </w:tcPr>
          <w:p w14:paraId="48049A84" w14:textId="77777777" w:rsidR="009E11D4" w:rsidRDefault="00000000">
            <w:pPr>
              <w:ind w:left="0" w:hanging="2"/>
              <w:jc w:val="center"/>
              <w:rPr>
                <w:rFonts w:ascii="Arial" w:eastAsia="Arial" w:hAnsi="Arial" w:cs="Arial"/>
                <w:sz w:val="22"/>
              </w:rPr>
            </w:pPr>
            <w:r>
              <w:rPr>
                <w:rFonts w:ascii="Arial" w:eastAsia="Arial" w:hAnsi="Arial" w:cs="Arial"/>
                <w:sz w:val="22"/>
              </w:rPr>
              <w:t>16.50</w:t>
            </w:r>
          </w:p>
        </w:tc>
      </w:tr>
      <w:tr w:rsidR="009E11D4" w14:paraId="365AB91D" w14:textId="77777777">
        <w:tc>
          <w:tcPr>
            <w:tcW w:w="4865" w:type="dxa"/>
          </w:tcPr>
          <w:p w14:paraId="2648D843" w14:textId="77777777" w:rsidR="009E11D4" w:rsidRDefault="00000000">
            <w:pPr>
              <w:ind w:left="0" w:hanging="2"/>
              <w:jc w:val="center"/>
              <w:rPr>
                <w:rFonts w:ascii="Arial" w:eastAsia="Arial" w:hAnsi="Arial" w:cs="Arial"/>
                <w:sz w:val="22"/>
              </w:rPr>
            </w:pPr>
            <w:r>
              <w:rPr>
                <w:rFonts w:ascii="Arial" w:eastAsia="Arial" w:hAnsi="Arial" w:cs="Arial"/>
                <w:sz w:val="22"/>
              </w:rPr>
              <w:t>41,000 – 50,000</w:t>
            </w:r>
          </w:p>
        </w:tc>
        <w:tc>
          <w:tcPr>
            <w:tcW w:w="1950" w:type="dxa"/>
          </w:tcPr>
          <w:p w14:paraId="539D57FB" w14:textId="77777777" w:rsidR="009E11D4" w:rsidRDefault="00000000">
            <w:pPr>
              <w:ind w:left="0" w:hanging="2"/>
              <w:jc w:val="center"/>
              <w:rPr>
                <w:rFonts w:ascii="Arial" w:eastAsia="Arial" w:hAnsi="Arial" w:cs="Arial"/>
                <w:sz w:val="22"/>
              </w:rPr>
            </w:pPr>
            <w:r>
              <w:rPr>
                <w:rFonts w:ascii="Arial" w:eastAsia="Arial" w:hAnsi="Arial" w:cs="Arial"/>
                <w:sz w:val="22"/>
              </w:rPr>
              <w:t>10</w:t>
            </w:r>
          </w:p>
        </w:tc>
        <w:tc>
          <w:tcPr>
            <w:tcW w:w="1951" w:type="dxa"/>
          </w:tcPr>
          <w:p w14:paraId="564529A0" w14:textId="77777777" w:rsidR="009E11D4" w:rsidRDefault="00000000">
            <w:pPr>
              <w:ind w:left="0" w:hanging="2"/>
              <w:jc w:val="center"/>
              <w:rPr>
                <w:rFonts w:ascii="Arial" w:eastAsia="Arial" w:hAnsi="Arial" w:cs="Arial"/>
                <w:sz w:val="22"/>
              </w:rPr>
            </w:pPr>
            <w:r>
              <w:rPr>
                <w:rFonts w:ascii="Arial" w:eastAsia="Arial" w:hAnsi="Arial" w:cs="Arial"/>
                <w:sz w:val="22"/>
              </w:rPr>
              <w:t>5.20</w:t>
            </w:r>
          </w:p>
        </w:tc>
      </w:tr>
      <w:tr w:rsidR="009E11D4" w14:paraId="50726016" w14:textId="77777777">
        <w:tc>
          <w:tcPr>
            <w:tcW w:w="4865" w:type="dxa"/>
          </w:tcPr>
          <w:p w14:paraId="517C6D25" w14:textId="77777777" w:rsidR="009E11D4" w:rsidRDefault="00000000">
            <w:pPr>
              <w:ind w:left="0" w:hanging="2"/>
              <w:jc w:val="center"/>
              <w:rPr>
                <w:rFonts w:ascii="Arial" w:eastAsia="Arial" w:hAnsi="Arial" w:cs="Arial"/>
                <w:sz w:val="22"/>
              </w:rPr>
            </w:pPr>
            <w:sdt>
              <w:sdtPr>
                <w:tag w:val="goog_rdk_0"/>
                <w:id w:val="545488390"/>
              </w:sdtPr>
              <w:sdtContent>
                <w:r>
                  <w:rPr>
                    <w:rFonts w:ascii="Arial Unicode MS" w:eastAsia="Arial Unicode MS" w:hAnsi="Arial Unicode MS" w:cs="Arial Unicode MS"/>
                    <w:sz w:val="22"/>
                  </w:rPr>
                  <w:t>≥ 51,000</w:t>
                </w:r>
              </w:sdtContent>
            </w:sdt>
          </w:p>
        </w:tc>
        <w:tc>
          <w:tcPr>
            <w:tcW w:w="1950" w:type="dxa"/>
          </w:tcPr>
          <w:p w14:paraId="2D73F597" w14:textId="77777777" w:rsidR="009E11D4" w:rsidRDefault="00000000">
            <w:pPr>
              <w:ind w:left="0" w:hanging="2"/>
              <w:jc w:val="center"/>
              <w:rPr>
                <w:rFonts w:ascii="Arial" w:eastAsia="Arial" w:hAnsi="Arial" w:cs="Arial"/>
                <w:sz w:val="22"/>
              </w:rPr>
            </w:pPr>
            <w:r>
              <w:rPr>
                <w:rFonts w:ascii="Arial" w:eastAsia="Arial" w:hAnsi="Arial" w:cs="Arial"/>
                <w:sz w:val="22"/>
              </w:rPr>
              <w:t>3</w:t>
            </w:r>
          </w:p>
        </w:tc>
        <w:tc>
          <w:tcPr>
            <w:tcW w:w="1951" w:type="dxa"/>
          </w:tcPr>
          <w:p w14:paraId="54A170D4" w14:textId="77777777" w:rsidR="009E11D4" w:rsidRDefault="00000000">
            <w:pPr>
              <w:ind w:left="0" w:hanging="2"/>
              <w:jc w:val="center"/>
              <w:rPr>
                <w:rFonts w:ascii="Arial" w:eastAsia="Arial" w:hAnsi="Arial" w:cs="Arial"/>
                <w:sz w:val="22"/>
              </w:rPr>
            </w:pPr>
            <w:r>
              <w:rPr>
                <w:rFonts w:ascii="Arial" w:eastAsia="Arial" w:hAnsi="Arial" w:cs="Arial"/>
                <w:sz w:val="22"/>
              </w:rPr>
              <w:t>1.50</w:t>
            </w:r>
          </w:p>
        </w:tc>
      </w:tr>
    </w:tbl>
    <w:p w14:paraId="4EDD1B7C"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 xml:space="preserve">Table 2 summarizes the profile of 194 respondents in the study, presenting data on sex, civil status, type of school graduated from, number of takes before passing the board exam, academic achievement/awards, and socio-economic status. Most respondents were male, single, graduated from public schools, and passed the board exam on their first attempt. Most of the respondents did not receive academic recognition, and most had a socio-economic status of 11,000 – 30,000 pesos. </w:t>
      </w:r>
    </w:p>
    <w:p w14:paraId="137448AE"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F14EC83"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noProof/>
          <w:color w:val="000000"/>
          <w:sz w:val="22"/>
        </w:rPr>
        <w:lastRenderedPageBreak/>
        <w:drawing>
          <wp:inline distT="0" distB="0" distL="114300" distR="114300" wp14:anchorId="78557813" wp14:editId="01EC6C8A">
            <wp:extent cx="5481955" cy="3245485"/>
            <wp:effectExtent l="0" t="0" r="0" b="0"/>
            <wp:docPr id="1026" name="Chart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C24B5D" w14:textId="77777777" w:rsidR="009E11D4" w:rsidRDefault="00000000">
      <w:pPr>
        <w:pBdr>
          <w:top w:val="nil"/>
          <w:left w:val="nil"/>
          <w:bottom w:val="nil"/>
          <w:right w:val="nil"/>
          <w:between w:val="nil"/>
        </w:pBdr>
        <w:spacing w:line="240" w:lineRule="auto"/>
        <w:ind w:left="0" w:hanging="2"/>
        <w:jc w:val="center"/>
        <w:rPr>
          <w:rFonts w:ascii="Arial" w:eastAsia="Arial" w:hAnsi="Arial" w:cs="Arial"/>
          <w:color w:val="000000"/>
          <w:sz w:val="22"/>
        </w:rPr>
      </w:pPr>
      <w:r>
        <w:rPr>
          <w:rFonts w:ascii="Arial" w:eastAsia="Arial" w:hAnsi="Arial" w:cs="Arial"/>
          <w:b/>
          <w:color w:val="000000"/>
          <w:sz w:val="22"/>
        </w:rPr>
        <w:t>Figure 2.</w:t>
      </w:r>
      <w:r>
        <w:rPr>
          <w:rFonts w:ascii="Arial" w:eastAsia="Arial" w:hAnsi="Arial" w:cs="Arial"/>
          <w:color w:val="000000"/>
          <w:sz w:val="22"/>
        </w:rPr>
        <w:t xml:space="preserve"> </w:t>
      </w:r>
      <w:r>
        <w:rPr>
          <w:rFonts w:ascii="Arial" w:eastAsia="Arial" w:hAnsi="Arial" w:cs="Arial"/>
          <w:b/>
          <w:color w:val="000000"/>
          <w:sz w:val="22"/>
        </w:rPr>
        <w:t>School Performance in the Electronics Licensure Examination from 2015 to 2019</w:t>
      </w:r>
    </w:p>
    <w:p w14:paraId="08D1E650"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777D2F06"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Figure 2 presents the performance of the ECE Licensure exam for the past five years (2015-2019). As gleaned, all schools are below the National passing rate in 2015 except for school A. In 2016, all schools are below the National passing rate. The ratings of all schools went up in 2017, however, only schools B and E are above the National passing rate. In 2018, </w:t>
      </w:r>
      <w:r>
        <w:rPr>
          <w:rFonts w:ascii="Arial" w:eastAsia="Arial" w:hAnsi="Arial" w:cs="Arial"/>
          <w:sz w:val="22"/>
        </w:rPr>
        <w:t>ratings</w:t>
      </w:r>
      <w:r>
        <w:rPr>
          <w:rFonts w:ascii="Arial" w:eastAsia="Arial" w:hAnsi="Arial" w:cs="Arial"/>
          <w:color w:val="000000"/>
          <w:sz w:val="22"/>
        </w:rPr>
        <w:t xml:space="preserve"> of School E and School A are at par and above the National passing rate, respectively. In 2019, the National passing rate decreased, also with the ratings of all the schools, however, School A, remained to be above the national passing rate. In general, most ECE schools in the region obtained below the National Passing rate for the past five years.</w:t>
      </w:r>
    </w:p>
    <w:p w14:paraId="18820094"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4E5CE9EF" w14:textId="77777777" w:rsidR="009E11D4" w:rsidRDefault="00000000">
      <w:pPr>
        <w:ind w:left="0" w:hanging="2"/>
        <w:rPr>
          <w:rFonts w:ascii="Arial" w:eastAsia="Arial" w:hAnsi="Arial" w:cs="Arial"/>
          <w:sz w:val="22"/>
        </w:rPr>
      </w:pPr>
      <w:r>
        <w:rPr>
          <w:rFonts w:ascii="Arial" w:eastAsia="Arial" w:hAnsi="Arial" w:cs="Arial"/>
          <w:b/>
          <w:sz w:val="22"/>
        </w:rPr>
        <w:t xml:space="preserve">  Table 3. Status in the Implementation of the ECE Program</w:t>
      </w:r>
    </w:p>
    <w:tbl>
      <w:tblPr>
        <w:tblStyle w:val="a1"/>
        <w:tblW w:w="8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8"/>
        <w:gridCol w:w="1615"/>
        <w:gridCol w:w="3163"/>
      </w:tblGrid>
      <w:tr w:rsidR="009E11D4" w14:paraId="1069BB1F" w14:textId="77777777">
        <w:trPr>
          <w:trHeight w:val="283"/>
          <w:jc w:val="center"/>
        </w:trPr>
        <w:tc>
          <w:tcPr>
            <w:tcW w:w="3988" w:type="dxa"/>
          </w:tcPr>
          <w:p w14:paraId="5D874A31" w14:textId="77777777" w:rsidR="009E11D4" w:rsidRDefault="00000000">
            <w:pPr>
              <w:ind w:left="0" w:hanging="2"/>
              <w:rPr>
                <w:rFonts w:ascii="Arial" w:eastAsia="Arial" w:hAnsi="Arial" w:cs="Arial"/>
                <w:sz w:val="22"/>
              </w:rPr>
            </w:pPr>
            <w:r>
              <w:rPr>
                <w:rFonts w:ascii="Arial" w:eastAsia="Arial" w:hAnsi="Arial" w:cs="Arial"/>
                <w:b/>
                <w:sz w:val="22"/>
              </w:rPr>
              <w:t>Area</w:t>
            </w:r>
          </w:p>
        </w:tc>
        <w:tc>
          <w:tcPr>
            <w:tcW w:w="1615" w:type="dxa"/>
            <w:vAlign w:val="center"/>
          </w:tcPr>
          <w:p w14:paraId="2A3627DF" w14:textId="77777777" w:rsidR="009E11D4" w:rsidRDefault="00000000">
            <w:pPr>
              <w:ind w:left="0" w:hanging="2"/>
              <w:jc w:val="center"/>
              <w:rPr>
                <w:rFonts w:ascii="Arial" w:eastAsia="Arial" w:hAnsi="Arial" w:cs="Arial"/>
                <w:sz w:val="22"/>
              </w:rPr>
            </w:pPr>
            <w:r>
              <w:rPr>
                <w:rFonts w:ascii="Arial" w:eastAsia="Arial" w:hAnsi="Arial" w:cs="Arial"/>
                <w:sz w:val="22"/>
              </w:rPr>
              <w:t>Mean</w:t>
            </w:r>
          </w:p>
        </w:tc>
        <w:tc>
          <w:tcPr>
            <w:tcW w:w="3163" w:type="dxa"/>
            <w:vAlign w:val="center"/>
          </w:tcPr>
          <w:p w14:paraId="7AA46954" w14:textId="77777777" w:rsidR="009E11D4" w:rsidRDefault="00000000">
            <w:pPr>
              <w:ind w:left="0" w:hanging="2"/>
              <w:jc w:val="center"/>
              <w:rPr>
                <w:rFonts w:ascii="Arial" w:eastAsia="Arial" w:hAnsi="Arial" w:cs="Arial"/>
                <w:sz w:val="22"/>
              </w:rPr>
            </w:pPr>
            <w:r>
              <w:rPr>
                <w:rFonts w:ascii="Arial" w:eastAsia="Arial" w:hAnsi="Arial" w:cs="Arial"/>
                <w:sz w:val="22"/>
              </w:rPr>
              <w:t>Description</w:t>
            </w:r>
          </w:p>
        </w:tc>
      </w:tr>
      <w:tr w:rsidR="009E11D4" w14:paraId="72732D3D" w14:textId="77777777">
        <w:trPr>
          <w:trHeight w:val="397"/>
          <w:jc w:val="center"/>
        </w:trPr>
        <w:tc>
          <w:tcPr>
            <w:tcW w:w="3988" w:type="dxa"/>
            <w:vAlign w:val="center"/>
          </w:tcPr>
          <w:p w14:paraId="433C54A0"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color w:val="000000"/>
                <w:sz w:val="22"/>
              </w:rPr>
              <w:t>Faculty</w:t>
            </w:r>
          </w:p>
        </w:tc>
        <w:tc>
          <w:tcPr>
            <w:tcW w:w="1615" w:type="dxa"/>
            <w:vAlign w:val="center"/>
          </w:tcPr>
          <w:p w14:paraId="7C875916" w14:textId="77777777" w:rsidR="009E11D4" w:rsidRDefault="00000000">
            <w:pPr>
              <w:ind w:left="0" w:hanging="2"/>
              <w:jc w:val="center"/>
              <w:rPr>
                <w:rFonts w:ascii="Arial" w:eastAsia="Arial" w:hAnsi="Arial" w:cs="Arial"/>
                <w:sz w:val="22"/>
              </w:rPr>
            </w:pPr>
            <w:r>
              <w:rPr>
                <w:rFonts w:ascii="Arial" w:eastAsia="Arial" w:hAnsi="Arial" w:cs="Arial"/>
                <w:sz w:val="22"/>
              </w:rPr>
              <w:t>3.30</w:t>
            </w:r>
          </w:p>
        </w:tc>
        <w:tc>
          <w:tcPr>
            <w:tcW w:w="3163" w:type="dxa"/>
            <w:vAlign w:val="center"/>
          </w:tcPr>
          <w:p w14:paraId="6F718E76"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02412326" w14:textId="77777777">
        <w:trPr>
          <w:trHeight w:val="397"/>
          <w:jc w:val="center"/>
        </w:trPr>
        <w:tc>
          <w:tcPr>
            <w:tcW w:w="3988" w:type="dxa"/>
            <w:vAlign w:val="center"/>
          </w:tcPr>
          <w:p w14:paraId="479B7E69"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color w:val="000000"/>
                <w:sz w:val="22"/>
              </w:rPr>
              <w:t>Teaching Strategy/Pedagogy</w:t>
            </w:r>
          </w:p>
        </w:tc>
        <w:tc>
          <w:tcPr>
            <w:tcW w:w="1615" w:type="dxa"/>
            <w:vAlign w:val="center"/>
          </w:tcPr>
          <w:p w14:paraId="334D68B9" w14:textId="77777777" w:rsidR="009E11D4" w:rsidRDefault="00000000">
            <w:pPr>
              <w:ind w:left="0" w:hanging="2"/>
              <w:jc w:val="center"/>
              <w:rPr>
                <w:rFonts w:ascii="Arial" w:eastAsia="Arial" w:hAnsi="Arial" w:cs="Arial"/>
                <w:sz w:val="22"/>
              </w:rPr>
            </w:pPr>
            <w:r>
              <w:rPr>
                <w:rFonts w:ascii="Arial" w:eastAsia="Arial" w:hAnsi="Arial" w:cs="Arial"/>
                <w:sz w:val="22"/>
              </w:rPr>
              <w:t>3.212</w:t>
            </w:r>
          </w:p>
        </w:tc>
        <w:tc>
          <w:tcPr>
            <w:tcW w:w="3163" w:type="dxa"/>
            <w:vAlign w:val="center"/>
          </w:tcPr>
          <w:p w14:paraId="3BB74E3C"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6243D668" w14:textId="77777777">
        <w:trPr>
          <w:trHeight w:val="397"/>
          <w:jc w:val="center"/>
        </w:trPr>
        <w:tc>
          <w:tcPr>
            <w:tcW w:w="3988" w:type="dxa"/>
            <w:vAlign w:val="center"/>
          </w:tcPr>
          <w:p w14:paraId="17EE29FF"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color w:val="000000"/>
                <w:sz w:val="22"/>
              </w:rPr>
              <w:t>Curriculum</w:t>
            </w:r>
          </w:p>
        </w:tc>
        <w:tc>
          <w:tcPr>
            <w:tcW w:w="1615" w:type="dxa"/>
            <w:vAlign w:val="center"/>
          </w:tcPr>
          <w:p w14:paraId="26CDD02A" w14:textId="77777777" w:rsidR="009E11D4" w:rsidRDefault="00000000">
            <w:pPr>
              <w:ind w:left="0" w:hanging="2"/>
              <w:jc w:val="center"/>
              <w:rPr>
                <w:rFonts w:ascii="Arial" w:eastAsia="Arial" w:hAnsi="Arial" w:cs="Arial"/>
                <w:sz w:val="22"/>
              </w:rPr>
            </w:pPr>
            <w:r>
              <w:rPr>
                <w:rFonts w:ascii="Arial" w:eastAsia="Arial" w:hAnsi="Arial" w:cs="Arial"/>
                <w:sz w:val="22"/>
              </w:rPr>
              <w:t>3.454</w:t>
            </w:r>
          </w:p>
        </w:tc>
        <w:tc>
          <w:tcPr>
            <w:tcW w:w="3163" w:type="dxa"/>
            <w:vAlign w:val="center"/>
          </w:tcPr>
          <w:p w14:paraId="40B7B266"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72099084" w14:textId="77777777">
        <w:trPr>
          <w:trHeight w:val="397"/>
          <w:jc w:val="center"/>
        </w:trPr>
        <w:tc>
          <w:tcPr>
            <w:tcW w:w="3988" w:type="dxa"/>
            <w:vAlign w:val="center"/>
          </w:tcPr>
          <w:p w14:paraId="5F854E70"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rPr>
            </w:pPr>
            <w:r>
              <w:rPr>
                <w:rFonts w:ascii="Arial" w:eastAsia="Arial" w:hAnsi="Arial" w:cs="Arial"/>
                <w:color w:val="000000"/>
                <w:sz w:val="22"/>
              </w:rPr>
              <w:t>Instructional Materials</w:t>
            </w:r>
          </w:p>
        </w:tc>
        <w:tc>
          <w:tcPr>
            <w:tcW w:w="1615" w:type="dxa"/>
            <w:vAlign w:val="center"/>
          </w:tcPr>
          <w:p w14:paraId="181F05CB" w14:textId="77777777" w:rsidR="009E11D4" w:rsidRDefault="00000000">
            <w:pPr>
              <w:ind w:left="0" w:hanging="2"/>
              <w:jc w:val="center"/>
              <w:rPr>
                <w:rFonts w:ascii="Arial" w:eastAsia="Arial" w:hAnsi="Arial" w:cs="Arial"/>
                <w:sz w:val="22"/>
              </w:rPr>
            </w:pPr>
            <w:r>
              <w:rPr>
                <w:rFonts w:ascii="Arial" w:eastAsia="Arial" w:hAnsi="Arial" w:cs="Arial"/>
                <w:sz w:val="22"/>
              </w:rPr>
              <w:t>3.298</w:t>
            </w:r>
          </w:p>
        </w:tc>
        <w:tc>
          <w:tcPr>
            <w:tcW w:w="3163" w:type="dxa"/>
            <w:vAlign w:val="center"/>
          </w:tcPr>
          <w:p w14:paraId="792DEDD2"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6A8C2287" w14:textId="77777777">
        <w:trPr>
          <w:trHeight w:val="397"/>
          <w:jc w:val="center"/>
        </w:trPr>
        <w:tc>
          <w:tcPr>
            <w:tcW w:w="3988" w:type="dxa"/>
            <w:vAlign w:val="center"/>
          </w:tcPr>
          <w:p w14:paraId="73FA0220" w14:textId="77777777" w:rsidR="009E11D4" w:rsidRDefault="00000000">
            <w:pPr>
              <w:pBdr>
                <w:top w:val="nil"/>
                <w:left w:val="nil"/>
                <w:bottom w:val="nil"/>
                <w:right w:val="nil"/>
                <w:between w:val="nil"/>
              </w:pBdr>
              <w:spacing w:line="240" w:lineRule="auto"/>
              <w:ind w:left="0" w:right="180" w:hanging="2"/>
              <w:rPr>
                <w:rFonts w:ascii="Arial" w:eastAsia="Arial" w:hAnsi="Arial" w:cs="Arial"/>
                <w:color w:val="000000"/>
                <w:sz w:val="22"/>
              </w:rPr>
            </w:pPr>
            <w:r>
              <w:rPr>
                <w:rFonts w:ascii="Arial" w:eastAsia="Arial" w:hAnsi="Arial" w:cs="Arial"/>
                <w:color w:val="000000"/>
                <w:sz w:val="22"/>
              </w:rPr>
              <w:t>Library</w:t>
            </w:r>
          </w:p>
        </w:tc>
        <w:tc>
          <w:tcPr>
            <w:tcW w:w="1615" w:type="dxa"/>
            <w:vAlign w:val="center"/>
          </w:tcPr>
          <w:p w14:paraId="59306E4C" w14:textId="77777777" w:rsidR="009E11D4" w:rsidRDefault="00000000">
            <w:pPr>
              <w:ind w:left="0" w:hanging="2"/>
              <w:jc w:val="center"/>
              <w:rPr>
                <w:rFonts w:ascii="Arial" w:eastAsia="Arial" w:hAnsi="Arial" w:cs="Arial"/>
                <w:sz w:val="22"/>
              </w:rPr>
            </w:pPr>
            <w:r>
              <w:rPr>
                <w:rFonts w:ascii="Arial" w:eastAsia="Arial" w:hAnsi="Arial" w:cs="Arial"/>
                <w:sz w:val="22"/>
              </w:rPr>
              <w:t>3.040</w:t>
            </w:r>
          </w:p>
        </w:tc>
        <w:tc>
          <w:tcPr>
            <w:tcW w:w="3163" w:type="dxa"/>
            <w:vAlign w:val="center"/>
          </w:tcPr>
          <w:p w14:paraId="3204505F"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1662EC5C" w14:textId="77777777">
        <w:trPr>
          <w:trHeight w:val="397"/>
          <w:jc w:val="center"/>
        </w:trPr>
        <w:tc>
          <w:tcPr>
            <w:tcW w:w="3988" w:type="dxa"/>
            <w:vAlign w:val="center"/>
          </w:tcPr>
          <w:p w14:paraId="1D1582F7" w14:textId="77777777" w:rsidR="009E11D4" w:rsidRDefault="00000000">
            <w:pPr>
              <w:pBdr>
                <w:top w:val="nil"/>
                <w:left w:val="nil"/>
                <w:bottom w:val="nil"/>
                <w:right w:val="nil"/>
                <w:between w:val="nil"/>
              </w:pBdr>
              <w:spacing w:line="240" w:lineRule="auto"/>
              <w:ind w:left="0" w:right="180" w:hanging="2"/>
              <w:rPr>
                <w:rFonts w:ascii="Arial" w:eastAsia="Arial" w:hAnsi="Arial" w:cs="Arial"/>
                <w:color w:val="000000"/>
                <w:sz w:val="22"/>
              </w:rPr>
            </w:pPr>
            <w:r>
              <w:rPr>
                <w:rFonts w:ascii="Arial" w:eastAsia="Arial" w:hAnsi="Arial" w:cs="Arial"/>
                <w:color w:val="000000"/>
                <w:sz w:val="22"/>
              </w:rPr>
              <w:t>Laboratory</w:t>
            </w:r>
          </w:p>
        </w:tc>
        <w:tc>
          <w:tcPr>
            <w:tcW w:w="1615" w:type="dxa"/>
            <w:vAlign w:val="center"/>
          </w:tcPr>
          <w:p w14:paraId="5D4E031D" w14:textId="77777777" w:rsidR="009E11D4" w:rsidRDefault="00000000">
            <w:pPr>
              <w:ind w:left="0" w:hanging="2"/>
              <w:jc w:val="center"/>
              <w:rPr>
                <w:rFonts w:ascii="Arial" w:eastAsia="Arial" w:hAnsi="Arial" w:cs="Arial"/>
                <w:sz w:val="22"/>
              </w:rPr>
            </w:pPr>
            <w:r>
              <w:rPr>
                <w:rFonts w:ascii="Arial" w:eastAsia="Arial" w:hAnsi="Arial" w:cs="Arial"/>
                <w:sz w:val="22"/>
              </w:rPr>
              <w:t>3.097</w:t>
            </w:r>
          </w:p>
        </w:tc>
        <w:tc>
          <w:tcPr>
            <w:tcW w:w="3163" w:type="dxa"/>
            <w:vAlign w:val="center"/>
          </w:tcPr>
          <w:p w14:paraId="14DA5105"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11530B57" w14:textId="77777777">
        <w:trPr>
          <w:trHeight w:val="397"/>
          <w:jc w:val="center"/>
        </w:trPr>
        <w:tc>
          <w:tcPr>
            <w:tcW w:w="3988" w:type="dxa"/>
            <w:vAlign w:val="center"/>
          </w:tcPr>
          <w:p w14:paraId="6C123A18" w14:textId="77777777" w:rsidR="009E11D4" w:rsidRDefault="00000000">
            <w:pPr>
              <w:pBdr>
                <w:top w:val="nil"/>
                <w:left w:val="nil"/>
                <w:bottom w:val="nil"/>
                <w:right w:val="nil"/>
                <w:between w:val="nil"/>
              </w:pBdr>
              <w:spacing w:line="240" w:lineRule="auto"/>
              <w:ind w:left="0" w:right="180" w:hanging="2"/>
              <w:rPr>
                <w:rFonts w:ascii="Arial" w:eastAsia="Arial" w:hAnsi="Arial" w:cs="Arial"/>
                <w:color w:val="000000"/>
                <w:sz w:val="22"/>
              </w:rPr>
            </w:pPr>
            <w:r>
              <w:rPr>
                <w:rFonts w:ascii="Arial" w:eastAsia="Arial" w:hAnsi="Arial" w:cs="Arial"/>
                <w:color w:val="000000"/>
                <w:sz w:val="22"/>
              </w:rPr>
              <w:t>Admission and Retention Policy</w:t>
            </w:r>
          </w:p>
        </w:tc>
        <w:tc>
          <w:tcPr>
            <w:tcW w:w="1615" w:type="dxa"/>
            <w:vAlign w:val="center"/>
          </w:tcPr>
          <w:p w14:paraId="124B9F29" w14:textId="77777777" w:rsidR="009E11D4" w:rsidRDefault="00000000">
            <w:pPr>
              <w:ind w:left="0" w:hanging="2"/>
              <w:jc w:val="center"/>
              <w:rPr>
                <w:rFonts w:ascii="Arial" w:eastAsia="Arial" w:hAnsi="Arial" w:cs="Arial"/>
                <w:sz w:val="22"/>
              </w:rPr>
            </w:pPr>
            <w:r>
              <w:rPr>
                <w:rFonts w:ascii="Arial" w:eastAsia="Arial" w:hAnsi="Arial" w:cs="Arial"/>
                <w:sz w:val="22"/>
              </w:rPr>
              <w:t>3.319</w:t>
            </w:r>
          </w:p>
        </w:tc>
        <w:tc>
          <w:tcPr>
            <w:tcW w:w="3163" w:type="dxa"/>
            <w:vAlign w:val="center"/>
          </w:tcPr>
          <w:p w14:paraId="7A25A5B5"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50F8A10B" w14:textId="77777777">
        <w:trPr>
          <w:trHeight w:val="397"/>
          <w:jc w:val="center"/>
        </w:trPr>
        <w:tc>
          <w:tcPr>
            <w:tcW w:w="3988" w:type="dxa"/>
            <w:vAlign w:val="center"/>
          </w:tcPr>
          <w:p w14:paraId="39E6C260" w14:textId="77777777" w:rsidR="009E11D4" w:rsidRDefault="00000000">
            <w:pPr>
              <w:pBdr>
                <w:top w:val="nil"/>
                <w:left w:val="nil"/>
                <w:bottom w:val="nil"/>
                <w:right w:val="nil"/>
                <w:between w:val="nil"/>
              </w:pBdr>
              <w:spacing w:line="240" w:lineRule="auto"/>
              <w:ind w:left="0" w:right="180" w:hanging="2"/>
              <w:rPr>
                <w:rFonts w:ascii="Arial" w:eastAsia="Arial" w:hAnsi="Arial" w:cs="Arial"/>
                <w:color w:val="000000"/>
                <w:sz w:val="22"/>
              </w:rPr>
            </w:pPr>
            <w:r>
              <w:rPr>
                <w:rFonts w:ascii="Arial" w:eastAsia="Arial" w:hAnsi="Arial" w:cs="Arial"/>
                <w:color w:val="000000"/>
                <w:sz w:val="22"/>
              </w:rPr>
              <w:t>Review Preparation</w:t>
            </w:r>
          </w:p>
        </w:tc>
        <w:tc>
          <w:tcPr>
            <w:tcW w:w="1615" w:type="dxa"/>
            <w:vAlign w:val="center"/>
          </w:tcPr>
          <w:p w14:paraId="64BBB86F" w14:textId="77777777" w:rsidR="009E11D4" w:rsidRDefault="00000000">
            <w:pPr>
              <w:ind w:left="0" w:hanging="2"/>
              <w:jc w:val="center"/>
              <w:rPr>
                <w:rFonts w:ascii="Arial" w:eastAsia="Arial" w:hAnsi="Arial" w:cs="Arial"/>
                <w:sz w:val="22"/>
              </w:rPr>
            </w:pPr>
            <w:r>
              <w:rPr>
                <w:rFonts w:ascii="Arial" w:eastAsia="Arial" w:hAnsi="Arial" w:cs="Arial"/>
                <w:sz w:val="22"/>
              </w:rPr>
              <w:t>3.320</w:t>
            </w:r>
          </w:p>
        </w:tc>
        <w:tc>
          <w:tcPr>
            <w:tcW w:w="3163" w:type="dxa"/>
            <w:vAlign w:val="center"/>
          </w:tcPr>
          <w:p w14:paraId="109F792E" w14:textId="77777777" w:rsidR="009E11D4" w:rsidRDefault="00000000">
            <w:pPr>
              <w:ind w:left="0" w:hanging="2"/>
              <w:jc w:val="center"/>
              <w:rPr>
                <w:rFonts w:ascii="Arial" w:eastAsia="Arial" w:hAnsi="Arial" w:cs="Arial"/>
                <w:sz w:val="22"/>
              </w:rPr>
            </w:pPr>
            <w:r>
              <w:rPr>
                <w:rFonts w:ascii="Arial" w:eastAsia="Arial" w:hAnsi="Arial" w:cs="Arial"/>
                <w:sz w:val="22"/>
              </w:rPr>
              <w:t>Great Extent</w:t>
            </w:r>
          </w:p>
        </w:tc>
      </w:tr>
      <w:tr w:rsidR="009E11D4" w14:paraId="568CD3AB" w14:textId="77777777">
        <w:trPr>
          <w:trHeight w:val="397"/>
          <w:jc w:val="center"/>
        </w:trPr>
        <w:tc>
          <w:tcPr>
            <w:tcW w:w="3988" w:type="dxa"/>
            <w:vAlign w:val="center"/>
          </w:tcPr>
          <w:p w14:paraId="6D46F9D6" w14:textId="77777777" w:rsidR="009E11D4" w:rsidRDefault="00000000">
            <w:pPr>
              <w:ind w:left="0" w:hanging="2"/>
              <w:rPr>
                <w:rFonts w:ascii="Arial" w:eastAsia="Arial" w:hAnsi="Arial" w:cs="Arial"/>
                <w:sz w:val="22"/>
              </w:rPr>
            </w:pPr>
            <w:r>
              <w:rPr>
                <w:rFonts w:ascii="Arial" w:eastAsia="Arial" w:hAnsi="Arial" w:cs="Arial"/>
                <w:b/>
                <w:sz w:val="22"/>
              </w:rPr>
              <w:t>Overall Mean</w:t>
            </w:r>
          </w:p>
        </w:tc>
        <w:tc>
          <w:tcPr>
            <w:tcW w:w="1615" w:type="dxa"/>
            <w:vAlign w:val="center"/>
          </w:tcPr>
          <w:p w14:paraId="56EB7496" w14:textId="77777777" w:rsidR="009E11D4" w:rsidRDefault="00000000">
            <w:pPr>
              <w:ind w:left="0" w:hanging="2"/>
              <w:jc w:val="center"/>
              <w:rPr>
                <w:rFonts w:ascii="Arial" w:eastAsia="Arial" w:hAnsi="Arial" w:cs="Arial"/>
                <w:sz w:val="22"/>
              </w:rPr>
            </w:pPr>
            <w:r>
              <w:rPr>
                <w:rFonts w:ascii="Arial" w:eastAsia="Arial" w:hAnsi="Arial" w:cs="Arial"/>
                <w:b/>
                <w:sz w:val="22"/>
              </w:rPr>
              <w:t>3.255</w:t>
            </w:r>
          </w:p>
        </w:tc>
        <w:tc>
          <w:tcPr>
            <w:tcW w:w="3163" w:type="dxa"/>
            <w:vAlign w:val="center"/>
          </w:tcPr>
          <w:p w14:paraId="21E48346" w14:textId="77777777" w:rsidR="009E11D4" w:rsidRDefault="00000000">
            <w:pPr>
              <w:ind w:left="0" w:hanging="2"/>
              <w:jc w:val="center"/>
              <w:rPr>
                <w:rFonts w:ascii="Arial" w:eastAsia="Arial" w:hAnsi="Arial" w:cs="Arial"/>
                <w:sz w:val="22"/>
              </w:rPr>
            </w:pPr>
            <w:r>
              <w:rPr>
                <w:rFonts w:ascii="Arial" w:eastAsia="Arial" w:hAnsi="Arial" w:cs="Arial"/>
                <w:b/>
                <w:sz w:val="22"/>
              </w:rPr>
              <w:t>Great Extent</w:t>
            </w:r>
          </w:p>
        </w:tc>
      </w:tr>
    </w:tbl>
    <w:p w14:paraId="73A12CA5"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lastRenderedPageBreak/>
        <w:tab/>
        <w:t>Table 3 presents the status of the different areas such as the faculty, teaching strategies, curriculum, instructional materials, library, laboratory, admission and retention policy, and review preparation in relation to the implementation of the ECE Program. All areas that affect the licensure examination are great extent with an overall mean of 3.255. The curriculum got the highest mean of 3.454.</w:t>
      </w:r>
    </w:p>
    <w:p w14:paraId="093ABADE"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2D1F92F8"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b/>
          <w:color w:val="000000"/>
          <w:sz w:val="22"/>
        </w:rPr>
        <w:tab/>
      </w:r>
      <w:r>
        <w:rPr>
          <w:rFonts w:ascii="Arial" w:eastAsia="Arial" w:hAnsi="Arial" w:cs="Arial"/>
          <w:color w:val="000000"/>
          <w:sz w:val="22"/>
        </w:rPr>
        <w:t>As shown, the area along faculty has obtained rating of great extent from the passers, means, the passers agreed that their ECE instructors has in-depth knowledge and mastery of the subject matter being taught; were able to relate the subject matter,  from theory to the actual practice of ECE as profession; they gave constructive feedbacks on their learning tasks and other assessments; were able to relate the previous lesson with the new one; delivered the subject matter in an interesting manner, and was able to integrate values towards the attainment of the program graduate attribute.</w:t>
      </w:r>
    </w:p>
    <w:p w14:paraId="2F55F00A"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EE66F1A"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Moreover, the respondents were also satisfied </w:t>
      </w:r>
      <w:r>
        <w:rPr>
          <w:rFonts w:ascii="Arial" w:eastAsia="Arial" w:hAnsi="Arial" w:cs="Arial"/>
          <w:sz w:val="22"/>
        </w:rPr>
        <w:t>with the</w:t>
      </w:r>
      <w:r>
        <w:rPr>
          <w:rFonts w:ascii="Arial" w:eastAsia="Arial" w:hAnsi="Arial" w:cs="Arial"/>
          <w:color w:val="000000"/>
          <w:sz w:val="22"/>
        </w:rPr>
        <w:t xml:space="preserve"> teaching strategies and pedagogies of their instructors, as it obtained a great </w:t>
      </w:r>
      <w:r>
        <w:rPr>
          <w:rFonts w:ascii="Arial" w:eastAsia="Arial" w:hAnsi="Arial" w:cs="Arial"/>
          <w:sz w:val="22"/>
        </w:rPr>
        <w:t>extent of</w:t>
      </w:r>
      <w:r>
        <w:rPr>
          <w:rFonts w:ascii="Arial" w:eastAsia="Arial" w:hAnsi="Arial" w:cs="Arial"/>
          <w:color w:val="000000"/>
          <w:sz w:val="22"/>
        </w:rPr>
        <w:t xml:space="preserve"> evaluation. This means that the instructors used time-tested instructional strategies to engage the students in the discussion; utilized the latest learning strategies attuned to 21st century education responsive to the needs of students; used strategies that allow maximum learning and/or remediation when I find difficulty understanding the subject matter. Also, their instructors have provisions for individual differences and </w:t>
      </w:r>
      <w:r>
        <w:rPr>
          <w:rFonts w:ascii="Arial" w:eastAsia="Arial" w:hAnsi="Arial" w:cs="Arial"/>
          <w:sz w:val="22"/>
        </w:rPr>
        <w:t>employ</w:t>
      </w:r>
      <w:r>
        <w:rPr>
          <w:rFonts w:ascii="Arial" w:eastAsia="Arial" w:hAnsi="Arial" w:cs="Arial"/>
          <w:color w:val="000000"/>
          <w:sz w:val="22"/>
        </w:rPr>
        <w:t xml:space="preserve"> various techniques and assessments and have effective </w:t>
      </w:r>
      <w:r>
        <w:rPr>
          <w:rFonts w:ascii="Arial" w:eastAsia="Arial" w:hAnsi="Arial" w:cs="Arial"/>
          <w:sz w:val="22"/>
        </w:rPr>
        <w:t>ways</w:t>
      </w:r>
      <w:r>
        <w:rPr>
          <w:rFonts w:ascii="Arial" w:eastAsia="Arial" w:hAnsi="Arial" w:cs="Arial"/>
          <w:color w:val="000000"/>
          <w:sz w:val="22"/>
        </w:rPr>
        <w:t xml:space="preserve"> of questioning and handling student’s responses, and lastly, they have different approaches in ensuring student attendance and active participation.</w:t>
      </w:r>
    </w:p>
    <w:p w14:paraId="3940E62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9CA385E"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In addition, the respondents </w:t>
      </w:r>
      <w:r>
        <w:rPr>
          <w:rFonts w:ascii="Arial" w:eastAsia="Arial" w:hAnsi="Arial" w:cs="Arial"/>
          <w:sz w:val="22"/>
        </w:rPr>
        <w:t>also commended</w:t>
      </w:r>
      <w:r>
        <w:rPr>
          <w:rFonts w:ascii="Arial" w:eastAsia="Arial" w:hAnsi="Arial" w:cs="Arial"/>
          <w:color w:val="000000"/>
          <w:sz w:val="22"/>
        </w:rPr>
        <w:t xml:space="preserve"> the draft of their ECE curriculum, as it has also obtained a great </w:t>
      </w:r>
      <w:r>
        <w:rPr>
          <w:rFonts w:ascii="Arial" w:eastAsia="Arial" w:hAnsi="Arial" w:cs="Arial"/>
          <w:sz w:val="22"/>
        </w:rPr>
        <w:t>extent of remark</w:t>
      </w:r>
      <w:r>
        <w:rPr>
          <w:rFonts w:ascii="Arial" w:eastAsia="Arial" w:hAnsi="Arial" w:cs="Arial"/>
          <w:color w:val="000000"/>
          <w:sz w:val="22"/>
        </w:rPr>
        <w:t>. This means that their curriculum was compliant with the Policies, Standards and Guidelines according to CHED Memo Order 101 Series of 2017, particularly on outcomes. Moreover, it has complied to CHED Order of having a program chair who’s a holder of master’s degree in electronics engineering or in related program and has faculty teaching elective courses who are licensed Electronics Engineers, holder of master’s or doctoral degree in Electronics Engineering or allied fields. Furthermore, the ECE schools have faculty teaching Electronics Engineering Design and other professional courses in ECE who have relevant industry training or experience. The passers also agreed that their curriculum enabled them to apply their knowledge in mathematics, engineering sciences to solve engineering problems and to design and conduct experiments, as well as to analyze and interpret data and empowered them to use techniques, skills and modern engineering tools necessary for engineering practice.</w:t>
      </w:r>
    </w:p>
    <w:p w14:paraId="2DE12B9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32521799"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It is also evident in the table that the passers have high regard </w:t>
      </w:r>
      <w:r>
        <w:rPr>
          <w:rFonts w:ascii="Arial" w:eastAsia="Arial" w:hAnsi="Arial" w:cs="Arial"/>
          <w:sz w:val="22"/>
        </w:rPr>
        <w:t>for the</w:t>
      </w:r>
      <w:r>
        <w:rPr>
          <w:rFonts w:ascii="Arial" w:eastAsia="Arial" w:hAnsi="Arial" w:cs="Arial"/>
          <w:color w:val="000000"/>
          <w:sz w:val="22"/>
        </w:rPr>
        <w:t xml:space="preserve"> instructional materials used by their instructors. Having a remark of great extent, the passers believed that the instructional materials are of the following: matched the learning objectives of the different ECE courses, the instructional and learning materials are appropriate to the level of the course, the materials present several information in a variety of ways, the materials used in lectures are clear and easy to understand, the instructional materials are research-based in nature, and the instructional materials were accessible to the learners.</w:t>
      </w:r>
    </w:p>
    <w:p w14:paraId="126016F6"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B5D8EB2"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It can also be seen that the area Library has a remark of great extent, which means, the library has adequate resources such as books, electronics resources and other materials </w:t>
      </w:r>
      <w:r>
        <w:rPr>
          <w:rFonts w:ascii="Arial" w:eastAsia="Arial" w:hAnsi="Arial" w:cs="Arial"/>
          <w:color w:val="000000"/>
          <w:sz w:val="22"/>
        </w:rPr>
        <w:lastRenderedPageBreak/>
        <w:t>needed in the ECE Program, the library provided 5 titles per course available in print and electronic format, the books available in the library are within the 5-year recency, the library provides continuous access to electronics resources, such as online databases (i.e. Philippine e-Lib), e-books, e-journals and other e-learning resources, the library provided books with foreign and local authors, and the library has librarians that facilitated their search for needed information.</w:t>
      </w:r>
    </w:p>
    <w:p w14:paraId="1F380667"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435A58B0"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The passers also gave a good remark on their ECE Laboratories, henceforth they agreed that their laboratory has enough functional equipment, apparatus, supplies, tools, and other materials necessary for their experiments, their Laboratory allowed them to perform all the basic laboratory exercises required for each laboratory course and allowed them to design and perform experiments as approved in the curriculum. They also agree that they acquired the ability to demonstrate the use of the laboratory equipment. Moreover, the courses </w:t>
      </w:r>
      <w:r>
        <w:rPr>
          <w:rFonts w:ascii="Arial" w:eastAsia="Arial" w:hAnsi="Arial" w:cs="Arial"/>
          <w:sz w:val="22"/>
        </w:rPr>
        <w:t>with the laboratory</w:t>
      </w:r>
      <w:r>
        <w:rPr>
          <w:rFonts w:ascii="Arial" w:eastAsia="Arial" w:hAnsi="Arial" w:cs="Arial"/>
          <w:color w:val="000000"/>
          <w:sz w:val="22"/>
        </w:rPr>
        <w:t xml:space="preserve"> are taught by qualified full-time ECE </w:t>
      </w:r>
      <w:r>
        <w:rPr>
          <w:rFonts w:ascii="Arial" w:eastAsia="Arial" w:hAnsi="Arial" w:cs="Arial"/>
          <w:sz w:val="22"/>
        </w:rPr>
        <w:t>instructors</w:t>
      </w:r>
      <w:r>
        <w:rPr>
          <w:rFonts w:ascii="Arial" w:eastAsia="Arial" w:hAnsi="Arial" w:cs="Arial"/>
          <w:color w:val="000000"/>
          <w:sz w:val="22"/>
        </w:rPr>
        <w:t xml:space="preserve"> and the ECE instructors pointed out how the laboratory activity is connected to my personal and professional improvement.</w:t>
      </w:r>
    </w:p>
    <w:p w14:paraId="7C092569"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05ED264F"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On the Admission and Retention Policy, passers marked it of great extent. Therefore they agreed that the school clearly defined policies and procedures on the selection and admission of students as contained in the manual, the formulation of admission and retention policies was participated by the school’s stakeholders (e.g. deans, faculty and students, alumni, experts), the ECE program observed strict implementation of the retention policy, the ECE program conducted regular orientation on retention policies to students, the implementation of the programs intended to improve ECE retention rate of the students is evident and the school conducts regular evaluation of the admission and retention policy responsive to the needs of the students vis-à-vis the electronics engineering industry.</w:t>
      </w:r>
    </w:p>
    <w:p w14:paraId="75E34D3C"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r>
    </w:p>
    <w:p w14:paraId="2C16DAE7"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Finally, the passers also gave a great extent remark to the review preparations of their institution. They then therefore agreed that the built-in review of their school enhanced their knowledge and prepared them for board exam, the school conducted special review sessions in preparation for the board examination, the school partnered with review centers to handle the review courses of the ECE program, there are intervention programs conducted that help in the review such as peer-tutorial, review buddy, academic counselling, the school allowed attendance to seminars and trainings related to Electronics field, and the school allowed participation to competitions such as Quiz Shows and Math Olympiads.</w:t>
      </w:r>
    </w:p>
    <w:p w14:paraId="03D89D2C" w14:textId="77777777" w:rsidR="009E11D4" w:rsidRDefault="009E11D4">
      <w:pPr>
        <w:ind w:left="0" w:hanging="2"/>
        <w:rPr>
          <w:rFonts w:ascii="Arial" w:eastAsia="Arial" w:hAnsi="Arial" w:cs="Arial"/>
          <w:sz w:val="22"/>
        </w:rPr>
      </w:pPr>
    </w:p>
    <w:p w14:paraId="28125EE0" w14:textId="77777777" w:rsidR="009E11D4" w:rsidRDefault="00000000">
      <w:pPr>
        <w:ind w:left="0" w:hanging="2"/>
        <w:rPr>
          <w:rFonts w:ascii="Arial" w:eastAsia="Arial" w:hAnsi="Arial" w:cs="Arial"/>
          <w:sz w:val="22"/>
        </w:rPr>
      </w:pPr>
      <w:r>
        <w:rPr>
          <w:rFonts w:ascii="Arial" w:eastAsia="Arial" w:hAnsi="Arial" w:cs="Arial"/>
          <w:b/>
          <w:sz w:val="22"/>
        </w:rPr>
        <w:t>Table 4.1 Predictors of Licensure Examination of Electronics Engineering</w:t>
      </w:r>
    </w:p>
    <w:tbl>
      <w:tblPr>
        <w:tblStyle w:val="a2"/>
        <w:tblW w:w="8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6"/>
        <w:gridCol w:w="1327"/>
        <w:gridCol w:w="1327"/>
        <w:gridCol w:w="1919"/>
      </w:tblGrid>
      <w:tr w:rsidR="009E11D4" w14:paraId="60369E16" w14:textId="77777777">
        <w:trPr>
          <w:cantSplit/>
          <w:trHeight w:val="20"/>
          <w:jc w:val="center"/>
        </w:trPr>
        <w:tc>
          <w:tcPr>
            <w:tcW w:w="3987" w:type="dxa"/>
            <w:vMerge w:val="restart"/>
            <w:shd w:val="clear" w:color="auto" w:fill="FFFFFF"/>
            <w:vAlign w:val="center"/>
          </w:tcPr>
          <w:p w14:paraId="63CE9290"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Area</w:t>
            </w:r>
          </w:p>
        </w:tc>
        <w:tc>
          <w:tcPr>
            <w:tcW w:w="4573" w:type="dxa"/>
            <w:gridSpan w:val="3"/>
            <w:shd w:val="clear" w:color="auto" w:fill="FFFFFF"/>
            <w:vAlign w:val="center"/>
          </w:tcPr>
          <w:p w14:paraId="06D97A54"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Board Exam Rating</w:t>
            </w:r>
          </w:p>
        </w:tc>
      </w:tr>
      <w:tr w:rsidR="009E11D4" w14:paraId="7A4C3888" w14:textId="77777777">
        <w:trPr>
          <w:cantSplit/>
          <w:trHeight w:val="20"/>
          <w:jc w:val="center"/>
        </w:trPr>
        <w:tc>
          <w:tcPr>
            <w:tcW w:w="3987" w:type="dxa"/>
            <w:vMerge/>
            <w:shd w:val="clear" w:color="auto" w:fill="FFFFFF"/>
            <w:vAlign w:val="center"/>
          </w:tcPr>
          <w:p w14:paraId="2A5BAD53" w14:textId="77777777" w:rsidR="009E11D4" w:rsidRDefault="009E11D4">
            <w:pPr>
              <w:widowControl w:val="0"/>
              <w:pBdr>
                <w:top w:val="nil"/>
                <w:left w:val="nil"/>
                <w:bottom w:val="nil"/>
                <w:right w:val="nil"/>
                <w:between w:val="nil"/>
              </w:pBdr>
              <w:spacing w:line="276" w:lineRule="auto"/>
              <w:ind w:left="0" w:hanging="2"/>
              <w:rPr>
                <w:rFonts w:ascii="Arial" w:eastAsia="Arial" w:hAnsi="Arial" w:cs="Arial"/>
                <w:color w:val="000000"/>
                <w:sz w:val="22"/>
              </w:rPr>
            </w:pPr>
          </w:p>
        </w:tc>
        <w:tc>
          <w:tcPr>
            <w:tcW w:w="1327" w:type="dxa"/>
            <w:shd w:val="clear" w:color="auto" w:fill="FFFFFF"/>
            <w:vAlign w:val="center"/>
          </w:tcPr>
          <w:p w14:paraId="1A15223F" w14:textId="77777777" w:rsidR="009E11D4" w:rsidRDefault="00000000">
            <w:pPr>
              <w:ind w:left="0" w:right="60" w:hanging="2"/>
              <w:jc w:val="center"/>
              <w:rPr>
                <w:rFonts w:ascii="Arial" w:eastAsia="Arial" w:hAnsi="Arial" w:cs="Arial"/>
                <w:color w:val="000000"/>
                <w:sz w:val="22"/>
              </w:rPr>
            </w:pPr>
            <w:proofErr w:type="spellStart"/>
            <w:r>
              <w:rPr>
                <w:rFonts w:ascii="Arial" w:eastAsia="Arial" w:hAnsi="Arial" w:cs="Arial"/>
                <w:b/>
                <w:color w:val="000000"/>
                <w:sz w:val="22"/>
              </w:rPr>
              <w:t>r-value</w:t>
            </w:r>
            <w:proofErr w:type="spellEnd"/>
          </w:p>
        </w:tc>
        <w:tc>
          <w:tcPr>
            <w:tcW w:w="1327" w:type="dxa"/>
            <w:shd w:val="clear" w:color="auto" w:fill="FFFFFF"/>
            <w:vAlign w:val="center"/>
          </w:tcPr>
          <w:p w14:paraId="37CF7D3D"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p-value</w:t>
            </w:r>
          </w:p>
        </w:tc>
        <w:tc>
          <w:tcPr>
            <w:tcW w:w="1919" w:type="dxa"/>
            <w:shd w:val="clear" w:color="auto" w:fill="FFFFFF"/>
            <w:vAlign w:val="center"/>
          </w:tcPr>
          <w:p w14:paraId="2E046966"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Interpretation</w:t>
            </w:r>
          </w:p>
        </w:tc>
      </w:tr>
      <w:tr w:rsidR="009E11D4" w14:paraId="26D56C65" w14:textId="77777777">
        <w:trPr>
          <w:cantSplit/>
          <w:jc w:val="center"/>
        </w:trPr>
        <w:tc>
          <w:tcPr>
            <w:tcW w:w="3987" w:type="dxa"/>
            <w:shd w:val="clear" w:color="auto" w:fill="FFFFFF"/>
            <w:vAlign w:val="center"/>
          </w:tcPr>
          <w:p w14:paraId="5921A860"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Faculty</w:t>
            </w:r>
          </w:p>
        </w:tc>
        <w:tc>
          <w:tcPr>
            <w:tcW w:w="1327" w:type="dxa"/>
            <w:shd w:val="clear" w:color="auto" w:fill="FFFFFF"/>
            <w:vAlign w:val="center"/>
          </w:tcPr>
          <w:p w14:paraId="7B454529"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.181</w:t>
            </w:r>
            <w:r>
              <w:rPr>
                <w:rFonts w:ascii="Arial" w:eastAsia="Arial" w:hAnsi="Arial" w:cs="Arial"/>
                <w:color w:val="000000"/>
                <w:sz w:val="22"/>
                <w:vertAlign w:val="superscript"/>
              </w:rPr>
              <w:t>*</w:t>
            </w:r>
          </w:p>
        </w:tc>
        <w:tc>
          <w:tcPr>
            <w:tcW w:w="1327" w:type="dxa"/>
            <w:shd w:val="clear" w:color="auto" w:fill="FFFFFF"/>
            <w:vAlign w:val="center"/>
          </w:tcPr>
          <w:p w14:paraId="2B7B3161"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.012</w:t>
            </w:r>
          </w:p>
        </w:tc>
        <w:tc>
          <w:tcPr>
            <w:tcW w:w="1919" w:type="dxa"/>
            <w:shd w:val="clear" w:color="auto" w:fill="FFFFFF"/>
            <w:vAlign w:val="center"/>
          </w:tcPr>
          <w:p w14:paraId="302216E7"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Significant</w:t>
            </w:r>
          </w:p>
        </w:tc>
      </w:tr>
      <w:tr w:rsidR="009E11D4" w14:paraId="0561C64E" w14:textId="77777777">
        <w:trPr>
          <w:cantSplit/>
          <w:jc w:val="center"/>
        </w:trPr>
        <w:tc>
          <w:tcPr>
            <w:tcW w:w="3987" w:type="dxa"/>
            <w:shd w:val="clear" w:color="auto" w:fill="FFFFFF"/>
            <w:vAlign w:val="center"/>
          </w:tcPr>
          <w:p w14:paraId="64AC1550"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Teaching Strategies</w:t>
            </w:r>
          </w:p>
        </w:tc>
        <w:tc>
          <w:tcPr>
            <w:tcW w:w="1327" w:type="dxa"/>
            <w:shd w:val="clear" w:color="auto" w:fill="FFFFFF"/>
            <w:vAlign w:val="center"/>
          </w:tcPr>
          <w:p w14:paraId="38BA87DD"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.194</w:t>
            </w:r>
            <w:r>
              <w:rPr>
                <w:rFonts w:ascii="Arial" w:eastAsia="Arial" w:hAnsi="Arial" w:cs="Arial"/>
                <w:color w:val="000000"/>
                <w:sz w:val="22"/>
                <w:vertAlign w:val="superscript"/>
              </w:rPr>
              <w:t>**</w:t>
            </w:r>
          </w:p>
        </w:tc>
        <w:tc>
          <w:tcPr>
            <w:tcW w:w="1327" w:type="dxa"/>
            <w:shd w:val="clear" w:color="auto" w:fill="FFFFFF"/>
            <w:vAlign w:val="center"/>
          </w:tcPr>
          <w:p w14:paraId="66FAEF0B"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.007</w:t>
            </w:r>
          </w:p>
        </w:tc>
        <w:tc>
          <w:tcPr>
            <w:tcW w:w="1919" w:type="dxa"/>
            <w:shd w:val="clear" w:color="auto" w:fill="FFFFFF"/>
            <w:vAlign w:val="center"/>
          </w:tcPr>
          <w:p w14:paraId="43B156F5"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Significant</w:t>
            </w:r>
          </w:p>
        </w:tc>
      </w:tr>
      <w:tr w:rsidR="009E11D4" w14:paraId="5E1547B6" w14:textId="77777777">
        <w:trPr>
          <w:cantSplit/>
          <w:jc w:val="center"/>
        </w:trPr>
        <w:tc>
          <w:tcPr>
            <w:tcW w:w="3987" w:type="dxa"/>
            <w:shd w:val="clear" w:color="auto" w:fill="FFFFFF"/>
            <w:vAlign w:val="center"/>
          </w:tcPr>
          <w:p w14:paraId="130154E3"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Curriculum</w:t>
            </w:r>
          </w:p>
        </w:tc>
        <w:tc>
          <w:tcPr>
            <w:tcW w:w="1327" w:type="dxa"/>
            <w:shd w:val="clear" w:color="auto" w:fill="FFFFFF"/>
            <w:vAlign w:val="center"/>
          </w:tcPr>
          <w:p w14:paraId="352244EF"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.212</w:t>
            </w:r>
            <w:r>
              <w:rPr>
                <w:rFonts w:ascii="Arial" w:eastAsia="Arial" w:hAnsi="Arial" w:cs="Arial"/>
                <w:color w:val="000000"/>
                <w:sz w:val="22"/>
                <w:vertAlign w:val="superscript"/>
              </w:rPr>
              <w:t>**</w:t>
            </w:r>
          </w:p>
        </w:tc>
        <w:tc>
          <w:tcPr>
            <w:tcW w:w="1327" w:type="dxa"/>
            <w:shd w:val="clear" w:color="auto" w:fill="FFFFFF"/>
            <w:vAlign w:val="center"/>
          </w:tcPr>
          <w:p w14:paraId="7EBB4EB3"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.003</w:t>
            </w:r>
          </w:p>
        </w:tc>
        <w:tc>
          <w:tcPr>
            <w:tcW w:w="1919" w:type="dxa"/>
            <w:shd w:val="clear" w:color="auto" w:fill="FFFFFF"/>
            <w:vAlign w:val="center"/>
          </w:tcPr>
          <w:p w14:paraId="72C72CF9"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Significant</w:t>
            </w:r>
          </w:p>
        </w:tc>
      </w:tr>
      <w:tr w:rsidR="009E11D4" w14:paraId="7B8480E0" w14:textId="77777777">
        <w:trPr>
          <w:cantSplit/>
          <w:jc w:val="center"/>
        </w:trPr>
        <w:tc>
          <w:tcPr>
            <w:tcW w:w="3987" w:type="dxa"/>
            <w:shd w:val="clear" w:color="auto" w:fill="FFFFFF"/>
            <w:vAlign w:val="center"/>
          </w:tcPr>
          <w:p w14:paraId="716D09AD"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Instructional Materials</w:t>
            </w:r>
          </w:p>
        </w:tc>
        <w:tc>
          <w:tcPr>
            <w:tcW w:w="1327" w:type="dxa"/>
            <w:shd w:val="clear" w:color="auto" w:fill="FFFFFF"/>
            <w:vAlign w:val="center"/>
          </w:tcPr>
          <w:p w14:paraId="7F1915A6"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.139</w:t>
            </w:r>
          </w:p>
        </w:tc>
        <w:tc>
          <w:tcPr>
            <w:tcW w:w="1327" w:type="dxa"/>
            <w:shd w:val="clear" w:color="auto" w:fill="FFFFFF"/>
            <w:vAlign w:val="center"/>
          </w:tcPr>
          <w:p w14:paraId="00607F6A"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.052</w:t>
            </w:r>
          </w:p>
        </w:tc>
        <w:tc>
          <w:tcPr>
            <w:tcW w:w="1919" w:type="dxa"/>
            <w:shd w:val="clear" w:color="auto" w:fill="FFFFFF"/>
            <w:vAlign w:val="center"/>
          </w:tcPr>
          <w:p w14:paraId="1104AD99"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Not Significant</w:t>
            </w:r>
          </w:p>
        </w:tc>
      </w:tr>
      <w:tr w:rsidR="009E11D4" w14:paraId="59FC266F" w14:textId="77777777">
        <w:trPr>
          <w:cantSplit/>
          <w:jc w:val="center"/>
        </w:trPr>
        <w:tc>
          <w:tcPr>
            <w:tcW w:w="3987" w:type="dxa"/>
            <w:shd w:val="clear" w:color="auto" w:fill="FFFFFF"/>
            <w:vAlign w:val="center"/>
          </w:tcPr>
          <w:p w14:paraId="255105B9"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Library</w:t>
            </w:r>
          </w:p>
        </w:tc>
        <w:tc>
          <w:tcPr>
            <w:tcW w:w="1327" w:type="dxa"/>
            <w:shd w:val="clear" w:color="auto" w:fill="FFFFFF"/>
            <w:vAlign w:val="center"/>
          </w:tcPr>
          <w:p w14:paraId="305548EC"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.009</w:t>
            </w:r>
          </w:p>
        </w:tc>
        <w:tc>
          <w:tcPr>
            <w:tcW w:w="1327" w:type="dxa"/>
            <w:shd w:val="clear" w:color="auto" w:fill="FFFFFF"/>
            <w:vAlign w:val="center"/>
          </w:tcPr>
          <w:p w14:paraId="52DB60D9"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.903</w:t>
            </w:r>
          </w:p>
        </w:tc>
        <w:tc>
          <w:tcPr>
            <w:tcW w:w="1919" w:type="dxa"/>
            <w:shd w:val="clear" w:color="auto" w:fill="FFFFFF"/>
            <w:vAlign w:val="center"/>
          </w:tcPr>
          <w:p w14:paraId="451F39E0"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Not Significant</w:t>
            </w:r>
          </w:p>
        </w:tc>
      </w:tr>
      <w:tr w:rsidR="009E11D4" w14:paraId="28FABD08" w14:textId="77777777">
        <w:trPr>
          <w:cantSplit/>
          <w:jc w:val="center"/>
        </w:trPr>
        <w:tc>
          <w:tcPr>
            <w:tcW w:w="3987" w:type="dxa"/>
            <w:shd w:val="clear" w:color="auto" w:fill="FFFFFF"/>
            <w:vAlign w:val="center"/>
          </w:tcPr>
          <w:p w14:paraId="395B44EB"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Laboratory</w:t>
            </w:r>
          </w:p>
        </w:tc>
        <w:tc>
          <w:tcPr>
            <w:tcW w:w="1327" w:type="dxa"/>
            <w:shd w:val="clear" w:color="auto" w:fill="FFFFFF"/>
            <w:vAlign w:val="center"/>
          </w:tcPr>
          <w:p w14:paraId="7D6FC7FB"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-.088</w:t>
            </w:r>
          </w:p>
        </w:tc>
        <w:tc>
          <w:tcPr>
            <w:tcW w:w="1327" w:type="dxa"/>
            <w:shd w:val="clear" w:color="auto" w:fill="FFFFFF"/>
            <w:vAlign w:val="center"/>
          </w:tcPr>
          <w:p w14:paraId="4457D581"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.223</w:t>
            </w:r>
          </w:p>
        </w:tc>
        <w:tc>
          <w:tcPr>
            <w:tcW w:w="1919" w:type="dxa"/>
            <w:shd w:val="clear" w:color="auto" w:fill="FFFFFF"/>
            <w:vAlign w:val="center"/>
          </w:tcPr>
          <w:p w14:paraId="78A6904C"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Not Significant</w:t>
            </w:r>
          </w:p>
        </w:tc>
      </w:tr>
      <w:tr w:rsidR="009E11D4" w14:paraId="3A03520F" w14:textId="77777777">
        <w:trPr>
          <w:cantSplit/>
          <w:jc w:val="center"/>
        </w:trPr>
        <w:tc>
          <w:tcPr>
            <w:tcW w:w="3987" w:type="dxa"/>
            <w:shd w:val="clear" w:color="auto" w:fill="FFFFFF"/>
            <w:vAlign w:val="center"/>
          </w:tcPr>
          <w:p w14:paraId="36329454"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Admission &amp; Retention Policy</w:t>
            </w:r>
          </w:p>
        </w:tc>
        <w:tc>
          <w:tcPr>
            <w:tcW w:w="1327" w:type="dxa"/>
            <w:shd w:val="clear" w:color="auto" w:fill="FFFFFF"/>
            <w:vAlign w:val="center"/>
          </w:tcPr>
          <w:p w14:paraId="4D712BBD"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.064</w:t>
            </w:r>
          </w:p>
        </w:tc>
        <w:tc>
          <w:tcPr>
            <w:tcW w:w="1327" w:type="dxa"/>
            <w:shd w:val="clear" w:color="auto" w:fill="FFFFFF"/>
            <w:vAlign w:val="center"/>
          </w:tcPr>
          <w:p w14:paraId="09A7C79B"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.374</w:t>
            </w:r>
          </w:p>
        </w:tc>
        <w:tc>
          <w:tcPr>
            <w:tcW w:w="1919" w:type="dxa"/>
            <w:shd w:val="clear" w:color="auto" w:fill="FFFFFF"/>
            <w:vAlign w:val="center"/>
          </w:tcPr>
          <w:p w14:paraId="04A145E7"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Not Significant</w:t>
            </w:r>
          </w:p>
        </w:tc>
      </w:tr>
      <w:tr w:rsidR="009E11D4" w14:paraId="6D513EE7" w14:textId="77777777">
        <w:trPr>
          <w:cantSplit/>
          <w:jc w:val="center"/>
        </w:trPr>
        <w:tc>
          <w:tcPr>
            <w:tcW w:w="3987" w:type="dxa"/>
            <w:shd w:val="clear" w:color="auto" w:fill="FFFFFF"/>
            <w:vAlign w:val="center"/>
          </w:tcPr>
          <w:p w14:paraId="2C6FEA8F"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Review Preparation</w:t>
            </w:r>
          </w:p>
        </w:tc>
        <w:tc>
          <w:tcPr>
            <w:tcW w:w="1327" w:type="dxa"/>
            <w:shd w:val="clear" w:color="auto" w:fill="FFFFFF"/>
            <w:vAlign w:val="center"/>
          </w:tcPr>
          <w:p w14:paraId="5C863302"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.156</w:t>
            </w:r>
            <w:r>
              <w:rPr>
                <w:rFonts w:ascii="Arial" w:eastAsia="Arial" w:hAnsi="Arial" w:cs="Arial"/>
                <w:color w:val="000000"/>
                <w:sz w:val="22"/>
                <w:vertAlign w:val="superscript"/>
              </w:rPr>
              <w:t>*</w:t>
            </w:r>
          </w:p>
        </w:tc>
        <w:tc>
          <w:tcPr>
            <w:tcW w:w="1327" w:type="dxa"/>
            <w:shd w:val="clear" w:color="auto" w:fill="FFFFFF"/>
            <w:vAlign w:val="center"/>
          </w:tcPr>
          <w:p w14:paraId="235FC35F"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.030</w:t>
            </w:r>
          </w:p>
        </w:tc>
        <w:tc>
          <w:tcPr>
            <w:tcW w:w="1919" w:type="dxa"/>
            <w:shd w:val="clear" w:color="auto" w:fill="FFFFFF"/>
            <w:vAlign w:val="center"/>
          </w:tcPr>
          <w:p w14:paraId="2BD6DFB7" w14:textId="77777777" w:rsidR="009E11D4" w:rsidRDefault="00000000">
            <w:pPr>
              <w:ind w:left="0" w:hanging="2"/>
              <w:jc w:val="center"/>
              <w:rPr>
                <w:rFonts w:ascii="Arial" w:eastAsia="Arial" w:hAnsi="Arial" w:cs="Arial"/>
                <w:sz w:val="22"/>
              </w:rPr>
            </w:pPr>
            <w:r>
              <w:rPr>
                <w:rFonts w:ascii="Arial" w:eastAsia="Arial" w:hAnsi="Arial" w:cs="Arial"/>
                <w:color w:val="000000"/>
                <w:sz w:val="22"/>
              </w:rPr>
              <w:t>Significant</w:t>
            </w:r>
          </w:p>
        </w:tc>
      </w:tr>
      <w:tr w:rsidR="009E11D4" w14:paraId="1BBB2988" w14:textId="77777777">
        <w:trPr>
          <w:cantSplit/>
          <w:trHeight w:val="227"/>
          <w:jc w:val="center"/>
        </w:trPr>
        <w:tc>
          <w:tcPr>
            <w:tcW w:w="8560" w:type="dxa"/>
            <w:gridSpan w:val="4"/>
            <w:tcBorders>
              <w:top w:val="nil"/>
              <w:left w:val="nil"/>
              <w:bottom w:val="nil"/>
              <w:right w:val="nil"/>
            </w:tcBorders>
            <w:shd w:val="clear" w:color="auto" w:fill="FFFFFF"/>
            <w:vAlign w:val="center"/>
          </w:tcPr>
          <w:p w14:paraId="60E7126F" w14:textId="77777777" w:rsidR="009E11D4" w:rsidRDefault="00000000">
            <w:pPr>
              <w:ind w:left="0" w:right="62" w:hanging="2"/>
              <w:rPr>
                <w:rFonts w:ascii="Arial" w:eastAsia="Arial" w:hAnsi="Arial" w:cs="Arial"/>
                <w:color w:val="000000"/>
                <w:sz w:val="22"/>
              </w:rPr>
            </w:pPr>
            <w:r>
              <w:rPr>
                <w:rFonts w:ascii="Arial" w:eastAsia="Arial" w:hAnsi="Arial" w:cs="Arial"/>
                <w:color w:val="000000"/>
                <w:sz w:val="22"/>
              </w:rPr>
              <w:t>**. Correlation is significant at the 0.01 level (2-tailed).</w:t>
            </w:r>
          </w:p>
        </w:tc>
      </w:tr>
      <w:tr w:rsidR="009E11D4" w14:paraId="6C62A23E" w14:textId="77777777">
        <w:trPr>
          <w:cantSplit/>
          <w:trHeight w:val="227"/>
          <w:jc w:val="center"/>
        </w:trPr>
        <w:tc>
          <w:tcPr>
            <w:tcW w:w="8560" w:type="dxa"/>
            <w:gridSpan w:val="4"/>
            <w:tcBorders>
              <w:top w:val="nil"/>
              <w:left w:val="nil"/>
              <w:bottom w:val="nil"/>
              <w:right w:val="nil"/>
            </w:tcBorders>
            <w:shd w:val="clear" w:color="auto" w:fill="FFFFFF"/>
            <w:vAlign w:val="center"/>
          </w:tcPr>
          <w:p w14:paraId="76350DE3" w14:textId="77777777" w:rsidR="009E11D4" w:rsidRDefault="00000000">
            <w:pPr>
              <w:ind w:left="0" w:right="62" w:hanging="2"/>
              <w:rPr>
                <w:rFonts w:ascii="Arial" w:eastAsia="Arial" w:hAnsi="Arial" w:cs="Arial"/>
                <w:color w:val="000000"/>
                <w:sz w:val="22"/>
              </w:rPr>
            </w:pPr>
            <w:r>
              <w:rPr>
                <w:rFonts w:ascii="Arial" w:eastAsia="Arial" w:hAnsi="Arial" w:cs="Arial"/>
                <w:color w:val="000000"/>
                <w:sz w:val="22"/>
              </w:rPr>
              <w:lastRenderedPageBreak/>
              <w:t>*. Correlation is significant at the 0.05 level (2-tailed).</w:t>
            </w:r>
          </w:p>
        </w:tc>
      </w:tr>
    </w:tbl>
    <w:p w14:paraId="1EF70A34" w14:textId="77777777" w:rsidR="009E11D4" w:rsidRDefault="00000000">
      <w:pPr>
        <w:ind w:left="0" w:hanging="2"/>
        <w:rPr>
          <w:rFonts w:ascii="Arial" w:eastAsia="Arial" w:hAnsi="Arial" w:cs="Arial"/>
          <w:sz w:val="22"/>
        </w:rPr>
      </w:pPr>
      <w:r>
        <w:rPr>
          <w:rFonts w:ascii="Arial" w:eastAsia="Arial" w:hAnsi="Arial" w:cs="Arial"/>
          <w:b/>
          <w:sz w:val="22"/>
        </w:rPr>
        <w:tab/>
      </w:r>
    </w:p>
    <w:p w14:paraId="064F331A"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b/>
        <w:t xml:space="preserve">Table 4.1 shows the predictors for ECE licensure exam performance. As revealed, the factors faculty, teaching strategies, curriculum and the review preparation are significant in passing the ECE Licensure exam. The Instructional Materials, Library, Laboratory, and the admission and retention policy are not significant. </w:t>
      </w:r>
    </w:p>
    <w:p w14:paraId="2768277E"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1BFC558"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1502A021" w14:textId="77777777" w:rsidR="009E11D4" w:rsidRDefault="00000000">
      <w:pPr>
        <w:ind w:left="0" w:hanging="2"/>
        <w:rPr>
          <w:rFonts w:ascii="Arial" w:eastAsia="Arial" w:hAnsi="Arial" w:cs="Arial"/>
          <w:sz w:val="22"/>
        </w:rPr>
      </w:pPr>
      <w:r>
        <w:rPr>
          <w:rFonts w:ascii="Arial" w:eastAsia="Arial" w:hAnsi="Arial" w:cs="Arial"/>
          <w:b/>
          <w:sz w:val="22"/>
        </w:rPr>
        <w:t>Table 4.2 Multiple Regression Analysis</w:t>
      </w:r>
    </w:p>
    <w:tbl>
      <w:tblPr>
        <w:tblStyle w:val="a3"/>
        <w:tblW w:w="8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2347"/>
        <w:gridCol w:w="1518"/>
        <w:gridCol w:w="1512"/>
        <w:gridCol w:w="968"/>
        <w:gridCol w:w="559"/>
      </w:tblGrid>
      <w:tr w:rsidR="009E11D4" w14:paraId="5B28A16D" w14:textId="77777777">
        <w:trPr>
          <w:cantSplit/>
          <w:trHeight w:val="340"/>
        </w:trPr>
        <w:tc>
          <w:tcPr>
            <w:tcW w:w="1656" w:type="dxa"/>
            <w:vMerge w:val="restart"/>
            <w:shd w:val="clear" w:color="auto" w:fill="FFFFFF"/>
            <w:vAlign w:val="center"/>
          </w:tcPr>
          <w:p w14:paraId="20C5DFB1" w14:textId="77777777" w:rsidR="009E11D4" w:rsidRDefault="00000000">
            <w:pPr>
              <w:ind w:left="0" w:right="60" w:hanging="2"/>
              <w:rPr>
                <w:rFonts w:ascii="Arial" w:eastAsia="Arial" w:hAnsi="Arial" w:cs="Arial"/>
                <w:color w:val="000000"/>
                <w:sz w:val="22"/>
              </w:rPr>
            </w:pPr>
            <w:r>
              <w:rPr>
                <w:rFonts w:ascii="Arial" w:eastAsia="Arial" w:hAnsi="Arial" w:cs="Arial"/>
                <w:b/>
                <w:color w:val="000000"/>
                <w:sz w:val="22"/>
              </w:rPr>
              <w:t>Variables</w:t>
            </w:r>
          </w:p>
        </w:tc>
        <w:tc>
          <w:tcPr>
            <w:tcW w:w="3865" w:type="dxa"/>
            <w:gridSpan w:val="2"/>
            <w:shd w:val="clear" w:color="auto" w:fill="FFFFFF"/>
            <w:vAlign w:val="center"/>
          </w:tcPr>
          <w:p w14:paraId="62234AA3"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Unstandardized Coefficients</w:t>
            </w:r>
          </w:p>
        </w:tc>
        <w:tc>
          <w:tcPr>
            <w:tcW w:w="1512" w:type="dxa"/>
            <w:shd w:val="clear" w:color="auto" w:fill="FFFFFF"/>
            <w:vAlign w:val="center"/>
          </w:tcPr>
          <w:p w14:paraId="7EF33809"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Standardized Coefficients</w:t>
            </w:r>
          </w:p>
        </w:tc>
        <w:tc>
          <w:tcPr>
            <w:tcW w:w="968" w:type="dxa"/>
            <w:vMerge w:val="restart"/>
            <w:shd w:val="clear" w:color="auto" w:fill="FFFFFF"/>
            <w:vAlign w:val="center"/>
          </w:tcPr>
          <w:p w14:paraId="53B9B5E4"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t</w:t>
            </w:r>
          </w:p>
        </w:tc>
        <w:tc>
          <w:tcPr>
            <w:tcW w:w="559" w:type="dxa"/>
            <w:vMerge w:val="restart"/>
            <w:shd w:val="clear" w:color="auto" w:fill="FFFFFF"/>
            <w:vAlign w:val="center"/>
          </w:tcPr>
          <w:p w14:paraId="1683D900"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Sig.</w:t>
            </w:r>
          </w:p>
        </w:tc>
      </w:tr>
      <w:tr w:rsidR="009E11D4" w14:paraId="44114516" w14:textId="77777777">
        <w:trPr>
          <w:cantSplit/>
          <w:trHeight w:val="340"/>
        </w:trPr>
        <w:tc>
          <w:tcPr>
            <w:tcW w:w="1656" w:type="dxa"/>
            <w:vMerge/>
            <w:shd w:val="clear" w:color="auto" w:fill="FFFFFF"/>
            <w:vAlign w:val="center"/>
          </w:tcPr>
          <w:p w14:paraId="40C5B6ED" w14:textId="77777777" w:rsidR="009E11D4" w:rsidRDefault="009E11D4">
            <w:pPr>
              <w:widowControl w:val="0"/>
              <w:pBdr>
                <w:top w:val="nil"/>
                <w:left w:val="nil"/>
                <w:bottom w:val="nil"/>
                <w:right w:val="nil"/>
                <w:between w:val="nil"/>
              </w:pBdr>
              <w:spacing w:line="276" w:lineRule="auto"/>
              <w:ind w:left="0" w:hanging="2"/>
              <w:rPr>
                <w:rFonts w:ascii="Arial" w:eastAsia="Arial" w:hAnsi="Arial" w:cs="Arial"/>
                <w:color w:val="000000"/>
                <w:sz w:val="22"/>
              </w:rPr>
            </w:pPr>
          </w:p>
        </w:tc>
        <w:tc>
          <w:tcPr>
            <w:tcW w:w="2347" w:type="dxa"/>
            <w:shd w:val="clear" w:color="auto" w:fill="FFFFFF"/>
            <w:vAlign w:val="center"/>
          </w:tcPr>
          <w:p w14:paraId="7C078440"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B</w:t>
            </w:r>
          </w:p>
        </w:tc>
        <w:tc>
          <w:tcPr>
            <w:tcW w:w="1518" w:type="dxa"/>
            <w:shd w:val="clear" w:color="auto" w:fill="FFFFFF"/>
            <w:vAlign w:val="center"/>
          </w:tcPr>
          <w:p w14:paraId="47698981"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Std. Error</w:t>
            </w:r>
          </w:p>
        </w:tc>
        <w:tc>
          <w:tcPr>
            <w:tcW w:w="1512" w:type="dxa"/>
            <w:shd w:val="clear" w:color="auto" w:fill="FFFFFF"/>
            <w:vAlign w:val="center"/>
          </w:tcPr>
          <w:p w14:paraId="36CCF640" w14:textId="77777777" w:rsidR="009E11D4" w:rsidRDefault="00000000">
            <w:pPr>
              <w:ind w:left="0" w:right="60" w:hanging="2"/>
              <w:jc w:val="center"/>
              <w:rPr>
                <w:rFonts w:ascii="Arial" w:eastAsia="Arial" w:hAnsi="Arial" w:cs="Arial"/>
                <w:color w:val="000000"/>
                <w:sz w:val="22"/>
              </w:rPr>
            </w:pPr>
            <w:r>
              <w:rPr>
                <w:rFonts w:ascii="Arial" w:eastAsia="Arial" w:hAnsi="Arial" w:cs="Arial"/>
                <w:b/>
                <w:color w:val="000000"/>
                <w:sz w:val="22"/>
              </w:rPr>
              <w:t>Beta</w:t>
            </w:r>
          </w:p>
        </w:tc>
        <w:tc>
          <w:tcPr>
            <w:tcW w:w="968" w:type="dxa"/>
            <w:vMerge/>
            <w:shd w:val="clear" w:color="auto" w:fill="FFFFFF"/>
            <w:vAlign w:val="center"/>
          </w:tcPr>
          <w:p w14:paraId="700FCDAA" w14:textId="77777777" w:rsidR="009E11D4" w:rsidRDefault="009E11D4">
            <w:pPr>
              <w:widowControl w:val="0"/>
              <w:pBdr>
                <w:top w:val="nil"/>
                <w:left w:val="nil"/>
                <w:bottom w:val="nil"/>
                <w:right w:val="nil"/>
                <w:between w:val="nil"/>
              </w:pBdr>
              <w:spacing w:line="276" w:lineRule="auto"/>
              <w:ind w:left="0" w:hanging="2"/>
              <w:rPr>
                <w:rFonts w:ascii="Arial" w:eastAsia="Arial" w:hAnsi="Arial" w:cs="Arial"/>
                <w:color w:val="000000"/>
                <w:sz w:val="22"/>
              </w:rPr>
            </w:pPr>
          </w:p>
        </w:tc>
        <w:tc>
          <w:tcPr>
            <w:tcW w:w="559" w:type="dxa"/>
            <w:vMerge/>
            <w:shd w:val="clear" w:color="auto" w:fill="FFFFFF"/>
            <w:vAlign w:val="center"/>
          </w:tcPr>
          <w:p w14:paraId="2951D97C" w14:textId="77777777" w:rsidR="009E11D4" w:rsidRDefault="009E11D4">
            <w:pPr>
              <w:widowControl w:val="0"/>
              <w:pBdr>
                <w:top w:val="nil"/>
                <w:left w:val="nil"/>
                <w:bottom w:val="nil"/>
                <w:right w:val="nil"/>
                <w:between w:val="nil"/>
              </w:pBdr>
              <w:spacing w:line="276" w:lineRule="auto"/>
              <w:ind w:left="0" w:hanging="2"/>
              <w:rPr>
                <w:rFonts w:ascii="Arial" w:eastAsia="Arial" w:hAnsi="Arial" w:cs="Arial"/>
                <w:color w:val="000000"/>
                <w:sz w:val="22"/>
              </w:rPr>
            </w:pPr>
          </w:p>
        </w:tc>
      </w:tr>
      <w:tr w:rsidR="009E11D4" w14:paraId="07519BEB" w14:textId="77777777">
        <w:trPr>
          <w:cantSplit/>
          <w:trHeight w:val="340"/>
        </w:trPr>
        <w:tc>
          <w:tcPr>
            <w:tcW w:w="1656" w:type="dxa"/>
            <w:shd w:val="clear" w:color="auto" w:fill="FFFFFF"/>
            <w:vAlign w:val="center"/>
          </w:tcPr>
          <w:p w14:paraId="65942B11"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(Constant)</w:t>
            </w:r>
          </w:p>
        </w:tc>
        <w:tc>
          <w:tcPr>
            <w:tcW w:w="2347" w:type="dxa"/>
            <w:shd w:val="clear" w:color="auto" w:fill="FFFFFF"/>
            <w:vAlign w:val="center"/>
          </w:tcPr>
          <w:p w14:paraId="00450F5C"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31.373</w:t>
            </w:r>
          </w:p>
        </w:tc>
        <w:tc>
          <w:tcPr>
            <w:tcW w:w="1518" w:type="dxa"/>
            <w:shd w:val="clear" w:color="auto" w:fill="FFFFFF"/>
            <w:vAlign w:val="center"/>
          </w:tcPr>
          <w:p w14:paraId="746AEA46"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3.370</w:t>
            </w:r>
          </w:p>
        </w:tc>
        <w:tc>
          <w:tcPr>
            <w:tcW w:w="1512" w:type="dxa"/>
            <w:shd w:val="clear" w:color="auto" w:fill="FFFFFF"/>
            <w:vAlign w:val="center"/>
          </w:tcPr>
          <w:p w14:paraId="44AA85ED" w14:textId="77777777" w:rsidR="009E11D4" w:rsidRDefault="009E11D4">
            <w:pPr>
              <w:ind w:left="0" w:hanging="2"/>
              <w:jc w:val="center"/>
              <w:rPr>
                <w:rFonts w:ascii="Arial" w:eastAsia="Arial" w:hAnsi="Arial" w:cs="Arial"/>
                <w:sz w:val="22"/>
              </w:rPr>
            </w:pPr>
          </w:p>
        </w:tc>
        <w:tc>
          <w:tcPr>
            <w:tcW w:w="968" w:type="dxa"/>
            <w:shd w:val="clear" w:color="auto" w:fill="FFFFFF"/>
            <w:vAlign w:val="center"/>
          </w:tcPr>
          <w:p w14:paraId="5CE0BEF8"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9.309</w:t>
            </w:r>
          </w:p>
        </w:tc>
        <w:tc>
          <w:tcPr>
            <w:tcW w:w="559" w:type="dxa"/>
            <w:shd w:val="clear" w:color="auto" w:fill="FFFFFF"/>
            <w:vAlign w:val="center"/>
          </w:tcPr>
          <w:p w14:paraId="350B232F"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.000</w:t>
            </w:r>
          </w:p>
        </w:tc>
      </w:tr>
      <w:tr w:rsidR="009E11D4" w14:paraId="11BF2DAE" w14:textId="77777777">
        <w:trPr>
          <w:cantSplit/>
          <w:trHeight w:val="340"/>
        </w:trPr>
        <w:tc>
          <w:tcPr>
            <w:tcW w:w="1656" w:type="dxa"/>
            <w:shd w:val="clear" w:color="auto" w:fill="FFFFFF"/>
            <w:vAlign w:val="center"/>
          </w:tcPr>
          <w:p w14:paraId="60D731AE"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Faculty</w:t>
            </w:r>
          </w:p>
        </w:tc>
        <w:tc>
          <w:tcPr>
            <w:tcW w:w="2347" w:type="dxa"/>
            <w:shd w:val="clear" w:color="auto" w:fill="FFFFFF"/>
            <w:vAlign w:val="center"/>
          </w:tcPr>
          <w:p w14:paraId="3A99B99A"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-.219</w:t>
            </w:r>
          </w:p>
        </w:tc>
        <w:tc>
          <w:tcPr>
            <w:tcW w:w="1518" w:type="dxa"/>
            <w:shd w:val="clear" w:color="auto" w:fill="FFFFFF"/>
            <w:vAlign w:val="center"/>
          </w:tcPr>
          <w:p w14:paraId="3672172C"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2.065</w:t>
            </w:r>
          </w:p>
        </w:tc>
        <w:tc>
          <w:tcPr>
            <w:tcW w:w="1512" w:type="dxa"/>
            <w:shd w:val="clear" w:color="auto" w:fill="FFFFFF"/>
            <w:vAlign w:val="center"/>
          </w:tcPr>
          <w:p w14:paraId="51EFBEBC"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-.017</w:t>
            </w:r>
          </w:p>
        </w:tc>
        <w:tc>
          <w:tcPr>
            <w:tcW w:w="968" w:type="dxa"/>
            <w:shd w:val="clear" w:color="auto" w:fill="FFFFFF"/>
            <w:vAlign w:val="center"/>
          </w:tcPr>
          <w:p w14:paraId="757524A2"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-.106</w:t>
            </w:r>
          </w:p>
        </w:tc>
        <w:tc>
          <w:tcPr>
            <w:tcW w:w="559" w:type="dxa"/>
            <w:shd w:val="clear" w:color="auto" w:fill="FFFFFF"/>
            <w:vAlign w:val="center"/>
          </w:tcPr>
          <w:p w14:paraId="2A0B6219"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.916</w:t>
            </w:r>
          </w:p>
        </w:tc>
      </w:tr>
      <w:tr w:rsidR="009E11D4" w14:paraId="11ADBD85" w14:textId="77777777">
        <w:trPr>
          <w:cantSplit/>
          <w:trHeight w:val="340"/>
        </w:trPr>
        <w:tc>
          <w:tcPr>
            <w:tcW w:w="1656" w:type="dxa"/>
            <w:shd w:val="clear" w:color="auto" w:fill="FFFFFF"/>
            <w:vAlign w:val="center"/>
          </w:tcPr>
          <w:p w14:paraId="6E482275"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Teaching Strategies</w:t>
            </w:r>
          </w:p>
        </w:tc>
        <w:tc>
          <w:tcPr>
            <w:tcW w:w="2347" w:type="dxa"/>
            <w:shd w:val="clear" w:color="auto" w:fill="FFFFFF"/>
            <w:vAlign w:val="center"/>
          </w:tcPr>
          <w:p w14:paraId="605ECFD3"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.818</w:t>
            </w:r>
          </w:p>
        </w:tc>
        <w:tc>
          <w:tcPr>
            <w:tcW w:w="1518" w:type="dxa"/>
            <w:shd w:val="clear" w:color="auto" w:fill="FFFFFF"/>
            <w:vAlign w:val="center"/>
          </w:tcPr>
          <w:p w14:paraId="3057AC18"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2.063</w:t>
            </w:r>
          </w:p>
        </w:tc>
        <w:tc>
          <w:tcPr>
            <w:tcW w:w="1512" w:type="dxa"/>
            <w:shd w:val="clear" w:color="auto" w:fill="FFFFFF"/>
            <w:vAlign w:val="center"/>
          </w:tcPr>
          <w:p w14:paraId="2E71D169"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.069</w:t>
            </w:r>
          </w:p>
        </w:tc>
        <w:tc>
          <w:tcPr>
            <w:tcW w:w="968" w:type="dxa"/>
            <w:shd w:val="clear" w:color="auto" w:fill="FFFFFF"/>
            <w:vAlign w:val="center"/>
          </w:tcPr>
          <w:p w14:paraId="5F7B87ED"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.397</w:t>
            </w:r>
          </w:p>
        </w:tc>
        <w:tc>
          <w:tcPr>
            <w:tcW w:w="559" w:type="dxa"/>
            <w:shd w:val="clear" w:color="auto" w:fill="FFFFFF"/>
            <w:vAlign w:val="center"/>
          </w:tcPr>
          <w:p w14:paraId="211A86AF"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.692</w:t>
            </w:r>
          </w:p>
        </w:tc>
      </w:tr>
      <w:tr w:rsidR="009E11D4" w14:paraId="5BB1A119" w14:textId="77777777">
        <w:trPr>
          <w:cantSplit/>
          <w:trHeight w:val="340"/>
        </w:trPr>
        <w:tc>
          <w:tcPr>
            <w:tcW w:w="1656" w:type="dxa"/>
            <w:shd w:val="clear" w:color="auto" w:fill="FFFFFF"/>
            <w:vAlign w:val="center"/>
          </w:tcPr>
          <w:p w14:paraId="514C57E7"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Curriculum</w:t>
            </w:r>
          </w:p>
        </w:tc>
        <w:tc>
          <w:tcPr>
            <w:tcW w:w="2347" w:type="dxa"/>
            <w:shd w:val="clear" w:color="auto" w:fill="FFFFFF"/>
            <w:vAlign w:val="center"/>
          </w:tcPr>
          <w:p w14:paraId="78D528C8"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2.405</w:t>
            </w:r>
          </w:p>
        </w:tc>
        <w:tc>
          <w:tcPr>
            <w:tcW w:w="1518" w:type="dxa"/>
            <w:shd w:val="clear" w:color="auto" w:fill="FFFFFF"/>
            <w:vAlign w:val="center"/>
          </w:tcPr>
          <w:p w14:paraId="248A8821"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1.948</w:t>
            </w:r>
          </w:p>
        </w:tc>
        <w:tc>
          <w:tcPr>
            <w:tcW w:w="1512" w:type="dxa"/>
            <w:shd w:val="clear" w:color="auto" w:fill="FFFFFF"/>
            <w:vAlign w:val="center"/>
          </w:tcPr>
          <w:p w14:paraId="71951D0C"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.185</w:t>
            </w:r>
          </w:p>
        </w:tc>
        <w:tc>
          <w:tcPr>
            <w:tcW w:w="968" w:type="dxa"/>
            <w:shd w:val="clear" w:color="auto" w:fill="FFFFFF"/>
            <w:vAlign w:val="center"/>
          </w:tcPr>
          <w:p w14:paraId="00884502"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1.235</w:t>
            </w:r>
          </w:p>
        </w:tc>
        <w:tc>
          <w:tcPr>
            <w:tcW w:w="559" w:type="dxa"/>
            <w:shd w:val="clear" w:color="auto" w:fill="FFFFFF"/>
            <w:vAlign w:val="center"/>
          </w:tcPr>
          <w:p w14:paraId="06CC0392"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.218</w:t>
            </w:r>
          </w:p>
        </w:tc>
      </w:tr>
      <w:tr w:rsidR="009E11D4" w14:paraId="49127016" w14:textId="77777777">
        <w:trPr>
          <w:cantSplit/>
          <w:trHeight w:val="340"/>
        </w:trPr>
        <w:tc>
          <w:tcPr>
            <w:tcW w:w="1656" w:type="dxa"/>
            <w:shd w:val="clear" w:color="auto" w:fill="FFFFFF"/>
            <w:vAlign w:val="center"/>
          </w:tcPr>
          <w:p w14:paraId="487E361A" w14:textId="77777777" w:rsidR="009E11D4" w:rsidRDefault="00000000">
            <w:pPr>
              <w:ind w:left="0" w:right="60" w:hanging="2"/>
              <w:rPr>
                <w:rFonts w:ascii="Arial" w:eastAsia="Arial" w:hAnsi="Arial" w:cs="Arial"/>
                <w:color w:val="000000"/>
                <w:sz w:val="22"/>
              </w:rPr>
            </w:pPr>
            <w:r>
              <w:rPr>
                <w:rFonts w:ascii="Arial" w:eastAsia="Arial" w:hAnsi="Arial" w:cs="Arial"/>
                <w:color w:val="000000"/>
                <w:sz w:val="22"/>
              </w:rPr>
              <w:t>Review Preparations</w:t>
            </w:r>
          </w:p>
        </w:tc>
        <w:tc>
          <w:tcPr>
            <w:tcW w:w="2347" w:type="dxa"/>
            <w:shd w:val="clear" w:color="auto" w:fill="FFFFFF"/>
            <w:vAlign w:val="center"/>
          </w:tcPr>
          <w:p w14:paraId="2CEE68E6"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-.277</w:t>
            </w:r>
          </w:p>
        </w:tc>
        <w:tc>
          <w:tcPr>
            <w:tcW w:w="1518" w:type="dxa"/>
            <w:shd w:val="clear" w:color="auto" w:fill="FFFFFF"/>
            <w:vAlign w:val="center"/>
          </w:tcPr>
          <w:p w14:paraId="513B1725"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1.370</w:t>
            </w:r>
          </w:p>
        </w:tc>
        <w:tc>
          <w:tcPr>
            <w:tcW w:w="1512" w:type="dxa"/>
            <w:shd w:val="clear" w:color="auto" w:fill="FFFFFF"/>
            <w:vAlign w:val="center"/>
          </w:tcPr>
          <w:p w14:paraId="62F3CD3E"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-.023</w:t>
            </w:r>
          </w:p>
        </w:tc>
        <w:tc>
          <w:tcPr>
            <w:tcW w:w="968" w:type="dxa"/>
            <w:shd w:val="clear" w:color="auto" w:fill="FFFFFF"/>
            <w:vAlign w:val="center"/>
          </w:tcPr>
          <w:p w14:paraId="3E15A575"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-.202</w:t>
            </w:r>
          </w:p>
        </w:tc>
        <w:tc>
          <w:tcPr>
            <w:tcW w:w="559" w:type="dxa"/>
            <w:shd w:val="clear" w:color="auto" w:fill="FFFFFF"/>
            <w:vAlign w:val="center"/>
          </w:tcPr>
          <w:p w14:paraId="5F793C7D"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.840</w:t>
            </w:r>
          </w:p>
        </w:tc>
      </w:tr>
      <w:tr w:rsidR="009E11D4" w14:paraId="60450E79" w14:textId="77777777">
        <w:trPr>
          <w:cantSplit/>
          <w:trHeight w:val="340"/>
        </w:trPr>
        <w:tc>
          <w:tcPr>
            <w:tcW w:w="8560" w:type="dxa"/>
            <w:gridSpan w:val="6"/>
            <w:shd w:val="clear" w:color="auto" w:fill="FFFFFF"/>
            <w:vAlign w:val="center"/>
          </w:tcPr>
          <w:p w14:paraId="6362CC50" w14:textId="77777777" w:rsidR="009E11D4" w:rsidRDefault="00000000">
            <w:pPr>
              <w:ind w:left="0" w:right="60" w:hanging="2"/>
              <w:jc w:val="center"/>
              <w:rPr>
                <w:rFonts w:ascii="Arial" w:eastAsia="Arial" w:hAnsi="Arial" w:cs="Arial"/>
                <w:color w:val="000000"/>
                <w:sz w:val="22"/>
              </w:rPr>
            </w:pPr>
            <w:r>
              <w:rPr>
                <w:rFonts w:ascii="Arial" w:eastAsia="Arial" w:hAnsi="Arial" w:cs="Arial"/>
                <w:color w:val="000000"/>
                <w:sz w:val="22"/>
              </w:rPr>
              <w:t>R = .214     R</w:t>
            </w:r>
            <w:r>
              <w:rPr>
                <w:rFonts w:ascii="Arial" w:eastAsia="Arial" w:hAnsi="Arial" w:cs="Arial"/>
                <w:color w:val="000000"/>
                <w:sz w:val="22"/>
                <w:vertAlign w:val="superscript"/>
              </w:rPr>
              <w:t>2</w:t>
            </w:r>
            <w:r>
              <w:rPr>
                <w:rFonts w:ascii="Arial" w:eastAsia="Arial" w:hAnsi="Arial" w:cs="Arial"/>
                <w:color w:val="000000"/>
                <w:sz w:val="22"/>
              </w:rPr>
              <w:t xml:space="preserve"> = .046     </w:t>
            </w:r>
            <w:proofErr w:type="gramStart"/>
            <w:r>
              <w:rPr>
                <w:rFonts w:ascii="Arial" w:eastAsia="Arial" w:hAnsi="Arial" w:cs="Arial"/>
                <w:color w:val="000000"/>
                <w:sz w:val="22"/>
              </w:rPr>
              <w:t>F</w:t>
            </w:r>
            <w:r>
              <w:rPr>
                <w:rFonts w:ascii="Arial" w:eastAsia="Arial" w:hAnsi="Arial" w:cs="Arial"/>
                <w:color w:val="000000"/>
                <w:sz w:val="22"/>
                <w:vertAlign w:val="subscript"/>
              </w:rPr>
              <w:t>(</w:t>
            </w:r>
            <w:proofErr w:type="gramEnd"/>
            <w:r>
              <w:rPr>
                <w:rFonts w:ascii="Arial" w:eastAsia="Arial" w:hAnsi="Arial" w:cs="Arial"/>
                <w:color w:val="000000"/>
                <w:sz w:val="22"/>
                <w:vertAlign w:val="subscript"/>
              </w:rPr>
              <w:t>4,189)</w:t>
            </w:r>
            <w:r>
              <w:rPr>
                <w:rFonts w:ascii="Arial" w:eastAsia="Arial" w:hAnsi="Arial" w:cs="Arial"/>
                <w:color w:val="000000"/>
                <w:sz w:val="22"/>
              </w:rPr>
              <w:t xml:space="preserve"> = 2.267      p = .064</w:t>
            </w:r>
          </w:p>
        </w:tc>
      </w:tr>
    </w:tbl>
    <w:p w14:paraId="544929FF" w14:textId="77777777" w:rsidR="009E11D4" w:rsidRDefault="00000000">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As shown in the regression analysis table above, there is a statistically significant linear relationship between the dependent and the independent variables (R=.214); however, it is a weaker linear relationship which is not an indicator of a good level of prediction. The R2 value of .046 indicates that only 4.6% of the variability of the dependent variable can be explained by the independent variables. Furthermore, the unstandardized coefficients revealed that the various factors are not predictive of the licensure examination rating.</w:t>
      </w:r>
    </w:p>
    <w:bookmarkEnd w:id="1"/>
    <w:p w14:paraId="15DD0703" w14:textId="77777777" w:rsidR="009E11D4" w:rsidRDefault="009E11D4">
      <w:pPr>
        <w:pBdr>
          <w:top w:val="nil"/>
          <w:left w:val="nil"/>
          <w:bottom w:val="nil"/>
          <w:right w:val="nil"/>
          <w:between w:val="nil"/>
        </w:pBdr>
        <w:spacing w:line="240" w:lineRule="auto"/>
        <w:ind w:left="0" w:hanging="2"/>
        <w:jc w:val="both"/>
        <w:rPr>
          <w:rFonts w:ascii="Arial" w:eastAsia="Arial" w:hAnsi="Arial" w:cs="Arial"/>
          <w:color w:val="000000"/>
          <w:sz w:val="22"/>
        </w:rPr>
      </w:pPr>
    </w:p>
    <w:p w14:paraId="63F27882" w14:textId="1B092E45" w:rsidR="009E11D4" w:rsidRPr="00DB6A7D" w:rsidRDefault="00DB6A7D">
      <w:pPr>
        <w:pBdr>
          <w:top w:val="nil"/>
          <w:left w:val="nil"/>
          <w:bottom w:val="nil"/>
          <w:right w:val="nil"/>
          <w:between w:val="nil"/>
        </w:pBdr>
        <w:spacing w:line="240" w:lineRule="auto"/>
        <w:ind w:left="0" w:hanging="2"/>
        <w:jc w:val="both"/>
        <w:rPr>
          <w:rFonts w:ascii="Arial" w:eastAsia="Arial" w:hAnsi="Arial" w:cs="Arial"/>
          <w:b/>
          <w:bCs/>
          <w:color w:val="000000"/>
          <w:sz w:val="22"/>
          <w:highlight w:val="white"/>
        </w:rPr>
      </w:pPr>
      <w:r w:rsidRPr="00DB6A7D">
        <w:rPr>
          <w:rFonts w:ascii="Arial" w:eastAsia="Arial" w:hAnsi="Arial" w:cs="Arial"/>
          <w:b/>
          <w:bCs/>
          <w:color w:val="000000"/>
          <w:sz w:val="22"/>
          <w:highlight w:val="white"/>
        </w:rPr>
        <w:t>CONCLUSION</w:t>
      </w:r>
    </w:p>
    <w:p w14:paraId="349F9E35" w14:textId="77777777" w:rsidR="00DB6A7D" w:rsidRDefault="00DB6A7D">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48E5D626" w14:textId="77777777" w:rsidR="00DB6A7D" w:rsidRP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r w:rsidRPr="00DB6A7D">
        <w:rPr>
          <w:rFonts w:ascii="Arial" w:eastAsia="Arial" w:hAnsi="Arial" w:cs="Arial"/>
          <w:color w:val="000000"/>
          <w:sz w:val="22"/>
        </w:rPr>
        <w:t>Based on the findings of the study, most Higher Education Institutions offering Bachelor of Science in Electronics Engineering in Region II obtained licensure examination passing rates below the national passing rate from 2015 to 2019. Despite this, the implementation of the Electronics Engineering program was generally assessed by the respondents to be implemented to a great extent across all major areas, particularly in curriculum, review preparation, faculty qualifications, and teaching strategies.</w:t>
      </w:r>
    </w:p>
    <w:p w14:paraId="34555269" w14:textId="77777777" w:rsidR="00DB6A7D" w:rsidRPr="00DB6A7D" w:rsidRDefault="00DB6A7D" w:rsidP="00DB6A7D">
      <w:pPr>
        <w:pBdr>
          <w:top w:val="nil"/>
          <w:left w:val="nil"/>
          <w:bottom w:val="nil"/>
          <w:right w:val="nil"/>
          <w:between w:val="nil"/>
        </w:pBdr>
        <w:spacing w:line="240" w:lineRule="auto"/>
        <w:ind w:leftChars="0" w:left="0" w:firstLineChars="0" w:firstLine="720"/>
        <w:jc w:val="both"/>
        <w:rPr>
          <w:rFonts w:ascii="Arial" w:eastAsia="Arial" w:hAnsi="Arial" w:cs="Arial"/>
          <w:color w:val="000000"/>
          <w:sz w:val="22"/>
        </w:rPr>
      </w:pPr>
      <w:r w:rsidRPr="00DB6A7D">
        <w:rPr>
          <w:rFonts w:ascii="Arial" w:eastAsia="Arial" w:hAnsi="Arial" w:cs="Arial"/>
          <w:color w:val="000000"/>
          <w:sz w:val="22"/>
        </w:rPr>
        <w:t>The study revealed that faculty competence, teaching strategies, curriculum implementation, and review preparation were significantly associated with licensure examination performance. These findings suggest that the quality of instruction and academic preparation provided by institutions contribute to graduates' success in the licensure examination. However, the regression analysis showed that these factors did not significantly predict board examination ratings when considered simultaneously. This indicates that licensure examination performance is a multifaceted phenomenon influenced by other variables beyond those examined in the study.</w:t>
      </w:r>
    </w:p>
    <w:p w14:paraId="118B64F9" w14:textId="4847617B"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sidRPr="00DB6A7D">
        <w:rPr>
          <w:rFonts w:ascii="Arial" w:eastAsia="Arial" w:hAnsi="Arial" w:cs="Arial"/>
          <w:color w:val="000000"/>
          <w:sz w:val="22"/>
        </w:rPr>
        <w:t xml:space="preserve">Furthermore, the findings imply that while institutional factors play an important role in preparing students for the licensure examination, individual learner characteristics, academic preparedness, motivation, study habits, and other contextual factors may have a stronger influence on examination outcomes. Therefore, improving board examination </w:t>
      </w:r>
      <w:r w:rsidRPr="00DB6A7D">
        <w:rPr>
          <w:rFonts w:ascii="Arial" w:eastAsia="Arial" w:hAnsi="Arial" w:cs="Arial"/>
          <w:color w:val="000000"/>
          <w:sz w:val="22"/>
        </w:rPr>
        <w:lastRenderedPageBreak/>
        <w:t>performance requires a holistic approach that addresses both institutional practices and student-related factors.</w:t>
      </w:r>
    </w:p>
    <w:p w14:paraId="4761AC61" w14:textId="77777777"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7F35E162" w14:textId="3E3DFA72"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r>
        <w:rPr>
          <w:rFonts w:ascii="Arial" w:eastAsia="Arial" w:hAnsi="Arial" w:cs="Arial"/>
          <w:color w:val="000000"/>
          <w:sz w:val="22"/>
        </w:rPr>
        <w:t>RECOMMENDATIONS</w:t>
      </w:r>
    </w:p>
    <w:p w14:paraId="0EBF745D" w14:textId="77777777"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rPr>
      </w:pPr>
    </w:p>
    <w:p w14:paraId="188AA1FB" w14:textId="77777777" w:rsidR="00DB6A7D" w:rsidRDefault="00DB6A7D" w:rsidP="00DB6A7D">
      <w:pPr>
        <w:pBdr>
          <w:top w:val="nil"/>
          <w:left w:val="nil"/>
          <w:bottom w:val="nil"/>
          <w:right w:val="nil"/>
          <w:between w:val="nil"/>
        </w:pBdr>
        <w:spacing w:line="240" w:lineRule="auto"/>
        <w:ind w:left="0" w:hanging="2"/>
        <w:jc w:val="both"/>
        <w:rPr>
          <w:rFonts w:ascii="Arial" w:eastAsia="Arial" w:hAnsi="Arial" w:cs="Arial"/>
          <w:color w:val="000000"/>
          <w:sz w:val="22"/>
          <w:highlight w:val="white"/>
        </w:rPr>
      </w:pPr>
    </w:p>
    <w:p w14:paraId="6805F754" w14:textId="77777777" w:rsidR="009E11D4" w:rsidRDefault="00000000">
      <w:pPr>
        <w:pBdr>
          <w:top w:val="nil"/>
          <w:left w:val="nil"/>
          <w:bottom w:val="nil"/>
          <w:right w:val="nil"/>
          <w:between w:val="nil"/>
        </w:pBdr>
        <w:spacing w:line="240" w:lineRule="auto"/>
        <w:ind w:left="0" w:hanging="2"/>
        <w:rPr>
          <w:rFonts w:ascii="Arial" w:eastAsia="Arial" w:hAnsi="Arial" w:cs="Arial"/>
          <w:color w:val="000000"/>
          <w:sz w:val="22"/>
          <w:highlight w:val="white"/>
        </w:rPr>
      </w:pPr>
      <w:r>
        <w:rPr>
          <w:rFonts w:ascii="Arial" w:eastAsia="Arial" w:hAnsi="Arial" w:cs="Arial"/>
          <w:b/>
          <w:color w:val="000000"/>
          <w:sz w:val="22"/>
          <w:highlight w:val="white"/>
        </w:rPr>
        <w:t>REFERENCES</w:t>
      </w:r>
    </w:p>
    <w:p w14:paraId="47EE4521" w14:textId="77777777" w:rsidR="009E11D4" w:rsidRDefault="009E11D4">
      <w:pPr>
        <w:pBdr>
          <w:top w:val="nil"/>
          <w:left w:val="nil"/>
          <w:bottom w:val="nil"/>
          <w:right w:val="nil"/>
          <w:between w:val="nil"/>
        </w:pBdr>
        <w:spacing w:line="240" w:lineRule="auto"/>
        <w:ind w:left="0" w:hanging="2"/>
        <w:rPr>
          <w:rFonts w:ascii="Arial" w:eastAsia="Arial" w:hAnsi="Arial" w:cs="Arial"/>
          <w:color w:val="000000"/>
          <w:sz w:val="22"/>
          <w:highlight w:val="white"/>
        </w:rPr>
      </w:pPr>
    </w:p>
    <w:p w14:paraId="1ADEE73F"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Abante, M. E. R., </w:t>
      </w:r>
      <w:proofErr w:type="spellStart"/>
      <w:r>
        <w:rPr>
          <w:rFonts w:ascii="Arial" w:eastAsia="Arial" w:hAnsi="Arial" w:cs="Arial"/>
          <w:sz w:val="22"/>
        </w:rPr>
        <w:t>Almendral</w:t>
      </w:r>
      <w:proofErr w:type="spellEnd"/>
      <w:r>
        <w:rPr>
          <w:rFonts w:ascii="Arial" w:eastAsia="Arial" w:hAnsi="Arial" w:cs="Arial"/>
          <w:sz w:val="22"/>
        </w:rPr>
        <w:t xml:space="preserve">, B. C., Manansala, J. R. E., &amp; </w:t>
      </w:r>
      <w:proofErr w:type="spellStart"/>
      <w:r>
        <w:rPr>
          <w:rFonts w:ascii="Arial" w:eastAsia="Arial" w:hAnsi="Arial" w:cs="Arial"/>
          <w:sz w:val="22"/>
        </w:rPr>
        <w:t>Mañibo</w:t>
      </w:r>
      <w:proofErr w:type="spellEnd"/>
      <w:r>
        <w:rPr>
          <w:rFonts w:ascii="Arial" w:eastAsia="Arial" w:hAnsi="Arial" w:cs="Arial"/>
          <w:sz w:val="22"/>
        </w:rPr>
        <w:t>, J. (2014). Learning styles and factors affecting the learning of general engineering students. International Journal of Academic Research in Progressive Education and Development, 3(1), 16-27.</w:t>
      </w:r>
    </w:p>
    <w:p w14:paraId="745A10B5" w14:textId="77777777" w:rsidR="009E11D4" w:rsidRDefault="009E11D4" w:rsidP="00DB6A7D">
      <w:pPr>
        <w:ind w:left="790" w:hangingChars="360" w:hanging="792"/>
        <w:jc w:val="both"/>
        <w:rPr>
          <w:rFonts w:ascii="Arial" w:eastAsia="Arial" w:hAnsi="Arial" w:cs="Arial"/>
          <w:sz w:val="22"/>
        </w:rPr>
      </w:pPr>
    </w:p>
    <w:p w14:paraId="3E3FF221"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Abanador</w:t>
      </w:r>
      <w:proofErr w:type="spellEnd"/>
      <w:r>
        <w:rPr>
          <w:rFonts w:ascii="Arial" w:eastAsia="Arial" w:hAnsi="Arial" w:cs="Arial"/>
          <w:sz w:val="22"/>
        </w:rPr>
        <w:t xml:space="preserve">, J. R., </w:t>
      </w:r>
      <w:proofErr w:type="spellStart"/>
      <w:r>
        <w:rPr>
          <w:rFonts w:ascii="Arial" w:eastAsia="Arial" w:hAnsi="Arial" w:cs="Arial"/>
          <w:sz w:val="22"/>
        </w:rPr>
        <w:t>Buesa</w:t>
      </w:r>
      <w:proofErr w:type="spellEnd"/>
      <w:r>
        <w:rPr>
          <w:rFonts w:ascii="Arial" w:eastAsia="Arial" w:hAnsi="Arial" w:cs="Arial"/>
          <w:sz w:val="22"/>
        </w:rPr>
        <w:t xml:space="preserve">, G. C. D., Remo, G. M. L., &amp; </w:t>
      </w:r>
      <w:proofErr w:type="spellStart"/>
      <w:r>
        <w:rPr>
          <w:rFonts w:ascii="Arial" w:eastAsia="Arial" w:hAnsi="Arial" w:cs="Arial"/>
          <w:sz w:val="22"/>
        </w:rPr>
        <w:t>Manibo</w:t>
      </w:r>
      <w:proofErr w:type="spellEnd"/>
      <w:r>
        <w:rPr>
          <w:rFonts w:ascii="Arial" w:eastAsia="Arial" w:hAnsi="Arial" w:cs="Arial"/>
          <w:sz w:val="22"/>
        </w:rPr>
        <w:t>, J. (2014). Teaching methods and learning preferences in the engineering department of an Asian university. International Journal of Academic Research in Progressive Education and Development, 3(1), 1-15.</w:t>
      </w:r>
    </w:p>
    <w:p w14:paraId="3638B7ED" w14:textId="77777777" w:rsidR="009E11D4" w:rsidRDefault="009E11D4" w:rsidP="00DB6A7D">
      <w:pPr>
        <w:ind w:left="790" w:hangingChars="360" w:hanging="792"/>
        <w:jc w:val="both"/>
        <w:rPr>
          <w:rFonts w:ascii="Arial" w:eastAsia="Arial" w:hAnsi="Arial" w:cs="Arial"/>
          <w:sz w:val="22"/>
        </w:rPr>
      </w:pPr>
    </w:p>
    <w:p w14:paraId="38F4D411"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Aguado, C. L., </w:t>
      </w:r>
      <w:proofErr w:type="spellStart"/>
      <w:r>
        <w:rPr>
          <w:rFonts w:ascii="Arial" w:eastAsia="Arial" w:hAnsi="Arial" w:cs="Arial"/>
          <w:sz w:val="22"/>
        </w:rPr>
        <w:t>Laguador</w:t>
      </w:r>
      <w:proofErr w:type="spellEnd"/>
      <w:r>
        <w:rPr>
          <w:rFonts w:ascii="Arial" w:eastAsia="Arial" w:hAnsi="Arial" w:cs="Arial"/>
          <w:sz w:val="22"/>
        </w:rPr>
        <w:t xml:space="preserve">, J. M., &amp; </w:t>
      </w:r>
      <w:proofErr w:type="spellStart"/>
      <w:r>
        <w:rPr>
          <w:rFonts w:ascii="Arial" w:eastAsia="Arial" w:hAnsi="Arial" w:cs="Arial"/>
          <w:sz w:val="22"/>
        </w:rPr>
        <w:t>Deligero</w:t>
      </w:r>
      <w:proofErr w:type="spellEnd"/>
      <w:r>
        <w:rPr>
          <w:rFonts w:ascii="Arial" w:eastAsia="Arial" w:hAnsi="Arial" w:cs="Arial"/>
          <w:sz w:val="22"/>
        </w:rPr>
        <w:t>, J. C. L. (2015). Factors affecting the choice of school and students' level of interest towards the Maritime Program. Asian Social Science, 11(21), 231.</w:t>
      </w:r>
    </w:p>
    <w:p w14:paraId="23786945"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ab/>
      </w:r>
    </w:p>
    <w:p w14:paraId="5D6B2E6B"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Aguilar, J.P.D. (2020). Addressing the issue of very low results in the ECE board exam in the Philippines. Journal of Education and Practice, 11(5), 137-145. </w:t>
      </w:r>
      <w:proofErr w:type="spellStart"/>
      <w:r>
        <w:rPr>
          <w:rFonts w:ascii="Arial" w:eastAsia="Arial" w:hAnsi="Arial" w:cs="Arial"/>
          <w:sz w:val="22"/>
        </w:rPr>
        <w:t>doi</w:t>
      </w:r>
      <w:proofErr w:type="spellEnd"/>
      <w:r>
        <w:rPr>
          <w:rFonts w:ascii="Arial" w:eastAsia="Arial" w:hAnsi="Arial" w:cs="Arial"/>
          <w:sz w:val="22"/>
        </w:rPr>
        <w:t>: 10.7176/JEP/11-5-14</w:t>
      </w:r>
    </w:p>
    <w:p w14:paraId="73E09B1B" w14:textId="77777777" w:rsidR="009E11D4" w:rsidRDefault="009E11D4" w:rsidP="00DB6A7D">
      <w:pPr>
        <w:ind w:left="790" w:hangingChars="360" w:hanging="792"/>
        <w:jc w:val="both"/>
        <w:rPr>
          <w:rFonts w:ascii="Arial" w:eastAsia="Arial" w:hAnsi="Arial" w:cs="Arial"/>
          <w:sz w:val="22"/>
        </w:rPr>
      </w:pPr>
    </w:p>
    <w:p w14:paraId="0AAB4BA7"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Al Abduwani, T. (2017). Global challenges in higher education: A gulf perspective. Asian Journal of Social Sciences, Arts and Humanities, 5(1), 46-53.</w:t>
      </w:r>
    </w:p>
    <w:p w14:paraId="68820E45"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ab/>
      </w:r>
    </w:p>
    <w:p w14:paraId="606A6DA4"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Allaga, S. P. W. (2013). Academic predictors of the licensure examination for teachers’ performance of </w:t>
      </w:r>
      <w:proofErr w:type="spellStart"/>
      <w:r>
        <w:rPr>
          <w:rFonts w:ascii="Arial" w:eastAsia="Arial" w:hAnsi="Arial" w:cs="Arial"/>
          <w:sz w:val="22"/>
        </w:rPr>
        <w:t>thw</w:t>
      </w:r>
      <w:proofErr w:type="spellEnd"/>
      <w:r>
        <w:rPr>
          <w:rFonts w:ascii="Arial" w:eastAsia="Arial" w:hAnsi="Arial" w:cs="Arial"/>
          <w:sz w:val="22"/>
        </w:rPr>
        <w:t xml:space="preserve"> Rizal </w:t>
      </w:r>
      <w:proofErr w:type="spellStart"/>
      <w:r>
        <w:rPr>
          <w:rFonts w:ascii="Arial" w:eastAsia="Arial" w:hAnsi="Arial" w:cs="Arial"/>
          <w:sz w:val="22"/>
        </w:rPr>
        <w:t>Techological</w:t>
      </w:r>
      <w:proofErr w:type="spellEnd"/>
      <w:r>
        <w:rPr>
          <w:rFonts w:ascii="Arial" w:eastAsia="Arial" w:hAnsi="Arial" w:cs="Arial"/>
          <w:sz w:val="22"/>
        </w:rPr>
        <w:t xml:space="preserve"> University teacher education graduates. International Journal of Educational Research and Technology, 4(4), 31-40.</w:t>
      </w:r>
    </w:p>
    <w:p w14:paraId="6DFD2117" w14:textId="77777777" w:rsidR="009E11D4" w:rsidRDefault="009E11D4" w:rsidP="00DB6A7D">
      <w:pPr>
        <w:ind w:left="790" w:hangingChars="360" w:hanging="792"/>
        <w:jc w:val="both"/>
        <w:rPr>
          <w:rFonts w:ascii="Arial" w:eastAsia="Arial" w:hAnsi="Arial" w:cs="Arial"/>
          <w:sz w:val="22"/>
        </w:rPr>
      </w:pPr>
    </w:p>
    <w:p w14:paraId="22EB5A81"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Amanonce</w:t>
      </w:r>
      <w:proofErr w:type="spellEnd"/>
      <w:r>
        <w:rPr>
          <w:rFonts w:ascii="Arial" w:eastAsia="Arial" w:hAnsi="Arial" w:cs="Arial"/>
          <w:sz w:val="22"/>
        </w:rPr>
        <w:t>, J. C. T., &amp; Maramag, A. M. (2020). Licensure Examination Performance and Academic Achievement of Teacher Education Graduates. International Journal of Evaluation and Research in Education, 9(3), 510-516.</w:t>
      </w:r>
    </w:p>
    <w:p w14:paraId="39FBD6F6" w14:textId="77777777" w:rsidR="009E11D4" w:rsidRDefault="009E11D4" w:rsidP="00DB6A7D">
      <w:pPr>
        <w:ind w:left="790" w:hangingChars="360" w:hanging="792"/>
        <w:jc w:val="both"/>
        <w:rPr>
          <w:rFonts w:ascii="Arial" w:eastAsia="Arial" w:hAnsi="Arial" w:cs="Arial"/>
          <w:sz w:val="22"/>
        </w:rPr>
      </w:pPr>
    </w:p>
    <w:p w14:paraId="0D727BE1"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Balba, N., (2019), “Graduate Tracer Study for Electronics Engineering Program (2016-2018), LPU-Laguna Journal of Multidisciplinary Research Vol. 3 No. 3 October 2019.</w:t>
      </w:r>
    </w:p>
    <w:p w14:paraId="7C07186A" w14:textId="77777777" w:rsidR="009E11D4" w:rsidRDefault="009E11D4" w:rsidP="00DB6A7D">
      <w:pPr>
        <w:ind w:left="790" w:hangingChars="360" w:hanging="792"/>
        <w:jc w:val="both"/>
        <w:rPr>
          <w:rFonts w:ascii="Arial" w:eastAsia="Arial" w:hAnsi="Arial" w:cs="Arial"/>
          <w:sz w:val="22"/>
        </w:rPr>
      </w:pPr>
    </w:p>
    <w:p w14:paraId="374084C2"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Banluta</w:t>
      </w:r>
      <w:proofErr w:type="spellEnd"/>
      <w:r>
        <w:rPr>
          <w:rFonts w:ascii="Arial" w:eastAsia="Arial" w:hAnsi="Arial" w:cs="Arial"/>
          <w:sz w:val="22"/>
        </w:rPr>
        <w:t xml:space="preserve">, J. (2013). Relationship of the Academic Rating and Board Examination Performance of the Electronic Engineering </w:t>
      </w:r>
      <w:proofErr w:type="gramStart"/>
      <w:r>
        <w:rPr>
          <w:rFonts w:ascii="Arial" w:eastAsia="Arial" w:hAnsi="Arial" w:cs="Arial"/>
          <w:sz w:val="22"/>
        </w:rPr>
        <w:t>Graduates.[</w:t>
      </w:r>
      <w:proofErr w:type="gramEnd"/>
      <w:r>
        <w:rPr>
          <w:rFonts w:ascii="Arial" w:eastAsia="Arial" w:hAnsi="Arial" w:cs="Arial"/>
          <w:sz w:val="22"/>
        </w:rPr>
        <w:t>Cited 2015 March 20].</w:t>
      </w:r>
    </w:p>
    <w:p w14:paraId="4131CFAF" w14:textId="77777777" w:rsidR="009E11D4" w:rsidRDefault="009E11D4" w:rsidP="00DB6A7D">
      <w:pPr>
        <w:ind w:left="790" w:hangingChars="360" w:hanging="792"/>
        <w:jc w:val="both"/>
        <w:rPr>
          <w:rFonts w:ascii="Arial" w:eastAsia="Arial" w:hAnsi="Arial" w:cs="Arial"/>
          <w:sz w:val="22"/>
        </w:rPr>
      </w:pPr>
    </w:p>
    <w:p w14:paraId="2EF931CF"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Bongalosa</w:t>
      </w:r>
      <w:proofErr w:type="spellEnd"/>
      <w:r>
        <w:rPr>
          <w:rFonts w:ascii="Arial" w:eastAsia="Arial" w:hAnsi="Arial" w:cs="Arial"/>
          <w:sz w:val="22"/>
        </w:rPr>
        <w:t xml:space="preserve">, C. G., </w:t>
      </w:r>
      <w:proofErr w:type="spellStart"/>
      <w:r>
        <w:rPr>
          <w:rFonts w:ascii="Arial" w:eastAsia="Arial" w:hAnsi="Arial" w:cs="Arial"/>
          <w:sz w:val="22"/>
        </w:rPr>
        <w:t>Formanes</w:t>
      </w:r>
      <w:proofErr w:type="spellEnd"/>
      <w:r>
        <w:rPr>
          <w:rFonts w:ascii="Arial" w:eastAsia="Arial" w:hAnsi="Arial" w:cs="Arial"/>
          <w:sz w:val="22"/>
        </w:rPr>
        <w:t xml:space="preserve">, M. F., &amp; </w:t>
      </w:r>
      <w:proofErr w:type="spellStart"/>
      <w:r>
        <w:rPr>
          <w:rFonts w:ascii="Arial" w:eastAsia="Arial" w:hAnsi="Arial" w:cs="Arial"/>
          <w:sz w:val="22"/>
        </w:rPr>
        <w:t>Gabito</w:t>
      </w:r>
      <w:proofErr w:type="spellEnd"/>
      <w:r>
        <w:rPr>
          <w:rFonts w:ascii="Arial" w:eastAsia="Arial" w:hAnsi="Arial" w:cs="Arial"/>
          <w:sz w:val="22"/>
        </w:rPr>
        <w:t>, R. B. (2013). Academic performance as determinant in passing the licensure examination for teachers (LET). Interpretation, 2014, 2015.</w:t>
      </w:r>
    </w:p>
    <w:p w14:paraId="28F8A5BF" w14:textId="77777777" w:rsidR="009E11D4" w:rsidRDefault="009E11D4" w:rsidP="00DB6A7D">
      <w:pPr>
        <w:ind w:left="790" w:hangingChars="360" w:hanging="792"/>
        <w:jc w:val="both"/>
        <w:rPr>
          <w:rFonts w:ascii="Arial" w:eastAsia="Arial" w:hAnsi="Arial" w:cs="Arial"/>
          <w:sz w:val="22"/>
        </w:rPr>
      </w:pPr>
    </w:p>
    <w:p w14:paraId="65FB582B"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lastRenderedPageBreak/>
        <w:t>Briones, M., Romero, V., (2020), “Examining the personal factors affecting licensure Examination preparation”, Journal of English education and linguistics, E-</w:t>
      </w:r>
      <w:proofErr w:type="gramStart"/>
      <w:r>
        <w:rPr>
          <w:rFonts w:ascii="Arial" w:eastAsia="Arial" w:hAnsi="Arial" w:cs="Arial"/>
          <w:sz w:val="22"/>
        </w:rPr>
        <w:t>ISNN :</w:t>
      </w:r>
      <w:proofErr w:type="gramEnd"/>
      <w:r>
        <w:rPr>
          <w:rFonts w:ascii="Arial" w:eastAsia="Arial" w:hAnsi="Arial" w:cs="Arial"/>
          <w:sz w:val="22"/>
        </w:rPr>
        <w:t xml:space="preserve"> 2721-8236, Vol. </w:t>
      </w:r>
      <w:proofErr w:type="gramStart"/>
      <w:r>
        <w:rPr>
          <w:rFonts w:ascii="Arial" w:eastAsia="Arial" w:hAnsi="Arial" w:cs="Arial"/>
          <w:sz w:val="22"/>
        </w:rPr>
        <w:t>1 .</w:t>
      </w:r>
      <w:proofErr w:type="gramEnd"/>
      <w:r>
        <w:rPr>
          <w:rFonts w:ascii="Arial" w:eastAsia="Arial" w:hAnsi="Arial" w:cs="Arial"/>
          <w:sz w:val="22"/>
        </w:rPr>
        <w:t>No. 2.</w:t>
      </w:r>
    </w:p>
    <w:p w14:paraId="767243E8" w14:textId="77777777" w:rsidR="009E11D4" w:rsidRDefault="009E11D4" w:rsidP="00DB6A7D">
      <w:pPr>
        <w:ind w:left="790" w:hangingChars="360" w:hanging="792"/>
        <w:jc w:val="both"/>
        <w:rPr>
          <w:rFonts w:ascii="Arial" w:eastAsia="Arial" w:hAnsi="Arial" w:cs="Arial"/>
          <w:sz w:val="22"/>
        </w:rPr>
      </w:pPr>
    </w:p>
    <w:p w14:paraId="18A416C4"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Cabaces</w:t>
      </w:r>
      <w:proofErr w:type="spellEnd"/>
      <w:r>
        <w:rPr>
          <w:rFonts w:ascii="Arial" w:eastAsia="Arial" w:hAnsi="Arial" w:cs="Arial"/>
          <w:sz w:val="22"/>
        </w:rPr>
        <w:t xml:space="preserve">, D., (2018), “Engineering Education </w:t>
      </w:r>
      <w:proofErr w:type="gramStart"/>
      <w:r>
        <w:rPr>
          <w:rFonts w:ascii="Arial" w:eastAsia="Arial" w:hAnsi="Arial" w:cs="Arial"/>
          <w:sz w:val="22"/>
        </w:rPr>
        <w:t>In</w:t>
      </w:r>
      <w:proofErr w:type="gramEnd"/>
      <w:r>
        <w:rPr>
          <w:rFonts w:ascii="Arial" w:eastAsia="Arial" w:hAnsi="Arial" w:cs="Arial"/>
          <w:sz w:val="22"/>
        </w:rPr>
        <w:t xml:space="preserve"> </w:t>
      </w:r>
      <w:proofErr w:type="gramStart"/>
      <w:r>
        <w:rPr>
          <w:rFonts w:ascii="Arial" w:eastAsia="Arial" w:hAnsi="Arial" w:cs="Arial"/>
          <w:sz w:val="22"/>
        </w:rPr>
        <w:t>The</w:t>
      </w:r>
      <w:proofErr w:type="gramEnd"/>
      <w:r>
        <w:rPr>
          <w:rFonts w:ascii="Arial" w:eastAsia="Arial" w:hAnsi="Arial" w:cs="Arial"/>
          <w:sz w:val="22"/>
        </w:rPr>
        <w:t xml:space="preserve"> Philippines”, International Journal of Advanced Research and Publications ISSN: 2456-9992 Volume 2 Issue 12</w:t>
      </w:r>
    </w:p>
    <w:p w14:paraId="6A0A1DDD" w14:textId="77777777" w:rsidR="009E11D4" w:rsidRDefault="009E11D4" w:rsidP="00DB6A7D">
      <w:pPr>
        <w:ind w:left="790" w:hangingChars="360" w:hanging="792"/>
        <w:jc w:val="both"/>
        <w:rPr>
          <w:rFonts w:ascii="Arial" w:eastAsia="Arial" w:hAnsi="Arial" w:cs="Arial"/>
          <w:sz w:val="22"/>
        </w:rPr>
      </w:pPr>
    </w:p>
    <w:p w14:paraId="21289E20"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Canini, N. D., &amp; Dalis, I. M. (2016). Extent of Implementation and influence of outcomes-based education to civil engineering students in Misamis university, Philippines. J Multidis Stud, 5(1), 102-124.</w:t>
      </w:r>
    </w:p>
    <w:p w14:paraId="2E46E840" w14:textId="77777777" w:rsidR="009E11D4" w:rsidRDefault="009E11D4" w:rsidP="00DB6A7D">
      <w:pPr>
        <w:ind w:left="790" w:hangingChars="360" w:hanging="792"/>
        <w:jc w:val="both"/>
        <w:rPr>
          <w:rFonts w:ascii="Arial" w:eastAsia="Arial" w:hAnsi="Arial" w:cs="Arial"/>
          <w:sz w:val="22"/>
        </w:rPr>
      </w:pPr>
    </w:p>
    <w:p w14:paraId="7148A2AF"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Castillo, R. C. (2014). A paradigm shift to outcomes-based higher education: policies, principles and preparations. International Journal of Sciences: Basic and Applied Research, 14(1), 174-186.</w:t>
      </w:r>
    </w:p>
    <w:p w14:paraId="0A95FFB3" w14:textId="77777777" w:rsidR="009E11D4" w:rsidRDefault="009E11D4" w:rsidP="00DB6A7D">
      <w:pPr>
        <w:ind w:left="790" w:hangingChars="360" w:hanging="792"/>
        <w:jc w:val="both"/>
        <w:rPr>
          <w:rFonts w:ascii="Arial" w:eastAsia="Arial" w:hAnsi="Arial" w:cs="Arial"/>
          <w:sz w:val="22"/>
        </w:rPr>
      </w:pPr>
    </w:p>
    <w:p w14:paraId="377F2DB3"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Cerico</w:t>
      </w:r>
      <w:proofErr w:type="spellEnd"/>
      <w:r>
        <w:rPr>
          <w:rFonts w:ascii="Arial" w:eastAsia="Arial" w:hAnsi="Arial" w:cs="Arial"/>
          <w:sz w:val="22"/>
        </w:rPr>
        <w:t>-Grate, A. A. (2021). Industry Preparedness of ECE Graduating Students of Columban College on Satellite Communication: Basis for the Improvement of ECE Curriculum. INSTITUTE OF ELECTRONICS ENGINEERS OF THE PHILIPPINES JOURNAL (IECEP), 4(1).</w:t>
      </w:r>
    </w:p>
    <w:p w14:paraId="2509044B" w14:textId="77777777" w:rsidR="009E11D4" w:rsidRDefault="009E11D4" w:rsidP="00DB6A7D">
      <w:pPr>
        <w:ind w:left="790" w:hangingChars="360" w:hanging="792"/>
        <w:jc w:val="both"/>
        <w:rPr>
          <w:rFonts w:ascii="Arial" w:eastAsia="Arial" w:hAnsi="Arial" w:cs="Arial"/>
          <w:sz w:val="22"/>
        </w:rPr>
      </w:pPr>
    </w:p>
    <w:p w14:paraId="65F68A09"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Crotty, E. A., </w:t>
      </w:r>
      <w:proofErr w:type="spellStart"/>
      <w:r>
        <w:rPr>
          <w:rFonts w:ascii="Arial" w:eastAsia="Arial" w:hAnsi="Arial" w:cs="Arial"/>
          <w:sz w:val="22"/>
        </w:rPr>
        <w:t>Guzey</w:t>
      </w:r>
      <w:proofErr w:type="spellEnd"/>
      <w:r>
        <w:rPr>
          <w:rFonts w:ascii="Arial" w:eastAsia="Arial" w:hAnsi="Arial" w:cs="Arial"/>
          <w:sz w:val="22"/>
        </w:rPr>
        <w:t>, S. S., Roehrig, G. H., Glancy, A. W., Ring-Whalen, E. A., &amp; Moore, T. J. (2017). Approaches to integrating engineering in STEM units and student achievement gains. Journal of Pre-College Engineering Education Research (J-PEER), 7(2), 1.</w:t>
      </w:r>
    </w:p>
    <w:p w14:paraId="3E1A5E7A" w14:textId="77777777" w:rsidR="009E11D4" w:rsidRDefault="009E11D4" w:rsidP="00DB6A7D">
      <w:pPr>
        <w:ind w:left="790" w:hangingChars="360" w:hanging="792"/>
        <w:jc w:val="both"/>
        <w:rPr>
          <w:rFonts w:ascii="Arial" w:eastAsia="Arial" w:hAnsi="Arial" w:cs="Arial"/>
          <w:sz w:val="22"/>
        </w:rPr>
      </w:pPr>
    </w:p>
    <w:p w14:paraId="14A734AE"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CHED Memorandum Order, CMO No. 101, series of 2017.</w:t>
      </w:r>
    </w:p>
    <w:p w14:paraId="6D9CC030" w14:textId="77777777" w:rsidR="009E11D4" w:rsidRDefault="009E11D4" w:rsidP="00DB6A7D">
      <w:pPr>
        <w:ind w:left="790" w:hangingChars="360" w:hanging="792"/>
        <w:jc w:val="both"/>
        <w:rPr>
          <w:rFonts w:ascii="Arial" w:eastAsia="Arial" w:hAnsi="Arial" w:cs="Arial"/>
          <w:sz w:val="22"/>
        </w:rPr>
      </w:pPr>
    </w:p>
    <w:p w14:paraId="3185EE7E"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CHED Memorandum Order, CMO No. 24, series of 2008.</w:t>
      </w:r>
    </w:p>
    <w:p w14:paraId="7A1B37C1" w14:textId="77777777" w:rsidR="009E11D4" w:rsidRDefault="009E11D4" w:rsidP="00DB6A7D">
      <w:pPr>
        <w:ind w:left="790" w:hangingChars="360" w:hanging="792"/>
        <w:jc w:val="both"/>
        <w:rPr>
          <w:rFonts w:ascii="Arial" w:eastAsia="Arial" w:hAnsi="Arial" w:cs="Arial"/>
          <w:sz w:val="22"/>
        </w:rPr>
      </w:pPr>
    </w:p>
    <w:p w14:paraId="0136DB1B"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Dotong</w:t>
      </w:r>
      <w:proofErr w:type="spellEnd"/>
      <w:r>
        <w:rPr>
          <w:rFonts w:ascii="Arial" w:eastAsia="Arial" w:hAnsi="Arial" w:cs="Arial"/>
          <w:sz w:val="22"/>
        </w:rPr>
        <w:t xml:space="preserve">, C. I., Chavez, N. H., Camello, N. C., De Castro, E. L., Prenda, M. T. B., &amp; </w:t>
      </w:r>
      <w:proofErr w:type="spellStart"/>
      <w:r>
        <w:rPr>
          <w:rFonts w:ascii="Arial" w:eastAsia="Arial" w:hAnsi="Arial" w:cs="Arial"/>
          <w:sz w:val="22"/>
        </w:rPr>
        <w:t>Laguador</w:t>
      </w:r>
      <w:proofErr w:type="spellEnd"/>
      <w:r>
        <w:rPr>
          <w:rFonts w:ascii="Arial" w:eastAsia="Arial" w:hAnsi="Arial" w:cs="Arial"/>
          <w:sz w:val="22"/>
        </w:rPr>
        <w:t xml:space="preserve">, J. M. (2016). Tracer study of engineering graduates of one higher education institution in the </w:t>
      </w:r>
      <w:proofErr w:type="spellStart"/>
      <w:r>
        <w:rPr>
          <w:rFonts w:ascii="Arial" w:eastAsia="Arial" w:hAnsi="Arial" w:cs="Arial"/>
          <w:sz w:val="22"/>
        </w:rPr>
        <w:t>philippines</w:t>
      </w:r>
      <w:proofErr w:type="spellEnd"/>
      <w:r>
        <w:rPr>
          <w:rFonts w:ascii="Arial" w:eastAsia="Arial" w:hAnsi="Arial" w:cs="Arial"/>
          <w:sz w:val="22"/>
        </w:rPr>
        <w:t xml:space="preserve"> for academic year 2009-2012. European Journal of Engineering and Technology Vol, 4(4), 26-39.</w:t>
      </w:r>
    </w:p>
    <w:p w14:paraId="3080552E" w14:textId="77777777" w:rsidR="009E11D4" w:rsidRDefault="009E11D4" w:rsidP="00DB6A7D">
      <w:pPr>
        <w:ind w:left="790" w:hangingChars="360" w:hanging="792"/>
        <w:jc w:val="both"/>
        <w:rPr>
          <w:rFonts w:ascii="Arial" w:eastAsia="Arial" w:hAnsi="Arial" w:cs="Arial"/>
          <w:sz w:val="22"/>
        </w:rPr>
      </w:pPr>
    </w:p>
    <w:p w14:paraId="46508C4B"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Dotong</w:t>
      </w:r>
      <w:proofErr w:type="spellEnd"/>
      <w:r>
        <w:rPr>
          <w:rFonts w:ascii="Arial" w:eastAsia="Arial" w:hAnsi="Arial" w:cs="Arial"/>
          <w:sz w:val="22"/>
        </w:rPr>
        <w:t>, C. I., Chavez, N. H., Pamplona, M. A. I., &amp; Camello, N. C. (2017). Employers’ Feedback on Job Performance of Engineering Graduates in one Private Academic Institution in the Philippines. Asia Pacific Journal of Education, Arts and Sciences, 4(1), 34-40.</w:t>
      </w:r>
    </w:p>
    <w:p w14:paraId="1B2302A3" w14:textId="77777777" w:rsidR="009E11D4" w:rsidRDefault="009E11D4" w:rsidP="00DB6A7D">
      <w:pPr>
        <w:ind w:left="790" w:hangingChars="360" w:hanging="792"/>
        <w:jc w:val="both"/>
        <w:rPr>
          <w:rFonts w:ascii="Arial" w:eastAsia="Arial" w:hAnsi="Arial" w:cs="Arial"/>
          <w:sz w:val="22"/>
        </w:rPr>
      </w:pPr>
    </w:p>
    <w:p w14:paraId="2928D9DE"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Felder, R., et.al., (2011), “Engineering Instructional Development: Programs, Best Practices, and Recommendations”, Journal of Engineering Education January 2011, Vol. 100, No. 1, pp. 89–122.</w:t>
      </w:r>
    </w:p>
    <w:p w14:paraId="1F3AEB66" w14:textId="77777777" w:rsidR="009E11D4" w:rsidRDefault="009E11D4" w:rsidP="00DB6A7D">
      <w:pPr>
        <w:ind w:left="790" w:hangingChars="360" w:hanging="792"/>
        <w:jc w:val="both"/>
        <w:rPr>
          <w:rFonts w:ascii="Arial" w:eastAsia="Arial" w:hAnsi="Arial" w:cs="Arial"/>
          <w:sz w:val="22"/>
        </w:rPr>
      </w:pPr>
    </w:p>
    <w:p w14:paraId="3265620D"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Flores, G., May Layson, M., &amp; and Nacion, A. (2019) Web-Based ECE DHVTSU Licensure Examination: Data Analysis Tool, International Journal of Engineering and Advanced Technology (IJEAT) ISSN: 2249 – 8958, Volume-8, Issue-3S.</w:t>
      </w:r>
    </w:p>
    <w:p w14:paraId="766F56D3" w14:textId="77777777" w:rsidR="009E11D4" w:rsidRDefault="009E11D4" w:rsidP="00DB6A7D">
      <w:pPr>
        <w:ind w:left="790" w:hangingChars="360" w:hanging="792"/>
        <w:jc w:val="both"/>
        <w:rPr>
          <w:rFonts w:ascii="Arial" w:eastAsia="Arial" w:hAnsi="Arial" w:cs="Arial"/>
          <w:sz w:val="22"/>
        </w:rPr>
      </w:pPr>
    </w:p>
    <w:p w14:paraId="2862CF25"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Forones</w:t>
      </w:r>
      <w:proofErr w:type="spellEnd"/>
      <w:r>
        <w:rPr>
          <w:rFonts w:ascii="Arial" w:eastAsia="Arial" w:hAnsi="Arial" w:cs="Arial"/>
          <w:sz w:val="22"/>
        </w:rPr>
        <w:t xml:space="preserve"> Jr, A. G. (2012). Engineering Board Examination Results: A Measure of the Predictive Influence of the General Education and Professional Subjects. UIC Research Journal, 18(2), 1-1.</w:t>
      </w:r>
    </w:p>
    <w:p w14:paraId="71B186E5" w14:textId="77777777" w:rsidR="009E11D4" w:rsidRDefault="009E11D4" w:rsidP="00DB6A7D">
      <w:pPr>
        <w:ind w:left="790" w:hangingChars="360" w:hanging="792"/>
        <w:jc w:val="both"/>
        <w:rPr>
          <w:rFonts w:ascii="Arial" w:eastAsia="Arial" w:hAnsi="Arial" w:cs="Arial"/>
          <w:sz w:val="22"/>
        </w:rPr>
      </w:pPr>
    </w:p>
    <w:p w14:paraId="4290F1D5"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highlight w:val="white"/>
        </w:rPr>
        <w:t>Freeman, S., Eddy, S. L., McDonough, M., Smith, M. K., Okoroafor, N., Jordt, H., &amp; Wenderoth, M. P. (2014). Active learning increases student performance in science, engineering, and mathematics. Proceedings of the national academy of sciences, 111(23), 8410-8415.</w:t>
      </w:r>
    </w:p>
    <w:p w14:paraId="4D9A4EC5" w14:textId="77777777" w:rsidR="009E11D4" w:rsidRDefault="009E11D4" w:rsidP="00DB6A7D">
      <w:pPr>
        <w:ind w:left="790" w:hangingChars="360" w:hanging="792"/>
        <w:jc w:val="both"/>
        <w:rPr>
          <w:rFonts w:ascii="Arial" w:eastAsia="Arial" w:hAnsi="Arial" w:cs="Arial"/>
          <w:sz w:val="22"/>
        </w:rPr>
      </w:pPr>
      <w:bookmarkStart w:id="2" w:name="_heading=h.1t3h5sf" w:colFirst="0" w:colLast="0"/>
      <w:bookmarkEnd w:id="2"/>
    </w:p>
    <w:p w14:paraId="33CCC5F7"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Geisinger, B. N., &amp; Raman, D. R. (2013). Why they leave: Understanding student attrition from engineering majors. International Journal of Engineering Education, 29(4), 914-925.</w:t>
      </w:r>
    </w:p>
    <w:p w14:paraId="51D36BDF" w14:textId="77777777" w:rsidR="009E11D4" w:rsidRDefault="009E11D4" w:rsidP="00DB6A7D">
      <w:pPr>
        <w:ind w:left="790" w:hangingChars="360" w:hanging="792"/>
        <w:jc w:val="both"/>
        <w:rPr>
          <w:rFonts w:ascii="Arial" w:eastAsia="Arial" w:hAnsi="Arial" w:cs="Arial"/>
          <w:sz w:val="22"/>
        </w:rPr>
      </w:pPr>
    </w:p>
    <w:p w14:paraId="36DE2D5E"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Godwin, A., Potvin, G., Hazari, Z., &amp; Lock, R. (2016). Identity, critical agency, and engineering: An affective model for predicting engineering as a career choice. Journal of Engineering Education, 105(2), 312-340.</w:t>
      </w:r>
    </w:p>
    <w:p w14:paraId="047F4372" w14:textId="77777777" w:rsidR="009E11D4" w:rsidRDefault="009E11D4" w:rsidP="00DB6A7D">
      <w:pPr>
        <w:ind w:left="790" w:hangingChars="360" w:hanging="792"/>
        <w:jc w:val="both"/>
        <w:rPr>
          <w:rFonts w:ascii="Arial" w:eastAsia="Arial" w:hAnsi="Arial" w:cs="Arial"/>
          <w:sz w:val="22"/>
        </w:rPr>
      </w:pPr>
    </w:p>
    <w:p w14:paraId="214B2D28"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Laguador</w:t>
      </w:r>
      <w:proofErr w:type="spellEnd"/>
      <w:r>
        <w:rPr>
          <w:rFonts w:ascii="Arial" w:eastAsia="Arial" w:hAnsi="Arial" w:cs="Arial"/>
          <w:sz w:val="22"/>
        </w:rPr>
        <w:t>, J. M. (2014). Examination of influence and intention towards Lyceum of the Philippines University and career choice of general engineering students. International Journal of Management Sciences, 3(11), 847-855.</w:t>
      </w:r>
    </w:p>
    <w:p w14:paraId="5C10089C" w14:textId="77777777" w:rsidR="009E11D4" w:rsidRDefault="009E11D4" w:rsidP="00DB6A7D">
      <w:pPr>
        <w:ind w:left="790" w:hangingChars="360" w:hanging="792"/>
        <w:jc w:val="both"/>
        <w:rPr>
          <w:rFonts w:ascii="Arial" w:eastAsia="Arial" w:hAnsi="Arial" w:cs="Arial"/>
          <w:sz w:val="22"/>
        </w:rPr>
      </w:pPr>
    </w:p>
    <w:p w14:paraId="6E272189"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Laguador</w:t>
      </w:r>
      <w:proofErr w:type="spellEnd"/>
      <w:r>
        <w:rPr>
          <w:rFonts w:ascii="Arial" w:eastAsia="Arial" w:hAnsi="Arial" w:cs="Arial"/>
          <w:sz w:val="22"/>
        </w:rPr>
        <w:t xml:space="preserve">, J. M., &amp; Dizon, E. N. C. (2013). Academic achievement in the learning domains and performance in licensure examination for engineers among LPU's mechanical and electronics engineering graduates. International Journal of </w:t>
      </w:r>
      <w:proofErr w:type="spellStart"/>
      <w:r>
        <w:rPr>
          <w:rFonts w:ascii="Arial" w:eastAsia="Arial" w:hAnsi="Arial" w:cs="Arial"/>
          <w:sz w:val="22"/>
        </w:rPr>
        <w:t>Managment</w:t>
      </w:r>
      <w:proofErr w:type="spellEnd"/>
      <w:r>
        <w:rPr>
          <w:rFonts w:ascii="Arial" w:eastAsia="Arial" w:hAnsi="Arial" w:cs="Arial"/>
          <w:sz w:val="22"/>
        </w:rPr>
        <w:t>, IT and Engineering, 3(8), 347-378.</w:t>
      </w:r>
    </w:p>
    <w:p w14:paraId="6E3E6EF1" w14:textId="77777777" w:rsidR="009E11D4" w:rsidRDefault="009E11D4" w:rsidP="00DB6A7D">
      <w:pPr>
        <w:ind w:left="790" w:hangingChars="360" w:hanging="792"/>
        <w:jc w:val="both"/>
        <w:rPr>
          <w:rFonts w:ascii="Arial" w:eastAsia="Arial" w:hAnsi="Arial" w:cs="Arial"/>
          <w:sz w:val="22"/>
        </w:rPr>
      </w:pPr>
    </w:p>
    <w:p w14:paraId="6C32FC39"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Laguador</w:t>
      </w:r>
      <w:proofErr w:type="spellEnd"/>
      <w:r>
        <w:rPr>
          <w:rFonts w:ascii="Arial" w:eastAsia="Arial" w:hAnsi="Arial" w:cs="Arial"/>
          <w:sz w:val="22"/>
        </w:rPr>
        <w:t xml:space="preserve">, J. M., &amp; </w:t>
      </w:r>
      <w:proofErr w:type="spellStart"/>
      <w:r>
        <w:rPr>
          <w:rFonts w:ascii="Arial" w:eastAsia="Arial" w:hAnsi="Arial" w:cs="Arial"/>
          <w:sz w:val="22"/>
        </w:rPr>
        <w:t>Dotong</w:t>
      </w:r>
      <w:proofErr w:type="spellEnd"/>
      <w:r>
        <w:rPr>
          <w:rFonts w:ascii="Arial" w:eastAsia="Arial" w:hAnsi="Arial" w:cs="Arial"/>
          <w:sz w:val="22"/>
        </w:rPr>
        <w:t>, C. I. (2020). Engineering Students' Challenging Learning Experiences and Their Changing Attitude towards Academic Performance. European Journal of Educational Research, 9(3), 1127-1140.</w:t>
      </w:r>
    </w:p>
    <w:p w14:paraId="7B030D77" w14:textId="77777777" w:rsidR="009E11D4" w:rsidRDefault="009E11D4" w:rsidP="00DB6A7D">
      <w:pPr>
        <w:ind w:left="790" w:hangingChars="360" w:hanging="792"/>
        <w:jc w:val="both"/>
        <w:rPr>
          <w:rFonts w:ascii="Arial" w:eastAsia="Arial" w:hAnsi="Arial" w:cs="Arial"/>
          <w:sz w:val="22"/>
        </w:rPr>
      </w:pPr>
    </w:p>
    <w:p w14:paraId="3F288AB0"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Lascano, E. A., &amp; </w:t>
      </w:r>
      <w:proofErr w:type="spellStart"/>
      <w:r>
        <w:rPr>
          <w:rFonts w:ascii="Arial" w:eastAsia="Arial" w:hAnsi="Arial" w:cs="Arial"/>
          <w:sz w:val="22"/>
        </w:rPr>
        <w:t>Bansiong</w:t>
      </w:r>
      <w:proofErr w:type="spellEnd"/>
      <w:r>
        <w:rPr>
          <w:rFonts w:ascii="Arial" w:eastAsia="Arial" w:hAnsi="Arial" w:cs="Arial"/>
          <w:sz w:val="22"/>
        </w:rPr>
        <w:t>, A. J. (2017). Five-Year Licensure Examination Performance of Library and Information Science Graduates. Asian Journal of Contemporary Education, 1(1), 1-9.</w:t>
      </w:r>
    </w:p>
    <w:p w14:paraId="115D508A" w14:textId="77777777" w:rsidR="009E11D4" w:rsidRDefault="009E11D4" w:rsidP="00DB6A7D">
      <w:pPr>
        <w:ind w:left="790" w:hangingChars="360" w:hanging="792"/>
        <w:jc w:val="both"/>
        <w:rPr>
          <w:rFonts w:ascii="Arial" w:eastAsia="Arial" w:hAnsi="Arial" w:cs="Arial"/>
          <w:sz w:val="22"/>
        </w:rPr>
      </w:pPr>
    </w:p>
    <w:p w14:paraId="43E7865D"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Litzinger, T., Lattuca, L. R., </w:t>
      </w:r>
      <w:proofErr w:type="spellStart"/>
      <w:r>
        <w:rPr>
          <w:rFonts w:ascii="Arial" w:eastAsia="Arial" w:hAnsi="Arial" w:cs="Arial"/>
          <w:sz w:val="22"/>
        </w:rPr>
        <w:t>Hadgraft</w:t>
      </w:r>
      <w:proofErr w:type="spellEnd"/>
      <w:r>
        <w:rPr>
          <w:rFonts w:ascii="Arial" w:eastAsia="Arial" w:hAnsi="Arial" w:cs="Arial"/>
          <w:sz w:val="22"/>
        </w:rPr>
        <w:t xml:space="preserve">, R., &amp; </w:t>
      </w:r>
      <w:proofErr w:type="spellStart"/>
      <w:r>
        <w:rPr>
          <w:rFonts w:ascii="Arial" w:eastAsia="Arial" w:hAnsi="Arial" w:cs="Arial"/>
          <w:sz w:val="22"/>
        </w:rPr>
        <w:t>Newstetter</w:t>
      </w:r>
      <w:proofErr w:type="spellEnd"/>
      <w:r>
        <w:rPr>
          <w:rFonts w:ascii="Arial" w:eastAsia="Arial" w:hAnsi="Arial" w:cs="Arial"/>
          <w:sz w:val="22"/>
        </w:rPr>
        <w:t>, W. (2011). Engineering education and the development of expertise. Journal of Engineering Education, 100(1), 123-150.</w:t>
      </w:r>
    </w:p>
    <w:p w14:paraId="241A7B86" w14:textId="77777777" w:rsidR="009E11D4" w:rsidRDefault="009E11D4" w:rsidP="00DB6A7D">
      <w:pPr>
        <w:ind w:left="790" w:hangingChars="360" w:hanging="792"/>
        <w:jc w:val="both"/>
        <w:rPr>
          <w:rFonts w:ascii="Arial" w:eastAsia="Arial" w:hAnsi="Arial" w:cs="Arial"/>
          <w:sz w:val="22"/>
        </w:rPr>
      </w:pPr>
    </w:p>
    <w:p w14:paraId="27018013"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Loquias</w:t>
      </w:r>
      <w:proofErr w:type="spellEnd"/>
      <w:r>
        <w:rPr>
          <w:rFonts w:ascii="Arial" w:eastAsia="Arial" w:hAnsi="Arial" w:cs="Arial"/>
          <w:sz w:val="22"/>
        </w:rPr>
        <w:t>, R. T. (2015). Employability of the Bachelor of Science in electronics engineering graduates of Camarines Sur Polytechnic colleges. Asia Pacific Journal of Multidisciplinary Research, 3(4), 33-40.</w:t>
      </w:r>
    </w:p>
    <w:p w14:paraId="7F9B1BCF" w14:textId="77777777" w:rsidR="009E11D4" w:rsidRDefault="009E11D4" w:rsidP="00DB6A7D">
      <w:pPr>
        <w:ind w:left="790" w:hangingChars="360" w:hanging="792"/>
        <w:jc w:val="both"/>
        <w:rPr>
          <w:rFonts w:ascii="Arial" w:eastAsia="Arial" w:hAnsi="Arial" w:cs="Arial"/>
          <w:sz w:val="22"/>
        </w:rPr>
      </w:pPr>
    </w:p>
    <w:p w14:paraId="7C86DC44"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Manalo, M. C., &amp; </w:t>
      </w:r>
      <w:proofErr w:type="spellStart"/>
      <w:r>
        <w:rPr>
          <w:rFonts w:ascii="Arial" w:eastAsia="Arial" w:hAnsi="Arial" w:cs="Arial"/>
          <w:sz w:val="22"/>
        </w:rPr>
        <w:t>Obligar</w:t>
      </w:r>
      <w:proofErr w:type="spellEnd"/>
      <w:r>
        <w:rPr>
          <w:rFonts w:ascii="Arial" w:eastAsia="Arial" w:hAnsi="Arial" w:cs="Arial"/>
          <w:sz w:val="22"/>
        </w:rPr>
        <w:t xml:space="preserve">, M. (2013). Correlation of the LPU-Batangas Mock Board Examination and Customs Broker Licensure Examination for Academic Year 2008-2010. Proceeding of the Global Summit on Education. Available from https://goo. </w:t>
      </w:r>
      <w:proofErr w:type="spellStart"/>
      <w:r>
        <w:rPr>
          <w:rFonts w:ascii="Arial" w:eastAsia="Arial" w:hAnsi="Arial" w:cs="Arial"/>
          <w:sz w:val="22"/>
        </w:rPr>
        <w:t>gl</w:t>
      </w:r>
      <w:proofErr w:type="spellEnd"/>
      <w:r>
        <w:rPr>
          <w:rFonts w:ascii="Arial" w:eastAsia="Arial" w:hAnsi="Arial" w:cs="Arial"/>
          <w:sz w:val="22"/>
        </w:rPr>
        <w:t>/n7NtOD.</w:t>
      </w:r>
    </w:p>
    <w:p w14:paraId="5CBD1782" w14:textId="77777777" w:rsidR="009E11D4" w:rsidRDefault="009E11D4" w:rsidP="00DB6A7D">
      <w:pPr>
        <w:ind w:left="790" w:hangingChars="360" w:hanging="792"/>
        <w:jc w:val="both"/>
        <w:rPr>
          <w:rFonts w:ascii="Arial" w:eastAsia="Arial" w:hAnsi="Arial" w:cs="Arial"/>
          <w:sz w:val="22"/>
        </w:rPr>
      </w:pPr>
    </w:p>
    <w:p w14:paraId="5D3BCB57"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Mathebula, M. (2018). Engineering education for sustainable </w:t>
      </w:r>
      <w:proofErr w:type="spellStart"/>
      <w:proofErr w:type="gramStart"/>
      <w:r>
        <w:rPr>
          <w:rFonts w:ascii="Arial" w:eastAsia="Arial" w:hAnsi="Arial" w:cs="Arial"/>
          <w:sz w:val="22"/>
        </w:rPr>
        <w:t>development:A</w:t>
      </w:r>
      <w:proofErr w:type="spellEnd"/>
      <w:proofErr w:type="gramEnd"/>
      <w:r>
        <w:rPr>
          <w:rFonts w:ascii="Arial" w:eastAsia="Arial" w:hAnsi="Arial" w:cs="Arial"/>
          <w:sz w:val="22"/>
        </w:rPr>
        <w:t xml:space="preserve"> capabilities approach. Routledge.</w:t>
      </w:r>
    </w:p>
    <w:p w14:paraId="59F49EC6" w14:textId="77777777" w:rsidR="009E11D4" w:rsidRDefault="009E11D4" w:rsidP="00DB6A7D">
      <w:pPr>
        <w:ind w:left="790" w:hangingChars="360" w:hanging="792"/>
        <w:jc w:val="both"/>
        <w:rPr>
          <w:rFonts w:ascii="Arial" w:eastAsia="Arial" w:hAnsi="Arial" w:cs="Arial"/>
          <w:sz w:val="22"/>
        </w:rPr>
      </w:pPr>
    </w:p>
    <w:p w14:paraId="187BE76D"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Merriam, S. B., &amp; Tisdell, E. J. (2016). Designing your study and selecting a sample. Qualitative research: A guide to design and implementation, 67(1), 73-104.</w:t>
      </w:r>
    </w:p>
    <w:p w14:paraId="6469FDBD" w14:textId="77777777" w:rsidR="009E11D4" w:rsidRDefault="009E11D4" w:rsidP="00DB6A7D">
      <w:pPr>
        <w:ind w:left="790" w:hangingChars="360" w:hanging="792"/>
        <w:jc w:val="both"/>
        <w:rPr>
          <w:rFonts w:ascii="Arial" w:eastAsia="Arial" w:hAnsi="Arial" w:cs="Arial"/>
          <w:sz w:val="22"/>
        </w:rPr>
      </w:pPr>
    </w:p>
    <w:p w14:paraId="51381DE4"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lastRenderedPageBreak/>
        <w:t>Mohammed, M. P., &amp; Mohammed, M. P. (2017). Licensure examination performance evaluation of the candidate engineers as basis for a proposed action plan. Asia Pacific Journal of Multidisciplinary Research, 5(2), 51-57.</w:t>
      </w:r>
    </w:p>
    <w:p w14:paraId="70DF92AF" w14:textId="77777777" w:rsidR="009E11D4" w:rsidRDefault="009E11D4" w:rsidP="00DB6A7D">
      <w:pPr>
        <w:ind w:left="790" w:hangingChars="360" w:hanging="792"/>
        <w:jc w:val="both"/>
        <w:rPr>
          <w:rFonts w:ascii="Arial" w:eastAsia="Arial" w:hAnsi="Arial" w:cs="Arial"/>
          <w:sz w:val="22"/>
        </w:rPr>
      </w:pPr>
    </w:p>
    <w:p w14:paraId="4C0B4221"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Nicolas, H., De Guzman, J., Tejada, R., &amp; </w:t>
      </w:r>
      <w:proofErr w:type="spellStart"/>
      <w:r>
        <w:rPr>
          <w:rFonts w:ascii="Arial" w:eastAsia="Arial" w:hAnsi="Arial" w:cs="Arial"/>
          <w:sz w:val="22"/>
        </w:rPr>
        <w:t>Capalad</w:t>
      </w:r>
      <w:proofErr w:type="spellEnd"/>
      <w:r>
        <w:rPr>
          <w:rFonts w:ascii="Arial" w:eastAsia="Arial" w:hAnsi="Arial" w:cs="Arial"/>
          <w:sz w:val="22"/>
        </w:rPr>
        <w:t>, R. (2020). Student determinants in the licensure examination for agriculturists of a state college in the Philippines. International Journal of Educational Sciences, 28(1–3), 47-53.</w:t>
      </w:r>
    </w:p>
    <w:p w14:paraId="66F4BDE2" w14:textId="77777777" w:rsidR="009E11D4" w:rsidRDefault="009E11D4" w:rsidP="00DB6A7D">
      <w:pPr>
        <w:ind w:left="790" w:hangingChars="360" w:hanging="792"/>
        <w:jc w:val="both"/>
        <w:rPr>
          <w:rFonts w:ascii="Arial" w:eastAsia="Arial" w:hAnsi="Arial" w:cs="Arial"/>
          <w:sz w:val="22"/>
        </w:rPr>
      </w:pPr>
    </w:p>
    <w:p w14:paraId="56257565"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Nool, N. R., &amp; Ladia, M. A. P. (2017). Trend of performance in the licensure examination of teacher education institutions in Central Luzon, Philippines. International Journal of Applied Engineering Research, 12(24), 15734-15745.</w:t>
      </w:r>
    </w:p>
    <w:p w14:paraId="76158BEA" w14:textId="77777777" w:rsidR="009E11D4" w:rsidRDefault="009E11D4" w:rsidP="00DB6A7D">
      <w:pPr>
        <w:ind w:left="790" w:hangingChars="360" w:hanging="792"/>
        <w:jc w:val="both"/>
        <w:rPr>
          <w:rFonts w:ascii="Arial" w:eastAsia="Arial" w:hAnsi="Arial" w:cs="Arial"/>
          <w:sz w:val="22"/>
        </w:rPr>
      </w:pPr>
    </w:p>
    <w:p w14:paraId="33A58340"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Pattaguan</w:t>
      </w:r>
      <w:proofErr w:type="spellEnd"/>
      <w:r>
        <w:rPr>
          <w:rFonts w:ascii="Arial" w:eastAsia="Arial" w:hAnsi="Arial" w:cs="Arial"/>
          <w:sz w:val="22"/>
        </w:rPr>
        <w:t>, E. J. P. (2018). Factors that contribute to topping the Board Licensure Examination for Certified Public Accountant. Pacific Business Review International, 10(9), 203-214.</w:t>
      </w:r>
    </w:p>
    <w:p w14:paraId="6FA8EFA9" w14:textId="77777777" w:rsidR="009E11D4" w:rsidRDefault="009E11D4" w:rsidP="00DB6A7D">
      <w:pPr>
        <w:ind w:left="790" w:hangingChars="360" w:hanging="792"/>
        <w:jc w:val="both"/>
        <w:rPr>
          <w:rFonts w:ascii="Arial" w:eastAsia="Arial" w:hAnsi="Arial" w:cs="Arial"/>
          <w:sz w:val="22"/>
        </w:rPr>
      </w:pPr>
    </w:p>
    <w:p w14:paraId="3EFF1630"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Quiambao, D. T., Baking, E. G., Buenviaje, L. B., Nuqui, A. V., &amp; Cruz, R. C. (2015). Predictors of board exam performance of the DHVTSU college of education graduates. Journal of Business &amp; Management Studies, 1(1), 1-4.</w:t>
      </w:r>
    </w:p>
    <w:p w14:paraId="5B030993" w14:textId="77777777" w:rsidR="009E11D4" w:rsidRDefault="009E11D4" w:rsidP="00DB6A7D">
      <w:pPr>
        <w:ind w:left="790" w:hangingChars="360" w:hanging="792"/>
        <w:jc w:val="both"/>
        <w:rPr>
          <w:rFonts w:ascii="Arial" w:eastAsia="Arial" w:hAnsi="Arial" w:cs="Arial"/>
          <w:sz w:val="22"/>
        </w:rPr>
      </w:pPr>
    </w:p>
    <w:p w14:paraId="1E9339F3"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RA </w:t>
      </w:r>
      <w:proofErr w:type="gramStart"/>
      <w:r>
        <w:rPr>
          <w:rFonts w:ascii="Arial" w:eastAsia="Arial" w:hAnsi="Arial" w:cs="Arial"/>
          <w:sz w:val="22"/>
        </w:rPr>
        <w:t>9292 :</w:t>
      </w:r>
      <w:proofErr w:type="gramEnd"/>
      <w:r>
        <w:rPr>
          <w:rFonts w:ascii="Arial" w:eastAsia="Arial" w:hAnsi="Arial" w:cs="Arial"/>
          <w:sz w:val="22"/>
        </w:rPr>
        <w:t xml:space="preserve"> Electronics Engineering Law of 2004</w:t>
      </w:r>
    </w:p>
    <w:p w14:paraId="1122E830" w14:textId="77777777" w:rsidR="009E11D4" w:rsidRDefault="009E11D4" w:rsidP="00DB6A7D">
      <w:pPr>
        <w:ind w:left="790" w:hangingChars="360" w:hanging="792"/>
        <w:jc w:val="both"/>
        <w:rPr>
          <w:rFonts w:ascii="Arial" w:eastAsia="Arial" w:hAnsi="Arial" w:cs="Arial"/>
          <w:sz w:val="22"/>
        </w:rPr>
      </w:pPr>
    </w:p>
    <w:p w14:paraId="033222CD"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Rivera, E. R. (2021). Exploratory Data Analysis (EDA) of the Performance of Philippine Higher Education Institutions in the Electronics Engineering Licensure Examinations. INSTITUTE OF ELECTRONICS ENGINEERS OF THE PHILIPPINES JOURNAL (IECEP), 4(1).</w:t>
      </w:r>
    </w:p>
    <w:p w14:paraId="356DD024" w14:textId="77777777" w:rsidR="009E11D4" w:rsidRDefault="009E11D4" w:rsidP="00DB6A7D">
      <w:pPr>
        <w:ind w:left="790" w:hangingChars="360" w:hanging="792"/>
        <w:jc w:val="both"/>
        <w:rPr>
          <w:rFonts w:ascii="Arial" w:eastAsia="Arial" w:hAnsi="Arial" w:cs="Arial"/>
          <w:sz w:val="22"/>
        </w:rPr>
      </w:pPr>
    </w:p>
    <w:p w14:paraId="50D6BB5D"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Rottmann, C., Sacks, R., &amp; Reeve, D. (2015). Engineering leadership: Grounding leadership theory in engineers’ professional identities. Leadership, 11(3), 351-373.</w:t>
      </w:r>
    </w:p>
    <w:p w14:paraId="58DEB7CC" w14:textId="77777777" w:rsidR="009E11D4" w:rsidRDefault="009E11D4" w:rsidP="00DB6A7D">
      <w:pPr>
        <w:ind w:left="790" w:hangingChars="360" w:hanging="792"/>
        <w:jc w:val="both"/>
        <w:rPr>
          <w:rFonts w:ascii="Arial" w:eastAsia="Arial" w:hAnsi="Arial" w:cs="Arial"/>
          <w:sz w:val="22"/>
        </w:rPr>
      </w:pPr>
    </w:p>
    <w:p w14:paraId="733E0537"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Sunthonkanokpong</w:t>
      </w:r>
      <w:proofErr w:type="spellEnd"/>
      <w:r>
        <w:rPr>
          <w:rFonts w:ascii="Arial" w:eastAsia="Arial" w:hAnsi="Arial" w:cs="Arial"/>
          <w:sz w:val="22"/>
        </w:rPr>
        <w:t>, W. (2011). Future global visions of engineering education. Procedia Engineering, 8, 160-164.</w:t>
      </w:r>
    </w:p>
    <w:p w14:paraId="2D5B15B4"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ab/>
      </w:r>
    </w:p>
    <w:p w14:paraId="1A5C647F"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Tamayo, A. (2014). Determining Predictors of Chemical Engineering Licensure Examination. Available at SSRN 2510319.</w:t>
      </w:r>
    </w:p>
    <w:p w14:paraId="65882843" w14:textId="77777777" w:rsidR="009E11D4" w:rsidRDefault="009E11D4" w:rsidP="00DB6A7D">
      <w:pPr>
        <w:ind w:left="790" w:hangingChars="360" w:hanging="792"/>
        <w:jc w:val="both"/>
        <w:rPr>
          <w:rFonts w:ascii="Arial" w:eastAsia="Arial" w:hAnsi="Arial" w:cs="Arial"/>
          <w:sz w:val="22"/>
        </w:rPr>
      </w:pPr>
    </w:p>
    <w:p w14:paraId="337D8129"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Tamayo, A., &amp; Cañizares, R. (2014). Predictors of Engineering Licensure Examination Using Logistic Regression. British Journal of Education, Society &amp; </w:t>
      </w:r>
      <w:proofErr w:type="spellStart"/>
      <w:r>
        <w:rPr>
          <w:rFonts w:ascii="Arial" w:eastAsia="Arial" w:hAnsi="Arial" w:cs="Arial"/>
          <w:sz w:val="22"/>
        </w:rPr>
        <w:t>Behavioural</w:t>
      </w:r>
      <w:proofErr w:type="spellEnd"/>
      <w:r>
        <w:rPr>
          <w:rFonts w:ascii="Arial" w:eastAsia="Arial" w:hAnsi="Arial" w:cs="Arial"/>
          <w:sz w:val="22"/>
        </w:rPr>
        <w:t xml:space="preserve"> Science, 4(12), 1621-1629.</w:t>
      </w:r>
    </w:p>
    <w:p w14:paraId="70D0CE2B" w14:textId="77777777" w:rsidR="009E11D4" w:rsidRDefault="009E11D4" w:rsidP="00DB6A7D">
      <w:pPr>
        <w:ind w:left="790" w:hangingChars="360" w:hanging="792"/>
        <w:jc w:val="both"/>
        <w:rPr>
          <w:rFonts w:ascii="Arial" w:eastAsia="Arial" w:hAnsi="Arial" w:cs="Arial"/>
          <w:sz w:val="22"/>
        </w:rPr>
      </w:pPr>
    </w:p>
    <w:p w14:paraId="15824461"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Tamayo, A., Bernardo, G., &amp; Eguia, R. (2014). Readiness for the licensure exam of the engineering students. Available at SSRN 2395037.</w:t>
      </w:r>
    </w:p>
    <w:p w14:paraId="41860159" w14:textId="77777777" w:rsidR="009E11D4" w:rsidRDefault="009E11D4" w:rsidP="00DB6A7D">
      <w:pPr>
        <w:ind w:left="790" w:hangingChars="360" w:hanging="792"/>
        <w:jc w:val="both"/>
        <w:rPr>
          <w:rFonts w:ascii="Arial" w:eastAsia="Arial" w:hAnsi="Arial" w:cs="Arial"/>
          <w:sz w:val="22"/>
        </w:rPr>
      </w:pPr>
    </w:p>
    <w:p w14:paraId="4CEE9171"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 xml:space="preserve">Tan, W.S., </w:t>
      </w:r>
      <w:proofErr w:type="spellStart"/>
      <w:r>
        <w:rPr>
          <w:rFonts w:ascii="Arial" w:eastAsia="Arial" w:hAnsi="Arial" w:cs="Arial"/>
          <w:sz w:val="22"/>
        </w:rPr>
        <w:t>Almerez</w:t>
      </w:r>
      <w:proofErr w:type="spellEnd"/>
      <w:r>
        <w:rPr>
          <w:rFonts w:ascii="Arial" w:eastAsia="Arial" w:hAnsi="Arial" w:cs="Arial"/>
          <w:sz w:val="22"/>
        </w:rPr>
        <w:t xml:space="preserve">, A.U., Pardillo, A., </w:t>
      </w:r>
      <w:proofErr w:type="spellStart"/>
      <w:r>
        <w:rPr>
          <w:rFonts w:ascii="Arial" w:eastAsia="Arial" w:hAnsi="Arial" w:cs="Arial"/>
          <w:sz w:val="22"/>
        </w:rPr>
        <w:t>Batulan</w:t>
      </w:r>
      <w:proofErr w:type="spellEnd"/>
      <w:r>
        <w:rPr>
          <w:rFonts w:ascii="Arial" w:eastAsia="Arial" w:hAnsi="Arial" w:cs="Arial"/>
          <w:sz w:val="22"/>
        </w:rPr>
        <w:t xml:space="preserve">, S.S., Gonzales, J., Cal, C.I., </w:t>
      </w:r>
      <w:proofErr w:type="spellStart"/>
      <w:r>
        <w:rPr>
          <w:rFonts w:ascii="Arial" w:eastAsia="Arial" w:hAnsi="Arial" w:cs="Arial"/>
          <w:sz w:val="22"/>
        </w:rPr>
        <w:t>Labang</w:t>
      </w:r>
      <w:proofErr w:type="spellEnd"/>
      <w:r>
        <w:rPr>
          <w:rFonts w:ascii="Arial" w:eastAsia="Arial" w:hAnsi="Arial" w:cs="Arial"/>
          <w:sz w:val="22"/>
        </w:rPr>
        <w:t>, J. (2015). Trend of Customs Licensure Examination of the Philippines. Educational Measurement and Evaluation Review, 6, 11-22.</w:t>
      </w:r>
    </w:p>
    <w:p w14:paraId="774E7B48" w14:textId="77777777" w:rsidR="009E11D4" w:rsidRDefault="009E11D4" w:rsidP="00DB6A7D">
      <w:pPr>
        <w:ind w:left="790" w:hangingChars="360" w:hanging="792"/>
        <w:jc w:val="both"/>
        <w:rPr>
          <w:rFonts w:ascii="Arial" w:eastAsia="Arial" w:hAnsi="Arial" w:cs="Arial"/>
          <w:sz w:val="22"/>
        </w:rPr>
      </w:pPr>
    </w:p>
    <w:p w14:paraId="18DC7431"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lastRenderedPageBreak/>
        <w:t>Terano</w:t>
      </w:r>
      <w:proofErr w:type="spellEnd"/>
      <w:r>
        <w:rPr>
          <w:rFonts w:ascii="Arial" w:eastAsia="Arial" w:hAnsi="Arial" w:cs="Arial"/>
          <w:sz w:val="22"/>
        </w:rPr>
        <w:t>, H. J. (2015). Development and acceptability of the simplified text with workbook in differential equations as an instructional material for engineering. Asia Pacific Journal of Multidisciplinary Research, 3(4), 89-94.</w:t>
      </w:r>
    </w:p>
    <w:p w14:paraId="5C623904" w14:textId="77777777" w:rsidR="009E11D4" w:rsidRDefault="009E11D4" w:rsidP="00DB6A7D">
      <w:pPr>
        <w:ind w:left="790" w:hangingChars="360" w:hanging="792"/>
        <w:jc w:val="both"/>
        <w:rPr>
          <w:rFonts w:ascii="Arial" w:eastAsia="Arial" w:hAnsi="Arial" w:cs="Arial"/>
          <w:sz w:val="22"/>
        </w:rPr>
      </w:pPr>
    </w:p>
    <w:p w14:paraId="3F3237A7" w14:textId="77777777" w:rsidR="009E11D4" w:rsidRDefault="00000000" w:rsidP="00DB6A7D">
      <w:pPr>
        <w:ind w:left="790" w:hangingChars="360" w:hanging="792"/>
        <w:jc w:val="both"/>
        <w:rPr>
          <w:rFonts w:ascii="Arial" w:eastAsia="Arial" w:hAnsi="Arial" w:cs="Arial"/>
          <w:sz w:val="22"/>
        </w:rPr>
      </w:pPr>
      <w:proofErr w:type="spellStart"/>
      <w:r>
        <w:rPr>
          <w:rFonts w:ascii="Arial" w:eastAsia="Arial" w:hAnsi="Arial" w:cs="Arial"/>
          <w:sz w:val="22"/>
        </w:rPr>
        <w:t>Terano</w:t>
      </w:r>
      <w:proofErr w:type="spellEnd"/>
      <w:r>
        <w:rPr>
          <w:rFonts w:ascii="Arial" w:eastAsia="Arial" w:hAnsi="Arial" w:cs="Arial"/>
          <w:sz w:val="22"/>
        </w:rPr>
        <w:t>, H. J. R. (2018). Regression model of the licensure examination performance of electronics engineering graduates in a state college in the Philippines. Advances and Applications in Mathematical Sciences, 18(2), 197-204.</w:t>
      </w:r>
    </w:p>
    <w:p w14:paraId="048DDC69" w14:textId="77777777" w:rsidR="009E11D4" w:rsidRDefault="009E11D4" w:rsidP="00DB6A7D">
      <w:pPr>
        <w:ind w:left="790" w:hangingChars="360" w:hanging="792"/>
        <w:jc w:val="both"/>
        <w:rPr>
          <w:rFonts w:ascii="Arial" w:eastAsia="Arial" w:hAnsi="Arial" w:cs="Arial"/>
          <w:sz w:val="22"/>
        </w:rPr>
      </w:pPr>
    </w:p>
    <w:p w14:paraId="514D5A59"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Watkins, J., &amp; Mazur, E. (2013). Retaining students in science, technology, engineering, and mathematics (STEM) majors. Journal of College Science Teaching, 42(5), 36-41.</w:t>
      </w:r>
      <w:r>
        <w:rPr>
          <w:rFonts w:ascii="Arial" w:eastAsia="Arial" w:hAnsi="Arial" w:cs="Arial"/>
          <w:sz w:val="22"/>
        </w:rPr>
        <w:tab/>
      </w:r>
    </w:p>
    <w:p w14:paraId="1F8FD6A2" w14:textId="77777777" w:rsidR="009E11D4" w:rsidRDefault="00000000" w:rsidP="00DB6A7D">
      <w:pPr>
        <w:ind w:left="790" w:hangingChars="360" w:hanging="792"/>
        <w:jc w:val="both"/>
        <w:rPr>
          <w:rFonts w:ascii="Arial" w:eastAsia="Arial" w:hAnsi="Arial" w:cs="Arial"/>
          <w:sz w:val="22"/>
        </w:rPr>
      </w:pPr>
      <w:r>
        <w:rPr>
          <w:rFonts w:ascii="Arial" w:eastAsia="Arial" w:hAnsi="Arial" w:cs="Arial"/>
          <w:sz w:val="22"/>
        </w:rPr>
        <w:t>Weiner, B. (1974). Achievement motivation and attribution theory. Morristown, N.J.: General Learning Press</w:t>
      </w:r>
    </w:p>
    <w:p w14:paraId="6C29D792" w14:textId="77777777" w:rsidR="009E11D4" w:rsidRDefault="009E11D4" w:rsidP="00DB6A7D">
      <w:pPr>
        <w:ind w:left="790" w:hangingChars="360" w:hanging="792"/>
        <w:jc w:val="both"/>
        <w:rPr>
          <w:rFonts w:ascii="Arial" w:eastAsia="Arial" w:hAnsi="Arial" w:cs="Arial"/>
          <w:sz w:val="22"/>
        </w:rPr>
      </w:pPr>
    </w:p>
    <w:p w14:paraId="3F8EB333" w14:textId="77777777" w:rsidR="009E11D4" w:rsidRDefault="009E11D4">
      <w:pPr>
        <w:ind w:left="0" w:hanging="2"/>
        <w:jc w:val="both"/>
        <w:rPr>
          <w:rFonts w:ascii="Arial" w:eastAsia="Arial" w:hAnsi="Arial" w:cs="Arial"/>
          <w:sz w:val="22"/>
        </w:rPr>
      </w:pPr>
      <w:bookmarkStart w:id="3" w:name="_heading=h.1ci93xb" w:colFirst="0" w:colLast="0"/>
      <w:bookmarkEnd w:id="3"/>
    </w:p>
    <w:p w14:paraId="607D7DCC" w14:textId="77777777" w:rsidR="009E11D4" w:rsidRDefault="009E11D4">
      <w:pPr>
        <w:ind w:left="0" w:hanging="2"/>
        <w:jc w:val="both"/>
        <w:rPr>
          <w:rFonts w:ascii="Arial" w:eastAsia="Arial" w:hAnsi="Arial" w:cs="Arial"/>
          <w:sz w:val="22"/>
        </w:rPr>
      </w:pPr>
    </w:p>
    <w:p w14:paraId="494FF385" w14:textId="77777777" w:rsidR="009E11D4" w:rsidRDefault="009E11D4">
      <w:pPr>
        <w:ind w:left="0" w:hanging="2"/>
        <w:jc w:val="both"/>
        <w:rPr>
          <w:rFonts w:ascii="Arial" w:eastAsia="Arial" w:hAnsi="Arial" w:cs="Arial"/>
          <w:sz w:val="22"/>
        </w:rPr>
      </w:pPr>
    </w:p>
    <w:p w14:paraId="1B3E0B30" w14:textId="77777777" w:rsidR="009E11D4" w:rsidRDefault="009E11D4">
      <w:pPr>
        <w:ind w:left="0" w:hanging="2"/>
        <w:jc w:val="both"/>
        <w:rPr>
          <w:rFonts w:ascii="Arial" w:eastAsia="Arial" w:hAnsi="Arial" w:cs="Arial"/>
          <w:sz w:val="22"/>
        </w:rPr>
      </w:pPr>
    </w:p>
    <w:p w14:paraId="363FEA0F" w14:textId="77777777" w:rsidR="009E11D4" w:rsidRDefault="00000000">
      <w:pPr>
        <w:ind w:left="0" w:hanging="2"/>
        <w:jc w:val="both"/>
        <w:rPr>
          <w:rFonts w:ascii="Arial" w:eastAsia="Arial" w:hAnsi="Arial" w:cs="Arial"/>
          <w:sz w:val="22"/>
        </w:rPr>
      </w:pPr>
      <w:r>
        <w:rPr>
          <w:rFonts w:ascii="Arial" w:eastAsia="Arial" w:hAnsi="Arial" w:cs="Arial"/>
          <w:sz w:val="22"/>
        </w:rPr>
        <w:tab/>
      </w:r>
      <w:bookmarkEnd w:id="0"/>
    </w:p>
    <w:sectPr w:rsidR="009E11D4">
      <w:headerReference w:type="even" r:id="rId14"/>
      <w:headerReference w:type="default" r:id="rId15"/>
      <w:footerReference w:type="even" r:id="rId16"/>
      <w:footerReference w:type="default" r:id="rId17"/>
      <w:headerReference w:type="first" r:id="rId18"/>
      <w:footerReference w:type="first" r:id="rId19"/>
      <w:pgSz w:w="12240" w:h="15840"/>
      <w:pgMar w:top="1440" w:right="1530" w:bottom="1440" w:left="2160" w:header="720"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9AB6A84" w14:textId="77777777" w:rsidR="00F211A9" w:rsidRDefault="00F211A9">
      <w:pPr>
        <w:spacing w:line="240" w:lineRule="auto"/>
        <w:ind w:left="0" w:hanging="2"/>
      </w:pPr>
      <w:r>
        <w:separator/>
      </w:r>
    </w:p>
  </w:endnote>
  <w:endnote w:type="continuationSeparator" w:id="0">
    <w:p w14:paraId="3673CF0F" w14:textId="77777777" w:rsidR="00F211A9" w:rsidRDefault="00F211A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7D34FB-DE1F-5F42-BB57-A58CCDCF56B6}"/>
    <w:embedBold r:id="rId2" w:fontKey="{A84C6B8A-C0A2-3345-B3E1-5603A5612D0C}"/>
    <w:embedItalic r:id="rId3" w:fontKey="{11A89429-615B-E641-9022-2AD8FCCBE2C7}"/>
  </w:font>
  <w:font w:name="Courier New">
    <w:panose1 w:val="02070309020205020404"/>
    <w:charset w:val="00"/>
    <w:family w:val="modern"/>
    <w:pitch w:val="fixed"/>
    <w:sig w:usb0="E0002AFF" w:usb1="C0007843" w:usb2="00000009" w:usb3="00000000" w:csb0="000001FF" w:csb1="00000000"/>
    <w:embedRegular r:id="rId4" w:fontKey="{16992962-72AC-434C-8020-0EADEEC6456D}"/>
    <w:embedBold r:id="rId5" w:fontKey="{3AC6CF39-0F2E-1D46-8574-CB38418ADFC4}"/>
    <w:embedBoldItalic r:id="rId6" w:fontKey="{AB6F9134-6A8C-624C-9D48-2C563146B3C4}"/>
  </w:font>
  <w:font w:name="Symbol">
    <w:panose1 w:val="05050102010706020507"/>
    <w:charset w:val="02"/>
    <w:family w:val="decorative"/>
    <w:pitch w:val="variable"/>
    <w:sig w:usb0="00000000" w:usb1="10000000" w:usb2="00000000" w:usb3="00000000" w:csb0="80000000" w:csb1="00000000"/>
    <w:embedBoldItalic r:id="rId7" w:fontKey="{FD9C565E-1437-CF4D-918A-6F8E22E57E80}"/>
  </w:font>
  <w:font w:name="Arial Unicode MS">
    <w:panose1 w:val="020B0604020202020204"/>
    <w:charset w:val="80"/>
    <w:family w:val="swiss"/>
    <w:pitch w:val="variable"/>
    <w:sig w:usb0="F7FFAFFF" w:usb1="E9DFFFFF" w:usb2="0000003F" w:usb3="00000000" w:csb0="003F01FF" w:csb1="00000000"/>
    <w:embedRegular r:id="rId8" w:subsetted="1" w:fontKey="{0E030B16-4C4E-1F41-A5BC-70750B0F4CA0}"/>
  </w:font>
  <w:font w:name="Wingdings">
    <w:panose1 w:val="05000000000000000000"/>
    <w:charset w:val="4D"/>
    <w:family w:val="decorative"/>
    <w:pitch w:val="variable"/>
    <w:sig w:usb0="00000003" w:usb1="00000000" w:usb2="00000000" w:usb3="00000000" w:csb0="80000001" w:csb1="00000000"/>
    <w:embedRegular r:id="rId9" w:fontKey="{33199E73-A2D7-9C45-8FF4-951D8D40FCC5}"/>
  </w:font>
  <w:font w:name="Calibri Light">
    <w:panose1 w:val="020F0302020204030204"/>
    <w:charset w:val="00"/>
    <w:family w:val="swiss"/>
    <w:pitch w:val="variable"/>
    <w:sig w:usb0="E0002AFF" w:usb1="C000247B" w:usb2="00000009" w:usb3="00000000" w:csb0="000001FF" w:csb1="00000000"/>
    <w:embedRegular r:id="rId10" w:fontKey="{0ED16DCC-3720-A14C-B866-798C1B0A3061}"/>
  </w:font>
  <w:font w:name="Arial">
    <w:panose1 w:val="020B0604020202020204"/>
    <w:charset w:val="00"/>
    <w:family w:val="swiss"/>
    <w:pitch w:val="variable"/>
    <w:sig w:usb0="E0002AFF" w:usb1="C0007843" w:usb2="00000009" w:usb3="00000000" w:csb0="000001FF" w:csb1="00000000"/>
    <w:embedRegular r:id="rId11" w:fontKey="{F391DCA7-FCDD-9E4E-A055-7CAE00B652E4}"/>
    <w:embedBold r:id="rId12" w:fontKey="{A36D1FB4-936F-2B41-8E4D-04859EFE0E75}"/>
    <w:embedItalic r:id="rId13" w:fontKey="{F90B962B-A0CE-B34D-9E2E-145F28B195DB}"/>
    <w:embedBoldItalic r:id="rId14" w:fontKey="{63163E66-BD4F-244C-82BD-0C54AD4C4BB4}"/>
  </w:font>
  <w:font w:name="Georgia">
    <w:panose1 w:val="02040502050405020303"/>
    <w:charset w:val="00"/>
    <w:family w:val="roman"/>
    <w:pitch w:val="variable"/>
    <w:sig w:usb0="00000287" w:usb1="00000000" w:usb2="00000000" w:usb3="00000000" w:csb0="0000009F" w:csb1="00000000"/>
    <w:embedRegular r:id="rId15" w:fontKey="{225BE1C2-0AA6-8F4F-BC8A-9D5C0E90748E}"/>
    <w:embedItalic r:id="rId16" w:fontKey="{23D975DE-B449-144E-9C85-675B47CEB038}"/>
  </w:font>
  <w:font w:name="Arimo">
    <w:altName w:val="Calibri"/>
    <w:charset w:val="00"/>
    <w:family w:val="auto"/>
    <w:pitch w:val="default"/>
    <w:embedRegular r:id="rId17" w:fontKey="{A82EC798-4C63-D043-B7D3-3FB8F3D841A6}"/>
  </w:font>
  <w:font w:name="Calibri">
    <w:panose1 w:val="020F0502020204030204"/>
    <w:charset w:val="00"/>
    <w:family w:val="swiss"/>
    <w:pitch w:val="variable"/>
    <w:sig w:usb0="E0002AFF" w:usb1="C000247B" w:usb2="00000009" w:usb3="00000000" w:csb0="000001FF" w:csb1="00000000"/>
    <w:embedRegular r:id="rId18" w:fontKey="{5CBEF68C-06DE-734B-B183-E9FF954E6F4F}"/>
  </w:font>
  <w:font w:name="Cambria">
    <w:panose1 w:val="02040503050406030204"/>
    <w:charset w:val="00"/>
    <w:family w:val="roman"/>
    <w:pitch w:val="variable"/>
    <w:sig w:usb0="E00002FF" w:usb1="400004FF" w:usb2="00000000" w:usb3="00000000" w:csb0="0000019F" w:csb1="00000000"/>
    <w:embedRegular r:id="rId19" w:fontKey="{26D34815-A7D1-0F46-97DB-77B990FCF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D199E2" w14:textId="77777777" w:rsidR="00DB6A7D" w:rsidRDefault="00DB6A7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0101E9" w14:textId="35DB6C01" w:rsidR="009E11D4" w:rsidRDefault="00000000">
    <w:pPr>
      <w:pBdr>
        <w:top w:val="nil"/>
        <w:left w:val="nil"/>
        <w:bottom w:val="nil"/>
        <w:right w:val="nil"/>
        <w:between w:val="nil"/>
      </w:pBdr>
      <w:spacing w:line="240" w:lineRule="auto"/>
      <w:ind w:left="0" w:hanging="2"/>
      <w:jc w:val="right"/>
      <w:rPr>
        <w:rFonts w:ascii="Arimo" w:eastAsia="Arimo" w:hAnsi="Arimo" w:cs="Arimo"/>
        <w:color w:val="000000"/>
        <w:sz w:val="22"/>
      </w:rPr>
    </w:pPr>
    <w:r>
      <w:rPr>
        <w:rFonts w:ascii="Arimo" w:eastAsia="Arimo" w:hAnsi="Arimo" w:cs="Arimo"/>
        <w:color w:val="000000"/>
        <w:sz w:val="22"/>
      </w:rPr>
      <w:t xml:space="preserve">| </w:t>
    </w:r>
    <w:r>
      <w:rPr>
        <w:rFonts w:ascii="Arimo" w:eastAsia="Arimo" w:hAnsi="Arimo" w:cs="Arimo"/>
        <w:color w:val="000000"/>
        <w:sz w:val="22"/>
      </w:rPr>
      <w:fldChar w:fldCharType="begin"/>
    </w:r>
    <w:r>
      <w:rPr>
        <w:rFonts w:ascii="Arimo" w:eastAsia="Arimo" w:hAnsi="Arimo" w:cs="Arimo"/>
        <w:color w:val="000000"/>
        <w:sz w:val="22"/>
      </w:rPr>
      <w:instrText>PAGE</w:instrText>
    </w:r>
    <w:r>
      <w:rPr>
        <w:rFonts w:ascii="Arimo" w:eastAsia="Arimo" w:hAnsi="Arimo" w:cs="Arimo"/>
        <w:color w:val="000000"/>
        <w:sz w:val="22"/>
      </w:rPr>
      <w:fldChar w:fldCharType="separate"/>
    </w:r>
    <w:r w:rsidR="004D2FBD">
      <w:rPr>
        <w:rFonts w:ascii="Arimo" w:eastAsia="Arimo" w:hAnsi="Arimo" w:cs="Arimo"/>
        <w:noProof/>
        <w:color w:val="000000"/>
        <w:sz w:val="22"/>
      </w:rPr>
      <w:t>2</w:t>
    </w:r>
    <w:r>
      <w:rPr>
        <w:rFonts w:ascii="Arimo" w:eastAsia="Arimo" w:hAnsi="Arimo" w:cs="Arimo"/>
        <w:color w:val="000000"/>
        <w:sz w:val="22"/>
      </w:rPr>
      <w:fldChar w:fldCharType="end"/>
    </w:r>
    <w:r>
      <w:rPr>
        <w:color w:val="000000"/>
        <w:sz w:val="22"/>
      </w:rPr>
      <w:t xml:space="preserve"> </w:t>
    </w:r>
  </w:p>
  <w:p w14:paraId="6DB3145E" w14:textId="77777777" w:rsidR="009E11D4" w:rsidRDefault="009E11D4">
    <w:pPr>
      <w:pBdr>
        <w:top w:val="nil"/>
        <w:left w:val="nil"/>
        <w:bottom w:val="nil"/>
        <w:right w:val="nil"/>
        <w:between w:val="nil"/>
      </w:pBdr>
      <w:spacing w:line="240" w:lineRule="auto"/>
      <w:ind w:left="0" w:hanging="2"/>
      <w:jc w:val="center"/>
      <w:rPr>
        <w:color w:val="000000"/>
        <w:sz w:val="22"/>
      </w:rPr>
    </w:pPr>
  </w:p>
  <w:p w14:paraId="0A215A5B" w14:textId="77777777" w:rsidR="009E11D4" w:rsidRDefault="009E11D4">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C597A2" w14:textId="77777777" w:rsidR="00DB6A7D" w:rsidRDefault="00DB6A7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761D12D" w14:textId="77777777" w:rsidR="00F211A9" w:rsidRDefault="00F211A9">
      <w:pPr>
        <w:spacing w:line="240" w:lineRule="auto"/>
        <w:ind w:left="0" w:hanging="2"/>
      </w:pPr>
      <w:r>
        <w:separator/>
      </w:r>
    </w:p>
  </w:footnote>
  <w:footnote w:type="continuationSeparator" w:id="0">
    <w:p w14:paraId="67B4C3F5" w14:textId="77777777" w:rsidR="00F211A9" w:rsidRDefault="00F211A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5B0ABC" w14:textId="77777777" w:rsidR="00DB6A7D" w:rsidRDefault="00DB6A7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03765C" w14:textId="15B1AD3E" w:rsidR="009E11D4" w:rsidRDefault="00000000">
    <w:pPr>
      <w:pBdr>
        <w:top w:val="nil"/>
        <w:left w:val="nil"/>
        <w:bottom w:val="nil"/>
        <w:right w:val="nil"/>
        <w:between w:val="nil"/>
      </w:pBdr>
      <w:spacing w:line="240" w:lineRule="auto"/>
      <w:ind w:left="0" w:hanging="2"/>
      <w:rPr>
        <w:color w:val="000000"/>
        <w:szCs w:val="24"/>
      </w:rPr>
    </w:pPr>
    <w:r>
      <w:rPr>
        <w:noProof/>
      </w:rPr>
      <mc:AlternateContent>
        <mc:Choice Requires="wpg">
          <w:drawing>
            <wp:anchor distT="0" distB="0" distL="114300" distR="114300" simplePos="0" relativeHeight="251658240" behindDoc="0" locked="0" layoutInCell="1" hidden="0" allowOverlap="1" wp14:anchorId="066389B3" wp14:editId="33A63DF1">
              <wp:simplePos x="0" y="0"/>
              <wp:positionH relativeFrom="column">
                <wp:posOffset>-63499</wp:posOffset>
              </wp:positionH>
              <wp:positionV relativeFrom="paragraph">
                <wp:posOffset>444500</wp:posOffset>
              </wp:positionV>
              <wp:extent cx="5591175" cy="8211820"/>
              <wp:effectExtent l="0" t="0" r="0" b="0"/>
              <wp:wrapNone/>
              <wp:docPr id="1027" name="Rectangle 1027"/>
              <wp:cNvGraphicFramePr/>
              <a:graphic xmlns:a="http://schemas.openxmlformats.org/drawingml/2006/main">
                <a:graphicData uri="http://schemas.microsoft.com/office/word/2010/wordprocessingShape">
                  <wps:wsp>
                    <wps:cNvSpPr/>
                    <wps:spPr>
                      <a:xfrm>
                        <a:off x="2555175" y="0"/>
                        <a:ext cx="5581650" cy="7560000"/>
                      </a:xfrm>
                      <a:prstGeom prst="rect">
                        <a:avLst/>
                      </a:prstGeom>
                      <a:noFill/>
                      <a:ln w="9525" cap="flat" cmpd="sng">
                        <a:solidFill>
                          <a:srgbClr val="395E89"/>
                        </a:solidFill>
                        <a:prstDash val="solid"/>
                        <a:round/>
                        <a:headEnd type="none" w="sm" len="sm"/>
                        <a:tailEnd type="none" w="sm" len="sm"/>
                      </a:ln>
                    </wps:spPr>
                    <wps:txbx>
                      <w:txbxContent>
                        <w:p w14:paraId="29E506A0" w14:textId="77777777" w:rsidR="009E11D4" w:rsidRDefault="009E11D4">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444500</wp:posOffset>
              </wp:positionV>
              <wp:extent cx="5591175" cy="8211820"/>
              <wp:effectExtent b="0" l="0" r="0" t="0"/>
              <wp:wrapNone/>
              <wp:docPr id="10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91175" cy="8211820"/>
                      </a:xfrm>
                      <a:prstGeom prst="rect"/>
                      <a:ln/>
                    </pic:spPr>
                  </pic:pic>
                </a:graphicData>
              </a:graphic>
            </wp:anchor>
          </w:drawing>
        </mc:Fallback>
      </mc:AlternateContent>
    </w:r>
  </w:p>
  <w:p w14:paraId="7DE09F14" w14:textId="77777777" w:rsidR="009E11D4" w:rsidRDefault="009E11D4">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E1CF69" w14:textId="7EC2E3FF" w:rsidR="009E11D4" w:rsidRDefault="009E11D4">
    <w:pPr>
      <w:pBdr>
        <w:top w:val="nil"/>
        <w:left w:val="nil"/>
        <w:bottom w:val="nil"/>
        <w:right w:val="nil"/>
        <w:between w:val="nil"/>
      </w:pBdr>
      <w:spacing w:line="240" w:lineRule="auto"/>
      <w:ind w:left="0" w:hanging="2"/>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CD7725"/>
    <w:multiLevelType w:val="multilevel"/>
    <w:tmpl w:val="175A22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0F200E"/>
    <w:multiLevelType w:val="multilevel"/>
    <w:tmpl w:val="FDECD71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0A767B0A"/>
    <w:multiLevelType w:val="multilevel"/>
    <w:tmpl w:val="F92C98F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AA9220A"/>
    <w:multiLevelType w:val="multilevel"/>
    <w:tmpl w:val="0082E7B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221004F8"/>
    <w:multiLevelType w:val="multilevel"/>
    <w:tmpl w:val="7E04E000"/>
    <w:lvl w:ilvl="0">
      <w:start w:val="1"/>
      <w:numFmt w:val="lowerLetter"/>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5" w15:restartNumberingAfterBreak="0">
    <w:nsid w:val="28393DE9"/>
    <w:multiLevelType w:val="multilevel"/>
    <w:tmpl w:val="97647C16"/>
    <w:lvl w:ilvl="0">
      <w:start w:val="31"/>
      <w:numFmt w:val="decimal"/>
      <w:lvlText w:val="%1"/>
      <w:lvlJc w:val="left"/>
      <w:pPr>
        <w:ind w:left="524" w:hanging="360"/>
      </w:pPr>
      <w:rPr>
        <w:vertAlign w:val="baseline"/>
      </w:rPr>
    </w:lvl>
    <w:lvl w:ilvl="1">
      <w:start w:val="1"/>
      <w:numFmt w:val="lowerLetter"/>
      <w:lvlText w:val="%2."/>
      <w:lvlJc w:val="left"/>
      <w:pPr>
        <w:ind w:left="1244" w:hanging="360"/>
      </w:pPr>
      <w:rPr>
        <w:vertAlign w:val="baseline"/>
      </w:rPr>
    </w:lvl>
    <w:lvl w:ilvl="2">
      <w:start w:val="1"/>
      <w:numFmt w:val="lowerRoman"/>
      <w:lvlText w:val="%3."/>
      <w:lvlJc w:val="right"/>
      <w:pPr>
        <w:ind w:left="1964" w:hanging="180"/>
      </w:pPr>
      <w:rPr>
        <w:vertAlign w:val="baseline"/>
      </w:rPr>
    </w:lvl>
    <w:lvl w:ilvl="3">
      <w:start w:val="1"/>
      <w:numFmt w:val="decimal"/>
      <w:lvlText w:val="%4."/>
      <w:lvlJc w:val="left"/>
      <w:pPr>
        <w:ind w:left="2684" w:hanging="360"/>
      </w:pPr>
      <w:rPr>
        <w:vertAlign w:val="baseline"/>
      </w:rPr>
    </w:lvl>
    <w:lvl w:ilvl="4">
      <w:start w:val="1"/>
      <w:numFmt w:val="lowerLetter"/>
      <w:lvlText w:val="%5."/>
      <w:lvlJc w:val="left"/>
      <w:pPr>
        <w:ind w:left="3404" w:hanging="360"/>
      </w:pPr>
      <w:rPr>
        <w:vertAlign w:val="baseline"/>
      </w:rPr>
    </w:lvl>
    <w:lvl w:ilvl="5">
      <w:start w:val="1"/>
      <w:numFmt w:val="lowerRoman"/>
      <w:lvlText w:val="%6."/>
      <w:lvlJc w:val="right"/>
      <w:pPr>
        <w:ind w:left="4124" w:hanging="180"/>
      </w:pPr>
      <w:rPr>
        <w:vertAlign w:val="baseline"/>
      </w:rPr>
    </w:lvl>
    <w:lvl w:ilvl="6">
      <w:start w:val="1"/>
      <w:numFmt w:val="decimal"/>
      <w:lvlText w:val="%7."/>
      <w:lvlJc w:val="left"/>
      <w:pPr>
        <w:ind w:left="4844" w:hanging="360"/>
      </w:pPr>
      <w:rPr>
        <w:vertAlign w:val="baseline"/>
      </w:rPr>
    </w:lvl>
    <w:lvl w:ilvl="7">
      <w:start w:val="1"/>
      <w:numFmt w:val="lowerLetter"/>
      <w:lvlText w:val="%8."/>
      <w:lvlJc w:val="left"/>
      <w:pPr>
        <w:ind w:left="5564" w:hanging="360"/>
      </w:pPr>
      <w:rPr>
        <w:vertAlign w:val="baseline"/>
      </w:rPr>
    </w:lvl>
    <w:lvl w:ilvl="8">
      <w:start w:val="1"/>
      <w:numFmt w:val="lowerRoman"/>
      <w:lvlText w:val="%9."/>
      <w:lvlJc w:val="right"/>
      <w:pPr>
        <w:ind w:left="6284" w:hanging="180"/>
      </w:pPr>
      <w:rPr>
        <w:vertAlign w:val="baseline"/>
      </w:rPr>
    </w:lvl>
  </w:abstractNum>
  <w:abstractNum w:abstractNumId="6" w15:restartNumberingAfterBreak="0">
    <w:nsid w:val="39E12652"/>
    <w:multiLevelType w:val="multilevel"/>
    <w:tmpl w:val="765E887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41D24857"/>
    <w:multiLevelType w:val="multilevel"/>
    <w:tmpl w:val="F66EA01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49F87035"/>
    <w:multiLevelType w:val="multilevel"/>
    <w:tmpl w:val="E1DA09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CB15CA3"/>
    <w:multiLevelType w:val="multilevel"/>
    <w:tmpl w:val="404641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D237EE1"/>
    <w:multiLevelType w:val="multilevel"/>
    <w:tmpl w:val="BAC80C6C"/>
    <w:lvl w:ilvl="0">
      <w:start w:val="1"/>
      <w:numFmt w:val="decimal"/>
      <w:lvlText w:val="%1.0"/>
      <w:lvlJc w:val="left"/>
      <w:pPr>
        <w:ind w:left="1860" w:hanging="420"/>
      </w:pPr>
      <w:rPr>
        <w:vertAlign w:val="baseline"/>
      </w:rPr>
    </w:lvl>
    <w:lvl w:ilvl="1">
      <w:start w:val="1"/>
      <w:numFmt w:val="decimalZero"/>
      <w:lvlText w:val="%1.%2"/>
      <w:lvlJc w:val="left"/>
      <w:pPr>
        <w:ind w:left="2580" w:hanging="4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432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120" w:hanging="1080"/>
      </w:pPr>
      <w:rPr>
        <w:vertAlign w:val="baseline"/>
      </w:rPr>
    </w:lvl>
    <w:lvl w:ilvl="6">
      <w:start w:val="1"/>
      <w:numFmt w:val="decimal"/>
      <w:lvlText w:val="%1.%2.%3.%4.%5.%6.%7"/>
      <w:lvlJc w:val="left"/>
      <w:pPr>
        <w:ind w:left="7200" w:hanging="1440"/>
      </w:pPr>
      <w:rPr>
        <w:vertAlign w:val="baseline"/>
      </w:rPr>
    </w:lvl>
    <w:lvl w:ilvl="7">
      <w:start w:val="1"/>
      <w:numFmt w:val="decimal"/>
      <w:lvlText w:val="%1.%2.%3.%4.%5.%6.%7.%8"/>
      <w:lvlJc w:val="left"/>
      <w:pPr>
        <w:ind w:left="7920" w:hanging="1440"/>
      </w:pPr>
      <w:rPr>
        <w:vertAlign w:val="baseline"/>
      </w:rPr>
    </w:lvl>
    <w:lvl w:ilvl="8">
      <w:start w:val="1"/>
      <w:numFmt w:val="decimal"/>
      <w:lvlText w:val="%1.%2.%3.%4.%5.%6.%7.%8.%9"/>
      <w:lvlJc w:val="left"/>
      <w:pPr>
        <w:ind w:left="9000" w:hanging="1800"/>
      </w:pPr>
      <w:rPr>
        <w:vertAlign w:val="baseline"/>
      </w:rPr>
    </w:lvl>
  </w:abstractNum>
  <w:abstractNum w:abstractNumId="11" w15:restartNumberingAfterBreak="0">
    <w:nsid w:val="55E16E0F"/>
    <w:multiLevelType w:val="multilevel"/>
    <w:tmpl w:val="ED42AD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1D02CE0"/>
    <w:multiLevelType w:val="multilevel"/>
    <w:tmpl w:val="73F2AB40"/>
    <w:lvl w:ilvl="0">
      <w:start w:val="2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2C60B39"/>
    <w:multiLevelType w:val="multilevel"/>
    <w:tmpl w:val="924E2524"/>
    <w:lvl w:ilvl="0">
      <w:start w:val="1"/>
      <w:numFmt w:val="lowerLetter"/>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14" w15:restartNumberingAfterBreak="0">
    <w:nsid w:val="64804999"/>
    <w:multiLevelType w:val="multilevel"/>
    <w:tmpl w:val="7602C096"/>
    <w:lvl w:ilvl="0">
      <w:start w:val="1"/>
      <w:numFmt w:val="lowerLetter"/>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15" w15:restartNumberingAfterBreak="0">
    <w:nsid w:val="660221A8"/>
    <w:multiLevelType w:val="multilevel"/>
    <w:tmpl w:val="BB1000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A407801"/>
    <w:multiLevelType w:val="multilevel"/>
    <w:tmpl w:val="21E244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530F14"/>
    <w:multiLevelType w:val="multilevel"/>
    <w:tmpl w:val="3F1C601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7A3E7C9B"/>
    <w:multiLevelType w:val="multilevel"/>
    <w:tmpl w:val="32F671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99839800">
    <w:abstractNumId w:val="6"/>
  </w:num>
  <w:num w:numId="2" w16cid:durableId="481891238">
    <w:abstractNumId w:val="8"/>
  </w:num>
  <w:num w:numId="3" w16cid:durableId="1262030556">
    <w:abstractNumId w:val="7"/>
  </w:num>
  <w:num w:numId="4" w16cid:durableId="992836622">
    <w:abstractNumId w:val="10"/>
  </w:num>
  <w:num w:numId="5" w16cid:durableId="1186138957">
    <w:abstractNumId w:val="12"/>
  </w:num>
  <w:num w:numId="6" w16cid:durableId="879783055">
    <w:abstractNumId w:val="3"/>
  </w:num>
  <w:num w:numId="7" w16cid:durableId="1531721080">
    <w:abstractNumId w:val="5"/>
  </w:num>
  <w:num w:numId="8" w16cid:durableId="1597209162">
    <w:abstractNumId w:val="11"/>
  </w:num>
  <w:num w:numId="9" w16cid:durableId="1325930704">
    <w:abstractNumId w:val="9"/>
  </w:num>
  <w:num w:numId="10" w16cid:durableId="1453205673">
    <w:abstractNumId w:val="4"/>
  </w:num>
  <w:num w:numId="11" w16cid:durableId="126778131">
    <w:abstractNumId w:val="0"/>
  </w:num>
  <w:num w:numId="12" w16cid:durableId="1763604097">
    <w:abstractNumId w:val="16"/>
  </w:num>
  <w:num w:numId="13" w16cid:durableId="1629772894">
    <w:abstractNumId w:val="2"/>
  </w:num>
  <w:num w:numId="14" w16cid:durableId="547033155">
    <w:abstractNumId w:val="1"/>
  </w:num>
  <w:num w:numId="15" w16cid:durableId="545683511">
    <w:abstractNumId w:val="14"/>
  </w:num>
  <w:num w:numId="16" w16cid:durableId="2129887164">
    <w:abstractNumId w:val="13"/>
  </w:num>
  <w:num w:numId="17" w16cid:durableId="1040517677">
    <w:abstractNumId w:val="17"/>
  </w:num>
  <w:num w:numId="18" w16cid:durableId="1898468445">
    <w:abstractNumId w:val="15"/>
  </w:num>
  <w:num w:numId="19" w16cid:durableId="450830520">
    <w:abstractNumId w:val="1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D4"/>
    <w:rsid w:val="000000C4"/>
    <w:rsid w:val="004D2FBD"/>
    <w:rsid w:val="009E11D4"/>
    <w:rsid w:val="00DB6A7D"/>
    <w:rsid w:val="00DC3FE6"/>
    <w:rsid w:val="00DD15B8"/>
    <w:rsid w:val="00F160D5"/>
    <w:rsid w:val="00F211A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3B490DA0"/>
  <w15:docId w15:val="{ADFC1E6C-2C3A-B641-89A8-13AB366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ourier New" w:eastAsia="Courier New" w:hAnsi="Courier New" w:cs="Courier New"/>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2"/>
    </w:rPr>
  </w:style>
  <w:style w:type="paragraph" w:styleId="Heading1">
    <w:name w:val="heading 1"/>
    <w:basedOn w:val="Normal"/>
    <w:uiPriority w:val="9"/>
    <w:qFormat/>
    <w:pPr>
      <w:spacing w:before="100" w:beforeAutospacing="1" w:after="100" w:afterAutospacing="1"/>
    </w:pPr>
    <w:rPr>
      <w:b/>
      <w:bCs/>
      <w:kern w:val="36"/>
      <w:sz w:val="48"/>
      <w:szCs w:val="48"/>
    </w:rPr>
  </w:style>
  <w:style w:type="paragraph" w:styleId="Heading2">
    <w:name w:val="heading 2"/>
    <w:basedOn w:val="Normal"/>
    <w:next w:val="Normal"/>
    <w:uiPriority w:val="9"/>
    <w:semiHidden/>
    <w:unhideWhenUsed/>
    <w:qFormat/>
    <w:pPr>
      <w:keepNext/>
      <w:spacing w:before="240" w:after="60"/>
      <w:outlineLvl w:val="1"/>
    </w:pPr>
    <w:rPr>
      <w:rFonts w:ascii="Symbol" w:hAnsi="Symbo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Unicode MS" w:hAnsi="Arial Unicode MS" w:cs="Arial Unicode MS"/>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character" w:customStyle="1" w:styleId="Heading1Char">
    <w:name w:val="Heading 1 Char"/>
    <w:rPr>
      <w:b/>
      <w:bCs/>
      <w:w w:val="100"/>
      <w:kern w:val="36"/>
      <w:position w:val="-1"/>
      <w:sz w:val="48"/>
      <w:szCs w:val="48"/>
      <w:effect w:val="none"/>
      <w:vertAlign w:val="baseline"/>
      <w:cs w:val="0"/>
      <w:em w:val="none"/>
    </w:rPr>
  </w:style>
  <w:style w:type="character" w:customStyle="1" w:styleId="label">
    <w:name w:val="label"/>
    <w:basedOn w:val="DefaultParagraphFon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szCs w:val="24"/>
    </w:rPr>
  </w:style>
  <w:style w:type="character" w:customStyle="1" w:styleId="Heading2Char">
    <w:name w:val="Heading 2 Char"/>
    <w:rPr>
      <w:rFonts w:ascii="Symbol" w:eastAsia="Courier New" w:hAnsi="Symbol" w:cs="Courier New"/>
      <w:b/>
      <w:bCs/>
      <w:i/>
      <w:iCs/>
      <w:w w:val="100"/>
      <w:position w:val="-1"/>
      <w:sz w:val="28"/>
      <w:szCs w:val="28"/>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character" w:customStyle="1" w:styleId="retrieval">
    <w:name w:val="retrieval"/>
    <w:basedOn w:val="DefaultParagraphFont"/>
    <w:rPr>
      <w:w w:val="100"/>
      <w:position w:val="-1"/>
      <w:effect w:val="none"/>
      <w:vertAlign w:val="baseline"/>
      <w:cs w:val="0"/>
      <w:em w:val="none"/>
    </w:rPr>
  </w:style>
  <w:style w:type="paragraph" w:styleId="BalloonText">
    <w:name w:val="Balloon Text"/>
    <w:basedOn w:val="Normal"/>
    <w:qFormat/>
    <w:rPr>
      <w:rFonts w:ascii="Wingdings" w:hAnsi="Wingdings" w:cs="Wingdings"/>
      <w:sz w:val="16"/>
      <w:szCs w:val="16"/>
    </w:rPr>
  </w:style>
  <w:style w:type="character" w:customStyle="1" w:styleId="BalloonTextChar">
    <w:name w:val="Balloon Text Char"/>
    <w:rPr>
      <w:rFonts w:ascii="Wingdings" w:hAnsi="Wingdings" w:cs="Wingdings"/>
      <w:w w:val="100"/>
      <w:position w:val="-1"/>
      <w:sz w:val="16"/>
      <w:szCs w:val="16"/>
      <w:effect w:val="none"/>
      <w:vertAlign w:val="baseline"/>
      <w:cs w:val="0"/>
      <w:em w:val="none"/>
    </w:rPr>
  </w:style>
  <w:style w:type="paragraph" w:customStyle="1" w:styleId="authors">
    <w:name w:val="authors"/>
    <w:basedOn w:val="Normal"/>
    <w:pPr>
      <w:spacing w:before="100" w:beforeAutospacing="1" w:after="100" w:afterAutospacing="1"/>
    </w:pPr>
    <w:rPr>
      <w:szCs w:val="24"/>
    </w:rPr>
  </w:style>
  <w:style w:type="character" w:styleId="Strong">
    <w:name w:val="Strong"/>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styleId="LightList">
    <w:name w:val="Light Lis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character" w:styleId="Emphasis">
    <w:name w:val="Emphasis"/>
    <w:rPr>
      <w:i/>
      <w:iCs/>
      <w:w w:val="100"/>
      <w:position w:val="-1"/>
      <w:effect w:val="none"/>
      <w:vertAlign w:val="baseline"/>
      <w:cs w:val="0"/>
      <w:em w:val="none"/>
    </w:rPr>
  </w:style>
  <w:style w:type="character" w:customStyle="1" w:styleId="smallcaps1">
    <w:name w:val="smallcaps1"/>
    <w:rPr>
      <w:spacing w:val="15"/>
      <w:w w:val="100"/>
      <w:position w:val="-1"/>
      <w:sz w:val="15"/>
      <w:szCs w:val="15"/>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ref-journal">
    <w:name w:val="ref-journal"/>
    <w:basedOn w:val="DefaultParagraphFont"/>
    <w:rPr>
      <w:w w:val="100"/>
      <w:position w:val="-1"/>
      <w:effect w:val="none"/>
      <w:vertAlign w:val="baseline"/>
      <w:cs w:val="0"/>
      <w:em w:val="none"/>
    </w:rPr>
  </w:style>
  <w:style w:type="character" w:customStyle="1" w:styleId="ref-vol">
    <w:name w:val="ref-vol"/>
    <w:basedOn w:val="DefaultParagraphFont"/>
    <w:rPr>
      <w:w w:val="100"/>
      <w:position w:val="-1"/>
      <w:effect w:val="none"/>
      <w:vertAlign w:val="baseline"/>
      <w:cs w:val="0"/>
      <w:em w:val="none"/>
    </w:rPr>
  </w:style>
  <w:style w:type="character" w:customStyle="1" w:styleId="Heading3Char">
    <w:name w:val="Heading 3 Char"/>
    <w:rPr>
      <w:rFonts w:ascii="Arial Unicode MS" w:eastAsia="Courier New" w:hAnsi="Arial Unicode MS" w:cs="Arial Unicode MS"/>
      <w:b/>
      <w:bCs/>
      <w:w w:val="100"/>
      <w:position w:val="-1"/>
      <w:sz w:val="26"/>
      <w:szCs w:val="26"/>
      <w:effect w:val="none"/>
      <w:vertAlign w:val="baseline"/>
      <w:cs w:val="0"/>
      <w:em w:val="none"/>
    </w:rPr>
  </w:style>
  <w:style w:type="paragraph" w:styleId="BodyTextIndent">
    <w:name w:val="Body Text Indent"/>
    <w:basedOn w:val="Normal"/>
    <w:pPr>
      <w:ind w:left="576" w:hanging="288"/>
    </w:pPr>
    <w:rPr>
      <w:szCs w:val="24"/>
    </w:rPr>
  </w:style>
  <w:style w:type="character" w:customStyle="1" w:styleId="BodyTextIndentChar">
    <w:name w:val="Body Text Indent Char"/>
    <w:rPr>
      <w:w w:val="100"/>
      <w:position w:val="-1"/>
      <w:szCs w:val="24"/>
      <w:effect w:val="none"/>
      <w:vertAlign w:val="baseline"/>
      <w:cs w:val="0"/>
      <w:em w:val="none"/>
    </w:rPr>
  </w:style>
  <w:style w:type="character" w:customStyle="1" w:styleId="text1">
    <w:name w:val="text1"/>
    <w:rPr>
      <w:rFonts w:ascii="Arial Unicode MS" w:hAnsi="Arial Unicode MS" w:cs="Arial Unicode MS" w:hint="default"/>
      <w:dstrike w:val="0"/>
      <w:color w:val="000000"/>
      <w:w w:val="100"/>
      <w:position w:val="-1"/>
      <w:sz w:val="18"/>
      <w:szCs w:val="18"/>
      <w:u w:val="none"/>
      <w:effect w:val="none"/>
      <w:shd w:val="clear" w:color="auto" w:fill="auto"/>
      <w:vertAlign w:val="baseline"/>
      <w:cs w:val="0"/>
      <w:em w:val="none"/>
    </w:rPr>
  </w:style>
  <w:style w:type="paragraph" w:styleId="BodyText">
    <w:name w:val="Body Text"/>
    <w:basedOn w:val="Normal"/>
    <w:pPr>
      <w:spacing w:after="120"/>
    </w:pPr>
    <w:rPr>
      <w:szCs w:val="24"/>
    </w:rPr>
  </w:style>
  <w:style w:type="character" w:customStyle="1" w:styleId="BodyTextChar">
    <w:name w:val="Body Text Char"/>
    <w:rPr>
      <w:w w:val="100"/>
      <w:position w:val="-1"/>
      <w:szCs w:val="24"/>
      <w:effect w:val="none"/>
      <w:vertAlign w:val="baseline"/>
      <w:cs w:val="0"/>
      <w:em w:val="none"/>
    </w:rPr>
  </w:style>
  <w:style w:type="paragraph" w:customStyle="1" w:styleId="Body1">
    <w:name w:val="Body 1"/>
    <w:pPr>
      <w:suppressAutoHyphens/>
      <w:spacing w:line="1" w:lineRule="atLeast"/>
      <w:ind w:leftChars="-1" w:left="-1" w:hangingChars="1" w:hanging="1"/>
      <w:textDirection w:val="btLr"/>
      <w:textAlignment w:val="top"/>
      <w:outlineLvl w:val="0"/>
    </w:pPr>
    <w:rPr>
      <w:color w:val="000000"/>
      <w:position w:val="-1"/>
    </w:rPr>
  </w:style>
  <w:style w:type="paragraph" w:styleId="TOC1">
    <w:name w:val="toc 1"/>
    <w:basedOn w:val="Normal"/>
    <w:next w:val="Normal"/>
    <w:qFormat/>
    <w:pPr>
      <w:spacing w:after="100"/>
      <w:jc w:val="center"/>
    </w:pPr>
    <w:rPr>
      <w:b/>
      <w:sz w:val="28"/>
    </w:rPr>
  </w:style>
  <w:style w:type="paragraph" w:styleId="TOC2">
    <w:name w:val="toc 2"/>
    <w:basedOn w:val="Normal"/>
    <w:next w:val="Normal"/>
    <w:qFormat/>
    <w:pPr>
      <w:spacing w:after="100"/>
      <w:ind w:left="240"/>
    </w:pPr>
  </w:style>
  <w:style w:type="paragraph" w:styleId="TOC3">
    <w:name w:val="toc 3"/>
    <w:basedOn w:val="Normal"/>
    <w:next w:val="Normal"/>
    <w:qFormat/>
    <w:pPr>
      <w:spacing w:after="100"/>
      <w:ind w:left="480"/>
    </w:pPr>
  </w:style>
  <w:style w:type="character" w:styleId="BookTitle">
    <w:name w:val="Book Title"/>
    <w:rPr>
      <w:b/>
      <w:bCs/>
      <w:smallCaps/>
      <w:spacing w:val="5"/>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Light" w:hAnsi="Calibri Light"/>
      <w:position w:val="-1"/>
      <w:sz w:val="22"/>
      <w:szCs w:val="22"/>
    </w:rPr>
  </w:style>
  <w:style w:type="character" w:customStyle="1" w:styleId="NoSpacingChar">
    <w:name w:val="No Spacing Char"/>
    <w:rPr>
      <w:rFonts w:ascii="Calibri Light" w:hAnsi="Calibri Light"/>
      <w:w w:val="100"/>
      <w:position w:val="-1"/>
      <w:sz w:val="22"/>
      <w:szCs w:val="22"/>
      <w:effect w:val="none"/>
      <w:vertAlign w:val="baseline"/>
      <w:cs w:val="0"/>
      <w:em w:val="none"/>
      <w:lang w:val="en-US" w:eastAsia="en-US"/>
    </w:rPr>
  </w:style>
  <w:style w:type="character" w:customStyle="1" w:styleId="comma">
    <w:name w:val="comma"/>
    <w:rPr>
      <w:w w:val="100"/>
      <w:position w:val="-1"/>
      <w:effect w:val="none"/>
      <w:vertAlign w:val="baseline"/>
      <w:cs w:val="0"/>
      <w:em w:val="none"/>
    </w:rPr>
  </w:style>
  <w:style w:type="paragraph" w:styleId="HTMLPreformatted">
    <w:name w:val="HTML Preformatted"/>
    <w:basedOn w:val="Normal"/>
    <w:qFormat/>
    <w:rPr>
      <w:rFonts w:ascii="Arial" w:hAnsi="Arial" w:cs="Arial"/>
      <w:sz w:val="20"/>
      <w:szCs w:val="20"/>
    </w:rPr>
  </w:style>
  <w:style w:type="character" w:customStyle="1" w:styleId="HTMLPreformattedChar">
    <w:name w:val="HTML Preformatted Char"/>
    <w:rPr>
      <w:rFonts w:ascii="Arial" w:hAnsi="Arial" w:cs="Arial"/>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8.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RC%20DIRECTOR\Desktop\Research%20for%20Statistical%20Treatment\Lorenzo\Board-Exam-Results-Final%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Sheet2!$A$10</c:f>
              <c:strCache>
                <c:ptCount val="1"/>
                <c:pt idx="0">
                  <c:v>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Sheet2!$B$9:$G$9</c:f>
              <c:strCache>
                <c:ptCount val="6"/>
                <c:pt idx="0">
                  <c:v>2015</c:v>
                </c:pt>
                <c:pt idx="1">
                  <c:v>2016</c:v>
                </c:pt>
                <c:pt idx="2">
                  <c:v>2017</c:v>
                </c:pt>
                <c:pt idx="3">
                  <c:v>2018</c:v>
                </c:pt>
                <c:pt idx="4">
                  <c:v>2019</c:v>
                </c:pt>
                <c:pt idx="5">
                  <c:v>Average</c:v>
                </c:pt>
              </c:strCache>
            </c:strRef>
          </c:cat>
          <c:val>
            <c:numRef>
              <c:f>Sheet2!$B$10:$G$10</c:f>
              <c:numCache>
                <c:formatCode>General</c:formatCode>
                <c:ptCount val="6"/>
                <c:pt idx="0">
                  <c:v>45.45</c:v>
                </c:pt>
                <c:pt idx="1">
                  <c:v>26.83</c:v>
                </c:pt>
                <c:pt idx="2">
                  <c:v>42.5</c:v>
                </c:pt>
                <c:pt idx="3">
                  <c:v>62.26</c:v>
                </c:pt>
                <c:pt idx="4">
                  <c:v>50</c:v>
                </c:pt>
                <c:pt idx="5">
                  <c:v>46.95</c:v>
                </c:pt>
              </c:numCache>
            </c:numRef>
          </c:val>
          <c:smooth val="0"/>
          <c:extLst>
            <c:ext xmlns:c16="http://schemas.microsoft.com/office/drawing/2014/chart" uri="{C3380CC4-5D6E-409C-BE32-E72D297353CC}">
              <c16:uniqueId val="{00000000-39E5-45F8-B4B1-F9F19A1FA1DE}"/>
            </c:ext>
          </c:extLst>
        </c:ser>
        <c:ser>
          <c:idx val="1"/>
          <c:order val="1"/>
          <c:tx>
            <c:strRef>
              <c:f>Sheet2!$A$11</c:f>
              <c:strCache>
                <c:ptCount val="1"/>
                <c:pt idx="0">
                  <c:v>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Sheet2!$B$9:$G$9</c:f>
              <c:strCache>
                <c:ptCount val="6"/>
                <c:pt idx="0">
                  <c:v>2015</c:v>
                </c:pt>
                <c:pt idx="1">
                  <c:v>2016</c:v>
                </c:pt>
                <c:pt idx="2">
                  <c:v>2017</c:v>
                </c:pt>
                <c:pt idx="3">
                  <c:v>2018</c:v>
                </c:pt>
                <c:pt idx="4">
                  <c:v>2019</c:v>
                </c:pt>
                <c:pt idx="5">
                  <c:v>Average</c:v>
                </c:pt>
              </c:strCache>
            </c:strRef>
          </c:cat>
          <c:val>
            <c:numRef>
              <c:f>Sheet2!$B$11:$G$11</c:f>
              <c:numCache>
                <c:formatCode>General</c:formatCode>
                <c:ptCount val="6"/>
                <c:pt idx="0">
                  <c:v>21.05</c:v>
                </c:pt>
                <c:pt idx="1">
                  <c:v>37.5</c:v>
                </c:pt>
                <c:pt idx="2">
                  <c:v>55</c:v>
                </c:pt>
                <c:pt idx="3">
                  <c:v>38.1</c:v>
                </c:pt>
                <c:pt idx="4">
                  <c:v>44</c:v>
                </c:pt>
                <c:pt idx="5">
                  <c:v>39.78</c:v>
                </c:pt>
              </c:numCache>
            </c:numRef>
          </c:val>
          <c:smooth val="0"/>
          <c:extLst>
            <c:ext xmlns:c16="http://schemas.microsoft.com/office/drawing/2014/chart" uri="{C3380CC4-5D6E-409C-BE32-E72D297353CC}">
              <c16:uniqueId val="{00000001-39E5-45F8-B4B1-F9F19A1FA1DE}"/>
            </c:ext>
          </c:extLst>
        </c:ser>
        <c:ser>
          <c:idx val="2"/>
          <c:order val="2"/>
          <c:tx>
            <c:strRef>
              <c:f>Sheet2!$A$12</c:f>
              <c:strCache>
                <c:ptCount val="1"/>
                <c:pt idx="0">
                  <c:v>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Sheet2!$B$9:$G$9</c:f>
              <c:strCache>
                <c:ptCount val="6"/>
                <c:pt idx="0">
                  <c:v>2015</c:v>
                </c:pt>
                <c:pt idx="1">
                  <c:v>2016</c:v>
                </c:pt>
                <c:pt idx="2">
                  <c:v>2017</c:v>
                </c:pt>
                <c:pt idx="3">
                  <c:v>2018</c:v>
                </c:pt>
                <c:pt idx="4">
                  <c:v>2019</c:v>
                </c:pt>
                <c:pt idx="5">
                  <c:v>Average</c:v>
                </c:pt>
              </c:strCache>
            </c:strRef>
          </c:cat>
          <c:val>
            <c:numRef>
              <c:f>Sheet2!$B$12:$G$12</c:f>
              <c:numCache>
                <c:formatCode>General</c:formatCode>
                <c:ptCount val="6"/>
                <c:pt idx="0">
                  <c:v>30.43</c:v>
                </c:pt>
                <c:pt idx="1">
                  <c:v>25</c:v>
                </c:pt>
                <c:pt idx="2">
                  <c:v>26.92</c:v>
                </c:pt>
                <c:pt idx="3">
                  <c:v>40</c:v>
                </c:pt>
                <c:pt idx="4">
                  <c:v>44.44</c:v>
                </c:pt>
                <c:pt idx="5">
                  <c:v>32.130000000000003</c:v>
                </c:pt>
              </c:numCache>
            </c:numRef>
          </c:val>
          <c:smooth val="0"/>
          <c:extLst>
            <c:ext xmlns:c16="http://schemas.microsoft.com/office/drawing/2014/chart" uri="{C3380CC4-5D6E-409C-BE32-E72D297353CC}">
              <c16:uniqueId val="{00000002-39E5-45F8-B4B1-F9F19A1FA1DE}"/>
            </c:ext>
          </c:extLst>
        </c:ser>
        <c:ser>
          <c:idx val="3"/>
          <c:order val="3"/>
          <c:tx>
            <c:strRef>
              <c:f>Sheet2!$A$13</c:f>
              <c:strCache>
                <c:ptCount val="1"/>
                <c:pt idx="0">
                  <c:v>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Sheet2!$B$9:$G$9</c:f>
              <c:strCache>
                <c:ptCount val="6"/>
                <c:pt idx="0">
                  <c:v>2015</c:v>
                </c:pt>
                <c:pt idx="1">
                  <c:v>2016</c:v>
                </c:pt>
                <c:pt idx="2">
                  <c:v>2017</c:v>
                </c:pt>
                <c:pt idx="3">
                  <c:v>2018</c:v>
                </c:pt>
                <c:pt idx="4">
                  <c:v>2019</c:v>
                </c:pt>
                <c:pt idx="5">
                  <c:v>Average</c:v>
                </c:pt>
              </c:strCache>
            </c:strRef>
          </c:cat>
          <c:val>
            <c:numRef>
              <c:f>Sheet2!$B$13:$G$13</c:f>
              <c:numCache>
                <c:formatCode>General</c:formatCode>
                <c:ptCount val="6"/>
                <c:pt idx="0">
                  <c:v>14.29</c:v>
                </c:pt>
                <c:pt idx="1">
                  <c:v>5.26</c:v>
                </c:pt>
                <c:pt idx="2">
                  <c:v>16.13</c:v>
                </c:pt>
                <c:pt idx="3">
                  <c:v>17.86</c:v>
                </c:pt>
                <c:pt idx="4">
                  <c:v>17.86</c:v>
                </c:pt>
                <c:pt idx="5">
                  <c:v>13.7</c:v>
                </c:pt>
              </c:numCache>
            </c:numRef>
          </c:val>
          <c:smooth val="0"/>
          <c:extLst>
            <c:ext xmlns:c16="http://schemas.microsoft.com/office/drawing/2014/chart" uri="{C3380CC4-5D6E-409C-BE32-E72D297353CC}">
              <c16:uniqueId val="{00000003-39E5-45F8-B4B1-F9F19A1FA1DE}"/>
            </c:ext>
          </c:extLst>
        </c:ser>
        <c:ser>
          <c:idx val="4"/>
          <c:order val="4"/>
          <c:tx>
            <c:strRef>
              <c:f>Sheet2!$A$14</c:f>
              <c:strCache>
                <c:ptCount val="1"/>
                <c:pt idx="0">
                  <c:v>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Sheet2!$B$9:$G$9</c:f>
              <c:strCache>
                <c:ptCount val="6"/>
                <c:pt idx="0">
                  <c:v>2015</c:v>
                </c:pt>
                <c:pt idx="1">
                  <c:v>2016</c:v>
                </c:pt>
                <c:pt idx="2">
                  <c:v>2017</c:v>
                </c:pt>
                <c:pt idx="3">
                  <c:v>2018</c:v>
                </c:pt>
                <c:pt idx="4">
                  <c:v>2019</c:v>
                </c:pt>
                <c:pt idx="5">
                  <c:v>Average</c:v>
                </c:pt>
              </c:strCache>
            </c:strRef>
          </c:cat>
          <c:val>
            <c:numRef>
              <c:f>Sheet2!$B$14:$G$14</c:f>
              <c:numCache>
                <c:formatCode>General</c:formatCode>
                <c:ptCount val="6"/>
                <c:pt idx="0">
                  <c:v>36.840000000000003</c:v>
                </c:pt>
                <c:pt idx="1">
                  <c:v>33.729999999999997</c:v>
                </c:pt>
                <c:pt idx="2">
                  <c:v>50.7</c:v>
                </c:pt>
                <c:pt idx="3">
                  <c:v>48.1</c:v>
                </c:pt>
                <c:pt idx="4">
                  <c:v>45.33</c:v>
                </c:pt>
                <c:pt idx="5">
                  <c:v>42.71</c:v>
                </c:pt>
              </c:numCache>
            </c:numRef>
          </c:val>
          <c:smooth val="0"/>
          <c:extLst>
            <c:ext xmlns:c16="http://schemas.microsoft.com/office/drawing/2014/chart" uri="{C3380CC4-5D6E-409C-BE32-E72D297353CC}">
              <c16:uniqueId val="{00000004-39E5-45F8-B4B1-F9F19A1FA1DE}"/>
            </c:ext>
          </c:extLst>
        </c:ser>
        <c:ser>
          <c:idx val="5"/>
          <c:order val="5"/>
          <c:tx>
            <c:strRef>
              <c:f>Sheet2!$A$15</c:f>
              <c:strCache>
                <c:ptCount val="1"/>
                <c:pt idx="0">
                  <c:v>National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Sheet2!$B$9:$G$9</c:f>
              <c:strCache>
                <c:ptCount val="6"/>
                <c:pt idx="0">
                  <c:v>2015</c:v>
                </c:pt>
                <c:pt idx="1">
                  <c:v>2016</c:v>
                </c:pt>
                <c:pt idx="2">
                  <c:v>2017</c:v>
                </c:pt>
                <c:pt idx="3">
                  <c:v>2018</c:v>
                </c:pt>
                <c:pt idx="4">
                  <c:v>2019</c:v>
                </c:pt>
                <c:pt idx="5">
                  <c:v>Average</c:v>
                </c:pt>
              </c:strCache>
            </c:strRef>
          </c:cat>
          <c:val>
            <c:numRef>
              <c:f>Sheet2!$B$15:$G$15</c:f>
              <c:numCache>
                <c:formatCode>General</c:formatCode>
                <c:ptCount val="6"/>
                <c:pt idx="0">
                  <c:v>37.445</c:v>
                </c:pt>
                <c:pt idx="1">
                  <c:v>38.655000000000001</c:v>
                </c:pt>
                <c:pt idx="2">
                  <c:v>44.01</c:v>
                </c:pt>
                <c:pt idx="3">
                  <c:v>47.424999999999997</c:v>
                </c:pt>
                <c:pt idx="4">
                  <c:v>49.174999999999997</c:v>
                </c:pt>
                <c:pt idx="5">
                  <c:v>43.341999999999999</c:v>
                </c:pt>
              </c:numCache>
            </c:numRef>
          </c:val>
          <c:smooth val="0"/>
          <c:extLst>
            <c:ext xmlns:c16="http://schemas.microsoft.com/office/drawing/2014/chart" uri="{C3380CC4-5D6E-409C-BE32-E72D297353CC}">
              <c16:uniqueId val="{00000005-39E5-45F8-B4B1-F9F19A1FA1DE}"/>
            </c:ext>
          </c:extLst>
        </c:ser>
        <c:dLbls>
          <c:showLegendKey val="0"/>
          <c:showVal val="0"/>
          <c:showCatName val="0"/>
          <c:showSerName val="0"/>
          <c:showPercent val="0"/>
          <c:showBubbleSize val="0"/>
        </c:dLbls>
        <c:marker val="1"/>
        <c:smooth val="0"/>
        <c:axId val="544699903"/>
        <c:axId val="544541407"/>
      </c:lineChart>
      <c:catAx>
        <c:axId val="54469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41407"/>
        <c:crosses val="autoZero"/>
        <c:auto val="1"/>
        <c:lblAlgn val="ctr"/>
        <c:lblOffset val="100"/>
        <c:noMultiLvlLbl val="0"/>
      </c:catAx>
      <c:valAx>
        <c:axId val="544541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PH">
                    <a:solidFill>
                      <a:sysClr val="windowText" lastClr="000000"/>
                    </a:solidFill>
                    <a:latin typeface="Times New Roman" panose="02020603050405020304" pitchFamily="18" charset="0"/>
                    <a:cs typeface="Times New Roman" panose="02020603050405020304" pitchFamily="18" charset="0"/>
                  </a:rPr>
                  <a:t>Rating</a:t>
                </a:r>
              </a:p>
            </c:rich>
          </c:tx>
          <c:layout>
            <c:manualLayout>
              <c:xMode val="edge"/>
              <c:yMode val="edge"/>
              <c:x val="4.5088566827697261E-2"/>
              <c:y val="0.292676158154537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46999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vR3lOl/GaJzBAFmhm1Dn1A/6Xg==">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10458</Words>
  <Characters>59617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SICS_Dean</dc:creator>
  <cp:lastModifiedBy>Ariel M. Lorenzo</cp:lastModifiedBy>
  <cp:revision>2</cp:revision>
  <dcterms:created xsi:type="dcterms:W3CDTF">2026-06-23T07:51:00Z</dcterms:created>
  <dcterms:modified xsi:type="dcterms:W3CDTF">2026-06-23T07:51:00Z</dcterms:modified>
</cp:coreProperties>
</file>