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80" w:rsidRDefault="001A4980" w:rsidP="001A4980">
      <w:pPr>
        <w:pStyle w:val="NormalWeb"/>
        <w:jc w:val="center"/>
        <w:rPr>
          <w:b/>
          <w:sz w:val="28"/>
        </w:rPr>
      </w:pPr>
      <w:r w:rsidRPr="00DD467E">
        <w:rPr>
          <w:b/>
          <w:sz w:val="28"/>
        </w:rPr>
        <w:t>Public Participation in Theory and Practice: Examining Its Application in Public Administration and Governance in Kenya.</w:t>
      </w:r>
    </w:p>
    <w:p w:rsidR="00B20CB7" w:rsidRPr="00F76DC8" w:rsidRDefault="00B20CB7" w:rsidP="00B20CB7">
      <w:pPr>
        <w:pStyle w:val="NoSpacing"/>
        <w:jc w:val="center"/>
        <w:rPr>
          <w:rFonts w:ascii="Times New Roman" w:hAnsi="Times New Roman" w:cs="Times New Roman"/>
          <w:sz w:val="24"/>
          <w:szCs w:val="24"/>
        </w:rPr>
      </w:pPr>
      <w:bookmarkStart w:id="0" w:name="_Hlk222570054"/>
      <w:r w:rsidRPr="00F76DC8">
        <w:rPr>
          <w:rFonts w:ascii="Times New Roman" w:hAnsi="Times New Roman" w:cs="Times New Roman"/>
          <w:sz w:val="24"/>
          <w:szCs w:val="24"/>
          <w:vertAlign w:val="superscript"/>
        </w:rPr>
        <w:t/>
      </w:r>
      <w:r w:rsidRPr="00F76DC8">
        <w:rPr>
          <w:rFonts w:ascii="Times New Roman" w:hAnsi="Times New Roman" w:cs="Times New Roman"/>
          <w:sz w:val="24"/>
          <w:szCs w:val="24"/>
        </w:rPr>
        <w:t xml:space="preserve"/>
      </w:r>
      <w:r w:rsidRPr="00F76DC8">
        <w:rPr>
          <w:rFonts w:ascii="Times New Roman" w:hAnsi="Times New Roman" w:cs="Times New Roman"/>
          <w:sz w:val="24"/>
          <w:szCs w:val="24"/>
          <w:vertAlign w:val="superscript"/>
        </w:rPr>
        <w:t/>
      </w:r>
      <w:r w:rsidRPr="00F76DC8">
        <w:rPr>
          <w:rFonts w:ascii="Times New Roman" w:hAnsi="Times New Roman" w:cs="Times New Roman"/>
          <w:sz w:val="24"/>
          <w:szCs w:val="24"/>
        </w:rPr>
        <w:t/>
      </w:r>
      <w:r>
        <w:rPr>
          <w:rFonts w:ascii="Times New Roman" w:hAnsi="Times New Roman" w:cs="Times New Roman"/>
          <w:sz w:val="24"/>
          <w:szCs w:val="24"/>
        </w:rPr>
        <w:t xml:space="preserve"/>
      </w:r>
    </w:p>
    <w:p w:rsidR="00B20CB7" w:rsidRPr="00F76DC8" w:rsidRDefault="00B20CB7" w:rsidP="00B20CB7">
      <w:pPr>
        <w:pStyle w:val="NoSpacing"/>
        <w:jc w:val="center"/>
        <w:rPr>
          <w:rFonts w:ascii="Times New Roman" w:hAnsi="Times New Roman" w:cs="Times New Roman"/>
          <w:sz w:val="24"/>
          <w:szCs w:val="24"/>
        </w:rPr>
      </w:pPr>
      <w:r w:rsidRPr="00F76DC8">
        <w:rPr>
          <w:rFonts w:ascii="Times New Roman" w:hAnsi="Times New Roman" w:cs="Times New Roman"/>
          <w:sz w:val="24"/>
          <w:szCs w:val="24"/>
        </w:rPr>
        <w:t xml:space="preserve"/>
      </w:r>
      <w:hyperlink r:id="rId5" w:history="1">
        <w:r w:rsidRPr="00F76DC8">
          <w:rPr>
            <w:rStyle w:val="Hyperlink"/>
            <w:rFonts w:ascii="Times New Roman" w:hAnsi="Times New Roman" w:cs="Times New Roman"/>
            <w:sz w:val="24"/>
            <w:szCs w:val="24"/>
            <w:vertAlign w:val="superscript"/>
          </w:rPr>
          <w:t/>
        </w:r>
        <w:r w:rsidRPr="00F76DC8">
          <w:rPr>
            <w:rStyle w:val="Hyperlink"/>
            <w:rFonts w:ascii="Times New Roman" w:hAnsi="Times New Roman" w:cs="Times New Roman"/>
            <w:sz w:val="24"/>
            <w:szCs w:val="24"/>
          </w:rPr>
          <w:t/>
        </w:r>
      </w:hyperlink>
      <w:r w:rsidRPr="00F76DC8">
        <w:rPr>
          <w:rFonts w:ascii="Times New Roman" w:hAnsi="Times New Roman" w:cs="Times New Roman"/>
          <w:sz w:val="24"/>
          <w:szCs w:val="24"/>
        </w:rPr>
        <w:t xml:space="preserve"/>
      </w:r>
      <w:hyperlink r:id="rId6" w:history="1">
        <w:r w:rsidRPr="00F76DC8">
          <w:rPr>
            <w:rStyle w:val="Hyperlink"/>
            <w:rFonts w:ascii="Times New Roman" w:hAnsi="Times New Roman" w:cs="Times New Roman"/>
            <w:sz w:val="24"/>
            <w:szCs w:val="24"/>
            <w:vertAlign w:val="superscript"/>
          </w:rPr>
          <w:t/>
        </w:r>
        <w:r w:rsidRPr="00F76DC8">
          <w:rPr>
            <w:rStyle w:val="Hyperlink"/>
            <w:rFonts w:ascii="Times New Roman" w:hAnsi="Times New Roman" w:cs="Times New Roman"/>
            <w:sz w:val="24"/>
            <w:szCs w:val="24"/>
          </w:rPr>
          <w:t/>
        </w:r>
      </w:hyperlink>
      <w:r>
        <w:rPr>
          <w:rStyle w:val="Hyperlink"/>
          <w:rFonts w:ascii="Times New Roman" w:hAnsi="Times New Roman" w:cs="Times New Roman"/>
          <w:sz w:val="24"/>
          <w:szCs w:val="24"/>
        </w:rPr>
        <w:t/>
      </w:r>
      <w:r w:rsidRPr="00F76DC8">
        <w:rPr>
          <w:rFonts w:ascii="Times New Roman" w:hAnsi="Times New Roman" w:cs="Times New Roman"/>
          <w:sz w:val="24"/>
          <w:szCs w:val="24"/>
        </w:rPr>
        <w:t xml:space="preserve"/>
      </w:r>
    </w:p>
    <w:p w:rsidR="00B20CB7" w:rsidRPr="003571CE" w:rsidRDefault="00B20CB7" w:rsidP="00B20CB7">
      <w:pPr>
        <w:pStyle w:val="NoSpacing"/>
        <w:jc w:val="center"/>
        <w:rPr>
          <w:rFonts w:ascii="Times New Roman" w:hAnsi="Times New Roman" w:cs="Times New Roman"/>
          <w:szCs w:val="24"/>
        </w:rPr>
      </w:pPr>
      <w:r w:rsidRPr="003571CE">
        <w:rPr>
          <w:rFonts w:ascii="Times New Roman" w:hAnsi="Times New Roman" w:cs="Times New Roman"/>
          <w:szCs w:val="24"/>
          <w:vertAlign w:val="superscript"/>
        </w:rPr>
        <w:t/>
      </w:r>
      <w:r w:rsidRPr="003571CE">
        <w:rPr>
          <w:rFonts w:ascii="Times New Roman" w:hAnsi="Times New Roman" w:cs="Times New Roman"/>
          <w:szCs w:val="24"/>
        </w:rPr>
        <w:t xml:space="preserve"/>
      </w:r>
      <w:r w:rsidRPr="003571CE">
        <w:rPr>
          <w:rFonts w:ascii="Times New Roman" w:hAnsi="Times New Roman" w:cs="Times New Roman"/>
          <w:szCs w:val="24"/>
          <w:vertAlign w:val="superscript"/>
        </w:rPr>
        <w:t/>
      </w:r>
      <w:r w:rsidRPr="003571CE">
        <w:rPr>
          <w:rFonts w:ascii="Times New Roman" w:hAnsi="Times New Roman" w:cs="Times New Roman"/>
          <w:szCs w:val="24"/>
        </w:rPr>
        <w:t/>
      </w:r>
      <w:r>
        <w:rPr>
          <w:rFonts w:ascii="Times New Roman" w:hAnsi="Times New Roman" w:cs="Times New Roman"/>
          <w:szCs w:val="24"/>
        </w:rPr>
        <w:t/>
      </w:r>
      <w:r w:rsidRPr="003571CE">
        <w:rPr>
          <w:rFonts w:ascii="Times New Roman" w:hAnsi="Times New Roman" w:cs="Times New Roman"/>
          <w:szCs w:val="24"/>
        </w:rPr>
        <w:t xml:space="preserve"/>
      </w:r>
    </w:p>
    <w:p w:rsidR="00B20CB7" w:rsidRPr="00B20CB7" w:rsidRDefault="00B20CB7" w:rsidP="00B20CB7">
      <w:pPr>
        <w:pStyle w:val="NoSpacing"/>
        <w:jc w:val="center"/>
        <w:rPr>
          <w:rFonts w:ascii="Times New Roman" w:hAnsi="Times New Roman" w:cs="Times New Roman"/>
          <w:color w:val="000000" w:themeColor="text1"/>
          <w:szCs w:val="24"/>
        </w:rPr>
      </w:pPr>
      <w:r w:rsidRPr="003571CE">
        <w:rPr>
          <w:rFonts w:ascii="Times New Roman" w:hAnsi="Times New Roman" w:cs="Times New Roman"/>
          <w:szCs w:val="24"/>
          <w:vertAlign w:val="superscript"/>
        </w:rPr>
        <w:t/>
      </w:r>
      <w:hyperlink r:id="rId7" w:history="1">
        <w:r w:rsidRPr="003571CE">
          <w:rPr>
            <w:rStyle w:val="Hyperlink"/>
            <w:rFonts w:ascii="Times New Roman" w:hAnsi="Times New Roman" w:cs="Times New Roman"/>
            <w:szCs w:val="24"/>
          </w:rPr>
          <w:t/>
        </w:r>
      </w:hyperlink>
      <w:r w:rsidRPr="003571CE">
        <w:rPr>
          <w:rStyle w:val="Hyperlink"/>
          <w:rFonts w:ascii="Times New Roman" w:hAnsi="Times New Roman" w:cs="Times New Roman"/>
          <w:szCs w:val="24"/>
        </w:rPr>
        <w:t xml:space="preserve"/>
      </w:r>
      <w:r w:rsidRPr="003571CE">
        <w:rPr>
          <w:rStyle w:val="Hyperlink"/>
          <w:rFonts w:ascii="Times New Roman" w:hAnsi="Times New Roman" w:cs="Times New Roman"/>
          <w:color w:val="000000" w:themeColor="text1"/>
          <w:szCs w:val="24"/>
          <w:vertAlign w:val="superscript"/>
        </w:rPr>
        <w:t/>
      </w:r>
      <w:r w:rsidRPr="003571CE">
        <w:rPr>
          <w:rStyle w:val="Hyperlink"/>
          <w:rFonts w:ascii="Times New Roman" w:hAnsi="Times New Roman" w:cs="Times New Roman"/>
          <w:szCs w:val="24"/>
        </w:rPr>
        <w:t xml:space="preserve"/>
      </w:r>
      <w:bookmarkEnd w:id="0"/>
    </w:p>
    <w:p w:rsidR="001A4980" w:rsidRPr="001A4980" w:rsidRDefault="001A4980" w:rsidP="001A4980">
      <w:pPr>
        <w:pStyle w:val="NormalWeb"/>
        <w:jc w:val="center"/>
        <w:rPr>
          <w:b/>
        </w:rPr>
      </w:pPr>
      <w:r w:rsidRPr="001A4980">
        <w:rPr>
          <w:b/>
        </w:rPr>
        <w:t>ABSTRACT</w:t>
      </w:r>
    </w:p>
    <w:p w:rsidR="001A4980" w:rsidRPr="001A4980" w:rsidRDefault="001A4980" w:rsidP="005A608E">
      <w:pPr>
        <w:pStyle w:val="NoSpacing"/>
        <w:jc w:val="both"/>
        <w:rPr>
          <w:rFonts w:ascii="Times New Roman" w:hAnsi="Times New Roman" w:cs="Times New Roman"/>
          <w:sz w:val="24"/>
          <w:szCs w:val="24"/>
        </w:rPr>
      </w:pPr>
      <w:r w:rsidRPr="001A4980">
        <w:rPr>
          <w:rFonts w:ascii="Times New Roman" w:hAnsi="Times New Roman" w:cs="Times New Roman"/>
          <w:sz w:val="24"/>
          <w:szCs w:val="24"/>
        </w:rPr>
        <w:t xml:space="preserve">Public participation has emerged as a fundamental pillar of democratic governance and contemporary public administration across the world. It is widely recognized as a mechanism through which citizens engage in governance processes, influence public policy decisions, and contribute to the formulation, implementation, and evaluation of development programs and government initiatives. The constitutional framework requires state organs, public institutions, and government agencies at </w:t>
      </w:r>
      <w:r w:rsidR="0000158E">
        <w:rPr>
          <w:rFonts w:ascii="Times New Roman" w:hAnsi="Times New Roman" w:cs="Times New Roman"/>
          <w:sz w:val="24"/>
          <w:szCs w:val="24"/>
        </w:rPr>
        <w:t>all</w:t>
      </w:r>
      <w:r w:rsidRPr="001A4980">
        <w:rPr>
          <w:rFonts w:ascii="Times New Roman" w:hAnsi="Times New Roman" w:cs="Times New Roman"/>
          <w:sz w:val="24"/>
          <w:szCs w:val="24"/>
        </w:rPr>
        <w:t xml:space="preserve"> levels to actively involve citizens in matters affecting their welfare and development. Despite this legal and institutional recognition, significant challenges continue to exist regarding the practical realization of meaningful public participation. Questions persist concerning who should participate, the methods and channels through which participation should occur, the extent of citizens' influence on final decisions, and the standards used to evaluate the effectiveness and legitimacy of participatory processes. This paper examines public participation from both theoretical and practical perspectives by exploring its conceptual foundations, historical evolution, legal framework, implementation mechanisms, and measurement indicators within the context of public administration. Drawing from democratic theory, participatory governance theory, and principles of good governance, the study analyzes the role of citizens as key stakeholders in governance and development processes. Particular attention is given to the constitutional, legislative, and policy provisions that guide public participation in Kenya and the extent to which these provisions have been translated into practice. The study adopts a qualitative research approach utilizing document review and key informant interviews to gather and analyze data from relevant stakeholders involved in public administration and governance. Through an examination of policy documents, legislative frameworks, government reports, judicial decisions, and scholarly literature, the study assesses the operationalization of public participation within Kenya's public administration system. Findings indicate that while substantial progress has been made in institutionalizing participatory governance, challenges such as inadequate civic education, limited access to information, resource constraints, political interference, low citizen awareness, and tokenistic participation continue to hinder effective citizen engagement. The paper concludes that meaningful public participation requires more than legal compliance; it demands genuine commitment from public institutions to create inclusive, accessible, and responsive platforms that empower citizens to influence public decisions. The study contributes to scholarly discourse by providing a deeper understanding of the dynamics of public participation and offering recommendations for strengthening democratic governance, accountability, and citizen engagement within Kenya's public administration framework.</w:t>
      </w:r>
    </w:p>
    <w:p w:rsidR="001A4980" w:rsidRDefault="001A4980" w:rsidP="001A4980">
      <w:pPr>
        <w:pStyle w:val="NormalWeb"/>
        <w:jc w:val="both"/>
      </w:pPr>
      <w:r>
        <w:rPr>
          <w:rStyle w:val="Strong"/>
        </w:rPr>
        <w:t>Keywords:</w:t>
      </w:r>
      <w:r>
        <w:t xml:space="preserve"> </w:t>
      </w:r>
      <w:r w:rsidRPr="001A4980">
        <w:rPr>
          <w:b/>
          <w:i/>
          <w:sz w:val="22"/>
        </w:rPr>
        <w:t>Public Participation, Democratic Governance, Public Administration, Citizen Engagement, Accountability, Transparency, Participatory Governance, Kenya Constitution 2010.</w:t>
      </w:r>
    </w:p>
    <w:p w:rsidR="00335E1D" w:rsidRPr="00335E1D" w:rsidRDefault="001A4980" w:rsidP="00335E1D">
      <w:pPr>
        <w:pStyle w:val="NormalWeb"/>
        <w:jc w:val="both"/>
        <w:rPr>
          <w:b/>
        </w:rPr>
      </w:pPr>
      <w:r w:rsidRPr="0000158E">
        <w:rPr>
          <w:b/>
        </w:rPr>
        <w:lastRenderedPageBreak/>
        <w:t>1.1 Background of the Study</w:t>
      </w:r>
      <w:r w:rsidR="0000158E">
        <w:rPr>
          <w:b/>
        </w:rPr>
        <w:t>.</w:t>
      </w:r>
    </w:p>
    <w:p w:rsidR="00EE2440" w:rsidRDefault="00EE2440" w:rsidP="00EE2440">
      <w:pPr>
        <w:pStyle w:val="NormalWeb"/>
        <w:jc w:val="both"/>
      </w:pPr>
      <w:r>
        <w:t xml:space="preserve">Public participation is a fundamental principle of democratic governance that refers to the active involvement of citizens in public decision-making processes that affect their social, economic, and political lives (Rijal, 2023). It is founded on the democratic belief that sovereignty belongs to the people and that public institutions derive their legitimacy from the consent and involvement of citizens. Through public participation, citizens are provided with opportunities to influence policies, laws, development programs, and governance decisions (Kamlage &amp; Nanz, 2018). Participation may occur directly through public meetings, stakeholder forums, public hearings, consultations, referenda, and budget-making processes, or indirectly through elected representatives, civil society organizations, community-based organizations, and other interest groups. The concept recognizes citizens not merely as recipients of government services but as active partners in governance </w:t>
      </w:r>
      <w:r>
        <w:t xml:space="preserve">and development (Makaba, 2018). </w:t>
      </w:r>
      <w:r>
        <w:t>Historically, public participation emerged from the broader evolution of democratic governance. Traditional representative democracy emphasized the role of elected leaders in making decisions on behalf of citizens. However, increasing concerns about government accountability, transparency, and responsiveness led to the emergence of participatory and deliberative democratic theories that advocate for continuous citizen engagement in governance processes (Suphattanakul, 2018). Scholars such as Arnstein (1969), through her influential "Ladder of Citizen Participation," argued that participation exists at different levels ranging from manipulation and tokenism to genuine citizen power and control (Gaber, 2020). Similarly, Pateman (1970) emphasized that participation enhances democratic citizenship by enabling individuals to develop political competence and civic responsibility (Özden, 2024). Habermas (1996) further advanced the theory of deliberative democracy by arguing that legitimate public decisions should emerge from open dialogue and rational discourse among citizens and government actors (Jovanoski &amp; Sharlamanov, 2021). Fung (2006) expanded these perspectives by proposing practical institutional designs that promote effective citizen participation in modern governance systems (Skelcher &amp; Torfing, 2010).</w:t>
      </w:r>
    </w:p>
    <w:p w:rsidR="00EE2440" w:rsidRDefault="00EE2440" w:rsidP="00EE2440">
      <w:pPr>
        <w:pStyle w:val="NormalWeb"/>
        <w:jc w:val="both"/>
      </w:pPr>
      <w:r>
        <w:t>Globally, public participation has increasingly become an essential component of good governance, with international organizations such as the United Nations, the World Bank, and the Organization for Economic Co-operation and Development consistently emphasizing citizen engagement as a key pillar of democratic governance and sustainable development, as highlighted in the broader governance discou</w:t>
      </w:r>
      <w:r>
        <w:t xml:space="preserve">rse (Ragolane &amp; Malatji, 2021). </w:t>
      </w:r>
      <w:r>
        <w:t>The adoption of participatory governance approaches has also been strongly encouraged through various international frameworks, including the Sustainable Development Goals (SDGs), particularly Goal 16, which advocates for the development of inclusive, accountable, and participatory institutions at all levels of governance and decision-making s</w:t>
      </w:r>
      <w:r>
        <w:t xml:space="preserve">tructures (Ozaki &amp; Shaw, 2022). </w:t>
      </w:r>
      <w:r>
        <w:t xml:space="preserve">Across many countries, governments have introduced and institutionalized a range of mechanisms such as participatory budgeting processes, structured public consultations, citizen assemblies, and increasingly digital engagement platforms in order to enhance and deepen public involvement in governance and policy </w:t>
      </w:r>
      <w:r>
        <w:t xml:space="preserve">processes (Fox &amp; Stoett, 2016). </w:t>
      </w:r>
      <w:r>
        <w:t>These developments collectively reflect a growing global recognition that citizens possess valuable experiential knowledge, local insights, and contextual understanding that can significantly contribute to the formulation of more responsive, equitable, and effective public policies and governance outcomes (S</w:t>
      </w:r>
      <w:r>
        <w:t>eetharam Sridhar et al., 2019).</w:t>
      </w:r>
    </w:p>
    <w:p w:rsidR="00EE2440" w:rsidRDefault="00EE2440" w:rsidP="00EE2440">
      <w:pPr>
        <w:pStyle w:val="NormalWeb"/>
        <w:jc w:val="both"/>
      </w:pPr>
      <w:r>
        <w:lastRenderedPageBreak/>
        <w:t>In Africa, the demand for public participation has gained considerable momentum alongside democratization processes and governance reforms that emerged during the late twentieth century and continued into the early twenty-first century, shaping contemporary governanc</w:t>
      </w:r>
      <w:r>
        <w:t xml:space="preserve">e systems across the continent. </w:t>
      </w:r>
      <w:r>
        <w:t xml:space="preserve">Many African countries have since adopted constitutional, legal, and institutional frameworks that explicitly encourage and protect citizen involvement in public affairs as a strategy for strengthening accountability, improving transparency, and promoting inclusive development outcomes at both national and subnational </w:t>
      </w:r>
      <w:r>
        <w:t xml:space="preserve">levels (Florini &amp; Pauli, 2018). </w:t>
      </w:r>
      <w:r>
        <w:t>Nevertheless, despite these progressive developments, several challenges such as limited civic awareness, inadequate institutional capacity, political interference, poverty, and unequal access to information continue to constrain the effectiveness of public participation initiatives across the continent, leading to uneven outcomes in practice (</w:t>
      </w:r>
      <w:r>
        <w:t xml:space="preserve">Gharbaoui </w:t>
      </w:r>
      <w:r>
        <w:t>et al., 2023).</w:t>
      </w:r>
    </w:p>
    <w:p w:rsidR="00EE2440" w:rsidRDefault="00EE2440" w:rsidP="00EE2440">
      <w:pPr>
        <w:pStyle w:val="NormalWeb"/>
        <w:jc w:val="both"/>
      </w:pPr>
      <w:r>
        <w:t xml:space="preserve">In Kenya, public participation occupies a central position within the constitutional and governance framework established by the Constitution of Kenya, 2010. The promulgation of the Constitution marked a significant transformation in governance by introducing principles aimed at promoting transparency, accountability, inclusiveness, and citizen empowerment. Article 1 of the Constitution declares that all sovereign power belongs to the people of Kenya and may be exercised either directly or through democratically elected </w:t>
      </w:r>
      <w:r>
        <w:t xml:space="preserve">representatives (Marine, 2018). </w:t>
      </w:r>
      <w:r>
        <w:t>Article 10 identifies participation of the people as one of the national values and principles of governance that bind all state organs, state officers, public officers, and citizens whenever they apply or interpret the Constitution, enact or implement laws, or formulate public policy decisions (Munene, 2019). Furthermore, Article 118 requires Parliament to facilitate public participation and involvement in legislative and other parliamentary business, while Article 174(c) identifies public participation as one of the key objectives of devolution. Article 196 similarly requires county assemblies to facilitate public involvement in legislative and other county assem</w:t>
      </w:r>
      <w:r>
        <w:t xml:space="preserve">bly business (Kabingesi, 2021). </w:t>
      </w:r>
      <w:r>
        <w:t>These constitutional provisions collectively establish public participation as both a democratic right and a mandatory governance obligation. The introduction of devolved government under the Constitution of Kenya, 2010 further strengthened the importance of public participation by bringing governance closer to the people. County governments were established to enhance local democracy, improve service delivery, and provide citizens with greater opportunities to influence decisions affecting their communities. Consequently, various legal and policy frameworks, including the County Governments Act, 2012, the Public Finance Management Act, 2012, and the Urban Areas and Cities Act, 2011, have incorporated mechanisms for citizen engagement in planning, budgeting, policy formulation, and development implem</w:t>
      </w:r>
      <w:r>
        <w:t>entation (Omweri &amp; Siambe, 2024</w:t>
      </w:r>
      <w:r>
        <w:t>).</w:t>
      </w:r>
    </w:p>
    <w:p w:rsidR="0023535F" w:rsidRPr="00C42D64" w:rsidRDefault="0023535F" w:rsidP="00EE2440">
      <w:pPr>
        <w:pStyle w:val="NormalWeb"/>
        <w:jc w:val="both"/>
        <w:rPr>
          <w:b/>
        </w:rPr>
      </w:pPr>
      <w:r w:rsidRPr="00C42D64">
        <w:rPr>
          <w:b/>
        </w:rPr>
        <w:t>1.2 Statement of the problem</w:t>
      </w:r>
      <w:r w:rsidR="00C42D64">
        <w:rPr>
          <w:b/>
        </w:rPr>
        <w:t>.</w:t>
      </w:r>
    </w:p>
    <w:p w:rsidR="00C42D64" w:rsidRDefault="00C42D64" w:rsidP="00EE2440">
      <w:pPr>
        <w:pStyle w:val="NormalWeb"/>
        <w:jc w:val="both"/>
      </w:pPr>
      <w:r w:rsidRPr="00C42D64">
        <w:t xml:space="preserve">Public participation in governance </w:t>
      </w:r>
      <w:r>
        <w:t>looks</w:t>
      </w:r>
      <w:r w:rsidRPr="00C42D64">
        <w:t xml:space="preserve"> to ensure that citizens are meaningfully involved in decision-making processes affecting public welfare, resource allocation, and development priorities, thereby strengthening democratic governance, accountability, and responsiveness of public institutions. In reality, however, despite the existence of a comprehensive constitutional and legal framework in Kenya that mandates citizen involvement, the implementation of public participation has often fallen short of these ideals, with many processes characterized by limited inclusivity, weak representation, inadequate dissemination of information, and minimal influence of citizen input on final policy and administrative decisions. In addressing these shortcomings, </w:t>
      </w:r>
      <w:r w:rsidRPr="00C42D64">
        <w:lastRenderedPageBreak/>
        <w:t>various methods have been employed, including public forums, stakeholder consultations, civic education initiatives, digital engagement platforms, and administrative hearings intended to gather citizen views and promote participatory governance; nevertheless, these mechanisms have frequently been constrained by logistical challenges, political interference, resource limitations, and low levels of public awareness, resulting in participation that is often procedural rather than substantive. Consequently, a significant gap persists between the normative expectations of public participation and its practical realization, particularly regarding the depth of citizen engagement, the quality of deliberation, and the extent to which public input meaningfully shapes outcomes. This study therefore sought to address this gap by critically examining the effectiveness of existing participatory mechanisms, the extent of citizen involvement, and the factors that enhance or hinder meaningful public participation within contemporary governance systems.</w:t>
      </w:r>
    </w:p>
    <w:p w:rsidR="001A4980" w:rsidRPr="00335E1D" w:rsidRDefault="001A4980" w:rsidP="00EE2440">
      <w:pPr>
        <w:pStyle w:val="NormalWeb"/>
        <w:jc w:val="both"/>
        <w:rPr>
          <w:b/>
        </w:rPr>
      </w:pPr>
      <w:r w:rsidRPr="00335E1D">
        <w:rPr>
          <w:b/>
        </w:rPr>
        <w:t>1.3 Objective of the Study</w:t>
      </w:r>
    </w:p>
    <w:p w:rsidR="001A4980" w:rsidRDefault="001A4980" w:rsidP="001A4980">
      <w:pPr>
        <w:pStyle w:val="NormalWeb"/>
        <w:jc w:val="both"/>
      </w:pPr>
      <w:r>
        <w:t>To examine the application of public participation in theory and practice within public administration.</w:t>
      </w:r>
    </w:p>
    <w:p w:rsidR="001A4980" w:rsidRPr="00335E1D" w:rsidRDefault="001A4980" w:rsidP="001A4980">
      <w:pPr>
        <w:pStyle w:val="NormalWeb"/>
        <w:jc w:val="both"/>
        <w:rPr>
          <w:b/>
        </w:rPr>
      </w:pPr>
      <w:r w:rsidRPr="00335E1D">
        <w:rPr>
          <w:b/>
        </w:rPr>
        <w:t>Specific Objectives</w:t>
      </w:r>
    </w:p>
    <w:p w:rsidR="001A4980" w:rsidRDefault="001A4980" w:rsidP="00335E1D">
      <w:pPr>
        <w:pStyle w:val="NormalWeb"/>
        <w:numPr>
          <w:ilvl w:val="0"/>
          <w:numId w:val="1"/>
        </w:numPr>
        <w:jc w:val="both"/>
      </w:pPr>
      <w:r>
        <w:t>To examine the theoretical meaning of public participation.</w:t>
      </w:r>
    </w:p>
    <w:p w:rsidR="001A4980" w:rsidRDefault="001A4980" w:rsidP="00335E1D">
      <w:pPr>
        <w:pStyle w:val="NormalWeb"/>
        <w:numPr>
          <w:ilvl w:val="0"/>
          <w:numId w:val="1"/>
        </w:numPr>
        <w:jc w:val="both"/>
      </w:pPr>
      <w:r>
        <w:t xml:space="preserve">To explore the </w:t>
      </w:r>
      <w:r w:rsidR="00CD1973">
        <w:t>procedural</w:t>
      </w:r>
      <w:r>
        <w:t xml:space="preserve"> application of public participation in governance and public administration.</w:t>
      </w:r>
    </w:p>
    <w:p w:rsidR="001A4980" w:rsidRDefault="001A4980" w:rsidP="00335E1D">
      <w:pPr>
        <w:pStyle w:val="NormalWeb"/>
        <w:numPr>
          <w:ilvl w:val="0"/>
          <w:numId w:val="1"/>
        </w:numPr>
        <w:jc w:val="both"/>
      </w:pPr>
      <w:r>
        <w:t xml:space="preserve">To assess the </w:t>
      </w:r>
      <w:r w:rsidR="00E84973">
        <w:t>Level</w:t>
      </w:r>
      <w:r>
        <w:t xml:space="preserve"> to which public participation achieves its intended objectives.</w:t>
      </w:r>
    </w:p>
    <w:p w:rsidR="001A4980" w:rsidRDefault="001A4980" w:rsidP="00335E1D">
      <w:pPr>
        <w:pStyle w:val="NormalWeb"/>
        <w:numPr>
          <w:ilvl w:val="0"/>
          <w:numId w:val="1"/>
        </w:numPr>
        <w:jc w:val="both"/>
      </w:pPr>
      <w:r>
        <w:t>To examine qualitative and quantitative measures used in evaluating public participation.</w:t>
      </w:r>
    </w:p>
    <w:p w:rsidR="00A10A13" w:rsidRPr="00A10A13" w:rsidRDefault="00A10A13" w:rsidP="00A10A13">
      <w:pPr>
        <w:pStyle w:val="NoSpacing"/>
        <w:rPr>
          <w:rFonts w:ascii="Times New Roman" w:hAnsi="Times New Roman" w:cs="Times New Roman"/>
          <w:b/>
          <w:sz w:val="24"/>
        </w:rPr>
      </w:pPr>
      <w:r w:rsidRPr="00A10A13">
        <w:rPr>
          <w:rFonts w:ascii="Times New Roman" w:hAnsi="Times New Roman" w:cs="Times New Roman"/>
          <w:b/>
          <w:sz w:val="24"/>
        </w:rPr>
        <w:t>CHAPTER TWO.</w:t>
      </w:r>
    </w:p>
    <w:p w:rsidR="00A10A13" w:rsidRDefault="00A10A13" w:rsidP="00A10A13">
      <w:pPr>
        <w:pStyle w:val="NoSpacing"/>
        <w:rPr>
          <w:rFonts w:ascii="Times New Roman" w:hAnsi="Times New Roman" w:cs="Times New Roman"/>
          <w:b/>
          <w:sz w:val="24"/>
        </w:rPr>
      </w:pPr>
    </w:p>
    <w:p w:rsidR="001A4980" w:rsidRPr="00A10A13" w:rsidRDefault="00335E1D" w:rsidP="00A10A13">
      <w:pPr>
        <w:pStyle w:val="NoSpacing"/>
        <w:rPr>
          <w:rFonts w:ascii="Times New Roman" w:hAnsi="Times New Roman" w:cs="Times New Roman"/>
          <w:b/>
          <w:sz w:val="24"/>
        </w:rPr>
      </w:pPr>
      <w:r w:rsidRPr="00A10A13">
        <w:rPr>
          <w:rFonts w:ascii="Times New Roman" w:hAnsi="Times New Roman" w:cs="Times New Roman"/>
          <w:b/>
          <w:sz w:val="24"/>
        </w:rPr>
        <w:t>2.0 Theoretical Framework</w:t>
      </w:r>
    </w:p>
    <w:p w:rsidR="003666D3" w:rsidRPr="00A10A13" w:rsidRDefault="003666D3" w:rsidP="00A10A13">
      <w:pPr>
        <w:pStyle w:val="NoSpacing"/>
        <w:rPr>
          <w:rFonts w:ascii="Times New Roman" w:hAnsi="Times New Roman" w:cs="Times New Roman"/>
          <w:b/>
          <w:sz w:val="24"/>
        </w:rPr>
      </w:pPr>
      <w:r w:rsidRPr="00A10A13">
        <w:rPr>
          <w:rFonts w:ascii="Times New Roman" w:hAnsi="Times New Roman" w:cs="Times New Roman"/>
          <w:b/>
          <w:sz w:val="24"/>
        </w:rPr>
        <w:t>2.1 Participatory Democratic Theory</w:t>
      </w:r>
    </w:p>
    <w:p w:rsidR="003666D3" w:rsidRDefault="003666D3" w:rsidP="003666D3">
      <w:pPr>
        <w:pStyle w:val="NormalWeb"/>
        <w:jc w:val="both"/>
      </w:pPr>
      <w:r>
        <w:t xml:space="preserve">Participatory Democratic Theory, as advanced by Carole Pateman (1970), posits that democracy is most meaningful when citizens are not merely passive voters but active participants in the continuous processes of governance and decision-making. The theory challenges elitist and representative-only models of democracy by arguing that political participation should extend beyond periodic elections to include sustained involvement in policy formulation, implementation, monitoring, and evaluation. Pateman emphasized that such participation is not only an institutional requirement but also an educational process through which citizens develop civic competence, political awareness, and a stronger sense of responsibility toward public affairs. In this view, participation strengthens democratic legitimacy because decisions are more reflective of collective preferences and local realities, particularly in complex governance systems such as those in Kenya. In the context of public administration, the theory is highly relevant because it frames public participation as a tool for improving accountability, reducing bureaucratic isolation, and enhancing service delivery effectiveness. It further suggests that when citizens are meaningfully involved in governance structures, public institutions become more transparent and responsive, thereby reducing mistrust between the state and society. Applied to Kenya, Participatory Democratic Theory provides a critical lens for assessing whether devolved governance structures, county </w:t>
      </w:r>
      <w:r>
        <w:lastRenderedPageBreak/>
        <w:t>assemblies, and public forums genuinely facilitate inclusive participation or whether they merely formalize consultation without real influence over decisions affecting communities.</w:t>
      </w:r>
    </w:p>
    <w:p w:rsidR="003666D3" w:rsidRPr="003666D3" w:rsidRDefault="003666D3" w:rsidP="003666D3">
      <w:pPr>
        <w:pStyle w:val="NormalWeb"/>
        <w:jc w:val="both"/>
        <w:rPr>
          <w:b/>
        </w:rPr>
      </w:pPr>
      <w:r w:rsidRPr="003666D3">
        <w:rPr>
          <w:b/>
        </w:rPr>
        <w:t>2.2 Arnstein’s Ladder of Citizen Participation</w:t>
      </w:r>
    </w:p>
    <w:p w:rsidR="003666D3" w:rsidRDefault="003666D3" w:rsidP="003666D3">
      <w:pPr>
        <w:pStyle w:val="NormalWeb"/>
        <w:jc w:val="both"/>
      </w:pPr>
      <w:r>
        <w:t>Arnstein’s Ladder of Citizen Participation (1969) offers a highly influential analytical framework for understanding and evaluating the depth and quality of citizen involvement in governance processes. The model conceptualizes participation as an eight-rung ladder that represents varying degrees of citizen power in decision-making, beginning with non-participation stages such as manipulation and therapy, progressing through tokenistic levels including informing, consultation, and placation, and culminating in higher levels of genuine citizen power such as partnership, delegated power, and citizen control. The central argument of Arnstein is that participation is not a uniform concept; rather, it ranges from symbolic involvement—where citizens are merely informed or consulted without real influence—to substantive empowerment, where citizens share or fully control decision-making authority. This framework is particularly significant in public administration because it provides a practical tool for assessing whether participatory mechanisms are meaningful or merely procedural formalities. In the context of governance in Kenya, Arnstein’s Ladder can be applied to evaluate county government public forums, budget-making processes, development planning meetings, and sectoral stakeholder engagements to determine whether citizens truly influence outcomes or whether their participation is confined to lower levels of tokenism. The model also helps to reveal structural power imbalances between state actors and citizens, highlighting situations where administrative systems may intentionally or unintentionally limit citizen influence. Ultimately, Arnstein’s framework remains a powerful diagnostic tool for interrogating the authenticity of public participation practices and for promoting reforms that move governance systems toward genuine citizen empowerment and shared decision-making authority.</w:t>
      </w:r>
    </w:p>
    <w:p w:rsidR="00A10A13" w:rsidRPr="00A10A13" w:rsidRDefault="00A10A13" w:rsidP="003666D3">
      <w:pPr>
        <w:pStyle w:val="NormalWeb"/>
        <w:jc w:val="both"/>
        <w:rPr>
          <w:b/>
        </w:rPr>
      </w:pPr>
      <w:r>
        <w:rPr>
          <w:b/>
        </w:rPr>
        <w:t xml:space="preserve">2.3 </w:t>
      </w:r>
      <w:r w:rsidRPr="00A10A13">
        <w:rPr>
          <w:b/>
        </w:rPr>
        <w:t>Conceptual</w:t>
      </w:r>
      <w:r w:rsidRPr="00A10A13">
        <w:rPr>
          <w:b/>
        </w:rPr>
        <w:t xml:space="preserve"> framework </w:t>
      </w:r>
    </w:p>
    <w:p w:rsidR="00A10A13" w:rsidRDefault="00A10A13" w:rsidP="003666D3">
      <w:pPr>
        <w:pStyle w:val="NormalWeb"/>
        <w:jc w:val="both"/>
      </w:pPr>
      <w:r w:rsidRPr="00A10A13">
        <w:t xml:space="preserve">The conceptual framework for this study was anchored on the application of public participation in theory and practice within public administration, where public participation was treated as the central dependent concept. The framework posited that the theoretical understanding of public participation—encompassing its meanings, principles, and normative foundations—shaped how it was interpreted and operationalized within governance systems. This theoretical dimension was linked to the procedural application of public participation, which involved the actual mechanisms, processes, and institutional arrangements through which citizens were engaged in decision-making. Furthermore, the framework incorporated the extent to which public participation achieved its intended objectives, such as improved accountability, inclusivity, and responsiveness in public administration, thereby providing a measure of effectiveness. It also integrated both qualitative and quantitative evaluation approaches as key analytical tools used to assess the depth, quality, and outcomes of participation processes. </w:t>
      </w:r>
      <w:r>
        <w:t>T</w:t>
      </w:r>
      <w:r w:rsidRPr="00A10A13">
        <w:t>hese interconnected dimensions—theoretical understanding, procedural application, attainment of objectives, and evaluation measures—formed an integrated framework for examining the gap between the ideal and practical implementation of public participation in public administration.</w:t>
      </w:r>
    </w:p>
    <w:p w:rsidR="00A10A13" w:rsidRDefault="00A10A13" w:rsidP="003666D3">
      <w:pPr>
        <w:pStyle w:val="NormalWeb"/>
        <w:jc w:val="both"/>
      </w:pPr>
    </w:p>
    <w:p w:rsidR="001A4980" w:rsidRPr="00A10A13" w:rsidRDefault="00A10A13" w:rsidP="003666D3">
      <w:pPr>
        <w:pStyle w:val="NormalWeb"/>
        <w:jc w:val="both"/>
        <w:rPr>
          <w:b/>
        </w:rPr>
      </w:pPr>
      <w:r>
        <w:rPr>
          <w:b/>
        </w:rPr>
        <w:lastRenderedPageBreak/>
        <w:t>2.4</w:t>
      </w:r>
      <w:r w:rsidR="008F283A" w:rsidRPr="00335E1D">
        <w:rPr>
          <w:b/>
        </w:rPr>
        <w:t xml:space="preserve"> Literature Review</w:t>
      </w:r>
    </w:p>
    <w:p w:rsidR="003666D3" w:rsidRPr="00142B1F" w:rsidRDefault="008F283A" w:rsidP="003666D3">
      <w:pPr>
        <w:pStyle w:val="NormalWeb"/>
        <w:jc w:val="both"/>
        <w:rPr>
          <w:b/>
        </w:rPr>
      </w:pPr>
      <w:r>
        <w:rPr>
          <w:b/>
        </w:rPr>
        <w:t>2.</w:t>
      </w:r>
      <w:r w:rsidR="00A10A13">
        <w:rPr>
          <w:b/>
        </w:rPr>
        <w:t>4</w:t>
      </w:r>
      <w:r w:rsidR="001A4980" w:rsidRPr="00142B1F">
        <w:rPr>
          <w:b/>
        </w:rPr>
        <w:t>.1 Theoretical Meaning of Public Participation</w:t>
      </w:r>
    </w:p>
    <w:p w:rsidR="001C20B1" w:rsidRDefault="001C20B1" w:rsidP="001C20B1">
      <w:pPr>
        <w:pStyle w:val="NormalWeb"/>
        <w:jc w:val="both"/>
      </w:pPr>
      <w:r>
        <w:t>Theoretical literature conceptualizes public participation as the meaningful involvement of citizens in decision-making processes that affect public affairs, governance structures, and policy outcomes. It extends beyond mere consultation or symbolic inclusion and instead emphasizes active engagement in shaping, influencing, and evaluating public decisions. In this regard, public participation is understood as a democratic principle that enhances accountability, transparency, and responsiveness within governance systems by ensuring that citizens are not passive recipients of policies but active contributors to their formulation and implementati</w:t>
      </w:r>
      <w:r>
        <w:t xml:space="preserve">on (Schwartz &amp; Schejter, 2024). </w:t>
      </w:r>
      <w:r>
        <w:t>Arnstein (1969), through her seminal “Ladder of Citizen Participation,” conceptualized participation as a process of redistributing power from authorities to citizens. She argued that genuine participation occurred when citizens were able to influence or control decision-making processes rather than being manipulated, merely informed, or consulted in a tokenistic manner. Her model illustrated different levels of participation, ranging from non-participation (manipulation and therapy), through tokenism (informing, consultation, placation), to higher degrees of citizen power (partnership, delegated power, and citizen control). This framework highlighted that the quality of participation was determined by the extent of power shared between citizens and decision-makers, making participation fundamentally a political rather than purely admi</w:t>
      </w:r>
      <w:r>
        <w:t xml:space="preserve">nistrative process (Lim, 2018). </w:t>
      </w:r>
      <w:r>
        <w:t>Pateman (1970) further expanded the concept by emphasizing participation as both a democratic practice and a form of civic education and empowerment. She argued that when individuals actively engaged in governance processes, they developed political awareness, civic skills, and a stronger sense of responsibility toward public affairs. Participation was therefore not only instrumental in producing better policy outcomes but was also inherently valuable because it cultivated democratic citizens capable of engaging meaningfully in political life. In this sense, participation functioned as a learning process through which individuals acquired the competence and confidence necessary to influence collective decisions (</w:t>
      </w:r>
      <w:r>
        <w:t xml:space="preserve">Beresford, 2021). </w:t>
      </w:r>
      <w:r>
        <w:t>Habermas (1996), through his theory of deliberative democracy, linked public participation to rational communication and consensus-building within the public sphere. He argued that legitimate governance outcomes emerged from open, inclusive, and reasoned dialogue among citizens and between citizens and state institutions. Within this framework, participation was grounded in communicative action, where individuals engaged in discourse free from coercion and where the force of the better argument prevailed. Public participation thus became a deliberative process in which diverse viewpoints were expressed, critically examined, and integrated into decision-making, thereby strengthening legitimacy, mutual understanding, and social cohesion (Downes, 2025).</w:t>
      </w:r>
    </w:p>
    <w:p w:rsidR="00CD1973" w:rsidRPr="00142B1F" w:rsidRDefault="008F283A" w:rsidP="001C20B1">
      <w:pPr>
        <w:pStyle w:val="NormalWeb"/>
        <w:jc w:val="both"/>
        <w:rPr>
          <w:b/>
        </w:rPr>
      </w:pPr>
      <w:r>
        <w:rPr>
          <w:b/>
        </w:rPr>
        <w:t>2.</w:t>
      </w:r>
      <w:r w:rsidR="00A10A13">
        <w:rPr>
          <w:b/>
        </w:rPr>
        <w:t>44</w:t>
      </w:r>
      <w:r w:rsidR="001A4980" w:rsidRPr="00142B1F">
        <w:rPr>
          <w:b/>
        </w:rPr>
        <w:t xml:space="preserve">.2 </w:t>
      </w:r>
      <w:r w:rsidR="00CD1973" w:rsidRPr="00142B1F">
        <w:rPr>
          <w:b/>
        </w:rPr>
        <w:t>Procedural Meaning</w:t>
      </w:r>
      <w:r w:rsidR="001A4980" w:rsidRPr="00142B1F">
        <w:rPr>
          <w:b/>
        </w:rPr>
        <w:t xml:space="preserve"> of Public Participation</w:t>
      </w:r>
    </w:p>
    <w:p w:rsidR="001C20B1" w:rsidRDefault="001C20B1" w:rsidP="001C20B1">
      <w:pPr>
        <w:pStyle w:val="NormalWeb"/>
        <w:jc w:val="both"/>
      </w:pPr>
      <w:r>
        <w:t xml:space="preserve">In practical governance terms, public participation referred to the structured processes and institutional mechanisms through which citizens, interest groups, and stakeholders were actively involved in decision-making, implementation, and evaluation of public policies and programs. It went beyond mere consultation and was anchored on the principle that citizens should have meaningful opportunities to influence decisions that affected their lives. In this regard, public participation was operationalized through a variety of mechanisms designed to facilitate </w:t>
      </w:r>
      <w:r>
        <w:lastRenderedPageBreak/>
        <w:t>interaction between state institutions</w:t>
      </w:r>
      <w:r>
        <w:t xml:space="preserve"> and the public (Bobbio, 2019). </w:t>
      </w:r>
      <w:r>
        <w:t>The procedural meaning of public participation referred to the practical, step-by-step mechanisms through which citizens were enabled to engage in governance processes, particularly in decision-making, implementation, and evaluation of public policies. In this sense, public participation was not merely symbolic consultation but a structured institutional obligation that required responsible agencies to deliberately create enabling conditions for meaningful citizen involveme</w:t>
      </w:r>
      <w:r>
        <w:t xml:space="preserve">nt (Eckerd &amp; Heidelberg, 2020). </w:t>
      </w:r>
      <w:r>
        <w:t>These agencies were expected to go beyond inviting the public to meetings and instead ensure that all necessary resources, time, communication channels, and supportive structures were in place so that even the most marginalized members of society could effectively contribute to governance processes. A key procedural responsibility of public institutions was the provision of adequate time for participation. Citizens required sufficient notice before meetings, policy consultations, or budget forums to allow for preparation, internal community consultations, and meaningful engagement (Kamlage &amp; Nanz, 2018). Short notice periods or rushed engagements undermined participation by excluding those who needed time to understand technical issu</w:t>
      </w:r>
      <w:r>
        <w:t>es or mobilize community input.</w:t>
      </w:r>
    </w:p>
    <w:p w:rsidR="001C20B1" w:rsidRDefault="001C20B1" w:rsidP="001C20B1">
      <w:pPr>
        <w:pStyle w:val="NormalWeb"/>
        <w:jc w:val="both"/>
      </w:pPr>
      <w:r>
        <w:t>Closely related was the allocation of financial and logistical resources. Responsible agencies were expected to fund venues, provide transportation where necessary, facilitate interpretation services, and ensure that participation was not constrained by poverty, distance, or disability. Without such support, participation tended to favor elites and urban populations, thereby weakening inclusivity (Akerboom &amp; Craig, 2022). Equally important was the creation of accessible and appropriate avenues of participation, including both formal and informal platforms such as public barazas, ward meetings, digital platforms, radio discussions, community-based forums, and stakeholder workshops. However, procedural fairness required that these avenues be physically accessible, geographically distributed, and socially inclusive, since reliance solely on digital platforms would exclude rural and marginalized populations with limited acces</w:t>
      </w:r>
      <w:r>
        <w:t xml:space="preserve">s to technology (Agomor, 2023). </w:t>
      </w:r>
      <w:r>
        <w:t>Another critical procedural requirement was ensuring prior knowledge and civic education. Public participation became meaningful only when citizens understood the issues under discussion, the policy processes involved, and the implications of their input. Responsible agencies therefore had a duty to simplify technical documents, translate them into local languages, and conduct civic education programs that built awareness and capacity for engagement. Without such preparation, participation risked becoming uninformed or tokenistic, where citizens were present but not effectively empowered to inf</w:t>
      </w:r>
      <w:r>
        <w:t xml:space="preserve">luence outcomes (Đurman, 2020). </w:t>
      </w:r>
      <w:r>
        <w:t>Effective procedural public participation depended heavily on clear and inclusive communication strategies that reached even the lowest levels of society. This involved the use of local languages, culturally appropriate messaging, and multiple communication channels such as chiefs’ barazas, community radio stations, mobile messaging, and grassroots leadership structures. Communication was required to be two-way, allowing feedback from citizens to flow back to decision-makers and ensuring that responses were provided in a timely and understandable manner. In this regard, procedural public participation was not simply about inviting citizens into governance spaces, but about deliberately designing systems that removed barriers to engagement and ensured that every citizen, regardless of social or economic status, could meaningfully participate in shaping public decisions (Hügel &amp; Davies, 2020).</w:t>
      </w:r>
    </w:p>
    <w:p w:rsidR="00A10A13" w:rsidRDefault="00A10A13" w:rsidP="001C20B1">
      <w:pPr>
        <w:pStyle w:val="NormalWeb"/>
        <w:jc w:val="both"/>
        <w:rPr>
          <w:b/>
        </w:rPr>
      </w:pPr>
    </w:p>
    <w:p w:rsidR="00CD1973" w:rsidRPr="00CD1973" w:rsidRDefault="008F283A" w:rsidP="001C20B1">
      <w:pPr>
        <w:pStyle w:val="NormalWeb"/>
        <w:jc w:val="both"/>
        <w:rPr>
          <w:b/>
        </w:rPr>
      </w:pPr>
      <w:r>
        <w:rPr>
          <w:b/>
        </w:rPr>
        <w:lastRenderedPageBreak/>
        <w:t>2.</w:t>
      </w:r>
      <w:r w:rsidR="00A10A13">
        <w:rPr>
          <w:b/>
        </w:rPr>
        <w:t>4</w:t>
      </w:r>
      <w:r w:rsidR="001A4980" w:rsidRPr="00CD1973">
        <w:rPr>
          <w:b/>
        </w:rPr>
        <w:t xml:space="preserve">.3 </w:t>
      </w:r>
      <w:r w:rsidR="003E7AEC">
        <w:rPr>
          <w:b/>
        </w:rPr>
        <w:t>Levels</w:t>
      </w:r>
      <w:r w:rsidR="001A4980" w:rsidRPr="00CD1973">
        <w:rPr>
          <w:b/>
        </w:rPr>
        <w:t xml:space="preserve"> of Public Participation Achievement</w:t>
      </w:r>
    </w:p>
    <w:p w:rsidR="001C20B1" w:rsidRDefault="001C20B1" w:rsidP="001C20B1">
      <w:pPr>
        <w:pStyle w:val="NormalWeb"/>
        <w:jc w:val="both"/>
      </w:pPr>
      <w:r>
        <w:t>In constitutional and democratic theory, it has been widely established that all sovereign power belonged to the people and was exercised either directly or indirectly through institutions created under the Constitution. This implied that the people did not permanently surrender their authority; instead, they authorized elected and appointed leaders to exercise power on their behalf within defined legal limits, accountability frameworks, and constitutional constr</w:t>
      </w:r>
      <w:r>
        <w:t xml:space="preserve">aints (Handayani &amp; Moki, 2025). </w:t>
      </w:r>
      <w:r>
        <w:t>Within this framework, public participation had therefore emerged as both a fundamental right and a governing principle through which citizens influenced how delegated authority was exercised, particularly in policy formulation, development planning, and oversight pro</w:t>
      </w:r>
      <w:r>
        <w:t xml:space="preserve">cesses (Guira, 2021). </w:t>
      </w:r>
      <w:r>
        <w:t>Elected leaders derived their legitimacy directly from the electorate through democratic processes such as general elections, by-elections, and referenda. Their mandate was representative in nature, meaning they were expected to articulate and advance the will of the people within legislative assemblies and executive institut</w:t>
      </w:r>
      <w:r>
        <w:t xml:space="preserve">ions (Daudu &amp; Fagbadebo, 2018). </w:t>
      </w:r>
      <w:r>
        <w:t>Legally, elected leaders such as Members of Parliament, Governors, and the President exercised powers relating to law-making, policy approval, budgeting, and oversight. Appointed leaders, on the other hand, derived authority indirectly through delegation by elected officials or constitutionally designated appointing authorities, and included cabinet secretaries, principal secretaries, county executives, commissioners, and heads of public agencies. Their roles were primarily administrative and operational, focusing on policy implementation, resource management, and service delivery (Majado, 2021).</w:t>
      </w:r>
    </w:p>
    <w:p w:rsidR="001C20B1" w:rsidRDefault="001C20B1" w:rsidP="001C20B1">
      <w:pPr>
        <w:pStyle w:val="NormalWeb"/>
        <w:jc w:val="both"/>
      </w:pPr>
      <w:r>
        <w:t>These appointed officials were bound by administrative law principles such as legality, reasonableness, proportionality, and procedural fairness, and they were accountable primarily to appointing authorities and oversight institutions rather than directly to voters. Public participation was therefore most legitimate and extensive in decision-making areas affecting collective welfare, including budgeting processes, county integrated development planning, environmental governance, social service delivery, infrastructure prioritization, and local development policy</w:t>
      </w:r>
      <w:r>
        <w:t xml:space="preserve"> formulation (Henriques, 2023). </w:t>
      </w:r>
      <w:r>
        <w:t>Citizens were also entitled to participate in oversight functions through mechanisms such as public hearings, petitions, stakeholder forums, and consultative platforms prior to major decisions. However, participation was legally limited in domains requiring confidentiality, technical expertise, or constitutional protection, including national security matters, intelligence operations, cabinet deliberations, judicial decision-making, procurement adjudication prior to award, and internal discipl</w:t>
      </w:r>
      <w:r>
        <w:t xml:space="preserve">inary processes (Hudson, 2021). </w:t>
      </w:r>
      <w:r>
        <w:t>Furthermore, technical policy formulation at advanced stages was often reserved for professionals and experts within state institutions, although initial consultation and impact assessment stages still required public input. This created a structured balance between popular sovereignty and institutional governance, where citizens remained the ultimate source of authority, elected leaders provided policy direction and accountability, and appointed officials implemented policies within legal framew</w:t>
      </w:r>
      <w:r>
        <w:t xml:space="preserve">orks (Daudu &amp; Fagbadebo, 2018). </w:t>
      </w:r>
      <w:r>
        <w:t>Public participation therefore operated mainly at the stages of agenda-setting, policy formulation, resource allocation, and evaluation rather than in day-to-day administrative execution or confidential state functions. When effectively implemented, this system strengthened democratic governance and efficiency; however, when reduced to procedural formality or excluded from meaningful decision stages, it weakened the constitutional promise of people-centered governance and risked detaching delegated power from its popular foundation (Akerboom &amp; Craig, 2022).</w:t>
      </w:r>
    </w:p>
    <w:p w:rsidR="00CD1973" w:rsidRPr="00142B1F" w:rsidRDefault="008F283A" w:rsidP="001C20B1">
      <w:pPr>
        <w:pStyle w:val="NormalWeb"/>
        <w:jc w:val="both"/>
        <w:rPr>
          <w:b/>
        </w:rPr>
      </w:pPr>
      <w:r>
        <w:rPr>
          <w:b/>
        </w:rPr>
        <w:lastRenderedPageBreak/>
        <w:t>2.</w:t>
      </w:r>
      <w:r w:rsidR="00A10A13">
        <w:rPr>
          <w:b/>
        </w:rPr>
        <w:t>4</w:t>
      </w:r>
      <w:r w:rsidR="001A4980" w:rsidRPr="00142B1F">
        <w:rPr>
          <w:b/>
        </w:rPr>
        <w:t>.4 Qualitative and Quantitative Measures of Public Participation</w:t>
      </w:r>
    </w:p>
    <w:p w:rsidR="009324FE" w:rsidRDefault="009324FE" w:rsidP="009324FE">
      <w:pPr>
        <w:pStyle w:val="NormalWeb"/>
        <w:jc w:val="both"/>
      </w:pPr>
      <w:r>
        <w:t>Qualitative measures of public participation focus on the depth, meaning, and overall quality of engagement between citizens and decision-makers within governance processes. These measures assess the extent to which participation is meaningful rather than symbolic by examining how individuals and groups are involved in discussions and how their views are considered in decision-making. Mannarini and Fedi (2018) emphasized that such assessments go beyond procedural presence to evaluate the substantive value of citizen engage</w:t>
      </w:r>
      <w:r>
        <w:t xml:space="preserve">ment in participatory settings. </w:t>
      </w:r>
      <w:r>
        <w:t>Key dimensions of qualitative assessment include the quality of deliberation, stakeholder perceptions, and inclusiveness. The quality of deliberation examines whether discussions are open, respectful, and inclusive of diverse perspectives, while stakeholder perceptions capture participants’ views on fairness, transparency, and responsiveness of the process. Inclusiveness evaluates whether marginalized groups, such as women, youth, persons with disabilities, and minority communities, are adequately represented and given voice in participatory processes (Waddington et al., 2019). Additionally, qualitative measures consider the perceived legitimacy of outcomes, particularly whether citizens believe decisions reflect their input and are justified. They also assess the influence of participation on decision-making, focusing on whether citizen input genuinely shapes policy outcomes rather than serving as a procedural fo</w:t>
      </w:r>
      <w:r>
        <w:t xml:space="preserve">rmality (Kamlage &amp; Nanz, 2018). </w:t>
      </w:r>
      <w:r>
        <w:t xml:space="preserve">Further qualitative indicators include participant experiences such as satisfaction levels, perceived empowerment, trust in institutions, and the extent to which individuals feel their contributions were acknowledged and integrated into final decisions (Fonseca et al., 2021). </w:t>
      </w:r>
    </w:p>
    <w:p w:rsidR="009324FE" w:rsidRDefault="009324FE" w:rsidP="009324FE">
      <w:pPr>
        <w:pStyle w:val="NormalWeb"/>
        <w:jc w:val="both"/>
      </w:pPr>
      <w:r>
        <w:t>These dimensions provide deeper insight into how participation is experienced by citizens and whether it fosters meaningful democratic engagement. Mannarini and Fedi (2018) noted that such experiential indicators are critical for understanding the real impact of participatory proc</w:t>
      </w:r>
      <w:r>
        <w:t xml:space="preserve">esses beyond formal structures. </w:t>
      </w:r>
      <w:r>
        <w:t>Quantitative measures of public participation, in contrast, provide numerical indicators such as the number of meetings held, attendance rates, demographic representation, and the volume of public submissions or petitions (World Health Organization, 2022). These indicators are useful for assessing the scale, frequency, and structural inclusiveness of participation processes and allow comparisons across time and institutions. They are particularly valuable for evaluating procedural efficiency and institutional commitment to participatory gove</w:t>
      </w:r>
      <w:r>
        <w:t xml:space="preserve">rnance (Koskimaa et al., 2024). </w:t>
      </w:r>
      <w:r>
        <w:t>However, quantitative indicators often depend on underlying qualitative factors such as motivation, trust, and willingness to engage. Attendance figures alone do not explain why citizens participate or abstain, as participation is influenced by perceptions of government responsiveness, civic awareness, political interest, and institutional trust (Bidwell &amp; Schweizer, 2021). In this sense, participation is both a measurable outcome and a socially constructed behavior shaped by attitudes and lived experiences. Chan et al. (2022) further argue that high participation numbers do not necessarily indicate meaningful engagement if citizens are disen</w:t>
      </w:r>
      <w:r>
        <w:t xml:space="preserve">gaged or disillusioned. </w:t>
      </w:r>
      <w:r>
        <w:t xml:space="preserve">The integration of qualitative and quantitative measures therefore provides a comprehensive framework for assessing public participation. While quantitative data offer clarity, objectivity, and comparability, qualitative insights reveal the depth, meaning, and perceived impact of participation processes. De’Arman (2020) notes that numerical participation alone may not reflect genuine inclusion or influence in decision-making. Similarly, Kiss et al. (2022) emphasize that combining both approaches enables a more balanced evaluation of how many people participated and how effectively they participated. This mixed-method approach </w:t>
      </w:r>
      <w:r>
        <w:lastRenderedPageBreak/>
        <w:t>ultimately strengthens accountability, transparency, and democratic governance by capturing both the scale and substance of citizen participation.</w:t>
      </w:r>
    </w:p>
    <w:p w:rsidR="00A10A13" w:rsidRDefault="00DE4CA0" w:rsidP="00A10A13">
      <w:pPr>
        <w:pStyle w:val="NoSpacing"/>
        <w:rPr>
          <w:rFonts w:ascii="Times New Roman" w:hAnsi="Times New Roman" w:cs="Times New Roman"/>
          <w:b/>
          <w:sz w:val="24"/>
        </w:rPr>
      </w:pPr>
      <w:r w:rsidRPr="00A10A13">
        <w:rPr>
          <w:rFonts w:ascii="Times New Roman" w:hAnsi="Times New Roman" w:cs="Times New Roman"/>
          <w:b/>
          <w:sz w:val="24"/>
        </w:rPr>
        <w:t>CHAPTER THREE.</w:t>
      </w:r>
    </w:p>
    <w:p w:rsidR="00A10A13" w:rsidRPr="00A10A13" w:rsidRDefault="00A10A13" w:rsidP="00A10A13">
      <w:pPr>
        <w:pStyle w:val="NoSpacing"/>
        <w:rPr>
          <w:rFonts w:ascii="Times New Roman" w:hAnsi="Times New Roman" w:cs="Times New Roman"/>
          <w:b/>
          <w:sz w:val="24"/>
        </w:rPr>
      </w:pPr>
    </w:p>
    <w:p w:rsidR="008969D7" w:rsidRPr="00A10A13" w:rsidRDefault="008F283A" w:rsidP="00A10A13">
      <w:pPr>
        <w:pStyle w:val="NoSpacing"/>
        <w:rPr>
          <w:rFonts w:ascii="Times New Roman" w:hAnsi="Times New Roman" w:cs="Times New Roman"/>
          <w:b/>
          <w:sz w:val="24"/>
        </w:rPr>
      </w:pPr>
      <w:r w:rsidRPr="00A10A13">
        <w:rPr>
          <w:rFonts w:ascii="Times New Roman" w:hAnsi="Times New Roman" w:cs="Times New Roman"/>
          <w:b/>
          <w:sz w:val="24"/>
        </w:rPr>
        <w:t>3</w:t>
      </w:r>
      <w:r w:rsidR="008969D7" w:rsidRPr="00A10A13">
        <w:rPr>
          <w:rFonts w:ascii="Times New Roman" w:hAnsi="Times New Roman" w:cs="Times New Roman"/>
          <w:b/>
          <w:sz w:val="24"/>
        </w:rPr>
        <w:t>.0 Research Methodology.</w:t>
      </w:r>
    </w:p>
    <w:p w:rsidR="0088509F" w:rsidRDefault="0088509F" w:rsidP="0088509F">
      <w:pPr>
        <w:pStyle w:val="NormalWeb"/>
        <w:jc w:val="both"/>
      </w:pPr>
      <w:r>
        <w:t>The study will adopt a Qualitative Descriptive Research Design, which will be considered appropriate for exploring and presenting an in-depth understanding of complex social and governance phenomena without manipulating the study environment (Villamin et al., 2025). This design will be suitable because it will enable the researcher to capture rich, detailed, and context-specific information regarding perceptions, lived experiences, interpretations, and practices related to public participation in governance processes (Kim et al., 2017). It will further allow the study to describe “what is happening” in real-world settings as expressed by participants, particularly in relation to how public participation is conceptualized, implemented, and experienced within govern</w:t>
      </w:r>
      <w:r>
        <w:t xml:space="preserve">ance structures (Turale, 2020). </w:t>
      </w:r>
      <w:r>
        <w:t>The qualitative descriptive approach will also be useful because it will prioritize participants’ voices and meanings, thereby ensuring that findings are grounded in actual experiences rather than statistical generalizations (Rogo, 2024). It will facilitate flexibility in data collection methods such as interviews, key informant discussions, and document analysis, which will help in capturing nuanced insights on institutional, political, and social factors influencing public participation (Thorne, 2025).</w:t>
      </w:r>
    </w:p>
    <w:p w:rsidR="008969D7" w:rsidRPr="008969D7" w:rsidRDefault="008F283A" w:rsidP="0088509F">
      <w:pPr>
        <w:pStyle w:val="NormalWeb"/>
        <w:jc w:val="both"/>
        <w:rPr>
          <w:b/>
        </w:rPr>
      </w:pPr>
      <w:r>
        <w:rPr>
          <w:b/>
        </w:rPr>
        <w:t>3.1</w:t>
      </w:r>
      <w:r w:rsidR="008969D7" w:rsidRPr="008969D7">
        <w:rPr>
          <w:b/>
        </w:rPr>
        <w:t xml:space="preserve"> Study Population</w:t>
      </w:r>
    </w:p>
    <w:p w:rsidR="00474003" w:rsidRDefault="008969D7" w:rsidP="008969D7">
      <w:pPr>
        <w:pStyle w:val="NormalWeb"/>
        <w:jc w:val="both"/>
      </w:pPr>
      <w:r>
        <w:t xml:space="preserve">The study population will comprise key stakeholders who will be directly or indirectly involved in governance, policy formulation, implementation, and public participation processes. These groups will be selected because they will possess relevant knowledge, experience, and institutional roles necessary for providing reliable and diverse perspectives on governance and citizen engagement. The population will include the following categories: Public administrators, national government officials, Members of Parliament (MPs), </w:t>
      </w:r>
      <w:r w:rsidR="00846E15">
        <w:t>civil</w:t>
      </w:r>
      <w:r>
        <w:t xml:space="preserve"> society representatives, Governance experts and scholars, </w:t>
      </w:r>
      <w:r w:rsidR="00474003">
        <w:t>Community representatives.</w:t>
      </w:r>
    </w:p>
    <w:p w:rsidR="008969D7" w:rsidRPr="00474003" w:rsidRDefault="008F283A" w:rsidP="008969D7">
      <w:pPr>
        <w:pStyle w:val="NormalWeb"/>
        <w:jc w:val="both"/>
        <w:rPr>
          <w:b/>
        </w:rPr>
      </w:pPr>
      <w:r>
        <w:rPr>
          <w:b/>
        </w:rPr>
        <w:t>3.2</w:t>
      </w:r>
      <w:r w:rsidR="00474003">
        <w:rPr>
          <w:b/>
        </w:rPr>
        <w:t xml:space="preserve"> Sampling Technique</w:t>
      </w:r>
    </w:p>
    <w:p w:rsidR="0088509F" w:rsidRDefault="0088509F" w:rsidP="0088509F">
      <w:pPr>
        <w:pStyle w:val="NormalWeb"/>
        <w:jc w:val="both"/>
      </w:pPr>
      <w:r>
        <w:t>The study employed purposive sampling as the primary sampling technique in order to deliberately identify and select participants who possessed specialized knowledge, experience, and direct involvement in public participation and governance</w:t>
      </w:r>
      <w:r>
        <w:t xml:space="preserve"> processes. According to Tajik et al., </w:t>
      </w:r>
      <w:r>
        <w:t>(2025), purposive sampling involves the intentional selection of information-rich cases that are most capable of providing in-depth and relevant insights into the phenomenon under study. This technique was considered appropriate because the study did not aim at statistical representation, but rather at obtaining rich, detailed, and contextually relevant information from respondents who were best positioned to ill</w:t>
      </w:r>
      <w:r>
        <w:t xml:space="preserve">uminate the research problem. </w:t>
      </w:r>
      <w:r>
        <w:t xml:space="preserve">In addition, the study utilized criterion sampling, whereby participants were selected based on predefined inclusion criteria. These criteria included individuals who had directly participated in public participation forums, policy formulation processes, governance decision-making structures, or public administration roles. Keung et al. (2020) explained that inclusion and exclusion criteria are essential in defining a study </w:t>
      </w:r>
      <w:r>
        <w:lastRenderedPageBreak/>
        <w:t>cohort by ensuring that only participants who meet specific relevance standards are selected. This approach ensured that only respondents with relevant lived or professional experience were included in the study, thereby enhancing the credibility a</w:t>
      </w:r>
      <w:r>
        <w:t xml:space="preserve">nd reliability of the findings. </w:t>
      </w:r>
      <w:r>
        <w:t xml:space="preserve">The combination of purposive and criterion sampling strengthened the study by ensuring that data were collected from knowledgeable and experienced respondents capable of providing deep insights into the effectiveness, challenges, and opportunities of public participation in governance. </w:t>
      </w:r>
      <w:r>
        <w:t>This</w:t>
      </w:r>
      <w:r>
        <w:t xml:space="preserve"> approach enhanced the depth, relevance, and analytical value of the research findings, since it prioritized information-rich participants whose contributions were directly aligned with the objectives of the study.</w:t>
      </w:r>
    </w:p>
    <w:p w:rsidR="00474003" w:rsidRPr="0088509F" w:rsidRDefault="008F283A" w:rsidP="0088509F">
      <w:pPr>
        <w:pStyle w:val="NormalWeb"/>
        <w:jc w:val="both"/>
        <w:rPr>
          <w:b/>
        </w:rPr>
      </w:pPr>
      <w:r>
        <w:rPr>
          <w:b/>
        </w:rPr>
        <w:t>3.3</w:t>
      </w:r>
      <w:r w:rsidR="001A4980" w:rsidRPr="0088509F">
        <w:rPr>
          <w:b/>
        </w:rPr>
        <w:t xml:space="preserve"> Data Collection Methods</w:t>
      </w:r>
    </w:p>
    <w:p w:rsidR="0088509F" w:rsidRDefault="0088509F" w:rsidP="0088509F">
      <w:pPr>
        <w:pStyle w:val="NormalWeb"/>
        <w:jc w:val="both"/>
      </w:pPr>
      <w:r>
        <w:t xml:space="preserve">This study adopted two main data collection methods: document review and key informant interviews. Document review involved a systematic and comprehensive analysis of both primary and secondary documentary sources relevant to governance, public participation, policy implementation, and accountability frameworks (Morgan, 2022). The purpose of this method was to trace the evolution of governance frameworks, identify gaps between policy intentions and implementation realities, and examine how public participation and accountability mechanisms were legally </w:t>
      </w:r>
      <w:r w:rsidR="008F283A">
        <w:t xml:space="preserve">and institutionally structured. </w:t>
      </w:r>
      <w:r>
        <w:t>Key informant interviews were conducted using a semi-structured interview guide to obtain in-depth insights from individuals with specialized knowledge and practical experience in governance and publ</w:t>
      </w:r>
      <w:r>
        <w:t>ic administration (Akhter, 2022</w:t>
      </w:r>
      <w:r>
        <w:t>). These interviews focused on capturing experiential knowledge, perceptions, and interpretations regarding governance processes, public participation, representation, accountability mechanisms, and policy implementation challenges.</w:t>
      </w:r>
    </w:p>
    <w:p w:rsidR="00474003" w:rsidRPr="00474003" w:rsidRDefault="00DE4CA0" w:rsidP="0088509F">
      <w:pPr>
        <w:pStyle w:val="NormalWeb"/>
        <w:jc w:val="both"/>
        <w:rPr>
          <w:b/>
        </w:rPr>
      </w:pPr>
      <w:r>
        <w:rPr>
          <w:b/>
        </w:rPr>
        <w:t>3.4</w:t>
      </w:r>
      <w:r w:rsidR="00474003" w:rsidRPr="00474003">
        <w:rPr>
          <w:b/>
        </w:rPr>
        <w:t xml:space="preserve"> Data Analysis</w:t>
      </w:r>
    </w:p>
    <w:p w:rsidR="0088509F" w:rsidRDefault="0088509F" w:rsidP="0088509F">
      <w:pPr>
        <w:pStyle w:val="NormalWeb"/>
        <w:jc w:val="both"/>
      </w:pPr>
      <w:r>
        <w:t>The study employed thematic analysis as the primary technique for analyzing qualitative data. This approach allowed for a systematic process of identifying, organizing, and interpreting patterns of meaning within the collected data, thereby enabling a deep understanding of participants’ perspectives. Thematic analysis was particularly suitable for this study because it provided flexibility while maintaining methodological rigor in handling qualitative</w:t>
      </w:r>
      <w:r>
        <w:t xml:space="preserve"> datasets (Ahmed et al., 2025). </w:t>
      </w:r>
      <w:r>
        <w:t>The analysis process began with transcription of all interview recordings and careful reading of documentary materials to ensure data familiarization. This stage allowed the researcher to immerse themselves in the data and gain an initial sense of recurring ideas and meanings. Following this, the coding process was undertaken, where meaningful segments of the data were systematically assigned labels that captured their essence and content (Christou, 2022). This step ensured that all relevant information was organized in a structur</w:t>
      </w:r>
      <w:r>
        <w:t xml:space="preserve">ed manner for further analysis. </w:t>
      </w:r>
      <w:r>
        <w:t>After coding, related codes were grouped into broader categories that reflected emerging patterns and relationships within the data. These categories were then synthesized to generate overarching themes that were aligned with the study objectives. This process of theme development ensured that the analysis moved beyond descriptive coding to interpretive understanding of the da</w:t>
      </w:r>
      <w:r>
        <w:t xml:space="preserve">ta (Castleberry &amp; Nolen, 2018). </w:t>
      </w:r>
      <w:r>
        <w:t xml:space="preserve">The final themes captured key dimensions of the study, including conceptual understanding of governance and public participation, practical implementation of governance policies, levels and quality of citizen participation, representation structures and </w:t>
      </w:r>
      <w:r>
        <w:lastRenderedPageBreak/>
        <w:t xml:space="preserve">inclusivity, influence of stakeholders in decision-making processes, accountability mechanisms and their effectiveness, and indicators used to measure governance performance (Peel, 2020). </w:t>
      </w:r>
    </w:p>
    <w:p w:rsidR="00DE4CA0" w:rsidRPr="00A10A13" w:rsidRDefault="00DE4CA0" w:rsidP="00A10A13">
      <w:pPr>
        <w:pStyle w:val="NoSpacing"/>
        <w:rPr>
          <w:rFonts w:ascii="Times New Roman" w:hAnsi="Times New Roman" w:cs="Times New Roman"/>
          <w:b/>
          <w:sz w:val="24"/>
        </w:rPr>
      </w:pPr>
      <w:r w:rsidRPr="00A10A13">
        <w:rPr>
          <w:rFonts w:ascii="Times New Roman" w:hAnsi="Times New Roman" w:cs="Times New Roman"/>
          <w:b/>
          <w:sz w:val="24"/>
        </w:rPr>
        <w:t xml:space="preserve">CHAPTER FOUR: </w:t>
      </w:r>
    </w:p>
    <w:p w:rsidR="00474003" w:rsidRPr="00A10A13" w:rsidRDefault="00DE4CA0" w:rsidP="00A10A13">
      <w:pPr>
        <w:pStyle w:val="NoSpacing"/>
        <w:rPr>
          <w:rFonts w:ascii="Times New Roman" w:hAnsi="Times New Roman" w:cs="Times New Roman"/>
          <w:b/>
          <w:sz w:val="24"/>
        </w:rPr>
      </w:pPr>
      <w:r w:rsidRPr="00A10A13">
        <w:rPr>
          <w:rFonts w:ascii="Times New Roman" w:hAnsi="Times New Roman" w:cs="Times New Roman"/>
          <w:b/>
          <w:sz w:val="24"/>
        </w:rPr>
        <w:t>DATA PRESENTATION, ANALYSIS AND INTERPRETATION</w:t>
      </w:r>
    </w:p>
    <w:p w:rsidR="00474003" w:rsidRPr="00474003" w:rsidRDefault="00474003" w:rsidP="00474003">
      <w:pPr>
        <w:pStyle w:val="NormalWeb"/>
        <w:jc w:val="both"/>
        <w:rPr>
          <w:b/>
        </w:rPr>
      </w:pPr>
      <w:r w:rsidRPr="00474003">
        <w:rPr>
          <w:b/>
        </w:rPr>
        <w:t>4.1 Introduction</w:t>
      </w:r>
    </w:p>
    <w:p w:rsidR="00474003" w:rsidRDefault="00474003" w:rsidP="00474003">
      <w:pPr>
        <w:pStyle w:val="NormalWeb"/>
        <w:jc w:val="both"/>
      </w:pPr>
      <w:r>
        <w:t>This chapter presents, analyses, and interprets the findings of the study on the application of public participation in theory and practice within public administration. The analysis is organized according to the specific objectives of the study, namely: theoretical understanding of public participation, procedural application, achievement levels, and measurement approaches. The findings were derived from respondents drawn from public administration institutions, community members, and key stakeholders involved in governance processes.</w:t>
      </w:r>
    </w:p>
    <w:p w:rsidR="00474003" w:rsidRPr="00474003" w:rsidRDefault="00474003" w:rsidP="00474003">
      <w:pPr>
        <w:pStyle w:val="NormalWeb"/>
        <w:jc w:val="both"/>
        <w:rPr>
          <w:b/>
        </w:rPr>
      </w:pPr>
      <w:r w:rsidRPr="00474003">
        <w:rPr>
          <w:b/>
        </w:rPr>
        <w:t>4.2 Theoretical Meaning of Public Participation</w:t>
      </w:r>
    </w:p>
    <w:p w:rsidR="00745731" w:rsidRDefault="0088509F" w:rsidP="0088509F">
      <w:pPr>
        <w:pStyle w:val="NormalWeb"/>
        <w:jc w:val="both"/>
      </w:pPr>
      <w:r>
        <w:t>The findings indicated that public participation was generally understood by most respondents as a mechanism through which citizens were involved in governance processes. In this basic understanding, participation was largely associated with structured government engagements such as meetings, barazas, consultation forums, and project sensitization sessions. However, the depth and sophistication of this understanding varied considerably between technical officers and ordinary community members, suggesting uneven awareness of the theoretical foundations of participatory governance. A majority of community respondents conceptualized public participation in a narrow, procedural sense, consistent with what has been described in the literature as consultative or lower-rung participation where citizens are present but have limited influence over out</w:t>
      </w:r>
      <w:r w:rsidR="00F16546">
        <w:t>comes (Gaber, 2020</w:t>
      </w:r>
      <w:r>
        <w:t>). In such arrangements, participation often emphasizes information sharing rather than shared decision-making, a concern also raised in comparative studies on participation quality (</w:t>
      </w:r>
      <w:r w:rsidR="00F16546">
        <w:t xml:space="preserve">Schwartz &amp; Schejter, 2024). </w:t>
      </w:r>
      <w:r>
        <w:t>For them, participation mainly meant being invited to meetings where government officials presented planned projects, informed citizens about decisions already made, and occasionally collected opinions. This understanding reflects what scholars describe as “consultative participation,” where citizens are involved primarily for information-sharing rather than meaningful decision-making. The response from one community member clearly illustrated this perception: “</w:t>
      </w:r>
      <w:r w:rsidRPr="00F16546">
        <w:rPr>
          <w:i/>
        </w:rPr>
        <w:t>Public participation means when we are called to meetings to be informed about government projects and sometimes asked for our opinions</w:t>
      </w:r>
      <w:r>
        <w:t xml:space="preserve">.” (Respondent 4, Community Member). This view shows that participation was often experienced as a top-down communication process rather than a collaborative governance arrangement. </w:t>
      </w:r>
    </w:p>
    <w:p w:rsidR="0088509F" w:rsidRDefault="0088509F" w:rsidP="0088509F">
      <w:pPr>
        <w:pStyle w:val="NormalWeb"/>
        <w:jc w:val="both"/>
      </w:pPr>
      <w:r>
        <w:t>Complementary studies have similarly shown that in many local governance systems, citizen engagement is frequently reduced to feedback collection exercises rather than genuine co-production of decisions, thereby limiting its democratic value (</w:t>
      </w:r>
      <w:r w:rsidR="00F16546">
        <w:t xml:space="preserve">Mbithi et al., 2019). </w:t>
      </w:r>
      <w:r>
        <w:t>Evidence from public service delivery research further indicates that such limited engagement weakens accountability and citizen ownership of development outcomes (</w:t>
      </w:r>
      <w:r w:rsidR="00F16546">
        <w:t xml:space="preserve">Waddington et al., 2019). </w:t>
      </w:r>
      <w:r>
        <w:t xml:space="preserve">In contrast, a smaller but significant proportion of respondents—mainly county officials and technically trained personnel—demonstrated a more advanced and theoretically grounded </w:t>
      </w:r>
      <w:r>
        <w:lastRenderedPageBreak/>
        <w:t>understanding of public participation. These respondents viewed participation as an essential component of democratic governance that requires actual influence over decision-making processes. From this perspective, participation was not limited to consultation but extended to shared power, accountability, and citizen impact on policy outcomes. This is reflected in the statement of one county official: “</w:t>
      </w:r>
      <w:r w:rsidRPr="00F16546">
        <w:rPr>
          <w:i/>
        </w:rPr>
        <w:t>True public participation should go beyond informing people; it should influence decisions made by government institutions.”</w:t>
      </w:r>
      <w:r>
        <w:t xml:space="preserve"> (Respondent 2, County Official). This interpretation aligns with participatory democracy theory, which emphasizes citizen empowerment and institutional responsiveness, as similarly argued in studies on democratic innovations and participatory governance models (Kamlage &amp; Nanz, 2018</w:t>
      </w:r>
      <w:r w:rsidR="00F16546">
        <w:t xml:space="preserve">). </w:t>
      </w:r>
      <w:r>
        <w:t>Further comparative evidence also shows that higher-quality participation occurs where institutions deliberately design mechanisms that allow citizens to shape decisions rather than merely respond to predetermined agendas (De’Arman, 2020).</w:t>
      </w:r>
    </w:p>
    <w:p w:rsidR="00474003" w:rsidRPr="00474003" w:rsidRDefault="00474003" w:rsidP="0088509F">
      <w:pPr>
        <w:pStyle w:val="NormalWeb"/>
        <w:jc w:val="both"/>
        <w:rPr>
          <w:b/>
        </w:rPr>
      </w:pPr>
      <w:r w:rsidRPr="00474003">
        <w:rPr>
          <w:b/>
        </w:rPr>
        <w:t>4.3 Procedural Appl</w:t>
      </w:r>
      <w:r>
        <w:rPr>
          <w:b/>
        </w:rPr>
        <w:t>ication of Public Participation</w:t>
      </w:r>
    </w:p>
    <w:p w:rsidR="0088509F" w:rsidRDefault="0088509F" w:rsidP="0088509F">
      <w:pPr>
        <w:pStyle w:val="NormalWeb"/>
        <w:jc w:val="both"/>
      </w:pPr>
      <w:r>
        <w:t>The study found that public participation was mainly applied through formal and structured institutional mechanisms such as public barazas, budget hearings, ward development forums, and stakeholder consultations. These procedures were officially presented as the main channels through which citizens influenced public decision-making processes. However, field responses indicated that the effectiveness of these procedures varied significantly across different contexts and levels of governance, with many participants expressing concerns about the depth of their influence. This finding was consistent with Agomor (2023), who observed that although public participation structures are widely institutionalized in policymaking processes, their practical effectiveness often depends on how genuinely they are integrated into decision-making rather than simply existing as procedural requirements. One respondent, representing youth perspectives, observed: “</w:t>
      </w:r>
      <w:r w:rsidRPr="00745731">
        <w:rPr>
          <w:i/>
        </w:rPr>
        <w:t>We attend meetings, but most of the decisions are already made. We are only told what will happen.”</w:t>
      </w:r>
      <w:r>
        <w:t xml:space="preserve"> (Respondent 7, Youth Representative). This response reflected a perception that public participation was largely pre-determined, where citizens were engaged after key d</w:t>
      </w:r>
      <w:r w:rsidR="00745731">
        <w:t xml:space="preserve">ecisions had already been made. </w:t>
      </w:r>
      <w:r>
        <w:t>Another participant, a ward-level administrator, provided a more positive but still limited view: “</w:t>
      </w:r>
      <w:r w:rsidRPr="00745731">
        <w:rPr>
          <w:i/>
        </w:rPr>
        <w:t>Sometimes our views are taken, especially on small community projects like water points and roads</w:t>
      </w:r>
      <w:r>
        <w:t>.” (Respondent 11, Ward Administrator). This response indicated that citizen input was occasionally considered, particularly in lower-level or less politically sensitive projects. However, it also implied that meaningful influence was often restricted to minor infrastructural decisions, while broader policy and budgetary priorities remained centrally controlled. This selective inclusion reinforced Bobbio’s (2019) argument that participation processes can be designed in ways that appear inclusive while still limiting the scope of citizen influence to less strategic decisions. Similarly, Chan et al. (2022) found that citizen advisory mechanisms often enhance consultation without necessarily shifting real decision authority, particularly when institutional hierarchies remain unchanged. These complementary findings reinforced the interpretation that participation in the study context tended to be consulta</w:t>
      </w:r>
      <w:r w:rsidR="00745731">
        <w:t>tive rather than collaborative.</w:t>
      </w:r>
    </w:p>
    <w:p w:rsidR="00745731" w:rsidRPr="00CD5554" w:rsidRDefault="0088509F" w:rsidP="0088509F">
      <w:pPr>
        <w:pStyle w:val="NormalWeb"/>
        <w:jc w:val="both"/>
      </w:pPr>
      <w:r>
        <w:t xml:space="preserve">The findings suggested that public participation was largely procedural in nature and, in some instances, tokenistic. While institutional mechanisms for participation existed, their implementation often placed citizens at the lower levels of Arnstein’s Ladder of Participation—mainly informing and consultation—rather than partnership, delegated power, or citizen control. </w:t>
      </w:r>
      <w:r>
        <w:lastRenderedPageBreak/>
        <w:t>This aligned with Eckerd and Heidelberg (2020), who emphasized that administrative systems often “manage” participation in ways that prioritize control and procedural compliance over genuine power-sharing. Consequently, the procedural application of public participation did not consistently translate into substantive citizen influence o</w:t>
      </w:r>
      <w:r w:rsidR="00745731">
        <w:t xml:space="preserve">ver major governance decisions. </w:t>
      </w:r>
      <w:r>
        <w:t>From the study perspective, procedural public participation was understood as the structured and rule-guided process through which citizens were invited into governance systems to contribute to decision-making, implementation, and evaluation of public programs. However, it was also evident that this participation required more than just formal invitations to meetings; it demanded deliberate institutional arrangements that ensured inclusivity, accessibility, and responsiveness. The responses showed that where procedures were weakly implemented, participation became symbolic. Citizens were physically present in meetings but lacked the necessary information, time, or influence to shape outcomes. In contrast, where procedures were strengthened—such as in some local project decisions—citizens experienced partial inclusion in shaping development priorities. This interpretation was supported by Bidwell and Schweizer (2021), who noted that meaningful participation depends on the alignment between public values, institutional design, and decision-making goals. The study therefore concluded that procedural public participation depended heavily on how well institutions designed and implemented enabling conditions such as adequate notice, civic education, accessible communication, and resource support. Without these, participation risked becoming a formality rather than a democratic process.</w:t>
      </w:r>
    </w:p>
    <w:p w:rsidR="00474003" w:rsidRPr="00474003" w:rsidRDefault="00474003" w:rsidP="0088509F">
      <w:pPr>
        <w:pStyle w:val="NormalWeb"/>
        <w:jc w:val="both"/>
        <w:rPr>
          <w:b/>
        </w:rPr>
      </w:pPr>
      <w:r w:rsidRPr="00474003">
        <w:rPr>
          <w:b/>
        </w:rPr>
        <w:t>4.4 Levels to Which Public Participati</w:t>
      </w:r>
      <w:r>
        <w:rPr>
          <w:b/>
        </w:rPr>
        <w:t>on Achieves Intended Objectives</w:t>
      </w:r>
    </w:p>
    <w:p w:rsidR="0088509F" w:rsidRDefault="0088509F" w:rsidP="0088509F">
      <w:pPr>
        <w:pStyle w:val="NormalWeb"/>
        <w:jc w:val="both"/>
      </w:pPr>
      <w:r>
        <w:t>Findings indicated that the principle of popular sovereignty remained the foundational basis of governance, where all power was understood to originate from the people and only exercised by government institutions on their behalf. Respondents and complementary scholarship converged on the view that public participation was intended to operationalize this sovereignty by bridging citizens and representative institutions within democratic governance systems. This was consistent with Agomor (2023), who emphasized that public participation in policymaking processes was central to linking citizen preferences with institutional decision-making, and Bidwell and Schweizer (2021), who noted that participation processes were designed to reflect public values and democratic goals. However, the delegation of authority through representative democracy meant that citizen influence largely remained indirect, as elected leaders continued to mediate governance outcomes on behalf of the electorate. This was similarly reflected in literature on participatory ladders, where meaningful citizen influence was often situated at specific levels of engagement rather than full decision-making control (Đurman, 2020). This was captured in sentiments such as, “</w:t>
      </w:r>
      <w:r w:rsidRPr="00745731">
        <w:rPr>
          <w:i/>
        </w:rPr>
        <w:t>At least now we know how county budgets are prepared, unlike before when everything was secret.”</w:t>
      </w:r>
      <w:r>
        <w:t xml:space="preserve"> (Respondent 3, Civil Society Member), which reflected improved transparency and partial realization</w:t>
      </w:r>
      <w:r w:rsidR="00745731">
        <w:t xml:space="preserve"> of people-centered governance.</w:t>
      </w:r>
    </w:p>
    <w:p w:rsidR="0088509F" w:rsidRDefault="0088509F" w:rsidP="0088509F">
      <w:pPr>
        <w:pStyle w:val="NormalWeb"/>
        <w:jc w:val="both"/>
      </w:pPr>
      <w:r>
        <w:t xml:space="preserve">The study further established that elected leaders and appointed officials exercised delegated authority within clearly defined legal and institutional boundaries, with elected leaders deriving legitimacy directly from the electorate and appointed officials exercising administrative authority through delegated executive powers. While complementary studies by Eckerd and Heidelberg (2020) emphasized that effective participation required deliberate institutional design and administrative structuring to ensure citizen input influenced outcomes, the findings suggested that this influence remained uneven. Respondents expressed concern that citizen input did not always </w:t>
      </w:r>
      <w:r>
        <w:lastRenderedPageBreak/>
        <w:t>translate into actual policy outcomes, as reflected in the statement, “</w:t>
      </w:r>
      <w:r w:rsidRPr="00745731">
        <w:rPr>
          <w:i/>
        </w:rPr>
        <w:t xml:space="preserve">We give our views, but implementation rarely reflects what we discussed.” </w:t>
      </w:r>
      <w:r>
        <w:t>(Respondent 9, Community Elder). This aligned with De’Arman (2020), who observed that public participation processes may generate inclusion without necessarily guaranteeing substantive influence in final decision-making. Similarly, Waddington et al. (2019) noted that while participatory mechanisms enhance accountability and transparency, gaps often persist between consultation and actual policy adoption, particularly in resource-constrained or pol</w:t>
      </w:r>
      <w:r w:rsidR="00745731">
        <w:t xml:space="preserve">itically mediated environments. </w:t>
      </w:r>
      <w:r>
        <w:t xml:space="preserve">The findings also revealed that public participation was most effective in areas of awareness creation, agenda setting, and preliminary consultation, particularly in budgeting processes, development planning, and service delivery discussions. However, participation was significantly constrained in technical, confidential, and high-level decision-making domains such as national security matters, internal administrative decisions, procurement adjudication before awarding, and executive deliberations, where access was restricted to protect institutional integrity and efficiency. This selective effectiveness was consistent with Schwartz and Schejter (2024), who conceptualized participation as multi-layered, with varying degrees of influence depending on institutional openness and policy stage. Similarly, Nanz (2018) emphasized that participatory systems often function effectively at consultative and agenda-setting levels but weaken at binding decision stages. </w:t>
      </w:r>
      <w:r w:rsidR="00745731">
        <w:t>While</w:t>
      </w:r>
      <w:r>
        <w:t xml:space="preserve"> public participation contributed to increased transparency and limited accountability gains, its overall effectiveness in shaping final decisions remained partial, reinforcing the finding that delegation to representatives and appointed officials still dominated governance outcomes. This creates a dual reality in which citizens influenced governance mainly at entry points of decision-making, while elected and appointed officials retained stronger control over final policy and administrative outputs.</w:t>
      </w:r>
    </w:p>
    <w:p w:rsidR="00474003" w:rsidRPr="00BD321F" w:rsidRDefault="00474003" w:rsidP="0088509F">
      <w:pPr>
        <w:pStyle w:val="NormalWeb"/>
        <w:jc w:val="both"/>
        <w:rPr>
          <w:b/>
        </w:rPr>
      </w:pPr>
      <w:r w:rsidRPr="00BD321F">
        <w:rPr>
          <w:b/>
        </w:rPr>
        <w:t>4.5 Qualitative and Quantitative Measures Used in Public Participation</w:t>
      </w:r>
    </w:p>
    <w:p w:rsidR="00F16546" w:rsidRDefault="00F16546" w:rsidP="00F16546">
      <w:pPr>
        <w:pStyle w:val="NormalWeb"/>
        <w:jc w:val="both"/>
      </w:pPr>
      <w:r>
        <w:t>The study established that public participation frameworks within institutions were predominantly guided by quantitative indicators, which were considered easier to measure, document, and report within administrative systems. These included attendance numbers, frequency of public forums, and the volume of submissions or complaints collected during engagement exercises. This tendency aligns with the view that many participatory systems often privilege measurable outputs over meaningful democratic quality, where participation is frequently assessed through institutional performance indicators rather than lived civic outc</w:t>
      </w:r>
      <w:r w:rsidR="00745731">
        <w:t>omes (Eckerd &amp; Heidelberg, 2020</w:t>
      </w:r>
      <w:r>
        <w:t xml:space="preserve">). A public officer emphasized this institutional preference, stating: </w:t>
      </w:r>
      <w:r w:rsidRPr="00745731">
        <w:rPr>
          <w:i/>
        </w:rPr>
        <w:t>“We usually report the number of participants in forums and the issues raised during meetings. However these turnout depends on whether the people are willing to take part or not</w:t>
      </w:r>
      <w:r>
        <w:t>” (Respondent 5, County Planner). This reflects a bureaucratic tendency to equate participation with numerical presence and procedural compliance rather than substantive engagement. While such indicators provide a clear picture of the scale of participation, they often fail to reveal whether citizens were actively engaged, whether discussions were meaningful, or whether their input influen</w:t>
      </w:r>
      <w:r w:rsidR="00745731">
        <w:t>ced outcomes (WHO, 2022</w:t>
      </w:r>
      <w:r>
        <w:t>). As a result, participation risks being reduced to a counting exercise, where success is measured by “how many came” rather than “what changed” as a result of their involvement.</w:t>
      </w:r>
    </w:p>
    <w:p w:rsidR="00F16546" w:rsidRDefault="00F16546" w:rsidP="00F16546">
      <w:pPr>
        <w:pStyle w:val="NormalWeb"/>
        <w:jc w:val="both"/>
      </w:pPr>
      <w:r>
        <w:t xml:space="preserve">In contrast, qualitative dimensions of public participation were found to be largely underdeveloped or inconsistently applied, despite their importance in understanding the lived experiences of participants. These dimensions focus on perceptions, satisfaction, trust, inclusiveness, and the </w:t>
      </w:r>
      <w:r>
        <w:lastRenderedPageBreak/>
        <w:t>actual influence of citizen input on decision-making processes. One respondent critically observed this gap, noting: “</w:t>
      </w:r>
      <w:r w:rsidRPr="00745731">
        <w:rPr>
          <w:i/>
        </w:rPr>
        <w:t>Even if many people attend, it does not mean they feel their opinions matter</w:t>
      </w:r>
      <w:r>
        <w:t>.” (Respondent 6, NGO Representative). This statement highlights a fundamental weakness in participation systems where physical attendance is mistaken for meaningful engagement. Literature similarly emphasizes that the quality of participation must be assessed through inclusiveness, deliberative depth, and perceived legitimacy rather than attendance alone (Schwartz &amp; Schejter, 2024). However, the study revealed that such assessments were rarely institutionalized, meaning that critical issues such as perceived tokenism, consultation fatigue, and mistrust in governance structures remained largely undocumented. Consequently, even when participation appeared successful on paper, citizens often experienced it as symbolic rather than transformative (</w:t>
      </w:r>
      <w:r w:rsidR="00745731">
        <w:t xml:space="preserve">Munene, 2019). </w:t>
      </w:r>
      <w:r>
        <w:t>When both quantitative and qualitative dimensions are considered together, the findings confirm a significant imbalance in how public participation is evaluated, with a strong bias toward numerical reporting at the expense of experiential understanding. Quantitative measures such as attendance rates and number of meetings provide useful administrative data, but they are insufficient on their own to determine the effectiveness of participation processes. The dominance of such indicators has been widely critiqued for producing procedural compliance rather than substantive democratic influence (Webler, 2026). Integrating qualitative insights would therefore provide a more comprehensive evaluation by capturing whether participation was genuinely inclusive, influential, and trusted by the public. Studies further show that effective participation frameworks must balance measurable outputs with participatory quality indicators such as trust, voice, and perceived impact (Kiss et al., 2022). Ultimately, the study demonstrates that effective public participation cannot be fully understood through numbers alone, as it is both a procedural and perceptual process that requires attention to how citizens experience governance, not just how often they are invited to participate.</w:t>
      </w:r>
    </w:p>
    <w:p w:rsidR="00474003" w:rsidRPr="00474003" w:rsidRDefault="00474003" w:rsidP="00F16546">
      <w:pPr>
        <w:pStyle w:val="NormalWeb"/>
        <w:jc w:val="both"/>
        <w:rPr>
          <w:b/>
        </w:rPr>
      </w:pPr>
      <w:r>
        <w:rPr>
          <w:b/>
        </w:rPr>
        <w:t xml:space="preserve">4.6 </w:t>
      </w:r>
      <w:r w:rsidR="00E64F73">
        <w:rPr>
          <w:b/>
        </w:rPr>
        <w:t xml:space="preserve">Theoretical </w:t>
      </w:r>
      <w:r>
        <w:rPr>
          <w:b/>
        </w:rPr>
        <w:t>Discussion of Key Findings</w:t>
      </w:r>
      <w:r w:rsidR="00E64F73">
        <w:rPr>
          <w:b/>
        </w:rPr>
        <w:t>.</w:t>
      </w:r>
    </w:p>
    <w:p w:rsidR="00437C83" w:rsidRDefault="00E64F73" w:rsidP="00474003">
      <w:pPr>
        <w:pStyle w:val="NormalWeb"/>
        <w:jc w:val="both"/>
      </w:pPr>
      <w:r w:rsidRPr="00E64F73">
        <w:t xml:space="preserve">Chapter Four presented, analyzed, and interpreted findings on the application of public participation in public administration, structured around the study’s objectives and grounded in both Participatory Democratic Theory (Pateman, 1970) and Arnstein’s Ladder of Participation. The findings revealed that while participatory governance is widely recognized in principle, its practical application remains largely consultative and procedural rather than empowering or transformative. The theoretical discussion demonstrated a clear alignment with Participatory Democratic Theory in that participation was understood as both a governance mechanism and a civic learning process; however, in practice, most citizens experienced participation as limited to information sharing and consultation, with minimal influence on final decision-making. Similarly, Arnstein’s Ladder of Participation was reflected in the dominance of tokenistic engagement, where citizens were invited to meetings, informed about pre-determined decisions, and occasionally consulted, but rarely engaged in genuine partnership or delegated authority. Across the findings, this gap between theory and practice was consistent, showing that although institutional structures for participation exist, they often fall short of ensuring meaningful citizen empowerment. </w:t>
      </w:r>
    </w:p>
    <w:p w:rsidR="00CD5554" w:rsidRDefault="00CD5554" w:rsidP="006275BE">
      <w:pPr>
        <w:pStyle w:val="NoSpacing"/>
        <w:jc w:val="both"/>
        <w:rPr>
          <w:rFonts w:ascii="Times New Roman" w:hAnsi="Times New Roman" w:cs="Times New Roman"/>
          <w:b/>
        </w:rPr>
      </w:pPr>
    </w:p>
    <w:p w:rsidR="00CD5554" w:rsidRDefault="00CD5554" w:rsidP="006275BE">
      <w:pPr>
        <w:pStyle w:val="NoSpacing"/>
        <w:jc w:val="both"/>
        <w:rPr>
          <w:rFonts w:ascii="Times New Roman" w:hAnsi="Times New Roman" w:cs="Times New Roman"/>
          <w:b/>
        </w:rPr>
      </w:pPr>
    </w:p>
    <w:p w:rsidR="00CD5554" w:rsidRDefault="00CD5554" w:rsidP="006275BE">
      <w:pPr>
        <w:pStyle w:val="NoSpacing"/>
        <w:jc w:val="both"/>
        <w:rPr>
          <w:rFonts w:ascii="Times New Roman" w:hAnsi="Times New Roman" w:cs="Times New Roman"/>
          <w:b/>
        </w:rPr>
      </w:pPr>
    </w:p>
    <w:p w:rsidR="00CD5554" w:rsidRDefault="00CD5554" w:rsidP="006275BE">
      <w:pPr>
        <w:pStyle w:val="NoSpacing"/>
        <w:jc w:val="both"/>
        <w:rPr>
          <w:rFonts w:ascii="Times New Roman" w:hAnsi="Times New Roman" w:cs="Times New Roman"/>
          <w:b/>
        </w:rPr>
      </w:pPr>
    </w:p>
    <w:p w:rsidR="00CD5554" w:rsidRDefault="00CD5554" w:rsidP="006275BE">
      <w:pPr>
        <w:pStyle w:val="NoSpacing"/>
        <w:jc w:val="both"/>
        <w:rPr>
          <w:rFonts w:ascii="Times New Roman" w:hAnsi="Times New Roman" w:cs="Times New Roman"/>
          <w:b/>
        </w:rPr>
      </w:pPr>
    </w:p>
    <w:p w:rsidR="0081790E" w:rsidRPr="0081790E" w:rsidRDefault="00437C83" w:rsidP="006275BE">
      <w:pPr>
        <w:pStyle w:val="NoSpacing"/>
        <w:jc w:val="both"/>
        <w:rPr>
          <w:rFonts w:ascii="Times New Roman" w:hAnsi="Times New Roman" w:cs="Times New Roman"/>
          <w:b/>
        </w:rPr>
      </w:pPr>
      <w:r w:rsidRPr="0081790E">
        <w:rPr>
          <w:rFonts w:ascii="Times New Roman" w:hAnsi="Times New Roman" w:cs="Times New Roman"/>
          <w:b/>
        </w:rPr>
        <w:lastRenderedPageBreak/>
        <w:t>CHAPTER FIVE:</w:t>
      </w:r>
    </w:p>
    <w:p w:rsidR="00437C83" w:rsidRPr="0081790E" w:rsidRDefault="00437C83" w:rsidP="006275BE">
      <w:pPr>
        <w:pStyle w:val="NoSpacing"/>
        <w:jc w:val="both"/>
        <w:rPr>
          <w:rFonts w:ascii="Times New Roman" w:hAnsi="Times New Roman" w:cs="Times New Roman"/>
          <w:b/>
        </w:rPr>
      </w:pPr>
      <w:r w:rsidRPr="0081790E">
        <w:rPr>
          <w:rFonts w:ascii="Times New Roman" w:hAnsi="Times New Roman" w:cs="Times New Roman"/>
          <w:b/>
        </w:rPr>
        <w:t>SUMMARY, CONCLUSIONS AND RECOMMENDATIONS</w:t>
      </w:r>
    </w:p>
    <w:p w:rsidR="00437C83" w:rsidRPr="00DD467E" w:rsidRDefault="00DD467E" w:rsidP="00437C83">
      <w:pPr>
        <w:pStyle w:val="NormalWeb"/>
        <w:jc w:val="both"/>
        <w:rPr>
          <w:b/>
        </w:rPr>
      </w:pPr>
      <w:r w:rsidRPr="00DD467E">
        <w:rPr>
          <w:b/>
        </w:rPr>
        <w:t>5.1 Introduction</w:t>
      </w:r>
    </w:p>
    <w:p w:rsidR="00437C83" w:rsidRDefault="00DD467E" w:rsidP="00437C83">
      <w:pPr>
        <w:pStyle w:val="NormalWeb"/>
        <w:jc w:val="both"/>
      </w:pPr>
      <w:r>
        <w:t xml:space="preserve">The </w:t>
      </w:r>
      <w:r w:rsidR="00437C83">
        <w:t>summary of the key findings, the conclusions drawn from the study, and the recommendations developed based on the objectives of examining public participation in both theory and practice within public administration</w:t>
      </w:r>
      <w:r>
        <w:t xml:space="preserve"> are discussed</w:t>
      </w:r>
      <w:r w:rsidR="00437C83">
        <w:t>. It synthesized evidence gathered in the previous chapter and linked it to the study objectives, which focused on theoretical understanding, procedural application, achievement of intended outcomes, and the evaluation methods used in public participation processes. The chapter further provided policy-oriented recommendations aimed at improving the effectiveness, inclusivity, and meaningfulness of public parti</w:t>
      </w:r>
      <w:r>
        <w:t>cipation in governance systems.</w:t>
      </w:r>
    </w:p>
    <w:p w:rsidR="00437C83" w:rsidRPr="00DD467E" w:rsidRDefault="00DD467E" w:rsidP="00437C83">
      <w:pPr>
        <w:pStyle w:val="NormalWeb"/>
        <w:jc w:val="both"/>
        <w:rPr>
          <w:b/>
        </w:rPr>
      </w:pPr>
      <w:r w:rsidRPr="00DD467E">
        <w:rPr>
          <w:b/>
        </w:rPr>
        <w:t>5.2 Summary of Findings</w:t>
      </w:r>
    </w:p>
    <w:p w:rsidR="00437C83" w:rsidRDefault="00437C83" w:rsidP="00437C83">
      <w:pPr>
        <w:pStyle w:val="NormalWeb"/>
        <w:jc w:val="both"/>
      </w:pPr>
      <w:r>
        <w:t>The study established that public participation was widely acknowledged in theory as a fundamental principle of democratic governance, where citizens are expected to actively engage in decision-making processes. However, the level of understanding varied significantly among stakeholders. While some respondents demonstrated a sophisticated grasp of participatory democracy principles, many community members associated participation mainly with attendance at public meetings and consultations, indicating a limited and procedural</w:t>
      </w:r>
      <w:r w:rsidR="00DD467E">
        <w:t xml:space="preserve"> interpretation of the concept. </w:t>
      </w:r>
      <w:r>
        <w:t>In terms of procedural implementation, the study found that public participation was operationalized through formal mechanisms such as public barazas, budget hearings, ward forums, and stakeholder consultations. These platforms provided structured opportunities for engagement between government officials and citizens. However, despite their existence, these mechanisms were often characterized by limited citizen influence, with participation largely remaining consultative rather than collaborative or empowering. In many cases, decisions appeared to be pre-determined before cons</w:t>
      </w:r>
      <w:r w:rsidR="00DD467E">
        <w:t>ultations were held.</w:t>
      </w:r>
    </w:p>
    <w:p w:rsidR="00437C83" w:rsidRDefault="00437C83" w:rsidP="00437C83">
      <w:pPr>
        <w:pStyle w:val="NormalWeb"/>
        <w:jc w:val="both"/>
      </w:pPr>
      <w:r>
        <w:t>Regarding the achievement of intended objectives, the study found that public participation contributed positively to increased awareness, transparency, and information sharing between government institutions and citizens. Nevertheless, its influence on final decision-making processes remained limited. Citizens were often involved at the initial stages of planning, but their inputs were not consistently reflected in final policy outcomes. This created a gap between participatory expectations and actual gove</w:t>
      </w:r>
      <w:r w:rsidR="00DD467E">
        <w:t xml:space="preserve">rnance practice. </w:t>
      </w:r>
      <w:r>
        <w:t>The study further established that evaluation of public participation relied heavily on quantitative indicators such as attendance rates, frequency of meetings, and number of submissions received. While these measures provided useful administrative data, they failed to capture qualitative dimensions such as citizen satisfaction, perceived influence, inclusivity, and trust in the process. As a result, the effectiveness of public participation was often overstated in official reports while underrepresenting the liv</w:t>
      </w:r>
      <w:r w:rsidR="00DD467E">
        <w:t>ed experiences of participants.</w:t>
      </w:r>
    </w:p>
    <w:p w:rsidR="00437C83" w:rsidRPr="00DD467E" w:rsidRDefault="00DD467E" w:rsidP="00437C83">
      <w:pPr>
        <w:pStyle w:val="NormalWeb"/>
        <w:jc w:val="both"/>
        <w:rPr>
          <w:b/>
        </w:rPr>
      </w:pPr>
      <w:r>
        <w:rPr>
          <w:b/>
        </w:rPr>
        <w:t>5.3 Conclusions</w:t>
      </w:r>
    </w:p>
    <w:p w:rsidR="00DD467E" w:rsidRDefault="00437C83" w:rsidP="00437C83">
      <w:pPr>
        <w:pStyle w:val="NormalWeb"/>
        <w:jc w:val="both"/>
      </w:pPr>
      <w:r>
        <w:t xml:space="preserve">The study concluded that public participation in public administration exists both as a theoretical ideal and as a practical governance requirement; however, a significant gap persists between the </w:t>
      </w:r>
      <w:r>
        <w:lastRenderedPageBreak/>
        <w:t>two. Theoretical frameworks such as participatory democracy theory and Arnstein’s Ladder of Participation emphasize empowerment, shared decision-making, and citizen control as core elements of meaningful participation. In contrast, practical implementation in most governance contexts was found to be limited mainly to information s</w:t>
      </w:r>
      <w:r w:rsidR="00DD467E">
        <w:t xml:space="preserve">haring and consultation levels. </w:t>
      </w:r>
      <w:r>
        <w:t xml:space="preserve">It was further concluded that although public participation enhances transparency, awareness, and legitimacy of government processes, it does not consistently translate into substantial influence over policy </w:t>
      </w:r>
      <w:r w:rsidR="00DD467E">
        <w:t>formulation and implementation.</w:t>
      </w:r>
    </w:p>
    <w:p w:rsidR="00DD467E" w:rsidRPr="00CD5554" w:rsidRDefault="00437C83" w:rsidP="00437C83">
      <w:pPr>
        <w:pStyle w:val="NormalWeb"/>
        <w:jc w:val="both"/>
      </w:pPr>
      <w:r>
        <w:t>Citizens are often engaged in processes that give the appearance of inclusion, yet their contributions have limited impact on final decisions, particularly in higher-leve</w:t>
      </w:r>
      <w:r w:rsidR="00DD467E">
        <w:t xml:space="preserve">l policy and budgetary matters. </w:t>
      </w:r>
      <w:r>
        <w:t>Additionally, the study concluded that the current evaluation approaches used by institutions are inadequate for fully assessing the effectiveness of public participation. The overemphasis on quantitative indicators such as attendance and frequency of meetings creates a narrow understanding of participation, while neglecting critical qualitative dimensions such as citizen empowerment, satisfaction, and perceived influence. This imbalance limits the ability of institutions to accurately measure the true value and impa</w:t>
      </w:r>
      <w:r w:rsidR="00CD5554">
        <w:t>ct of participatory governance.</w:t>
      </w:r>
      <w:bookmarkStart w:id="1" w:name="_GoBack"/>
      <w:bookmarkEnd w:id="1"/>
    </w:p>
    <w:p w:rsidR="00437C83" w:rsidRPr="00DD467E" w:rsidRDefault="00437C83" w:rsidP="00437C83">
      <w:pPr>
        <w:pStyle w:val="NormalWeb"/>
        <w:jc w:val="both"/>
        <w:rPr>
          <w:b/>
        </w:rPr>
      </w:pPr>
      <w:r w:rsidRPr="00DD467E">
        <w:rPr>
          <w:b/>
        </w:rPr>
        <w:t>5.4 Recommendations</w:t>
      </w:r>
    </w:p>
    <w:p w:rsidR="00437C83" w:rsidRDefault="00437C83" w:rsidP="00437C83">
      <w:pPr>
        <w:pStyle w:val="NormalWeb"/>
        <w:jc w:val="both"/>
      </w:pPr>
      <w:r>
        <w:t>Based on the findings, the study recommended that government institutions should strengthen civic education programs to enhance citizens’ understanding of public participation beyond mere consultation. This would enable communities to better understand their rights and responsibilities in governance processes and demand more meaningful engagement from public institutions. Secondly, public participation mechanisms should be redesigned to ensure that citizens have greater influence over decision-making processes, particularly in budgeting, development planning, and policy prioritization. This could be achieved by institutionalizing participatory decision-making structures that go beyond consultation to include elements of shared authority and co-production of policies.</w:t>
      </w:r>
      <w:r w:rsidR="00DD467E">
        <w:t xml:space="preserve"> </w:t>
      </w:r>
      <w:r>
        <w:t>The study further recommended that marginalized and vulnerable groups should be actively included in participation processes through targeted outreach strategies. This would ensure inclusivity and equity in governance by addressing barriers such as illiteracy, geographical isolation, and socio-economic exclusion that often limit participation.</w:t>
      </w:r>
      <w:r w:rsidR="00DD467E">
        <w:t xml:space="preserve"> </w:t>
      </w:r>
      <w:r>
        <w:t>In addition, it was recommended that evaluation frameworks for public participation should integrate both qualitative and quantitative indicators. This would allow institutions to capture not only participation rates but also the quality, effectiveness, and impact of citizen engagement, including trust, satisfaction, and perceived influence on decisions.</w:t>
      </w:r>
      <w:r w:rsidR="00DD467E">
        <w:t xml:space="preserve"> </w:t>
      </w:r>
      <w:r>
        <w:t>Finally, the study recommended the establishment of structured feedback mechanisms that clearly communicate how citizen input has influenced final decisions. This would enhance accountability, strengthen public trust, and demonstrate the value of citizen engagement in governance processes.</w:t>
      </w:r>
    </w:p>
    <w:p w:rsidR="00437C83" w:rsidRPr="00437C83" w:rsidRDefault="00437C83" w:rsidP="00437C83">
      <w:pPr>
        <w:pStyle w:val="NormalWeb"/>
        <w:jc w:val="both"/>
        <w:rPr>
          <w:b/>
        </w:rPr>
      </w:pPr>
      <w:r w:rsidRPr="00437C83">
        <w:rPr>
          <w:b/>
        </w:rPr>
        <w:t>5.5 Areas for Further Research</w:t>
      </w:r>
    </w:p>
    <w:p w:rsidR="007346C5" w:rsidRDefault="00437C83" w:rsidP="00437C83">
      <w:pPr>
        <w:pStyle w:val="NormalWeb"/>
        <w:jc w:val="both"/>
      </w:pPr>
      <w:r>
        <w:t xml:space="preserve">Future research may focus on the impact of digital platforms on public participation and how technology is reshaping citizen engagement in governance processes. Comparative studies across different counties or regions may also be conducted to identify best practices and variations in participatory governance. Additionally, further studies could explore the relationship between </w:t>
      </w:r>
      <w:r>
        <w:lastRenderedPageBreak/>
        <w:t>public participation and service delivery outcomes to better understand its practical contribution to development effectiveness.</w:t>
      </w:r>
    </w:p>
    <w:p w:rsidR="00C87C73" w:rsidRPr="00F76DC8" w:rsidRDefault="00C87C73" w:rsidP="00C87C73">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Acknowledgements</w:t>
      </w:r>
    </w:p>
    <w:p w:rsidR="00C87C73" w:rsidRPr="00F76DC8" w:rsidRDefault="00C87C73" w:rsidP="00C87C73">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I thank Dr. Thomas Otieno Juma who taught the course unit, DPS 903-Advanced Political Theory whose term paper was expanded into this article. I thank my family, lovely Esther and my Consulate who continue to provide the optimal environment for undertaking challenging academic tasks such as this.</w:t>
      </w:r>
    </w:p>
    <w:p w:rsidR="00C87C73" w:rsidRPr="00F76DC8" w:rsidRDefault="00C87C73" w:rsidP="00C87C73">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Author Contribution</w:t>
      </w:r>
    </w:p>
    <w:p w:rsidR="00C87C73" w:rsidRPr="00F76DC8" w:rsidRDefault="00C87C73" w:rsidP="00C87C73">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KWK conceived, researched, wrote, revised and submitted the article.</w:t>
      </w:r>
    </w:p>
    <w:p w:rsidR="00C87C73" w:rsidRPr="00F76DC8" w:rsidRDefault="00C87C73" w:rsidP="00C87C73">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Declaration of Conflict of Interest</w:t>
      </w:r>
    </w:p>
    <w:p w:rsidR="00C87C73" w:rsidRPr="00F76DC8" w:rsidRDefault="00C87C73" w:rsidP="00C87C73">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The researcher declares no conflict of interest during the conceptualization, research, writing, revision, and submission of the article.</w:t>
      </w:r>
    </w:p>
    <w:p w:rsidR="00C87C73" w:rsidRPr="00F76DC8" w:rsidRDefault="00C87C73" w:rsidP="00C87C73">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About the Author</w:t>
      </w:r>
    </w:p>
    <w:p w:rsidR="00C87C73" w:rsidRPr="00F76DC8" w:rsidRDefault="00C87C73" w:rsidP="00C87C73">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The author is tutorial fellow in Maasai Mara University (</w:t>
      </w:r>
      <w:hyperlink r:id="rId8" w:history="1">
        <w:r w:rsidRPr="00F76DC8">
          <w:rPr>
            <w:rStyle w:val="Hyperlink"/>
            <w:rFonts w:ascii="Times New Roman" w:hAnsi="Times New Roman" w:cs="Times New Roman"/>
            <w:sz w:val="24"/>
            <w:szCs w:val="24"/>
          </w:rPr>
          <w:t>Kipkorir@mmarau.ac.ke</w:t>
        </w:r>
      </w:hyperlink>
      <w:r w:rsidRPr="00F76DC8">
        <w:rPr>
          <w:rFonts w:ascii="Times New Roman" w:hAnsi="Times New Roman" w:cs="Times New Roman"/>
          <w:sz w:val="24"/>
          <w:szCs w:val="24"/>
        </w:rPr>
        <w:t>) and a PhD Student at SDSS, Maseno University He is a Lecturer of Political Science and Public Administration and public policy at the Main Campuses of three Kenyan Universities: Maasai Mara University, Maseno University and University of Kabianga.</w:t>
      </w:r>
    </w:p>
    <w:p w:rsidR="00C87C73" w:rsidRDefault="00B20CB7" w:rsidP="00437C83">
      <w:pPr>
        <w:pStyle w:val="NormalWeb"/>
        <w:jc w:val="both"/>
        <w:rPr>
          <w:b/>
        </w:rPr>
      </w:pPr>
      <w:r w:rsidRPr="00B20CB7">
        <w:rPr>
          <w:b/>
        </w:rPr>
        <w:t>REFERENCES</w:t>
      </w:r>
      <w:r>
        <w:rPr>
          <w:b/>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Agomor, K. S. (2023). An Analysis of Public Participation in Policymaking Processes. In </w:t>
      </w:r>
      <w:r w:rsidRPr="00DB17A1">
        <w:rPr>
          <w:rFonts w:ascii="Times New Roman" w:hAnsi="Times New Roman" w:cs="Times New Roman"/>
          <w:i/>
          <w:iCs/>
          <w:shd w:val="clear" w:color="auto" w:fill="FFFFFF"/>
        </w:rPr>
        <w:t>Public policy in Ghana: Conceptual and practical insights</w:t>
      </w:r>
      <w:r w:rsidRPr="00DB17A1">
        <w:rPr>
          <w:rFonts w:ascii="Times New Roman" w:hAnsi="Times New Roman" w:cs="Times New Roman"/>
          <w:shd w:val="clear" w:color="auto" w:fill="FFFFFF"/>
        </w:rPr>
        <w:t> (pp. 283-304). Cham: Springer International Publishing.</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Ahmed, S. K., Mohammed, R. A., </w:t>
      </w:r>
      <w:proofErr w:type="spellStart"/>
      <w:r w:rsidRPr="00DB17A1">
        <w:rPr>
          <w:rFonts w:ascii="Times New Roman" w:hAnsi="Times New Roman" w:cs="Times New Roman"/>
          <w:shd w:val="clear" w:color="auto" w:fill="FFFFFF"/>
        </w:rPr>
        <w:t>Nashwan</w:t>
      </w:r>
      <w:proofErr w:type="spellEnd"/>
      <w:r w:rsidRPr="00DB17A1">
        <w:rPr>
          <w:rFonts w:ascii="Times New Roman" w:hAnsi="Times New Roman" w:cs="Times New Roman"/>
          <w:shd w:val="clear" w:color="auto" w:fill="FFFFFF"/>
        </w:rPr>
        <w:t xml:space="preserve">, A. J., Ibrahim, R. H., </w:t>
      </w:r>
      <w:proofErr w:type="spellStart"/>
      <w:r w:rsidRPr="00DB17A1">
        <w:rPr>
          <w:rFonts w:ascii="Times New Roman" w:hAnsi="Times New Roman" w:cs="Times New Roman"/>
          <w:shd w:val="clear" w:color="auto" w:fill="FFFFFF"/>
        </w:rPr>
        <w:t>Abdalla</w:t>
      </w:r>
      <w:proofErr w:type="spellEnd"/>
      <w:r w:rsidRPr="00DB17A1">
        <w:rPr>
          <w:rFonts w:ascii="Times New Roman" w:hAnsi="Times New Roman" w:cs="Times New Roman"/>
          <w:shd w:val="clear" w:color="auto" w:fill="FFFFFF"/>
        </w:rPr>
        <w:t xml:space="preserve">, A. Q., Ameen, B. M. M., &amp; </w:t>
      </w:r>
      <w:proofErr w:type="spellStart"/>
      <w:r w:rsidRPr="00DB17A1">
        <w:rPr>
          <w:rFonts w:ascii="Times New Roman" w:hAnsi="Times New Roman" w:cs="Times New Roman"/>
          <w:shd w:val="clear" w:color="auto" w:fill="FFFFFF"/>
        </w:rPr>
        <w:t>Khdhir</w:t>
      </w:r>
      <w:proofErr w:type="spellEnd"/>
      <w:r w:rsidRPr="00DB17A1">
        <w:rPr>
          <w:rFonts w:ascii="Times New Roman" w:hAnsi="Times New Roman" w:cs="Times New Roman"/>
          <w:shd w:val="clear" w:color="auto" w:fill="FFFFFF"/>
        </w:rPr>
        <w:t>, R. M. (2025). Using thematic analysis in qualitative research. </w:t>
      </w:r>
      <w:r w:rsidRPr="00DB17A1">
        <w:rPr>
          <w:rFonts w:ascii="Times New Roman" w:hAnsi="Times New Roman" w:cs="Times New Roman"/>
          <w:i/>
          <w:iCs/>
          <w:shd w:val="clear" w:color="auto" w:fill="FFFFFF"/>
        </w:rPr>
        <w:t>Journal of Medicine, Surgery, and Public Health</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6</w:t>
      </w:r>
      <w:r w:rsidRPr="00DB17A1">
        <w:rPr>
          <w:rFonts w:ascii="Times New Roman" w:hAnsi="Times New Roman" w:cs="Times New Roman"/>
          <w:shd w:val="clear" w:color="auto" w:fill="FFFFFF"/>
        </w:rPr>
        <w:t>, 100198.</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Akerboom, S., &amp; Craig, R. K. (2022). How law structures public participation in environmental decision making: A comparative law approach. </w:t>
      </w:r>
      <w:r w:rsidRPr="00DB17A1">
        <w:rPr>
          <w:rFonts w:ascii="Times New Roman" w:hAnsi="Times New Roman" w:cs="Times New Roman"/>
          <w:i/>
          <w:iCs/>
          <w:shd w:val="clear" w:color="auto" w:fill="FFFFFF"/>
        </w:rPr>
        <w:t>Environmental Policy and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32</w:t>
      </w:r>
      <w:r w:rsidRPr="00DB17A1">
        <w:rPr>
          <w:rFonts w:ascii="Times New Roman" w:hAnsi="Times New Roman" w:cs="Times New Roman"/>
          <w:shd w:val="clear" w:color="auto" w:fill="FFFFFF"/>
        </w:rPr>
        <w:t>(3), 232-246.</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Akerboom, S., &amp; Craig, R. K. (2022). How law structures public participation in environmental decision making: A comparative law approach. </w:t>
      </w:r>
      <w:r w:rsidRPr="00DB17A1">
        <w:rPr>
          <w:rFonts w:ascii="Times New Roman" w:hAnsi="Times New Roman" w:cs="Times New Roman"/>
          <w:i/>
          <w:iCs/>
          <w:shd w:val="clear" w:color="auto" w:fill="FFFFFF"/>
        </w:rPr>
        <w:t>Environmental Policy and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32</w:t>
      </w:r>
      <w:r w:rsidRPr="00DB17A1">
        <w:rPr>
          <w:rFonts w:ascii="Times New Roman" w:hAnsi="Times New Roman" w:cs="Times New Roman"/>
          <w:shd w:val="clear" w:color="auto" w:fill="FFFFFF"/>
        </w:rPr>
        <w:t>(3), 232-246.</w:t>
      </w:r>
    </w:p>
    <w:p w:rsidR="006073EC" w:rsidRPr="00DB17A1" w:rsidRDefault="006073EC" w:rsidP="006073EC">
      <w:pPr>
        <w:pStyle w:val="NoSpacing"/>
        <w:ind w:left="720" w:hanging="720"/>
        <w:jc w:val="both"/>
        <w:rPr>
          <w:rFonts w:ascii="Times New Roman" w:hAnsi="Times New Roman" w:cs="Times New Roman"/>
        </w:rPr>
      </w:pPr>
      <w:r w:rsidRPr="00DB17A1">
        <w:rPr>
          <w:rFonts w:ascii="Times New Roman" w:hAnsi="Times New Roman" w:cs="Times New Roman"/>
          <w:shd w:val="clear" w:color="auto" w:fill="FFFFFF"/>
        </w:rPr>
        <w:t>Akhter, S. (2022). Key informants’ interviews. In </w:t>
      </w:r>
      <w:r w:rsidRPr="00DB17A1">
        <w:rPr>
          <w:rFonts w:ascii="Times New Roman" w:hAnsi="Times New Roman" w:cs="Times New Roman"/>
          <w:i/>
          <w:iCs/>
          <w:shd w:val="clear" w:color="auto" w:fill="FFFFFF"/>
        </w:rPr>
        <w:t>Principles of social research methodology</w:t>
      </w:r>
      <w:r w:rsidRPr="00DB17A1">
        <w:rPr>
          <w:rFonts w:ascii="Times New Roman" w:hAnsi="Times New Roman" w:cs="Times New Roman"/>
          <w:shd w:val="clear" w:color="auto" w:fill="FFFFFF"/>
        </w:rPr>
        <w:t> (pp. 389-403). Singapore: Springer Nature Singapore</w:t>
      </w:r>
      <w:proofErr w:type="gramStart"/>
      <w:r w:rsidRPr="00DB17A1">
        <w:rPr>
          <w:rFonts w:ascii="Times New Roman" w:hAnsi="Times New Roman" w:cs="Times New Roman"/>
          <w:shd w:val="clear" w:color="auto" w:fill="FFFFFF"/>
        </w:rPr>
        <w:t>.</w:t>
      </w:r>
      <w:r w:rsidRPr="00DB17A1">
        <w:rPr>
          <w:rFonts w:ascii="Times New Roman" w:hAnsi="Times New Roman" w:cs="Times New Roman"/>
        </w:rPr>
        <w:t>.</w:t>
      </w:r>
      <w:proofErr w:type="gramEnd"/>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Armstrong, C. (2021). Key methods used in qualitative document analysis. </w:t>
      </w:r>
      <w:r w:rsidRPr="00DB17A1">
        <w:rPr>
          <w:rFonts w:ascii="Times New Roman" w:hAnsi="Times New Roman" w:cs="Times New Roman"/>
          <w:i/>
          <w:iCs/>
          <w:shd w:val="clear" w:color="auto" w:fill="FFFFFF"/>
        </w:rPr>
        <w:t>OSF Preprints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w:t>
      </w:r>
      <w:r w:rsidRPr="00DB17A1">
        <w:rPr>
          <w:rFonts w:ascii="Times New Roman" w:hAnsi="Times New Roman" w:cs="Times New Roman"/>
          <w:shd w:val="clear" w:color="auto" w:fill="FFFFFF"/>
        </w:rPr>
        <w:t>(9), 1-9.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Beresford, P. (2021). Key concepts for participatory ideology. In </w:t>
      </w:r>
      <w:r w:rsidRPr="00DB17A1">
        <w:rPr>
          <w:rFonts w:ascii="Times New Roman" w:hAnsi="Times New Roman" w:cs="Times New Roman"/>
          <w:i/>
          <w:iCs/>
          <w:shd w:val="clear" w:color="auto" w:fill="FFFFFF"/>
        </w:rPr>
        <w:t>Participatory ideology</w:t>
      </w:r>
      <w:r w:rsidRPr="00DB17A1">
        <w:rPr>
          <w:rFonts w:ascii="Times New Roman" w:hAnsi="Times New Roman" w:cs="Times New Roman"/>
          <w:shd w:val="clear" w:color="auto" w:fill="FFFFFF"/>
        </w:rPr>
        <w:t> (pp. 111-132). Policy Press.</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Bidwell, D., &amp; Schweizer, P. J. (2021). Public values and goals for public participation. </w:t>
      </w:r>
      <w:r w:rsidRPr="00DB17A1">
        <w:rPr>
          <w:rFonts w:ascii="Times New Roman" w:hAnsi="Times New Roman" w:cs="Times New Roman"/>
          <w:i/>
          <w:iCs/>
          <w:shd w:val="clear" w:color="auto" w:fill="FFFFFF"/>
        </w:rPr>
        <w:t>Environmental Policy and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31</w:t>
      </w:r>
      <w:r w:rsidRPr="00DB17A1">
        <w:rPr>
          <w:rFonts w:ascii="Times New Roman" w:hAnsi="Times New Roman" w:cs="Times New Roman"/>
          <w:shd w:val="clear" w:color="auto" w:fill="FFFFFF"/>
        </w:rPr>
        <w:t>(4), 257-269.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Bobbio, L. (2019). Designing effective public participation. </w:t>
      </w:r>
      <w:r w:rsidRPr="00DB17A1">
        <w:rPr>
          <w:rFonts w:ascii="Times New Roman" w:hAnsi="Times New Roman" w:cs="Times New Roman"/>
          <w:i/>
          <w:iCs/>
          <w:shd w:val="clear" w:color="auto" w:fill="FFFFFF"/>
        </w:rPr>
        <w:t>Policy and Society</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38</w:t>
      </w:r>
      <w:r w:rsidRPr="00DB17A1">
        <w:rPr>
          <w:rFonts w:ascii="Times New Roman" w:hAnsi="Times New Roman" w:cs="Times New Roman"/>
          <w:shd w:val="clear" w:color="auto" w:fill="FFFFFF"/>
        </w:rPr>
        <w:t>(1), 41-57.</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Castleberry, A., &amp; Nolen, A. (2018). Thematic analysis of qualitative research data: Is it as easy as it sounds</w:t>
      </w:r>
      <w:proofErr w:type="gramStart"/>
      <w:r w:rsidRPr="00DB17A1">
        <w:rPr>
          <w:rFonts w:ascii="Times New Roman" w:hAnsi="Times New Roman" w:cs="Times New Roman"/>
          <w:shd w:val="clear" w:color="auto" w:fill="FFFFFF"/>
        </w:rPr>
        <w:t>?.</w:t>
      </w:r>
      <w:proofErr w:type="gramEnd"/>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Currents in pharmacy teaching and learning</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10</w:t>
      </w:r>
      <w:r w:rsidRPr="00DB17A1">
        <w:rPr>
          <w:rFonts w:ascii="Times New Roman" w:hAnsi="Times New Roman" w:cs="Times New Roman"/>
          <w:shd w:val="clear" w:color="auto" w:fill="FFFFFF"/>
        </w:rPr>
        <w:t>(6), 807-815.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Chan, Y. E., Krishnamurthy, R., Mann, J., &amp; </w:t>
      </w:r>
      <w:proofErr w:type="spellStart"/>
      <w:r w:rsidRPr="00DB17A1">
        <w:rPr>
          <w:rFonts w:ascii="Times New Roman" w:hAnsi="Times New Roman" w:cs="Times New Roman"/>
          <w:shd w:val="clear" w:color="auto" w:fill="FFFFFF"/>
        </w:rPr>
        <w:t>Sabherwal</w:t>
      </w:r>
      <w:proofErr w:type="spellEnd"/>
      <w:r w:rsidRPr="00DB17A1">
        <w:rPr>
          <w:rFonts w:ascii="Times New Roman" w:hAnsi="Times New Roman" w:cs="Times New Roman"/>
          <w:shd w:val="clear" w:color="auto" w:fill="FFFFFF"/>
        </w:rPr>
        <w:t>, R. (2022). Public participation in policy making: Evidence from a citizen advisory panel. </w:t>
      </w:r>
      <w:r w:rsidRPr="00DB17A1">
        <w:rPr>
          <w:rFonts w:ascii="Times New Roman" w:hAnsi="Times New Roman" w:cs="Times New Roman"/>
          <w:i/>
          <w:iCs/>
          <w:shd w:val="clear" w:color="auto" w:fill="FFFFFF"/>
        </w:rPr>
        <w:t>Public Performance &amp; Management Review</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45</w:t>
      </w:r>
      <w:r w:rsidRPr="00DB17A1">
        <w:rPr>
          <w:rFonts w:ascii="Times New Roman" w:hAnsi="Times New Roman" w:cs="Times New Roman"/>
          <w:shd w:val="clear" w:color="auto" w:fill="FFFFFF"/>
        </w:rPr>
        <w:t>(6), 1308-1345.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lastRenderedPageBreak/>
        <w:t>Christou, P. A. (2022). How to use thematic analysis in qualitative research. </w:t>
      </w:r>
      <w:r w:rsidRPr="00DB17A1">
        <w:rPr>
          <w:rFonts w:ascii="Times New Roman" w:hAnsi="Times New Roman" w:cs="Times New Roman"/>
          <w:i/>
          <w:iCs/>
          <w:shd w:val="clear" w:color="auto" w:fill="FFFFFF"/>
        </w:rPr>
        <w:t>Journal of Qualitative Research in Tourism</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w:t>
      </w:r>
      <w:r w:rsidRPr="00DB17A1">
        <w:rPr>
          <w:rFonts w:ascii="Times New Roman" w:hAnsi="Times New Roman" w:cs="Times New Roman"/>
          <w:shd w:val="clear" w:color="auto" w:fill="FFFFFF"/>
        </w:rPr>
        <w:t>(2), 79-95.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Daudu, I. A., &amp; Fagbadebo, O. (2018). Public participation in legislative oversight: a review of nature and practice in Nigeria and South Africa. </w:t>
      </w:r>
      <w:r w:rsidRPr="00DB17A1">
        <w:rPr>
          <w:rFonts w:ascii="Times New Roman" w:hAnsi="Times New Roman" w:cs="Times New Roman"/>
          <w:i/>
          <w:iCs/>
          <w:shd w:val="clear" w:color="auto" w:fill="FFFFFF"/>
        </w:rPr>
        <w:t>Perspectives on the Legislature and the Prospects of Accountability in Nigeria and South Africa</w:t>
      </w:r>
      <w:r w:rsidRPr="00DB17A1">
        <w:rPr>
          <w:rFonts w:ascii="Times New Roman" w:hAnsi="Times New Roman" w:cs="Times New Roman"/>
          <w:shd w:val="clear" w:color="auto" w:fill="FFFFFF"/>
        </w:rPr>
        <w:t>, 233-250.</w:t>
      </w:r>
    </w:p>
    <w:p w:rsidR="006073EC" w:rsidRPr="00DB17A1" w:rsidRDefault="006073EC" w:rsidP="006073EC">
      <w:pPr>
        <w:pStyle w:val="NoSpacing"/>
        <w:ind w:left="720" w:hanging="720"/>
        <w:jc w:val="both"/>
        <w:rPr>
          <w:rFonts w:ascii="Times New Roman" w:hAnsi="Times New Roman" w:cs="Times New Roman"/>
        </w:rPr>
      </w:pPr>
      <w:r w:rsidRPr="00DB17A1">
        <w:rPr>
          <w:rFonts w:ascii="Times New Roman" w:hAnsi="Times New Roman" w:cs="Times New Roman"/>
          <w:shd w:val="clear" w:color="auto" w:fill="FFFFFF"/>
        </w:rPr>
        <w:t>Daudu, I. A., &amp; Fagbadebo, O. (2018). Public participation in legislative oversight: a review of nature and practice in Nigeria and South Africa. </w:t>
      </w:r>
      <w:r w:rsidRPr="00DB17A1">
        <w:rPr>
          <w:rFonts w:ascii="Times New Roman" w:hAnsi="Times New Roman" w:cs="Times New Roman"/>
          <w:i/>
          <w:iCs/>
          <w:shd w:val="clear" w:color="auto" w:fill="FFFFFF"/>
        </w:rPr>
        <w:t>Perspectives on the Legislature and the Prospects of Accountability in Nigeria and South Africa</w:t>
      </w:r>
      <w:r w:rsidRPr="00DB17A1">
        <w:rPr>
          <w:rFonts w:ascii="Times New Roman" w:hAnsi="Times New Roman" w:cs="Times New Roman"/>
          <w:shd w:val="clear" w:color="auto" w:fill="FFFFFF"/>
        </w:rPr>
        <w:t>, 233-250.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De’Arman, K. J. (2020). Is public participation public inclusion? The role of comments in US Forest Service decision-making. </w:t>
      </w:r>
      <w:r w:rsidRPr="00DB17A1">
        <w:rPr>
          <w:rFonts w:ascii="Times New Roman" w:hAnsi="Times New Roman" w:cs="Times New Roman"/>
          <w:i/>
          <w:iCs/>
          <w:shd w:val="clear" w:color="auto" w:fill="FFFFFF"/>
        </w:rPr>
        <w:t>Environmental Management</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66</w:t>
      </w:r>
      <w:r w:rsidRPr="00DB17A1">
        <w:rPr>
          <w:rFonts w:ascii="Times New Roman" w:hAnsi="Times New Roman" w:cs="Times New Roman"/>
          <w:shd w:val="clear" w:color="auto" w:fill="FFFFFF"/>
        </w:rPr>
        <w:t>(1), 91-104.</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Downes, R. T. (2025). Haudenosaunee vs. Habermas: Indigenous Democratic Traditions and the Boundaries of Deliberative Democratic Theory. </w:t>
      </w:r>
      <w:r w:rsidRPr="00DB17A1">
        <w:rPr>
          <w:rFonts w:ascii="Times New Roman" w:hAnsi="Times New Roman" w:cs="Times New Roman"/>
          <w:i/>
          <w:iCs/>
          <w:shd w:val="clear" w:color="auto" w:fill="FFFFFF"/>
        </w:rPr>
        <w:t>Habermas: Indigenous Democratic Traditions and the Boundaries of Deliberative Democratic Theory (April 26, 2025)</w:t>
      </w:r>
      <w:r w:rsidRPr="00DB17A1">
        <w:rPr>
          <w:rFonts w:ascii="Times New Roman" w:hAnsi="Times New Roman" w:cs="Times New Roman"/>
          <w:shd w:val="clear" w:color="auto" w:fill="FFFFFF"/>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Đurman, P. (2020). Participation in public administration revisited: Delimiting, categorizing and evaluating administrative participation. </w:t>
      </w:r>
      <w:proofErr w:type="spellStart"/>
      <w:r w:rsidRPr="00DB17A1">
        <w:rPr>
          <w:rFonts w:ascii="Times New Roman" w:hAnsi="Times New Roman" w:cs="Times New Roman"/>
          <w:i/>
          <w:iCs/>
          <w:shd w:val="clear" w:color="auto" w:fill="FFFFFF"/>
        </w:rPr>
        <w:t>Hrvatska</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i</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komparativna</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javna</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uprava</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časopis</w:t>
      </w:r>
      <w:proofErr w:type="spellEnd"/>
      <w:r w:rsidRPr="00DB17A1">
        <w:rPr>
          <w:rFonts w:ascii="Times New Roman" w:hAnsi="Times New Roman" w:cs="Times New Roman"/>
          <w:i/>
          <w:iCs/>
          <w:shd w:val="clear" w:color="auto" w:fill="FFFFFF"/>
        </w:rPr>
        <w:t xml:space="preserve"> za </w:t>
      </w:r>
      <w:proofErr w:type="spellStart"/>
      <w:r w:rsidRPr="00DB17A1">
        <w:rPr>
          <w:rFonts w:ascii="Times New Roman" w:hAnsi="Times New Roman" w:cs="Times New Roman"/>
          <w:i/>
          <w:iCs/>
          <w:shd w:val="clear" w:color="auto" w:fill="FFFFFF"/>
        </w:rPr>
        <w:t>teoriju</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i</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praksu</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javne</w:t>
      </w:r>
      <w:proofErr w:type="spellEnd"/>
      <w:r w:rsidRPr="00DB17A1">
        <w:rPr>
          <w:rFonts w:ascii="Times New Roman" w:hAnsi="Times New Roman" w:cs="Times New Roman"/>
          <w:i/>
          <w:iCs/>
          <w:shd w:val="clear" w:color="auto" w:fill="FFFFFF"/>
        </w:rPr>
        <w:t xml:space="preserve"> </w:t>
      </w:r>
      <w:proofErr w:type="spellStart"/>
      <w:r w:rsidRPr="00DB17A1">
        <w:rPr>
          <w:rFonts w:ascii="Times New Roman" w:hAnsi="Times New Roman" w:cs="Times New Roman"/>
          <w:i/>
          <w:iCs/>
          <w:shd w:val="clear" w:color="auto" w:fill="FFFFFF"/>
        </w:rPr>
        <w:t>uprave</w:t>
      </w:r>
      <w:proofErr w:type="spellEnd"/>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20</w:t>
      </w:r>
      <w:r w:rsidRPr="00DB17A1">
        <w:rPr>
          <w:rFonts w:ascii="Times New Roman" w:hAnsi="Times New Roman" w:cs="Times New Roman"/>
          <w:shd w:val="clear" w:color="auto" w:fill="FFFFFF"/>
        </w:rPr>
        <w:t>(1), 79-120.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Eckerd, A., &amp; Heidelberg, R. L. (2020). Administering public participation. </w:t>
      </w:r>
      <w:r w:rsidRPr="00DB17A1">
        <w:rPr>
          <w:rFonts w:ascii="Times New Roman" w:hAnsi="Times New Roman" w:cs="Times New Roman"/>
          <w:i/>
          <w:iCs/>
          <w:shd w:val="clear" w:color="auto" w:fill="FFFFFF"/>
        </w:rPr>
        <w:t>The American Review of Public Administration</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50</w:t>
      </w:r>
      <w:r w:rsidRPr="00DB17A1">
        <w:rPr>
          <w:rFonts w:ascii="Times New Roman" w:hAnsi="Times New Roman" w:cs="Times New Roman"/>
          <w:shd w:val="clear" w:color="auto" w:fill="FFFFFF"/>
        </w:rPr>
        <w:t>(2), 133-147.</w:t>
      </w:r>
    </w:p>
    <w:p w:rsidR="006073EC" w:rsidRPr="00DB17A1" w:rsidRDefault="006073EC" w:rsidP="006073EC">
      <w:pPr>
        <w:pStyle w:val="NoSpacing"/>
        <w:ind w:left="720" w:hanging="720"/>
        <w:jc w:val="both"/>
        <w:rPr>
          <w:rFonts w:ascii="Times New Roman" w:hAnsi="Times New Roman" w:cs="Times New Roman"/>
          <w:shd w:val="clear" w:color="auto" w:fill="FFFFFF"/>
        </w:rPr>
      </w:pPr>
      <w:proofErr w:type="spellStart"/>
      <w:r w:rsidRPr="00DB17A1">
        <w:rPr>
          <w:rFonts w:ascii="Times New Roman" w:hAnsi="Times New Roman" w:cs="Times New Roman"/>
          <w:shd w:val="clear" w:color="auto" w:fill="FFFFFF"/>
        </w:rPr>
        <w:t>Eppich</w:t>
      </w:r>
      <w:proofErr w:type="spellEnd"/>
      <w:r w:rsidRPr="00DB17A1">
        <w:rPr>
          <w:rFonts w:ascii="Times New Roman" w:hAnsi="Times New Roman" w:cs="Times New Roman"/>
          <w:shd w:val="clear" w:color="auto" w:fill="FFFFFF"/>
        </w:rPr>
        <w:t xml:space="preserve">, W. J., </w:t>
      </w:r>
      <w:proofErr w:type="spellStart"/>
      <w:r w:rsidRPr="00DB17A1">
        <w:rPr>
          <w:rFonts w:ascii="Times New Roman" w:hAnsi="Times New Roman" w:cs="Times New Roman"/>
          <w:shd w:val="clear" w:color="auto" w:fill="FFFFFF"/>
        </w:rPr>
        <w:t>Gormley</w:t>
      </w:r>
      <w:proofErr w:type="spellEnd"/>
      <w:r w:rsidRPr="00DB17A1">
        <w:rPr>
          <w:rFonts w:ascii="Times New Roman" w:hAnsi="Times New Roman" w:cs="Times New Roman"/>
          <w:shd w:val="clear" w:color="auto" w:fill="FFFFFF"/>
        </w:rPr>
        <w:t xml:space="preserve">, G. J., &amp; </w:t>
      </w:r>
      <w:proofErr w:type="spellStart"/>
      <w:r w:rsidRPr="00DB17A1">
        <w:rPr>
          <w:rFonts w:ascii="Times New Roman" w:hAnsi="Times New Roman" w:cs="Times New Roman"/>
          <w:shd w:val="clear" w:color="auto" w:fill="FFFFFF"/>
        </w:rPr>
        <w:t>Teunissen</w:t>
      </w:r>
      <w:proofErr w:type="spellEnd"/>
      <w:r w:rsidRPr="00DB17A1">
        <w:rPr>
          <w:rFonts w:ascii="Times New Roman" w:hAnsi="Times New Roman" w:cs="Times New Roman"/>
          <w:shd w:val="clear" w:color="auto" w:fill="FFFFFF"/>
        </w:rPr>
        <w:t>, P. W. (2019). In-depth interviews. In </w:t>
      </w:r>
      <w:r w:rsidRPr="00DB17A1">
        <w:rPr>
          <w:rFonts w:ascii="Times New Roman" w:hAnsi="Times New Roman" w:cs="Times New Roman"/>
          <w:i/>
          <w:iCs/>
          <w:shd w:val="clear" w:color="auto" w:fill="FFFFFF"/>
        </w:rPr>
        <w:t>Healthcare simulation research: A practical guide</w:t>
      </w:r>
      <w:r w:rsidRPr="00DB17A1">
        <w:rPr>
          <w:rFonts w:ascii="Times New Roman" w:hAnsi="Times New Roman" w:cs="Times New Roman"/>
          <w:shd w:val="clear" w:color="auto" w:fill="FFFFFF"/>
        </w:rPr>
        <w:t> (pp. 85-91). Cham: Springer International Publishing.</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Florini, A., &amp; Pauli, M. (2018). Collaborative governance for the sustainable development goals. </w:t>
      </w:r>
      <w:r w:rsidRPr="00DB17A1">
        <w:rPr>
          <w:rFonts w:ascii="Times New Roman" w:hAnsi="Times New Roman" w:cs="Times New Roman"/>
          <w:i/>
          <w:iCs/>
          <w:shd w:val="clear" w:color="auto" w:fill="FFFFFF"/>
        </w:rPr>
        <w:t>Asia &amp; the Pacific Policy Studies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5</w:t>
      </w:r>
      <w:r w:rsidRPr="00DB17A1">
        <w:rPr>
          <w:rFonts w:ascii="Times New Roman" w:hAnsi="Times New Roman" w:cs="Times New Roman"/>
          <w:shd w:val="clear" w:color="auto" w:fill="FFFFFF"/>
        </w:rPr>
        <w:t>(3), 583-598.</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Fonseca, D., Sanchez-Sepulveda, M., </w:t>
      </w:r>
      <w:proofErr w:type="spellStart"/>
      <w:r w:rsidRPr="00DB17A1">
        <w:rPr>
          <w:rFonts w:ascii="Times New Roman" w:hAnsi="Times New Roman" w:cs="Times New Roman"/>
          <w:shd w:val="clear" w:color="auto" w:fill="FFFFFF"/>
        </w:rPr>
        <w:t>Necchi</w:t>
      </w:r>
      <w:proofErr w:type="spellEnd"/>
      <w:r w:rsidRPr="00DB17A1">
        <w:rPr>
          <w:rFonts w:ascii="Times New Roman" w:hAnsi="Times New Roman" w:cs="Times New Roman"/>
          <w:shd w:val="clear" w:color="auto" w:fill="FFFFFF"/>
        </w:rPr>
        <w:t>, S., &amp; Peña, E. (2021). Towards smart city governance. Case study: Improving the interpretation of quantitative traffic measurement data through citizen participation. </w:t>
      </w:r>
      <w:r w:rsidRPr="00DB17A1">
        <w:rPr>
          <w:rFonts w:ascii="Times New Roman" w:hAnsi="Times New Roman" w:cs="Times New Roman"/>
          <w:i/>
          <w:iCs/>
          <w:shd w:val="clear" w:color="auto" w:fill="FFFFFF"/>
        </w:rPr>
        <w:t>Sensors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21</w:t>
      </w:r>
      <w:r w:rsidRPr="00DB17A1">
        <w:rPr>
          <w:rFonts w:ascii="Times New Roman" w:hAnsi="Times New Roman" w:cs="Times New Roman"/>
          <w:shd w:val="clear" w:color="auto" w:fill="FFFFFF"/>
        </w:rPr>
        <w:t>(16), 5321.</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Fox, O., &amp; Stoett, P. (2016). Citizen participation in the UN sustainable development goals consultation process: toward global democratic governance</w:t>
      </w:r>
      <w:proofErr w:type="gramStart"/>
      <w:r w:rsidRPr="00DB17A1">
        <w:rPr>
          <w:rFonts w:ascii="Times New Roman" w:hAnsi="Times New Roman" w:cs="Times New Roman"/>
          <w:shd w:val="clear" w:color="auto" w:fill="FFFFFF"/>
        </w:rPr>
        <w:t>?.</w:t>
      </w:r>
      <w:proofErr w:type="gramEnd"/>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Global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22</w:t>
      </w:r>
      <w:r w:rsidRPr="00DB17A1">
        <w:rPr>
          <w:rFonts w:ascii="Times New Roman" w:hAnsi="Times New Roman" w:cs="Times New Roman"/>
          <w:shd w:val="clear" w:color="auto" w:fill="FFFFFF"/>
        </w:rPr>
        <w:t>, 555.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Gaber, J. (2020). Building “a ladder of citizen participation”: Sherry Arnstein, citizen participation, and model cities. In </w:t>
      </w:r>
      <w:r w:rsidRPr="00DB17A1">
        <w:rPr>
          <w:rFonts w:ascii="Times New Roman" w:hAnsi="Times New Roman" w:cs="Times New Roman"/>
          <w:i/>
          <w:iCs/>
          <w:shd w:val="clear" w:color="auto" w:fill="FFFFFF"/>
        </w:rPr>
        <w:t>Learning from Arnstein's Ladder</w:t>
      </w:r>
      <w:r w:rsidRPr="00DB17A1">
        <w:rPr>
          <w:rFonts w:ascii="Times New Roman" w:hAnsi="Times New Roman" w:cs="Times New Roman"/>
          <w:shd w:val="clear" w:color="auto" w:fill="FFFFFF"/>
        </w:rPr>
        <w:t> (pp. 13-34). Routledge.</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GHARBAOUI, M., ZAIMI, A., &amp; DOUARI, A. (2023). The interplay between ICT, participatory governance, and sustainable development: A theoretical overview. </w:t>
      </w:r>
      <w:r w:rsidRPr="00DB17A1">
        <w:rPr>
          <w:rFonts w:ascii="Times New Roman" w:hAnsi="Times New Roman" w:cs="Times New Roman"/>
          <w:i/>
          <w:iCs/>
          <w:shd w:val="clear" w:color="auto" w:fill="FFFFFF"/>
        </w:rPr>
        <w:t>International Journal of Accounting Finance Auditing Management and Economics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w:t>
      </w:r>
      <w:r w:rsidRPr="00DB17A1">
        <w:rPr>
          <w:rFonts w:ascii="Times New Roman" w:hAnsi="Times New Roman" w:cs="Times New Roman"/>
          <w:shd w:val="clear" w:color="auto" w:fill="FFFFFF"/>
        </w:rPr>
        <w:t>(2-1), 285-306.</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Guira, S. (2021). Popular sovereignty through participation in the electoral process. </w:t>
      </w:r>
      <w:r w:rsidRPr="00DB17A1">
        <w:rPr>
          <w:rFonts w:ascii="Times New Roman" w:hAnsi="Times New Roman" w:cs="Times New Roman"/>
          <w:i/>
          <w:iCs/>
          <w:shd w:val="clear" w:color="auto" w:fill="FFFFFF"/>
        </w:rPr>
        <w:t>6</w:t>
      </w:r>
      <w:r w:rsidRPr="00DB17A1">
        <w:rPr>
          <w:rFonts w:ascii="Times New Roman" w:hAnsi="Times New Roman" w:cs="Times New Roman"/>
          <w:shd w:val="clear" w:color="auto" w:fill="FFFFFF"/>
        </w:rPr>
        <w:t>(2), 1031-1040.‎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Handayani, P., &amp; Moki, R. (2025). Public Participation Conventions in Constitutional Policymaking: Theory, Mechanisms, and Comparative Practices. </w:t>
      </w:r>
      <w:r w:rsidRPr="00DB17A1">
        <w:rPr>
          <w:rFonts w:ascii="Times New Roman" w:hAnsi="Times New Roman" w:cs="Times New Roman"/>
          <w:i/>
          <w:iCs/>
          <w:shd w:val="clear" w:color="auto" w:fill="FFFFFF"/>
        </w:rPr>
        <w:t>International Journal of Constitutional and Administrative Law</w:t>
      </w:r>
      <w:r w:rsidRPr="00DB17A1">
        <w:rPr>
          <w:rFonts w:ascii="Times New Roman" w:hAnsi="Times New Roman" w:cs="Times New Roman"/>
          <w:shd w:val="clear" w:color="auto" w:fill="FFFFFF"/>
        </w:rPr>
        <w:t>, 131-147.</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Hudson, A. (2021). </w:t>
      </w:r>
      <w:r w:rsidRPr="00DB17A1">
        <w:rPr>
          <w:rFonts w:ascii="Times New Roman" w:hAnsi="Times New Roman" w:cs="Times New Roman"/>
          <w:i/>
          <w:iCs/>
          <w:shd w:val="clear" w:color="auto" w:fill="FFFFFF"/>
        </w:rPr>
        <w:t>The veil of participation: Citizens and political parties in constitution-making processes</w:t>
      </w:r>
      <w:r w:rsidRPr="00DB17A1">
        <w:rPr>
          <w:rFonts w:ascii="Times New Roman" w:hAnsi="Times New Roman" w:cs="Times New Roman"/>
          <w:shd w:val="clear" w:color="auto" w:fill="FFFFFF"/>
        </w:rPr>
        <w:t>. Cambridge University Press.</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Hügel, S., &amp; Davies, A. R. (2020). Public participation, engagement, and climate change adaptation: A review of the research literature. </w:t>
      </w:r>
      <w:r w:rsidRPr="00DB17A1">
        <w:rPr>
          <w:rFonts w:ascii="Times New Roman" w:hAnsi="Times New Roman" w:cs="Times New Roman"/>
          <w:i/>
          <w:iCs/>
          <w:shd w:val="clear" w:color="auto" w:fill="FFFFFF"/>
        </w:rPr>
        <w:t>Wiley Interdisciplinary Reviews: Climate Change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11</w:t>
      </w:r>
      <w:r w:rsidRPr="00DB17A1">
        <w:rPr>
          <w:rFonts w:ascii="Times New Roman" w:hAnsi="Times New Roman" w:cs="Times New Roman"/>
          <w:shd w:val="clear" w:color="auto" w:fill="FFFFFF"/>
        </w:rPr>
        <w:t>(4), e645.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Isaac, J. K. (2021). </w:t>
      </w:r>
      <w:r w:rsidRPr="00DB17A1">
        <w:rPr>
          <w:rFonts w:ascii="Times New Roman" w:hAnsi="Times New Roman" w:cs="Times New Roman"/>
          <w:i/>
          <w:iCs/>
          <w:shd w:val="clear" w:color="auto" w:fill="FFFFFF"/>
        </w:rPr>
        <w:t>Managerial Ties, Citizen Participation and Performance of County Assemblies in Kenya</w:t>
      </w:r>
      <w:r w:rsidRPr="00DB17A1">
        <w:rPr>
          <w:rFonts w:ascii="Times New Roman" w:hAnsi="Times New Roman" w:cs="Times New Roman"/>
          <w:shd w:val="clear" w:color="auto" w:fill="FFFFFF"/>
        </w:rPr>
        <w:t xml:space="preserve"> (Doctoral dissertation, </w:t>
      </w:r>
      <w:proofErr w:type="spellStart"/>
      <w:r w:rsidRPr="00DB17A1">
        <w:rPr>
          <w:rFonts w:ascii="Times New Roman" w:hAnsi="Times New Roman" w:cs="Times New Roman"/>
          <w:shd w:val="clear" w:color="auto" w:fill="FFFFFF"/>
        </w:rPr>
        <w:t>KeMU</w:t>
      </w:r>
      <w:proofErr w:type="spellEnd"/>
      <w:r w:rsidRPr="00DB17A1">
        <w:rPr>
          <w:rFonts w:ascii="Times New Roman" w:hAnsi="Times New Roman" w:cs="Times New Roman"/>
          <w:shd w:val="clear" w:color="auto" w:fill="FFFFFF"/>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Jovanoski, A., &amp; Sharlamanov, K. (2021). </w:t>
      </w:r>
      <w:proofErr w:type="spellStart"/>
      <w:r w:rsidRPr="00DB17A1">
        <w:rPr>
          <w:rFonts w:ascii="Times New Roman" w:hAnsi="Times New Roman" w:cs="Times New Roman"/>
          <w:shd w:val="clear" w:color="auto" w:fill="FFFFFF"/>
        </w:rPr>
        <w:t>Jurgen</w:t>
      </w:r>
      <w:proofErr w:type="spellEnd"/>
      <w:r w:rsidRPr="00DB17A1">
        <w:rPr>
          <w:rFonts w:ascii="Times New Roman" w:hAnsi="Times New Roman" w:cs="Times New Roman"/>
          <w:shd w:val="clear" w:color="auto" w:fill="FFFFFF"/>
        </w:rPr>
        <w:t xml:space="preserve"> Habermas and his contribution to the theory of deliberative democracy. </w:t>
      </w:r>
      <w:r w:rsidRPr="00DB17A1">
        <w:rPr>
          <w:rFonts w:ascii="Times New Roman" w:hAnsi="Times New Roman" w:cs="Times New Roman"/>
          <w:i/>
          <w:iCs/>
          <w:shd w:val="clear" w:color="auto" w:fill="FFFFFF"/>
        </w:rPr>
        <w:t>American International Journal of Social Science Research</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7</w:t>
      </w:r>
      <w:r w:rsidRPr="00DB17A1">
        <w:rPr>
          <w:rFonts w:ascii="Times New Roman" w:hAnsi="Times New Roman" w:cs="Times New Roman"/>
          <w:shd w:val="clear" w:color="auto" w:fill="FFFFFF"/>
        </w:rPr>
        <w:t>(1), 36-47.</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Kabingesi, A. (2021). </w:t>
      </w:r>
      <w:r w:rsidRPr="00DB17A1">
        <w:rPr>
          <w:rFonts w:ascii="Times New Roman" w:hAnsi="Times New Roman" w:cs="Times New Roman"/>
          <w:i/>
          <w:iCs/>
          <w:shd w:val="clear" w:color="auto" w:fill="FFFFFF"/>
        </w:rPr>
        <w:t>An Assessment of Public Participation in the Law-making and other Activities of the Parliament of the Republic of South Africa</w:t>
      </w:r>
      <w:r w:rsidRPr="00DB17A1">
        <w:rPr>
          <w:rFonts w:ascii="Times New Roman" w:hAnsi="Times New Roman" w:cs="Times New Roman"/>
          <w:shd w:val="clear" w:color="auto" w:fill="FFFFFF"/>
        </w:rPr>
        <w:t> (Doctoral dissertation, Stellenbosch: Stellenbosch University).</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Kamlage, J. H., &amp; Nanz, P. (2018). Public participation and democratic innovations: Assessing democratic institutions and processes for deepening and increased public participation in political decision-making. </w:t>
      </w:r>
      <w:r w:rsidRPr="00DB17A1">
        <w:rPr>
          <w:rFonts w:ascii="Times New Roman" w:hAnsi="Times New Roman" w:cs="Times New Roman"/>
          <w:i/>
          <w:iCs/>
          <w:shd w:val="clear" w:color="auto" w:fill="FFFFFF"/>
        </w:rPr>
        <w:t>Institute for Advanced Sustainability Studies (IASS)</w:t>
      </w:r>
      <w:r w:rsidRPr="00DB17A1">
        <w:rPr>
          <w:rFonts w:ascii="Times New Roman" w:hAnsi="Times New Roman" w:cs="Times New Roman"/>
          <w:shd w:val="clear" w:color="auto" w:fill="FFFFFF"/>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lastRenderedPageBreak/>
        <w:t>Kamlage, J. H., &amp; Nanz, P. (2018). Public participation and democratic innovations: Assessing democratic institutions and processes for deepening and increased public participation in political decision-making. </w:t>
      </w:r>
      <w:r w:rsidRPr="00DB17A1">
        <w:rPr>
          <w:rFonts w:ascii="Times New Roman" w:hAnsi="Times New Roman" w:cs="Times New Roman"/>
          <w:i/>
          <w:iCs/>
          <w:shd w:val="clear" w:color="auto" w:fill="FFFFFF"/>
        </w:rPr>
        <w:t>Institute for Advanced Sustainability Studies (IASS)</w:t>
      </w:r>
      <w:r w:rsidRPr="00DB17A1">
        <w:rPr>
          <w:rFonts w:ascii="Times New Roman" w:hAnsi="Times New Roman" w:cs="Times New Roman"/>
          <w:shd w:val="clear" w:color="auto" w:fill="FFFFFF"/>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Kamlage, J. H., &amp; Nanz, P. (2018). Public participation and democratic innovations: Assessing democratic institutions and processes for deepening and increased public participation in political decision-making. </w:t>
      </w:r>
      <w:r w:rsidRPr="00DB17A1">
        <w:rPr>
          <w:rFonts w:ascii="Times New Roman" w:hAnsi="Times New Roman" w:cs="Times New Roman"/>
          <w:i/>
          <w:iCs/>
          <w:shd w:val="clear" w:color="auto" w:fill="FFFFFF"/>
        </w:rPr>
        <w:t>Institute for Advanced Sustainability Studies (IASS)</w:t>
      </w:r>
      <w:r w:rsidRPr="00DB17A1">
        <w:rPr>
          <w:rFonts w:ascii="Times New Roman" w:hAnsi="Times New Roman" w:cs="Times New Roman"/>
          <w:shd w:val="clear" w:color="auto" w:fill="FFFFFF"/>
        </w:rPr>
        <w:t>.</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Keung, E. Z., McElroy, L. M., Ladner, D. P., &amp; Grubbs, E. G. (2020). Defining the study cohort: inclusion and exclusion criteria. In </w:t>
      </w:r>
      <w:r w:rsidRPr="00DB17A1">
        <w:rPr>
          <w:rFonts w:ascii="Times New Roman" w:hAnsi="Times New Roman" w:cs="Times New Roman"/>
          <w:i/>
          <w:iCs/>
          <w:shd w:val="clear" w:color="auto" w:fill="FFFFFF"/>
        </w:rPr>
        <w:t>Clinical trials</w:t>
      </w:r>
      <w:r w:rsidRPr="00DB17A1">
        <w:rPr>
          <w:rFonts w:ascii="Times New Roman" w:hAnsi="Times New Roman" w:cs="Times New Roman"/>
          <w:shd w:val="clear" w:color="auto" w:fill="FFFFFF"/>
        </w:rPr>
        <w:t> (pp. 47-58). Cham: Springer International Publishing.</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Kim, H., </w:t>
      </w:r>
      <w:proofErr w:type="spellStart"/>
      <w:r w:rsidRPr="00DB17A1">
        <w:rPr>
          <w:rFonts w:ascii="Times New Roman" w:hAnsi="Times New Roman" w:cs="Times New Roman"/>
          <w:shd w:val="clear" w:color="auto" w:fill="FFFFFF"/>
        </w:rPr>
        <w:t>Sefcik</w:t>
      </w:r>
      <w:proofErr w:type="spellEnd"/>
      <w:r w:rsidRPr="00DB17A1">
        <w:rPr>
          <w:rFonts w:ascii="Times New Roman" w:hAnsi="Times New Roman" w:cs="Times New Roman"/>
          <w:shd w:val="clear" w:color="auto" w:fill="FFFFFF"/>
        </w:rPr>
        <w:t xml:space="preserve">, J. S., &amp; </w:t>
      </w:r>
      <w:proofErr w:type="spellStart"/>
      <w:r w:rsidRPr="00DB17A1">
        <w:rPr>
          <w:rFonts w:ascii="Times New Roman" w:hAnsi="Times New Roman" w:cs="Times New Roman"/>
          <w:shd w:val="clear" w:color="auto" w:fill="FFFFFF"/>
        </w:rPr>
        <w:t>Bradway</w:t>
      </w:r>
      <w:proofErr w:type="spellEnd"/>
      <w:r w:rsidRPr="00DB17A1">
        <w:rPr>
          <w:rFonts w:ascii="Times New Roman" w:hAnsi="Times New Roman" w:cs="Times New Roman"/>
          <w:shd w:val="clear" w:color="auto" w:fill="FFFFFF"/>
        </w:rPr>
        <w:t>, C. (2017). Characteristics of qualitative descriptive studies: A systematic review. </w:t>
      </w:r>
      <w:r w:rsidRPr="00DB17A1">
        <w:rPr>
          <w:rFonts w:ascii="Times New Roman" w:hAnsi="Times New Roman" w:cs="Times New Roman"/>
          <w:i/>
          <w:iCs/>
          <w:shd w:val="clear" w:color="auto" w:fill="FFFFFF"/>
        </w:rPr>
        <w:t>Research in nursing &amp; health</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40</w:t>
      </w:r>
      <w:r w:rsidRPr="00DB17A1">
        <w:rPr>
          <w:rFonts w:ascii="Times New Roman" w:hAnsi="Times New Roman" w:cs="Times New Roman"/>
          <w:shd w:val="clear" w:color="auto" w:fill="FFFFFF"/>
        </w:rPr>
        <w:t>(1), 23-42.</w:t>
      </w:r>
    </w:p>
    <w:p w:rsidR="006073EC" w:rsidRPr="00DB17A1" w:rsidRDefault="006073EC" w:rsidP="006073EC">
      <w:pPr>
        <w:pStyle w:val="NoSpacing"/>
        <w:ind w:left="720" w:hanging="720"/>
        <w:jc w:val="both"/>
        <w:rPr>
          <w:rFonts w:ascii="Times New Roman" w:hAnsi="Times New Roman" w:cs="Times New Roman"/>
          <w:shd w:val="clear" w:color="auto" w:fill="FFFFFF"/>
        </w:rPr>
      </w:pPr>
      <w:proofErr w:type="spellStart"/>
      <w:r w:rsidRPr="00DB17A1">
        <w:rPr>
          <w:rFonts w:ascii="Times New Roman" w:hAnsi="Times New Roman" w:cs="Times New Roman"/>
          <w:shd w:val="clear" w:color="auto" w:fill="FFFFFF"/>
        </w:rPr>
        <w:t>Kimutai</w:t>
      </w:r>
      <w:proofErr w:type="spellEnd"/>
      <w:r w:rsidRPr="00DB17A1">
        <w:rPr>
          <w:rFonts w:ascii="Times New Roman" w:hAnsi="Times New Roman" w:cs="Times New Roman"/>
          <w:shd w:val="clear" w:color="auto" w:fill="FFFFFF"/>
        </w:rPr>
        <w:t xml:space="preserve">, G. K., &amp; </w:t>
      </w:r>
      <w:proofErr w:type="spellStart"/>
      <w:r w:rsidRPr="00DB17A1">
        <w:rPr>
          <w:rFonts w:ascii="Times New Roman" w:hAnsi="Times New Roman" w:cs="Times New Roman"/>
          <w:shd w:val="clear" w:color="auto" w:fill="FFFFFF"/>
        </w:rPr>
        <w:t>Aluvi</w:t>
      </w:r>
      <w:proofErr w:type="spellEnd"/>
      <w:r w:rsidRPr="00DB17A1">
        <w:rPr>
          <w:rFonts w:ascii="Times New Roman" w:hAnsi="Times New Roman" w:cs="Times New Roman"/>
          <w:shd w:val="clear" w:color="auto" w:fill="FFFFFF"/>
        </w:rPr>
        <w:t>, P. A. (2018). Good governance and service delivery: A study of citizen participation in Kisumu County. </w:t>
      </w:r>
      <w:r w:rsidRPr="00DB17A1">
        <w:rPr>
          <w:rFonts w:ascii="Times New Roman" w:hAnsi="Times New Roman" w:cs="Times New Roman"/>
          <w:i/>
          <w:iCs/>
          <w:shd w:val="clear" w:color="auto" w:fill="FFFFFF"/>
        </w:rPr>
        <w:t>Universal Journal of Management</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6</w:t>
      </w:r>
      <w:r w:rsidRPr="00DB17A1">
        <w:rPr>
          <w:rFonts w:ascii="Times New Roman" w:hAnsi="Times New Roman" w:cs="Times New Roman"/>
          <w:shd w:val="clear" w:color="auto" w:fill="FFFFFF"/>
        </w:rPr>
        <w:t>(2), 59-69.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Kiss, B., </w:t>
      </w:r>
      <w:proofErr w:type="spellStart"/>
      <w:r w:rsidRPr="00DB17A1">
        <w:rPr>
          <w:rFonts w:ascii="Times New Roman" w:hAnsi="Times New Roman" w:cs="Times New Roman"/>
          <w:shd w:val="clear" w:color="auto" w:fill="FFFFFF"/>
        </w:rPr>
        <w:t>Sekulova</w:t>
      </w:r>
      <w:proofErr w:type="spellEnd"/>
      <w:r w:rsidRPr="00DB17A1">
        <w:rPr>
          <w:rFonts w:ascii="Times New Roman" w:hAnsi="Times New Roman" w:cs="Times New Roman"/>
          <w:shd w:val="clear" w:color="auto" w:fill="FFFFFF"/>
        </w:rPr>
        <w:t xml:space="preserve">, F., </w:t>
      </w:r>
      <w:proofErr w:type="spellStart"/>
      <w:r w:rsidRPr="00DB17A1">
        <w:rPr>
          <w:rFonts w:ascii="Times New Roman" w:hAnsi="Times New Roman" w:cs="Times New Roman"/>
          <w:shd w:val="clear" w:color="auto" w:fill="FFFFFF"/>
        </w:rPr>
        <w:t>Hörschelmann</w:t>
      </w:r>
      <w:proofErr w:type="spellEnd"/>
      <w:r w:rsidRPr="00DB17A1">
        <w:rPr>
          <w:rFonts w:ascii="Times New Roman" w:hAnsi="Times New Roman" w:cs="Times New Roman"/>
          <w:shd w:val="clear" w:color="auto" w:fill="FFFFFF"/>
        </w:rPr>
        <w:t xml:space="preserve">, K., Salk, C. F., Takahashi, W., &amp; </w:t>
      </w:r>
      <w:proofErr w:type="spellStart"/>
      <w:r w:rsidRPr="00DB17A1">
        <w:rPr>
          <w:rFonts w:ascii="Times New Roman" w:hAnsi="Times New Roman" w:cs="Times New Roman"/>
          <w:shd w:val="clear" w:color="auto" w:fill="FFFFFF"/>
        </w:rPr>
        <w:t>Wamsler</w:t>
      </w:r>
      <w:proofErr w:type="spellEnd"/>
      <w:r w:rsidRPr="00DB17A1">
        <w:rPr>
          <w:rFonts w:ascii="Times New Roman" w:hAnsi="Times New Roman" w:cs="Times New Roman"/>
          <w:shd w:val="clear" w:color="auto" w:fill="FFFFFF"/>
        </w:rPr>
        <w:t>, C. (2022). Citizen participation in the governance of nature‐based solutions. </w:t>
      </w:r>
      <w:r w:rsidRPr="00DB17A1">
        <w:rPr>
          <w:rFonts w:ascii="Times New Roman" w:hAnsi="Times New Roman" w:cs="Times New Roman"/>
          <w:i/>
          <w:iCs/>
          <w:shd w:val="clear" w:color="auto" w:fill="FFFFFF"/>
        </w:rPr>
        <w:t>Environmental Policy and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32</w:t>
      </w:r>
      <w:r w:rsidRPr="00DB17A1">
        <w:rPr>
          <w:rFonts w:ascii="Times New Roman" w:hAnsi="Times New Roman" w:cs="Times New Roman"/>
          <w:shd w:val="clear" w:color="auto" w:fill="FFFFFF"/>
        </w:rPr>
        <w:t>(3), 247-272.</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Koskimaa, V., </w:t>
      </w:r>
      <w:proofErr w:type="spellStart"/>
      <w:r w:rsidRPr="00DB17A1">
        <w:rPr>
          <w:rFonts w:ascii="Times New Roman" w:hAnsi="Times New Roman" w:cs="Times New Roman"/>
          <w:shd w:val="clear" w:color="auto" w:fill="FFFFFF"/>
        </w:rPr>
        <w:t>Rapeli</w:t>
      </w:r>
      <w:proofErr w:type="spellEnd"/>
      <w:r w:rsidRPr="00DB17A1">
        <w:rPr>
          <w:rFonts w:ascii="Times New Roman" w:hAnsi="Times New Roman" w:cs="Times New Roman"/>
          <w:shd w:val="clear" w:color="auto" w:fill="FFFFFF"/>
        </w:rPr>
        <w:t xml:space="preserve">, L., &amp; </w:t>
      </w:r>
      <w:proofErr w:type="spellStart"/>
      <w:r w:rsidRPr="00DB17A1">
        <w:rPr>
          <w:rFonts w:ascii="Times New Roman" w:hAnsi="Times New Roman" w:cs="Times New Roman"/>
          <w:shd w:val="clear" w:color="auto" w:fill="FFFFFF"/>
        </w:rPr>
        <w:t>Himmelroos</w:t>
      </w:r>
      <w:proofErr w:type="spellEnd"/>
      <w:r w:rsidRPr="00DB17A1">
        <w:rPr>
          <w:rFonts w:ascii="Times New Roman" w:hAnsi="Times New Roman" w:cs="Times New Roman"/>
          <w:shd w:val="clear" w:color="auto" w:fill="FFFFFF"/>
        </w:rPr>
        <w:t>, S. (2024). Decision‐makers, advisers or educable subjects? Policymakers' perceptions of citizen participation in a Nordic democracy. </w:t>
      </w:r>
      <w:r w:rsidRPr="00DB17A1">
        <w:rPr>
          <w:rFonts w:ascii="Times New Roman" w:hAnsi="Times New Roman" w:cs="Times New Roman"/>
          <w:i/>
          <w:iCs/>
          <w:shd w:val="clear" w:color="auto" w:fill="FFFFFF"/>
        </w:rPr>
        <w:t>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37</w:t>
      </w:r>
      <w:r w:rsidRPr="00DB17A1">
        <w:rPr>
          <w:rFonts w:ascii="Times New Roman" w:hAnsi="Times New Roman" w:cs="Times New Roman"/>
          <w:shd w:val="clear" w:color="auto" w:fill="FFFFFF"/>
        </w:rPr>
        <w:t>(1), 261-279.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Majado, P. G. (2021). Direct citizen participation in the constitutional reform. </w:t>
      </w:r>
      <w:r w:rsidRPr="00DB17A1">
        <w:rPr>
          <w:rFonts w:ascii="Times New Roman" w:hAnsi="Times New Roman" w:cs="Times New Roman"/>
          <w:i/>
          <w:iCs/>
          <w:shd w:val="clear" w:color="auto" w:fill="FFFFFF"/>
        </w:rPr>
        <w:t>International Journal of Human Rights and Constitutional Studies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8</w:t>
      </w:r>
      <w:r w:rsidRPr="00DB17A1">
        <w:rPr>
          <w:rFonts w:ascii="Times New Roman" w:hAnsi="Times New Roman" w:cs="Times New Roman"/>
          <w:shd w:val="clear" w:color="auto" w:fill="FFFFFF"/>
        </w:rPr>
        <w:t>(1-2), 17-32.</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Makaba, I. J. (2018). </w:t>
      </w:r>
      <w:r w:rsidRPr="00DB17A1">
        <w:rPr>
          <w:rFonts w:ascii="Times New Roman" w:hAnsi="Times New Roman" w:cs="Times New Roman"/>
          <w:i/>
          <w:iCs/>
          <w:shd w:val="clear" w:color="auto" w:fill="FFFFFF"/>
        </w:rPr>
        <w:t xml:space="preserve">Citizen participation and meaningful engagement as effective tools for good governance in policy-making and </w:t>
      </w:r>
      <w:proofErr w:type="spellStart"/>
      <w:r w:rsidRPr="00DB17A1">
        <w:rPr>
          <w:rFonts w:ascii="Times New Roman" w:hAnsi="Times New Roman" w:cs="Times New Roman"/>
          <w:i/>
          <w:iCs/>
          <w:shd w:val="clear" w:color="auto" w:fill="FFFFFF"/>
        </w:rPr>
        <w:t>realisation</w:t>
      </w:r>
      <w:proofErr w:type="spellEnd"/>
      <w:r w:rsidRPr="00DB17A1">
        <w:rPr>
          <w:rFonts w:ascii="Times New Roman" w:hAnsi="Times New Roman" w:cs="Times New Roman"/>
          <w:i/>
          <w:iCs/>
          <w:shd w:val="clear" w:color="auto" w:fill="FFFFFF"/>
        </w:rPr>
        <w:t xml:space="preserve"> of economic, social and cultural rights</w:t>
      </w:r>
      <w:r w:rsidRPr="00DB17A1">
        <w:rPr>
          <w:rFonts w:ascii="Times New Roman" w:hAnsi="Times New Roman" w:cs="Times New Roman"/>
          <w:shd w:val="clear" w:color="auto" w:fill="FFFFFF"/>
        </w:rPr>
        <w:t> (Master's thesis, University of Pretoria (South Africa)).</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Mannarini, T., &amp; Fedi, A. (2018). Using </w:t>
      </w:r>
      <w:proofErr w:type="spellStart"/>
      <w:r w:rsidRPr="00DB17A1">
        <w:rPr>
          <w:rFonts w:ascii="Times New Roman" w:hAnsi="Times New Roman" w:cs="Times New Roman"/>
          <w:shd w:val="clear" w:color="auto" w:fill="FFFFFF"/>
        </w:rPr>
        <w:t>quali</w:t>
      </w:r>
      <w:proofErr w:type="spellEnd"/>
      <w:r w:rsidRPr="00DB17A1">
        <w:rPr>
          <w:rFonts w:ascii="Times New Roman" w:hAnsi="Times New Roman" w:cs="Times New Roman"/>
          <w:shd w:val="clear" w:color="auto" w:fill="FFFFFF"/>
        </w:rPr>
        <w:t>-quantitative indicators for assessing the quality of citizen participation: A study on three citizen juries. </w:t>
      </w:r>
      <w:r w:rsidRPr="00DB17A1">
        <w:rPr>
          <w:rFonts w:ascii="Times New Roman" w:hAnsi="Times New Roman" w:cs="Times New Roman"/>
          <w:i/>
          <w:iCs/>
          <w:shd w:val="clear" w:color="auto" w:fill="FFFFFF"/>
        </w:rPr>
        <w:t>Social Indicators Research</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139</w:t>
      </w:r>
      <w:r w:rsidRPr="00DB17A1">
        <w:rPr>
          <w:rFonts w:ascii="Times New Roman" w:hAnsi="Times New Roman" w:cs="Times New Roman"/>
          <w:shd w:val="clear" w:color="auto" w:fill="FFFFFF"/>
        </w:rPr>
        <w:t>(2), 473-490.</w:t>
      </w:r>
    </w:p>
    <w:p w:rsidR="006073EC" w:rsidRPr="00DB17A1" w:rsidRDefault="006073EC" w:rsidP="006073EC">
      <w:pPr>
        <w:pStyle w:val="NoSpacing"/>
        <w:ind w:left="720" w:hanging="720"/>
        <w:jc w:val="both"/>
        <w:rPr>
          <w:rFonts w:ascii="Times New Roman" w:hAnsi="Times New Roman" w:cs="Times New Roman"/>
        </w:rPr>
      </w:pPr>
      <w:r w:rsidRPr="00DB17A1">
        <w:rPr>
          <w:rFonts w:ascii="Times New Roman" w:hAnsi="Times New Roman" w:cs="Times New Roman"/>
          <w:shd w:val="clear" w:color="auto" w:fill="FFFFFF"/>
        </w:rPr>
        <w:t xml:space="preserve">Mbithi, A., </w:t>
      </w:r>
      <w:proofErr w:type="spellStart"/>
      <w:r w:rsidRPr="00DB17A1">
        <w:rPr>
          <w:rFonts w:ascii="Times New Roman" w:hAnsi="Times New Roman" w:cs="Times New Roman"/>
          <w:shd w:val="clear" w:color="auto" w:fill="FFFFFF"/>
        </w:rPr>
        <w:t>Ndambuki</w:t>
      </w:r>
      <w:proofErr w:type="spellEnd"/>
      <w:r w:rsidRPr="00DB17A1">
        <w:rPr>
          <w:rFonts w:ascii="Times New Roman" w:hAnsi="Times New Roman" w:cs="Times New Roman"/>
          <w:shd w:val="clear" w:color="auto" w:fill="FFFFFF"/>
        </w:rPr>
        <w:t>, D., &amp; Juma, F. O. (2019). Determinants of public participation in Kenya county governments. </w:t>
      </w:r>
      <w:r w:rsidRPr="00DB17A1">
        <w:rPr>
          <w:rFonts w:ascii="Times New Roman" w:hAnsi="Times New Roman" w:cs="Times New Roman"/>
          <w:i/>
          <w:iCs/>
          <w:shd w:val="clear" w:color="auto" w:fill="FFFFFF"/>
        </w:rPr>
        <w:t>Journal of Asian and African Studies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54</w:t>
      </w:r>
      <w:r w:rsidRPr="00DB17A1">
        <w:rPr>
          <w:rFonts w:ascii="Times New Roman" w:hAnsi="Times New Roman" w:cs="Times New Roman"/>
          <w:shd w:val="clear" w:color="auto" w:fill="FFFFFF"/>
        </w:rPr>
        <w:t>(1), 52-69.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Morgan, H. (2022). Conducting a qualitative document analysis. </w:t>
      </w:r>
      <w:r w:rsidRPr="00DB17A1">
        <w:rPr>
          <w:rFonts w:ascii="Times New Roman" w:hAnsi="Times New Roman" w:cs="Times New Roman"/>
          <w:i/>
          <w:iCs/>
          <w:shd w:val="clear" w:color="auto" w:fill="FFFFFF"/>
        </w:rPr>
        <w:t>The qualitative report</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27</w:t>
      </w:r>
      <w:r w:rsidRPr="00DB17A1">
        <w:rPr>
          <w:rFonts w:ascii="Times New Roman" w:hAnsi="Times New Roman" w:cs="Times New Roman"/>
          <w:shd w:val="clear" w:color="auto" w:fill="FFFFFF"/>
        </w:rPr>
        <w:t>(1), 64-77.</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Munene, A. W. (2019). Public participation and the right to development in Kenya. </w:t>
      </w:r>
      <w:r w:rsidRPr="00DB17A1">
        <w:rPr>
          <w:rFonts w:ascii="Times New Roman" w:hAnsi="Times New Roman" w:cs="Times New Roman"/>
          <w:i/>
          <w:iCs/>
          <w:shd w:val="clear" w:color="auto" w:fill="FFFFFF"/>
        </w:rPr>
        <w:t>Africa Nazarene University Law Journal</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7</w:t>
      </w:r>
      <w:r w:rsidRPr="00DB17A1">
        <w:rPr>
          <w:rFonts w:ascii="Times New Roman" w:hAnsi="Times New Roman" w:cs="Times New Roman"/>
          <w:shd w:val="clear" w:color="auto" w:fill="FFFFFF"/>
        </w:rPr>
        <w:t>(1), 64-85.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Omweri, F., &amp; Siambe, F. (2024). Governing without Citizens? A Comparative Analysis of Rural Local Governments’ Capacity for Participatory Governance in Kenya and Uganda. </w:t>
      </w:r>
      <w:r w:rsidRPr="00DB17A1">
        <w:rPr>
          <w:rFonts w:ascii="Times New Roman" w:hAnsi="Times New Roman" w:cs="Times New Roman"/>
          <w:i/>
          <w:iCs/>
          <w:shd w:val="clear" w:color="auto" w:fill="FFFFFF"/>
        </w:rPr>
        <w:t>Social Science and Humanities Journal</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8</w:t>
      </w:r>
      <w:r w:rsidRPr="00DB17A1">
        <w:rPr>
          <w:rFonts w:ascii="Times New Roman" w:hAnsi="Times New Roman" w:cs="Times New Roman"/>
          <w:shd w:val="clear" w:color="auto" w:fill="FFFFFF"/>
        </w:rPr>
        <w:t>(09), 4920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Opongo, E. O. (2022). Democracy, citizen participation and peace economics in Kenya: Interrogating the social change processes. </w:t>
      </w:r>
      <w:r w:rsidRPr="00DB17A1">
        <w:rPr>
          <w:rFonts w:ascii="Times New Roman" w:hAnsi="Times New Roman" w:cs="Times New Roman"/>
          <w:i/>
          <w:iCs/>
          <w:shd w:val="clear" w:color="auto" w:fill="FFFFFF"/>
        </w:rPr>
        <w:t>The Journal of Social Encounters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6</w:t>
      </w:r>
      <w:r w:rsidRPr="00DB17A1">
        <w:rPr>
          <w:rFonts w:ascii="Times New Roman" w:hAnsi="Times New Roman" w:cs="Times New Roman"/>
          <w:shd w:val="clear" w:color="auto" w:fill="FFFFFF"/>
        </w:rPr>
        <w:t>(1), 62-83.</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Özden, M. (2024). Active participation or legal obligation? A qualitative study of the effectiveness of participatory methods designed for local participation: M. Özden. </w:t>
      </w:r>
      <w:r w:rsidRPr="00DB17A1">
        <w:rPr>
          <w:rFonts w:ascii="Times New Roman" w:hAnsi="Times New Roman" w:cs="Times New Roman"/>
          <w:i/>
          <w:iCs/>
          <w:shd w:val="clear" w:color="auto" w:fill="FFFFFF"/>
        </w:rPr>
        <w:t>Quality &amp; Quantity</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58</w:t>
      </w:r>
      <w:r w:rsidRPr="00DB17A1">
        <w:rPr>
          <w:rFonts w:ascii="Times New Roman" w:hAnsi="Times New Roman" w:cs="Times New Roman"/>
          <w:shd w:val="clear" w:color="auto" w:fill="FFFFFF"/>
        </w:rPr>
        <w:t>(1), 559-580.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Peel, K. L. (2020). A Beginner's Guide to Applied Educational Research Using Thematic Analysis. </w:t>
      </w:r>
      <w:r w:rsidRPr="00DB17A1">
        <w:rPr>
          <w:rFonts w:ascii="Times New Roman" w:hAnsi="Times New Roman" w:cs="Times New Roman"/>
          <w:i/>
          <w:iCs/>
          <w:shd w:val="clear" w:color="auto" w:fill="FFFFFF"/>
        </w:rPr>
        <w:t>Practical assessment, research &amp; evaluation</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25</w:t>
      </w:r>
      <w:r w:rsidRPr="00DB17A1">
        <w:rPr>
          <w:rFonts w:ascii="Times New Roman" w:hAnsi="Times New Roman" w:cs="Times New Roman"/>
          <w:shd w:val="clear" w:color="auto" w:fill="FFFFFF"/>
        </w:rPr>
        <w:t>, 2.</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Petunia, T. A., &amp; </w:t>
      </w:r>
      <w:proofErr w:type="spellStart"/>
      <w:r w:rsidRPr="00DB17A1">
        <w:rPr>
          <w:rFonts w:ascii="Times New Roman" w:hAnsi="Times New Roman" w:cs="Times New Roman"/>
          <w:shd w:val="clear" w:color="auto" w:fill="FFFFFF"/>
        </w:rPr>
        <w:t>Selepe</w:t>
      </w:r>
      <w:proofErr w:type="spellEnd"/>
      <w:r w:rsidRPr="00DB17A1">
        <w:rPr>
          <w:rFonts w:ascii="Times New Roman" w:hAnsi="Times New Roman" w:cs="Times New Roman"/>
          <w:shd w:val="clear" w:color="auto" w:fill="FFFFFF"/>
        </w:rPr>
        <w:t>, M. (2020). Strengthening policy-and decision-making processes through community participation: A municipal perspective. </w:t>
      </w:r>
      <w:r w:rsidRPr="00DB17A1">
        <w:rPr>
          <w:rFonts w:ascii="Times New Roman" w:hAnsi="Times New Roman" w:cs="Times New Roman"/>
          <w:i/>
          <w:iCs/>
          <w:shd w:val="clear" w:color="auto" w:fill="FFFFFF"/>
        </w:rPr>
        <w:t>Africa’s Public Service Delivery &amp; Performance Review</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8</w:t>
      </w:r>
      <w:r w:rsidRPr="00DB17A1">
        <w:rPr>
          <w:rFonts w:ascii="Times New Roman" w:hAnsi="Times New Roman" w:cs="Times New Roman"/>
          <w:shd w:val="clear" w:color="auto" w:fill="FFFFFF"/>
        </w:rPr>
        <w:t>(1), 10.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Ragolane, M., &amp; Malatji, T. L. (2021). Lack of public participation and good governance, who is fooling who</w:t>
      </w:r>
      <w:proofErr w:type="gramStart"/>
      <w:r w:rsidRPr="00DB17A1">
        <w:rPr>
          <w:rFonts w:ascii="Times New Roman" w:hAnsi="Times New Roman" w:cs="Times New Roman"/>
          <w:shd w:val="clear" w:color="auto" w:fill="FFFFFF"/>
        </w:rPr>
        <w:t>?.</w:t>
      </w:r>
      <w:proofErr w:type="gramEnd"/>
      <w:r w:rsidRPr="00DB17A1">
        <w:rPr>
          <w:rFonts w:ascii="Times New Roman" w:hAnsi="Times New Roman" w:cs="Times New Roman"/>
          <w:shd w:val="clear" w:color="auto" w:fill="FFFFFF"/>
        </w:rPr>
        <w:t> </w:t>
      </w:r>
      <w:proofErr w:type="spellStart"/>
      <w:r w:rsidRPr="00DB17A1">
        <w:rPr>
          <w:rFonts w:ascii="Times New Roman" w:hAnsi="Times New Roman" w:cs="Times New Roman"/>
          <w:i/>
          <w:iCs/>
          <w:shd w:val="clear" w:color="auto" w:fill="FFFFFF"/>
        </w:rPr>
        <w:t>Technium</w:t>
      </w:r>
      <w:proofErr w:type="spellEnd"/>
      <w:r w:rsidRPr="00DB17A1">
        <w:rPr>
          <w:rFonts w:ascii="Times New Roman" w:hAnsi="Times New Roman" w:cs="Times New Roman"/>
          <w:i/>
          <w:iCs/>
          <w:shd w:val="clear" w:color="auto" w:fill="FFFFFF"/>
        </w:rPr>
        <w:t xml:space="preserve"> Soc. Sci. J.</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26</w:t>
      </w:r>
      <w:r w:rsidRPr="00DB17A1">
        <w:rPr>
          <w:rFonts w:ascii="Times New Roman" w:hAnsi="Times New Roman" w:cs="Times New Roman"/>
          <w:shd w:val="clear" w:color="auto" w:fill="FFFFFF"/>
        </w:rPr>
        <w:t>, 32.</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Rijal, S. (2023). The importance of community involvement in public management planning and decision-making processes. </w:t>
      </w:r>
      <w:r w:rsidRPr="00DB17A1">
        <w:rPr>
          <w:rFonts w:ascii="Times New Roman" w:hAnsi="Times New Roman" w:cs="Times New Roman"/>
          <w:i/>
          <w:iCs/>
          <w:shd w:val="clear" w:color="auto" w:fill="FFFFFF"/>
        </w:rPr>
        <w:t>Journal of Contemporary Administration and Management (ADMAN)</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w:t>
      </w:r>
      <w:r w:rsidRPr="00DB17A1">
        <w:rPr>
          <w:rFonts w:ascii="Times New Roman" w:hAnsi="Times New Roman" w:cs="Times New Roman"/>
          <w:shd w:val="clear" w:color="auto" w:fill="FFFFFF"/>
        </w:rPr>
        <w:t>(2), 84-92.</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Rogo, E. J. (2024). Exploring Qualitative Research. </w:t>
      </w:r>
      <w:r w:rsidRPr="00DB17A1">
        <w:rPr>
          <w:rFonts w:ascii="Times New Roman" w:hAnsi="Times New Roman" w:cs="Times New Roman"/>
          <w:i/>
          <w:iCs/>
          <w:shd w:val="clear" w:color="auto" w:fill="FFFFFF"/>
        </w:rPr>
        <w:t>Journal of Dental Hygiene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98</w:t>
      </w:r>
      <w:r w:rsidRPr="00DB17A1">
        <w:rPr>
          <w:rFonts w:ascii="Times New Roman" w:hAnsi="Times New Roman" w:cs="Times New Roman"/>
          <w:shd w:val="clear" w:color="auto" w:fill="FFFFFF"/>
        </w:rPr>
        <w:t>(4).</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Schwartz, M., &amp; Schejter, A. M. (2024). Conceptualizing participation: Defining and analyzing public participation in policymaking processes. </w:t>
      </w:r>
      <w:r w:rsidRPr="00DB17A1">
        <w:rPr>
          <w:rFonts w:ascii="Times New Roman" w:hAnsi="Times New Roman" w:cs="Times New Roman"/>
          <w:i/>
          <w:iCs/>
          <w:shd w:val="clear" w:color="auto" w:fill="FFFFFF"/>
        </w:rPr>
        <w:t>Telecommunications policy</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48</w:t>
      </w:r>
      <w:r w:rsidRPr="00DB17A1">
        <w:rPr>
          <w:rFonts w:ascii="Times New Roman" w:hAnsi="Times New Roman" w:cs="Times New Roman"/>
          <w:shd w:val="clear" w:color="auto" w:fill="FFFFFF"/>
        </w:rPr>
        <w:t>(7), 102796.</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lastRenderedPageBreak/>
        <w:t>Skelcher, C., &amp; Torfing, J. (2010). Improving democratic governance through institutional design: Civic participation and democratic ownership in Europe. </w:t>
      </w:r>
      <w:r w:rsidRPr="00DB17A1">
        <w:rPr>
          <w:rFonts w:ascii="Times New Roman" w:hAnsi="Times New Roman" w:cs="Times New Roman"/>
          <w:i/>
          <w:iCs/>
          <w:shd w:val="clear" w:color="auto" w:fill="FFFFFF"/>
        </w:rPr>
        <w:t>Regulation &amp; Governance</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w:t>
      </w:r>
      <w:r w:rsidRPr="00DB17A1">
        <w:rPr>
          <w:rFonts w:ascii="Times New Roman" w:hAnsi="Times New Roman" w:cs="Times New Roman"/>
          <w:shd w:val="clear" w:color="auto" w:fill="FFFFFF"/>
        </w:rPr>
        <w:t>(1), 71-91.</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Suphattanakul, O. (2018). Public participation in decision-making processes: concepts and tools. </w:t>
      </w:r>
      <w:r w:rsidRPr="00DB17A1">
        <w:rPr>
          <w:rFonts w:ascii="Times New Roman" w:hAnsi="Times New Roman" w:cs="Times New Roman"/>
          <w:i/>
          <w:iCs/>
          <w:shd w:val="clear" w:color="auto" w:fill="FFFFFF"/>
        </w:rPr>
        <w:t>Journal of Business and Social Review in Emerging Economies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4</w:t>
      </w:r>
      <w:r w:rsidRPr="00DB17A1">
        <w:rPr>
          <w:rFonts w:ascii="Times New Roman" w:hAnsi="Times New Roman" w:cs="Times New Roman"/>
          <w:shd w:val="clear" w:color="auto" w:fill="FFFFFF"/>
        </w:rPr>
        <w:t>(2), 221-230.</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Tajik, O., </w:t>
      </w:r>
      <w:proofErr w:type="spellStart"/>
      <w:r w:rsidRPr="00DB17A1">
        <w:rPr>
          <w:rFonts w:ascii="Times New Roman" w:hAnsi="Times New Roman" w:cs="Times New Roman"/>
          <w:shd w:val="clear" w:color="auto" w:fill="FFFFFF"/>
        </w:rPr>
        <w:t>Golzar</w:t>
      </w:r>
      <w:proofErr w:type="spellEnd"/>
      <w:r w:rsidRPr="00DB17A1">
        <w:rPr>
          <w:rFonts w:ascii="Times New Roman" w:hAnsi="Times New Roman" w:cs="Times New Roman"/>
          <w:shd w:val="clear" w:color="auto" w:fill="FFFFFF"/>
        </w:rPr>
        <w:t>, J., &amp; Noor, S. (2025). Purposive sampling. </w:t>
      </w:r>
      <w:r w:rsidRPr="00DB17A1">
        <w:rPr>
          <w:rFonts w:ascii="Times New Roman" w:hAnsi="Times New Roman" w:cs="Times New Roman"/>
          <w:i/>
          <w:iCs/>
          <w:shd w:val="clear" w:color="auto" w:fill="FFFFFF"/>
        </w:rPr>
        <w:t>International Journal of Education &amp; Language Studies</w:t>
      </w:r>
      <w:r w:rsidRPr="00DB17A1">
        <w:rPr>
          <w:rFonts w:ascii="Times New Roman" w:hAnsi="Times New Roman" w:cs="Times New Roman"/>
          <w:shd w:val="clear" w:color="auto" w:fill="FFFFFF"/>
        </w:rPr>
        <w:t>, 1-9.</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Thorne, S. (2025). </w:t>
      </w:r>
      <w:r w:rsidRPr="00DB17A1">
        <w:rPr>
          <w:rFonts w:ascii="Times New Roman" w:hAnsi="Times New Roman" w:cs="Times New Roman"/>
          <w:i/>
          <w:iCs/>
          <w:shd w:val="clear" w:color="auto" w:fill="FFFFFF"/>
        </w:rPr>
        <w:t>Interpretive description: Qualitative research for applied practice</w:t>
      </w:r>
      <w:r w:rsidRPr="00DB17A1">
        <w:rPr>
          <w:rFonts w:ascii="Times New Roman" w:hAnsi="Times New Roman" w:cs="Times New Roman"/>
          <w:shd w:val="clear" w:color="auto" w:fill="FFFFFF"/>
        </w:rPr>
        <w:t>. Routledge.</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Turale, S. (2020). A brief introduction to qualitative description: A research design worth using. </w:t>
      </w:r>
      <w:r w:rsidRPr="00DB17A1">
        <w:rPr>
          <w:rFonts w:ascii="Times New Roman" w:hAnsi="Times New Roman" w:cs="Times New Roman"/>
          <w:i/>
          <w:iCs/>
          <w:shd w:val="clear" w:color="auto" w:fill="FFFFFF"/>
        </w:rPr>
        <w:t>Pacific Rim International Journal of Nursing Research</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24</w:t>
      </w:r>
      <w:r w:rsidRPr="00DB17A1">
        <w:rPr>
          <w:rFonts w:ascii="Times New Roman" w:hAnsi="Times New Roman" w:cs="Times New Roman"/>
          <w:shd w:val="clear" w:color="auto" w:fill="FFFFFF"/>
        </w:rPr>
        <w:t>(3), 289-291.</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Villamin, P., Lopez, V., </w:t>
      </w:r>
      <w:proofErr w:type="spellStart"/>
      <w:r w:rsidRPr="00DB17A1">
        <w:rPr>
          <w:rFonts w:ascii="Times New Roman" w:hAnsi="Times New Roman" w:cs="Times New Roman"/>
          <w:shd w:val="clear" w:color="auto" w:fill="FFFFFF"/>
        </w:rPr>
        <w:t>Thapa</w:t>
      </w:r>
      <w:proofErr w:type="spellEnd"/>
      <w:r w:rsidRPr="00DB17A1">
        <w:rPr>
          <w:rFonts w:ascii="Times New Roman" w:hAnsi="Times New Roman" w:cs="Times New Roman"/>
          <w:shd w:val="clear" w:color="auto" w:fill="FFFFFF"/>
        </w:rPr>
        <w:t>, D. K., &amp; Cleary, M. (2025). A worked example of qualitative descriptive design: A step‐by‐step guide for novice and early career researchers. </w:t>
      </w:r>
      <w:r w:rsidRPr="00DB17A1">
        <w:rPr>
          <w:rFonts w:ascii="Times New Roman" w:hAnsi="Times New Roman" w:cs="Times New Roman"/>
          <w:i/>
          <w:iCs/>
          <w:shd w:val="clear" w:color="auto" w:fill="FFFFFF"/>
        </w:rPr>
        <w:t>Journal of Advanced Nursing</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81</w:t>
      </w:r>
      <w:r w:rsidRPr="00DB17A1">
        <w:rPr>
          <w:rFonts w:ascii="Times New Roman" w:hAnsi="Times New Roman" w:cs="Times New Roman"/>
          <w:shd w:val="clear" w:color="auto" w:fill="FFFFFF"/>
        </w:rPr>
        <w:t>(8), 5181-5195.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 xml:space="preserve">Waddington, H., </w:t>
      </w:r>
      <w:proofErr w:type="spellStart"/>
      <w:r w:rsidRPr="00DB17A1">
        <w:rPr>
          <w:rFonts w:ascii="Times New Roman" w:hAnsi="Times New Roman" w:cs="Times New Roman"/>
          <w:shd w:val="clear" w:color="auto" w:fill="FFFFFF"/>
        </w:rPr>
        <w:t>Sonnenfeld</w:t>
      </w:r>
      <w:proofErr w:type="spellEnd"/>
      <w:r w:rsidRPr="00DB17A1">
        <w:rPr>
          <w:rFonts w:ascii="Times New Roman" w:hAnsi="Times New Roman" w:cs="Times New Roman"/>
          <w:shd w:val="clear" w:color="auto" w:fill="FFFFFF"/>
        </w:rPr>
        <w:t xml:space="preserve">, A., </w:t>
      </w:r>
      <w:proofErr w:type="spellStart"/>
      <w:r w:rsidRPr="00DB17A1">
        <w:rPr>
          <w:rFonts w:ascii="Times New Roman" w:hAnsi="Times New Roman" w:cs="Times New Roman"/>
          <w:shd w:val="clear" w:color="auto" w:fill="FFFFFF"/>
        </w:rPr>
        <w:t>Finetti</w:t>
      </w:r>
      <w:proofErr w:type="spellEnd"/>
      <w:r w:rsidRPr="00DB17A1">
        <w:rPr>
          <w:rFonts w:ascii="Times New Roman" w:hAnsi="Times New Roman" w:cs="Times New Roman"/>
          <w:shd w:val="clear" w:color="auto" w:fill="FFFFFF"/>
        </w:rPr>
        <w:t xml:space="preserve">, J., </w:t>
      </w:r>
      <w:proofErr w:type="spellStart"/>
      <w:r w:rsidRPr="00DB17A1">
        <w:rPr>
          <w:rFonts w:ascii="Times New Roman" w:hAnsi="Times New Roman" w:cs="Times New Roman"/>
          <w:shd w:val="clear" w:color="auto" w:fill="FFFFFF"/>
        </w:rPr>
        <w:t>Gaarder</w:t>
      </w:r>
      <w:proofErr w:type="spellEnd"/>
      <w:r w:rsidRPr="00DB17A1">
        <w:rPr>
          <w:rFonts w:ascii="Times New Roman" w:hAnsi="Times New Roman" w:cs="Times New Roman"/>
          <w:shd w:val="clear" w:color="auto" w:fill="FFFFFF"/>
        </w:rPr>
        <w:t>, M., John, D., &amp; Stevenson, J. (2019). Citizen engagement in public services in low‐and middle‐income countries: A mixed‐methods systematic review of participation, inclusion, transparency and accountability (PITA) initiatives. </w:t>
      </w:r>
      <w:r w:rsidRPr="00DB17A1">
        <w:rPr>
          <w:rFonts w:ascii="Times New Roman" w:hAnsi="Times New Roman" w:cs="Times New Roman"/>
          <w:i/>
          <w:iCs/>
          <w:shd w:val="clear" w:color="auto" w:fill="FFFFFF"/>
        </w:rPr>
        <w:t>Campbell Systematic Reviews</w:t>
      </w:r>
      <w:r w:rsidRPr="00DB17A1">
        <w:rPr>
          <w:rFonts w:ascii="Times New Roman" w:hAnsi="Times New Roman" w:cs="Times New Roman"/>
          <w:shd w:val="clear" w:color="auto" w:fill="FFFFFF"/>
        </w:rPr>
        <w:t>, </w:t>
      </w:r>
      <w:r w:rsidRPr="00DB17A1">
        <w:rPr>
          <w:rFonts w:ascii="Times New Roman" w:hAnsi="Times New Roman" w:cs="Times New Roman"/>
          <w:i/>
          <w:iCs/>
          <w:shd w:val="clear" w:color="auto" w:fill="FFFFFF"/>
        </w:rPr>
        <w:t>15</w:t>
      </w:r>
      <w:r w:rsidRPr="00DB17A1">
        <w:rPr>
          <w:rFonts w:ascii="Times New Roman" w:hAnsi="Times New Roman" w:cs="Times New Roman"/>
          <w:shd w:val="clear" w:color="auto" w:fill="FFFFFF"/>
        </w:rPr>
        <w:t>(1-2), e1025.</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Webler, T. (2026). Legitimacy in Practice: Measuring What Makes Deliberative Public Participation “Good”. In </w:t>
      </w:r>
      <w:r w:rsidRPr="00DB17A1">
        <w:rPr>
          <w:rFonts w:ascii="Times New Roman" w:hAnsi="Times New Roman" w:cs="Times New Roman"/>
          <w:i/>
          <w:iCs/>
          <w:shd w:val="clear" w:color="auto" w:fill="FFFFFF"/>
        </w:rPr>
        <w:t>Fairness and competence in citizen participation: A critical review of formats for deliberative policymaking</w:t>
      </w:r>
      <w:r w:rsidRPr="00DB17A1">
        <w:rPr>
          <w:rFonts w:ascii="Times New Roman" w:hAnsi="Times New Roman" w:cs="Times New Roman"/>
          <w:shd w:val="clear" w:color="auto" w:fill="FFFFFF"/>
        </w:rPr>
        <w:t> (pp. 11-31). Cham: Springer Nature Switzerland.</w:t>
      </w:r>
    </w:p>
    <w:p w:rsidR="006073EC" w:rsidRPr="00DB17A1" w:rsidRDefault="006073EC" w:rsidP="006073EC">
      <w:pPr>
        <w:pStyle w:val="NoSpacing"/>
        <w:ind w:left="720" w:hanging="720"/>
        <w:jc w:val="both"/>
        <w:rPr>
          <w:rFonts w:ascii="Times New Roman" w:hAnsi="Times New Roman" w:cs="Times New Roman"/>
          <w:shd w:val="clear" w:color="auto" w:fill="FFFFFF"/>
        </w:rPr>
      </w:pPr>
      <w:r w:rsidRPr="00DB17A1">
        <w:rPr>
          <w:rFonts w:ascii="Times New Roman" w:hAnsi="Times New Roman" w:cs="Times New Roman"/>
          <w:shd w:val="clear" w:color="auto" w:fill="FFFFFF"/>
        </w:rPr>
        <w:t>World Health Organization. (2022). implementing citizen engagement within evidence-informed policy-making: an overview of purpose and methods.</w:t>
      </w:r>
    </w:p>
    <w:p w:rsidR="00B20CB7" w:rsidRPr="00B20CB7" w:rsidRDefault="00B20CB7" w:rsidP="00437C83">
      <w:pPr>
        <w:pStyle w:val="NormalWeb"/>
        <w:jc w:val="both"/>
        <w:rPr>
          <w:b/>
        </w:rPr>
      </w:pPr>
    </w:p>
    <w:sectPr w:rsidR="00B20CB7" w:rsidRPr="00B20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253FD"/>
    <w:multiLevelType w:val="hybridMultilevel"/>
    <w:tmpl w:val="4546F900"/>
    <w:lvl w:ilvl="0" w:tplc="5DE229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05CB7"/>
    <w:multiLevelType w:val="hybridMultilevel"/>
    <w:tmpl w:val="491062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F9"/>
    <w:rsid w:val="0000158E"/>
    <w:rsid w:val="00005230"/>
    <w:rsid w:val="0006159D"/>
    <w:rsid w:val="000E5F39"/>
    <w:rsid w:val="00142B1F"/>
    <w:rsid w:val="001A4980"/>
    <w:rsid w:val="001C20B1"/>
    <w:rsid w:val="001D7692"/>
    <w:rsid w:val="0023535F"/>
    <w:rsid w:val="00267DD9"/>
    <w:rsid w:val="002D6927"/>
    <w:rsid w:val="00335E1D"/>
    <w:rsid w:val="003666D3"/>
    <w:rsid w:val="003B5107"/>
    <w:rsid w:val="003E0ED9"/>
    <w:rsid w:val="003E7AEC"/>
    <w:rsid w:val="00437C83"/>
    <w:rsid w:val="00474003"/>
    <w:rsid w:val="0052209F"/>
    <w:rsid w:val="005A608E"/>
    <w:rsid w:val="006073EC"/>
    <w:rsid w:val="006218DD"/>
    <w:rsid w:val="006233D4"/>
    <w:rsid w:val="006275BE"/>
    <w:rsid w:val="00722996"/>
    <w:rsid w:val="007346C5"/>
    <w:rsid w:val="00745731"/>
    <w:rsid w:val="007A0E60"/>
    <w:rsid w:val="007C5F44"/>
    <w:rsid w:val="0081790E"/>
    <w:rsid w:val="00846E15"/>
    <w:rsid w:val="0088509F"/>
    <w:rsid w:val="008969D7"/>
    <w:rsid w:val="008F283A"/>
    <w:rsid w:val="009269DD"/>
    <w:rsid w:val="009324FE"/>
    <w:rsid w:val="009E5810"/>
    <w:rsid w:val="00A10A13"/>
    <w:rsid w:val="00B20CB7"/>
    <w:rsid w:val="00BD321F"/>
    <w:rsid w:val="00C42D64"/>
    <w:rsid w:val="00C87C73"/>
    <w:rsid w:val="00CD1973"/>
    <w:rsid w:val="00CD5554"/>
    <w:rsid w:val="00DD467E"/>
    <w:rsid w:val="00DE4CA0"/>
    <w:rsid w:val="00E14FF9"/>
    <w:rsid w:val="00E64F73"/>
    <w:rsid w:val="00E84973"/>
    <w:rsid w:val="00EE2440"/>
    <w:rsid w:val="00F1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87BD"/>
  <w15:chartTrackingRefBased/>
  <w15:docId w15:val="{43318776-2564-412A-BD0C-F7F9DE00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A4980"/>
    <w:rPr>
      <w:i/>
      <w:iCs/>
    </w:rPr>
  </w:style>
  <w:style w:type="paragraph" w:styleId="NormalWeb">
    <w:name w:val="Normal (Web)"/>
    <w:basedOn w:val="Normal"/>
    <w:uiPriority w:val="99"/>
    <w:unhideWhenUsed/>
    <w:rsid w:val="001A4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980"/>
    <w:rPr>
      <w:b/>
      <w:bCs/>
    </w:rPr>
  </w:style>
  <w:style w:type="paragraph" w:styleId="NoSpacing">
    <w:name w:val="No Spacing"/>
    <w:uiPriority w:val="1"/>
    <w:qFormat/>
    <w:rsid w:val="001A4980"/>
    <w:pPr>
      <w:spacing w:after="0" w:line="240" w:lineRule="auto"/>
    </w:pPr>
  </w:style>
  <w:style w:type="character" w:styleId="Hyperlink">
    <w:name w:val="Hyperlink"/>
    <w:basedOn w:val="DefaultParagraphFont"/>
    <w:uiPriority w:val="99"/>
    <w:unhideWhenUsed/>
    <w:rsid w:val="00C87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311">
      <w:bodyDiv w:val="1"/>
      <w:marLeft w:val="0"/>
      <w:marRight w:val="0"/>
      <w:marTop w:val="0"/>
      <w:marBottom w:val="0"/>
      <w:divBdr>
        <w:top w:val="none" w:sz="0" w:space="0" w:color="auto"/>
        <w:left w:val="none" w:sz="0" w:space="0" w:color="auto"/>
        <w:bottom w:val="none" w:sz="0" w:space="0" w:color="auto"/>
        <w:right w:val="none" w:sz="0" w:space="0" w:color="auto"/>
      </w:divBdr>
    </w:div>
    <w:div w:id="133760173">
      <w:bodyDiv w:val="1"/>
      <w:marLeft w:val="0"/>
      <w:marRight w:val="0"/>
      <w:marTop w:val="0"/>
      <w:marBottom w:val="0"/>
      <w:divBdr>
        <w:top w:val="none" w:sz="0" w:space="0" w:color="auto"/>
        <w:left w:val="none" w:sz="0" w:space="0" w:color="auto"/>
        <w:bottom w:val="none" w:sz="0" w:space="0" w:color="auto"/>
        <w:right w:val="none" w:sz="0" w:space="0" w:color="auto"/>
      </w:divBdr>
      <w:divsChild>
        <w:div w:id="20518970">
          <w:marLeft w:val="0"/>
          <w:marRight w:val="0"/>
          <w:marTop w:val="0"/>
          <w:marBottom w:val="0"/>
          <w:divBdr>
            <w:top w:val="none" w:sz="0" w:space="0" w:color="auto"/>
            <w:left w:val="none" w:sz="0" w:space="0" w:color="auto"/>
            <w:bottom w:val="none" w:sz="0" w:space="0" w:color="auto"/>
            <w:right w:val="none" w:sz="0" w:space="0" w:color="auto"/>
          </w:divBdr>
          <w:divsChild>
            <w:div w:id="832064427">
              <w:marLeft w:val="0"/>
              <w:marRight w:val="0"/>
              <w:marTop w:val="0"/>
              <w:marBottom w:val="0"/>
              <w:divBdr>
                <w:top w:val="none" w:sz="0" w:space="0" w:color="auto"/>
                <w:left w:val="none" w:sz="0" w:space="0" w:color="auto"/>
                <w:bottom w:val="none" w:sz="0" w:space="0" w:color="auto"/>
                <w:right w:val="none" w:sz="0" w:space="0" w:color="auto"/>
              </w:divBdr>
              <w:divsChild>
                <w:div w:id="765341624">
                  <w:marLeft w:val="0"/>
                  <w:marRight w:val="0"/>
                  <w:marTop w:val="0"/>
                  <w:marBottom w:val="0"/>
                  <w:divBdr>
                    <w:top w:val="none" w:sz="0" w:space="0" w:color="auto"/>
                    <w:left w:val="none" w:sz="0" w:space="0" w:color="auto"/>
                    <w:bottom w:val="none" w:sz="0" w:space="0" w:color="auto"/>
                    <w:right w:val="none" w:sz="0" w:space="0" w:color="auto"/>
                  </w:divBdr>
                  <w:divsChild>
                    <w:div w:id="1848667779">
                      <w:marLeft w:val="0"/>
                      <w:marRight w:val="0"/>
                      <w:marTop w:val="0"/>
                      <w:marBottom w:val="0"/>
                      <w:divBdr>
                        <w:top w:val="none" w:sz="0" w:space="0" w:color="auto"/>
                        <w:left w:val="none" w:sz="0" w:space="0" w:color="auto"/>
                        <w:bottom w:val="none" w:sz="0" w:space="0" w:color="auto"/>
                        <w:right w:val="none" w:sz="0" w:space="0" w:color="auto"/>
                      </w:divBdr>
                      <w:divsChild>
                        <w:div w:id="408623392">
                          <w:marLeft w:val="0"/>
                          <w:marRight w:val="0"/>
                          <w:marTop w:val="0"/>
                          <w:marBottom w:val="0"/>
                          <w:divBdr>
                            <w:top w:val="none" w:sz="0" w:space="0" w:color="auto"/>
                            <w:left w:val="none" w:sz="0" w:space="0" w:color="auto"/>
                            <w:bottom w:val="none" w:sz="0" w:space="0" w:color="auto"/>
                            <w:right w:val="none" w:sz="0" w:space="0" w:color="auto"/>
                          </w:divBdr>
                          <w:divsChild>
                            <w:div w:id="1566602732">
                              <w:marLeft w:val="0"/>
                              <w:marRight w:val="0"/>
                              <w:marTop w:val="0"/>
                              <w:marBottom w:val="0"/>
                              <w:divBdr>
                                <w:top w:val="none" w:sz="0" w:space="0" w:color="auto"/>
                                <w:left w:val="none" w:sz="0" w:space="0" w:color="auto"/>
                                <w:bottom w:val="none" w:sz="0" w:space="0" w:color="auto"/>
                                <w:right w:val="none" w:sz="0" w:space="0" w:color="auto"/>
                              </w:divBdr>
                              <w:divsChild>
                                <w:div w:id="19025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1995">
      <w:bodyDiv w:val="1"/>
      <w:marLeft w:val="0"/>
      <w:marRight w:val="0"/>
      <w:marTop w:val="0"/>
      <w:marBottom w:val="0"/>
      <w:divBdr>
        <w:top w:val="none" w:sz="0" w:space="0" w:color="auto"/>
        <w:left w:val="none" w:sz="0" w:space="0" w:color="auto"/>
        <w:bottom w:val="none" w:sz="0" w:space="0" w:color="auto"/>
        <w:right w:val="none" w:sz="0" w:space="0" w:color="auto"/>
      </w:divBdr>
    </w:div>
    <w:div w:id="167453080">
      <w:bodyDiv w:val="1"/>
      <w:marLeft w:val="0"/>
      <w:marRight w:val="0"/>
      <w:marTop w:val="0"/>
      <w:marBottom w:val="0"/>
      <w:divBdr>
        <w:top w:val="none" w:sz="0" w:space="0" w:color="auto"/>
        <w:left w:val="none" w:sz="0" w:space="0" w:color="auto"/>
        <w:bottom w:val="none" w:sz="0" w:space="0" w:color="auto"/>
        <w:right w:val="none" w:sz="0" w:space="0" w:color="auto"/>
      </w:divBdr>
    </w:div>
    <w:div w:id="173691684">
      <w:bodyDiv w:val="1"/>
      <w:marLeft w:val="0"/>
      <w:marRight w:val="0"/>
      <w:marTop w:val="0"/>
      <w:marBottom w:val="0"/>
      <w:divBdr>
        <w:top w:val="none" w:sz="0" w:space="0" w:color="auto"/>
        <w:left w:val="none" w:sz="0" w:space="0" w:color="auto"/>
        <w:bottom w:val="none" w:sz="0" w:space="0" w:color="auto"/>
        <w:right w:val="none" w:sz="0" w:space="0" w:color="auto"/>
      </w:divBdr>
    </w:div>
    <w:div w:id="316888278">
      <w:bodyDiv w:val="1"/>
      <w:marLeft w:val="0"/>
      <w:marRight w:val="0"/>
      <w:marTop w:val="0"/>
      <w:marBottom w:val="0"/>
      <w:divBdr>
        <w:top w:val="none" w:sz="0" w:space="0" w:color="auto"/>
        <w:left w:val="none" w:sz="0" w:space="0" w:color="auto"/>
        <w:bottom w:val="none" w:sz="0" w:space="0" w:color="auto"/>
        <w:right w:val="none" w:sz="0" w:space="0" w:color="auto"/>
      </w:divBdr>
      <w:divsChild>
        <w:div w:id="1426151722">
          <w:marLeft w:val="0"/>
          <w:marRight w:val="0"/>
          <w:marTop w:val="0"/>
          <w:marBottom w:val="0"/>
          <w:divBdr>
            <w:top w:val="none" w:sz="0" w:space="0" w:color="auto"/>
            <w:left w:val="none" w:sz="0" w:space="0" w:color="auto"/>
            <w:bottom w:val="none" w:sz="0" w:space="0" w:color="auto"/>
            <w:right w:val="none" w:sz="0" w:space="0" w:color="auto"/>
          </w:divBdr>
          <w:divsChild>
            <w:div w:id="847332369">
              <w:marLeft w:val="0"/>
              <w:marRight w:val="0"/>
              <w:marTop w:val="0"/>
              <w:marBottom w:val="0"/>
              <w:divBdr>
                <w:top w:val="none" w:sz="0" w:space="0" w:color="auto"/>
                <w:left w:val="none" w:sz="0" w:space="0" w:color="auto"/>
                <w:bottom w:val="none" w:sz="0" w:space="0" w:color="auto"/>
                <w:right w:val="none" w:sz="0" w:space="0" w:color="auto"/>
              </w:divBdr>
              <w:divsChild>
                <w:div w:id="864364468">
                  <w:marLeft w:val="0"/>
                  <w:marRight w:val="0"/>
                  <w:marTop w:val="0"/>
                  <w:marBottom w:val="0"/>
                  <w:divBdr>
                    <w:top w:val="none" w:sz="0" w:space="0" w:color="auto"/>
                    <w:left w:val="none" w:sz="0" w:space="0" w:color="auto"/>
                    <w:bottom w:val="none" w:sz="0" w:space="0" w:color="auto"/>
                    <w:right w:val="none" w:sz="0" w:space="0" w:color="auto"/>
                  </w:divBdr>
                  <w:divsChild>
                    <w:div w:id="1396704828">
                      <w:marLeft w:val="0"/>
                      <w:marRight w:val="0"/>
                      <w:marTop w:val="0"/>
                      <w:marBottom w:val="0"/>
                      <w:divBdr>
                        <w:top w:val="none" w:sz="0" w:space="0" w:color="auto"/>
                        <w:left w:val="none" w:sz="0" w:space="0" w:color="auto"/>
                        <w:bottom w:val="none" w:sz="0" w:space="0" w:color="auto"/>
                        <w:right w:val="none" w:sz="0" w:space="0" w:color="auto"/>
                      </w:divBdr>
                      <w:divsChild>
                        <w:div w:id="1648362652">
                          <w:marLeft w:val="0"/>
                          <w:marRight w:val="0"/>
                          <w:marTop w:val="0"/>
                          <w:marBottom w:val="0"/>
                          <w:divBdr>
                            <w:top w:val="none" w:sz="0" w:space="0" w:color="auto"/>
                            <w:left w:val="none" w:sz="0" w:space="0" w:color="auto"/>
                            <w:bottom w:val="none" w:sz="0" w:space="0" w:color="auto"/>
                            <w:right w:val="none" w:sz="0" w:space="0" w:color="auto"/>
                          </w:divBdr>
                          <w:divsChild>
                            <w:div w:id="1585409901">
                              <w:marLeft w:val="0"/>
                              <w:marRight w:val="0"/>
                              <w:marTop w:val="0"/>
                              <w:marBottom w:val="0"/>
                              <w:divBdr>
                                <w:top w:val="none" w:sz="0" w:space="0" w:color="auto"/>
                                <w:left w:val="none" w:sz="0" w:space="0" w:color="auto"/>
                                <w:bottom w:val="none" w:sz="0" w:space="0" w:color="auto"/>
                                <w:right w:val="none" w:sz="0" w:space="0" w:color="auto"/>
                              </w:divBdr>
                              <w:divsChild>
                                <w:div w:id="1381829902">
                                  <w:marLeft w:val="0"/>
                                  <w:marRight w:val="0"/>
                                  <w:marTop w:val="0"/>
                                  <w:marBottom w:val="0"/>
                                  <w:divBdr>
                                    <w:top w:val="none" w:sz="0" w:space="0" w:color="auto"/>
                                    <w:left w:val="none" w:sz="0" w:space="0" w:color="auto"/>
                                    <w:bottom w:val="none" w:sz="0" w:space="0" w:color="auto"/>
                                    <w:right w:val="none" w:sz="0" w:space="0" w:color="auto"/>
                                  </w:divBdr>
                                  <w:divsChild>
                                    <w:div w:id="961763343">
                                      <w:marLeft w:val="0"/>
                                      <w:marRight w:val="0"/>
                                      <w:marTop w:val="0"/>
                                      <w:marBottom w:val="0"/>
                                      <w:divBdr>
                                        <w:top w:val="none" w:sz="0" w:space="0" w:color="auto"/>
                                        <w:left w:val="none" w:sz="0" w:space="0" w:color="auto"/>
                                        <w:bottom w:val="none" w:sz="0" w:space="0" w:color="auto"/>
                                        <w:right w:val="none" w:sz="0" w:space="0" w:color="auto"/>
                                      </w:divBdr>
                                      <w:divsChild>
                                        <w:div w:id="434399231">
                                          <w:marLeft w:val="0"/>
                                          <w:marRight w:val="0"/>
                                          <w:marTop w:val="0"/>
                                          <w:marBottom w:val="0"/>
                                          <w:divBdr>
                                            <w:top w:val="none" w:sz="0" w:space="0" w:color="auto"/>
                                            <w:left w:val="none" w:sz="0" w:space="0" w:color="auto"/>
                                            <w:bottom w:val="none" w:sz="0" w:space="0" w:color="auto"/>
                                            <w:right w:val="none" w:sz="0" w:space="0" w:color="auto"/>
                                          </w:divBdr>
                                          <w:divsChild>
                                            <w:div w:id="10729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238435">
          <w:marLeft w:val="0"/>
          <w:marRight w:val="0"/>
          <w:marTop w:val="0"/>
          <w:marBottom w:val="0"/>
          <w:divBdr>
            <w:top w:val="none" w:sz="0" w:space="0" w:color="auto"/>
            <w:left w:val="none" w:sz="0" w:space="0" w:color="auto"/>
            <w:bottom w:val="none" w:sz="0" w:space="0" w:color="auto"/>
            <w:right w:val="none" w:sz="0" w:space="0" w:color="auto"/>
          </w:divBdr>
          <w:divsChild>
            <w:div w:id="1532373290">
              <w:marLeft w:val="0"/>
              <w:marRight w:val="0"/>
              <w:marTop w:val="0"/>
              <w:marBottom w:val="0"/>
              <w:divBdr>
                <w:top w:val="none" w:sz="0" w:space="0" w:color="auto"/>
                <w:left w:val="none" w:sz="0" w:space="0" w:color="auto"/>
                <w:bottom w:val="none" w:sz="0" w:space="0" w:color="auto"/>
                <w:right w:val="none" w:sz="0" w:space="0" w:color="auto"/>
              </w:divBdr>
              <w:divsChild>
                <w:div w:id="1647930111">
                  <w:marLeft w:val="0"/>
                  <w:marRight w:val="0"/>
                  <w:marTop w:val="0"/>
                  <w:marBottom w:val="0"/>
                  <w:divBdr>
                    <w:top w:val="none" w:sz="0" w:space="0" w:color="auto"/>
                    <w:left w:val="none" w:sz="0" w:space="0" w:color="auto"/>
                    <w:bottom w:val="none" w:sz="0" w:space="0" w:color="auto"/>
                    <w:right w:val="none" w:sz="0" w:space="0" w:color="auto"/>
                  </w:divBdr>
                  <w:divsChild>
                    <w:div w:id="514226444">
                      <w:marLeft w:val="0"/>
                      <w:marRight w:val="0"/>
                      <w:marTop w:val="0"/>
                      <w:marBottom w:val="0"/>
                      <w:divBdr>
                        <w:top w:val="none" w:sz="0" w:space="0" w:color="auto"/>
                        <w:left w:val="none" w:sz="0" w:space="0" w:color="auto"/>
                        <w:bottom w:val="none" w:sz="0" w:space="0" w:color="auto"/>
                        <w:right w:val="none" w:sz="0" w:space="0" w:color="auto"/>
                      </w:divBdr>
                      <w:divsChild>
                        <w:div w:id="27073675">
                          <w:marLeft w:val="0"/>
                          <w:marRight w:val="0"/>
                          <w:marTop w:val="0"/>
                          <w:marBottom w:val="0"/>
                          <w:divBdr>
                            <w:top w:val="none" w:sz="0" w:space="0" w:color="auto"/>
                            <w:left w:val="none" w:sz="0" w:space="0" w:color="auto"/>
                            <w:bottom w:val="none" w:sz="0" w:space="0" w:color="auto"/>
                            <w:right w:val="none" w:sz="0" w:space="0" w:color="auto"/>
                          </w:divBdr>
                          <w:divsChild>
                            <w:div w:id="1963264327">
                              <w:marLeft w:val="0"/>
                              <w:marRight w:val="0"/>
                              <w:marTop w:val="0"/>
                              <w:marBottom w:val="0"/>
                              <w:divBdr>
                                <w:top w:val="none" w:sz="0" w:space="0" w:color="auto"/>
                                <w:left w:val="none" w:sz="0" w:space="0" w:color="auto"/>
                                <w:bottom w:val="none" w:sz="0" w:space="0" w:color="auto"/>
                                <w:right w:val="none" w:sz="0" w:space="0" w:color="auto"/>
                              </w:divBdr>
                              <w:divsChild>
                                <w:div w:id="308749871">
                                  <w:marLeft w:val="0"/>
                                  <w:marRight w:val="0"/>
                                  <w:marTop w:val="0"/>
                                  <w:marBottom w:val="0"/>
                                  <w:divBdr>
                                    <w:top w:val="none" w:sz="0" w:space="0" w:color="auto"/>
                                    <w:left w:val="none" w:sz="0" w:space="0" w:color="auto"/>
                                    <w:bottom w:val="none" w:sz="0" w:space="0" w:color="auto"/>
                                    <w:right w:val="none" w:sz="0" w:space="0" w:color="auto"/>
                                  </w:divBdr>
                                  <w:divsChild>
                                    <w:div w:id="10176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947932">
      <w:bodyDiv w:val="1"/>
      <w:marLeft w:val="0"/>
      <w:marRight w:val="0"/>
      <w:marTop w:val="0"/>
      <w:marBottom w:val="0"/>
      <w:divBdr>
        <w:top w:val="none" w:sz="0" w:space="0" w:color="auto"/>
        <w:left w:val="none" w:sz="0" w:space="0" w:color="auto"/>
        <w:bottom w:val="none" w:sz="0" w:space="0" w:color="auto"/>
        <w:right w:val="none" w:sz="0" w:space="0" w:color="auto"/>
      </w:divBdr>
    </w:div>
    <w:div w:id="408043574">
      <w:bodyDiv w:val="1"/>
      <w:marLeft w:val="0"/>
      <w:marRight w:val="0"/>
      <w:marTop w:val="0"/>
      <w:marBottom w:val="0"/>
      <w:divBdr>
        <w:top w:val="none" w:sz="0" w:space="0" w:color="auto"/>
        <w:left w:val="none" w:sz="0" w:space="0" w:color="auto"/>
        <w:bottom w:val="none" w:sz="0" w:space="0" w:color="auto"/>
        <w:right w:val="none" w:sz="0" w:space="0" w:color="auto"/>
      </w:divBdr>
    </w:div>
    <w:div w:id="431367223">
      <w:bodyDiv w:val="1"/>
      <w:marLeft w:val="0"/>
      <w:marRight w:val="0"/>
      <w:marTop w:val="0"/>
      <w:marBottom w:val="0"/>
      <w:divBdr>
        <w:top w:val="none" w:sz="0" w:space="0" w:color="auto"/>
        <w:left w:val="none" w:sz="0" w:space="0" w:color="auto"/>
        <w:bottom w:val="none" w:sz="0" w:space="0" w:color="auto"/>
        <w:right w:val="none" w:sz="0" w:space="0" w:color="auto"/>
      </w:divBdr>
    </w:div>
    <w:div w:id="485318200">
      <w:bodyDiv w:val="1"/>
      <w:marLeft w:val="0"/>
      <w:marRight w:val="0"/>
      <w:marTop w:val="0"/>
      <w:marBottom w:val="0"/>
      <w:divBdr>
        <w:top w:val="none" w:sz="0" w:space="0" w:color="auto"/>
        <w:left w:val="none" w:sz="0" w:space="0" w:color="auto"/>
        <w:bottom w:val="none" w:sz="0" w:space="0" w:color="auto"/>
        <w:right w:val="none" w:sz="0" w:space="0" w:color="auto"/>
      </w:divBdr>
      <w:divsChild>
        <w:div w:id="618145412">
          <w:marLeft w:val="0"/>
          <w:marRight w:val="0"/>
          <w:marTop w:val="0"/>
          <w:marBottom w:val="0"/>
          <w:divBdr>
            <w:top w:val="none" w:sz="0" w:space="0" w:color="auto"/>
            <w:left w:val="none" w:sz="0" w:space="0" w:color="auto"/>
            <w:bottom w:val="none" w:sz="0" w:space="0" w:color="auto"/>
            <w:right w:val="none" w:sz="0" w:space="0" w:color="auto"/>
          </w:divBdr>
          <w:divsChild>
            <w:div w:id="1896427628">
              <w:marLeft w:val="0"/>
              <w:marRight w:val="0"/>
              <w:marTop w:val="0"/>
              <w:marBottom w:val="0"/>
              <w:divBdr>
                <w:top w:val="none" w:sz="0" w:space="0" w:color="auto"/>
                <w:left w:val="none" w:sz="0" w:space="0" w:color="auto"/>
                <w:bottom w:val="none" w:sz="0" w:space="0" w:color="auto"/>
                <w:right w:val="none" w:sz="0" w:space="0" w:color="auto"/>
              </w:divBdr>
              <w:divsChild>
                <w:div w:id="2096897199">
                  <w:marLeft w:val="0"/>
                  <w:marRight w:val="0"/>
                  <w:marTop w:val="0"/>
                  <w:marBottom w:val="0"/>
                  <w:divBdr>
                    <w:top w:val="none" w:sz="0" w:space="0" w:color="auto"/>
                    <w:left w:val="none" w:sz="0" w:space="0" w:color="auto"/>
                    <w:bottom w:val="none" w:sz="0" w:space="0" w:color="auto"/>
                    <w:right w:val="none" w:sz="0" w:space="0" w:color="auto"/>
                  </w:divBdr>
                  <w:divsChild>
                    <w:div w:id="2033649167">
                      <w:marLeft w:val="0"/>
                      <w:marRight w:val="0"/>
                      <w:marTop w:val="0"/>
                      <w:marBottom w:val="0"/>
                      <w:divBdr>
                        <w:top w:val="none" w:sz="0" w:space="0" w:color="auto"/>
                        <w:left w:val="none" w:sz="0" w:space="0" w:color="auto"/>
                        <w:bottom w:val="none" w:sz="0" w:space="0" w:color="auto"/>
                        <w:right w:val="none" w:sz="0" w:space="0" w:color="auto"/>
                      </w:divBdr>
                      <w:divsChild>
                        <w:div w:id="1130055047">
                          <w:marLeft w:val="0"/>
                          <w:marRight w:val="0"/>
                          <w:marTop w:val="0"/>
                          <w:marBottom w:val="0"/>
                          <w:divBdr>
                            <w:top w:val="none" w:sz="0" w:space="0" w:color="auto"/>
                            <w:left w:val="none" w:sz="0" w:space="0" w:color="auto"/>
                            <w:bottom w:val="none" w:sz="0" w:space="0" w:color="auto"/>
                            <w:right w:val="none" w:sz="0" w:space="0" w:color="auto"/>
                          </w:divBdr>
                          <w:divsChild>
                            <w:div w:id="896745058">
                              <w:marLeft w:val="0"/>
                              <w:marRight w:val="0"/>
                              <w:marTop w:val="0"/>
                              <w:marBottom w:val="0"/>
                              <w:divBdr>
                                <w:top w:val="none" w:sz="0" w:space="0" w:color="auto"/>
                                <w:left w:val="none" w:sz="0" w:space="0" w:color="auto"/>
                                <w:bottom w:val="none" w:sz="0" w:space="0" w:color="auto"/>
                                <w:right w:val="none" w:sz="0" w:space="0" w:color="auto"/>
                              </w:divBdr>
                              <w:divsChild>
                                <w:div w:id="1943874774">
                                  <w:marLeft w:val="0"/>
                                  <w:marRight w:val="0"/>
                                  <w:marTop w:val="0"/>
                                  <w:marBottom w:val="0"/>
                                  <w:divBdr>
                                    <w:top w:val="none" w:sz="0" w:space="0" w:color="auto"/>
                                    <w:left w:val="none" w:sz="0" w:space="0" w:color="auto"/>
                                    <w:bottom w:val="none" w:sz="0" w:space="0" w:color="auto"/>
                                    <w:right w:val="none" w:sz="0" w:space="0" w:color="auto"/>
                                  </w:divBdr>
                                  <w:divsChild>
                                    <w:div w:id="61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70144">
      <w:bodyDiv w:val="1"/>
      <w:marLeft w:val="0"/>
      <w:marRight w:val="0"/>
      <w:marTop w:val="0"/>
      <w:marBottom w:val="0"/>
      <w:divBdr>
        <w:top w:val="none" w:sz="0" w:space="0" w:color="auto"/>
        <w:left w:val="none" w:sz="0" w:space="0" w:color="auto"/>
        <w:bottom w:val="none" w:sz="0" w:space="0" w:color="auto"/>
        <w:right w:val="none" w:sz="0" w:space="0" w:color="auto"/>
      </w:divBdr>
    </w:div>
    <w:div w:id="581984570">
      <w:bodyDiv w:val="1"/>
      <w:marLeft w:val="0"/>
      <w:marRight w:val="0"/>
      <w:marTop w:val="0"/>
      <w:marBottom w:val="0"/>
      <w:divBdr>
        <w:top w:val="none" w:sz="0" w:space="0" w:color="auto"/>
        <w:left w:val="none" w:sz="0" w:space="0" w:color="auto"/>
        <w:bottom w:val="none" w:sz="0" w:space="0" w:color="auto"/>
        <w:right w:val="none" w:sz="0" w:space="0" w:color="auto"/>
      </w:divBdr>
    </w:div>
    <w:div w:id="587158791">
      <w:bodyDiv w:val="1"/>
      <w:marLeft w:val="0"/>
      <w:marRight w:val="0"/>
      <w:marTop w:val="0"/>
      <w:marBottom w:val="0"/>
      <w:divBdr>
        <w:top w:val="none" w:sz="0" w:space="0" w:color="auto"/>
        <w:left w:val="none" w:sz="0" w:space="0" w:color="auto"/>
        <w:bottom w:val="none" w:sz="0" w:space="0" w:color="auto"/>
        <w:right w:val="none" w:sz="0" w:space="0" w:color="auto"/>
      </w:divBdr>
    </w:div>
    <w:div w:id="606232132">
      <w:bodyDiv w:val="1"/>
      <w:marLeft w:val="0"/>
      <w:marRight w:val="0"/>
      <w:marTop w:val="0"/>
      <w:marBottom w:val="0"/>
      <w:divBdr>
        <w:top w:val="none" w:sz="0" w:space="0" w:color="auto"/>
        <w:left w:val="none" w:sz="0" w:space="0" w:color="auto"/>
        <w:bottom w:val="none" w:sz="0" w:space="0" w:color="auto"/>
        <w:right w:val="none" w:sz="0" w:space="0" w:color="auto"/>
      </w:divBdr>
    </w:div>
    <w:div w:id="641541097">
      <w:bodyDiv w:val="1"/>
      <w:marLeft w:val="0"/>
      <w:marRight w:val="0"/>
      <w:marTop w:val="0"/>
      <w:marBottom w:val="0"/>
      <w:divBdr>
        <w:top w:val="none" w:sz="0" w:space="0" w:color="auto"/>
        <w:left w:val="none" w:sz="0" w:space="0" w:color="auto"/>
        <w:bottom w:val="none" w:sz="0" w:space="0" w:color="auto"/>
        <w:right w:val="none" w:sz="0" w:space="0" w:color="auto"/>
      </w:divBdr>
    </w:div>
    <w:div w:id="664746795">
      <w:bodyDiv w:val="1"/>
      <w:marLeft w:val="0"/>
      <w:marRight w:val="0"/>
      <w:marTop w:val="0"/>
      <w:marBottom w:val="0"/>
      <w:divBdr>
        <w:top w:val="none" w:sz="0" w:space="0" w:color="auto"/>
        <w:left w:val="none" w:sz="0" w:space="0" w:color="auto"/>
        <w:bottom w:val="none" w:sz="0" w:space="0" w:color="auto"/>
        <w:right w:val="none" w:sz="0" w:space="0" w:color="auto"/>
      </w:divBdr>
    </w:div>
    <w:div w:id="666984414">
      <w:bodyDiv w:val="1"/>
      <w:marLeft w:val="0"/>
      <w:marRight w:val="0"/>
      <w:marTop w:val="0"/>
      <w:marBottom w:val="0"/>
      <w:divBdr>
        <w:top w:val="none" w:sz="0" w:space="0" w:color="auto"/>
        <w:left w:val="none" w:sz="0" w:space="0" w:color="auto"/>
        <w:bottom w:val="none" w:sz="0" w:space="0" w:color="auto"/>
        <w:right w:val="none" w:sz="0" w:space="0" w:color="auto"/>
      </w:divBdr>
    </w:div>
    <w:div w:id="725643344">
      <w:bodyDiv w:val="1"/>
      <w:marLeft w:val="0"/>
      <w:marRight w:val="0"/>
      <w:marTop w:val="0"/>
      <w:marBottom w:val="0"/>
      <w:divBdr>
        <w:top w:val="none" w:sz="0" w:space="0" w:color="auto"/>
        <w:left w:val="none" w:sz="0" w:space="0" w:color="auto"/>
        <w:bottom w:val="none" w:sz="0" w:space="0" w:color="auto"/>
        <w:right w:val="none" w:sz="0" w:space="0" w:color="auto"/>
      </w:divBdr>
      <w:divsChild>
        <w:div w:id="21929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846916">
      <w:bodyDiv w:val="1"/>
      <w:marLeft w:val="0"/>
      <w:marRight w:val="0"/>
      <w:marTop w:val="0"/>
      <w:marBottom w:val="0"/>
      <w:divBdr>
        <w:top w:val="none" w:sz="0" w:space="0" w:color="auto"/>
        <w:left w:val="none" w:sz="0" w:space="0" w:color="auto"/>
        <w:bottom w:val="none" w:sz="0" w:space="0" w:color="auto"/>
        <w:right w:val="none" w:sz="0" w:space="0" w:color="auto"/>
      </w:divBdr>
    </w:div>
    <w:div w:id="810825592">
      <w:bodyDiv w:val="1"/>
      <w:marLeft w:val="0"/>
      <w:marRight w:val="0"/>
      <w:marTop w:val="0"/>
      <w:marBottom w:val="0"/>
      <w:divBdr>
        <w:top w:val="none" w:sz="0" w:space="0" w:color="auto"/>
        <w:left w:val="none" w:sz="0" w:space="0" w:color="auto"/>
        <w:bottom w:val="none" w:sz="0" w:space="0" w:color="auto"/>
        <w:right w:val="none" w:sz="0" w:space="0" w:color="auto"/>
      </w:divBdr>
    </w:div>
    <w:div w:id="855538343">
      <w:bodyDiv w:val="1"/>
      <w:marLeft w:val="0"/>
      <w:marRight w:val="0"/>
      <w:marTop w:val="0"/>
      <w:marBottom w:val="0"/>
      <w:divBdr>
        <w:top w:val="none" w:sz="0" w:space="0" w:color="auto"/>
        <w:left w:val="none" w:sz="0" w:space="0" w:color="auto"/>
        <w:bottom w:val="none" w:sz="0" w:space="0" w:color="auto"/>
        <w:right w:val="none" w:sz="0" w:space="0" w:color="auto"/>
      </w:divBdr>
    </w:div>
    <w:div w:id="894270471">
      <w:bodyDiv w:val="1"/>
      <w:marLeft w:val="0"/>
      <w:marRight w:val="0"/>
      <w:marTop w:val="0"/>
      <w:marBottom w:val="0"/>
      <w:divBdr>
        <w:top w:val="none" w:sz="0" w:space="0" w:color="auto"/>
        <w:left w:val="none" w:sz="0" w:space="0" w:color="auto"/>
        <w:bottom w:val="none" w:sz="0" w:space="0" w:color="auto"/>
        <w:right w:val="none" w:sz="0" w:space="0" w:color="auto"/>
      </w:divBdr>
    </w:div>
    <w:div w:id="951715857">
      <w:bodyDiv w:val="1"/>
      <w:marLeft w:val="0"/>
      <w:marRight w:val="0"/>
      <w:marTop w:val="0"/>
      <w:marBottom w:val="0"/>
      <w:divBdr>
        <w:top w:val="none" w:sz="0" w:space="0" w:color="auto"/>
        <w:left w:val="none" w:sz="0" w:space="0" w:color="auto"/>
        <w:bottom w:val="none" w:sz="0" w:space="0" w:color="auto"/>
        <w:right w:val="none" w:sz="0" w:space="0" w:color="auto"/>
      </w:divBdr>
    </w:div>
    <w:div w:id="1019938239">
      <w:bodyDiv w:val="1"/>
      <w:marLeft w:val="0"/>
      <w:marRight w:val="0"/>
      <w:marTop w:val="0"/>
      <w:marBottom w:val="0"/>
      <w:divBdr>
        <w:top w:val="none" w:sz="0" w:space="0" w:color="auto"/>
        <w:left w:val="none" w:sz="0" w:space="0" w:color="auto"/>
        <w:bottom w:val="none" w:sz="0" w:space="0" w:color="auto"/>
        <w:right w:val="none" w:sz="0" w:space="0" w:color="auto"/>
      </w:divBdr>
    </w:div>
    <w:div w:id="1206260715">
      <w:bodyDiv w:val="1"/>
      <w:marLeft w:val="0"/>
      <w:marRight w:val="0"/>
      <w:marTop w:val="0"/>
      <w:marBottom w:val="0"/>
      <w:divBdr>
        <w:top w:val="none" w:sz="0" w:space="0" w:color="auto"/>
        <w:left w:val="none" w:sz="0" w:space="0" w:color="auto"/>
        <w:bottom w:val="none" w:sz="0" w:space="0" w:color="auto"/>
        <w:right w:val="none" w:sz="0" w:space="0" w:color="auto"/>
      </w:divBdr>
    </w:div>
    <w:div w:id="1209302326">
      <w:bodyDiv w:val="1"/>
      <w:marLeft w:val="0"/>
      <w:marRight w:val="0"/>
      <w:marTop w:val="0"/>
      <w:marBottom w:val="0"/>
      <w:divBdr>
        <w:top w:val="none" w:sz="0" w:space="0" w:color="auto"/>
        <w:left w:val="none" w:sz="0" w:space="0" w:color="auto"/>
        <w:bottom w:val="none" w:sz="0" w:space="0" w:color="auto"/>
        <w:right w:val="none" w:sz="0" w:space="0" w:color="auto"/>
      </w:divBdr>
    </w:div>
    <w:div w:id="1281455754">
      <w:bodyDiv w:val="1"/>
      <w:marLeft w:val="0"/>
      <w:marRight w:val="0"/>
      <w:marTop w:val="0"/>
      <w:marBottom w:val="0"/>
      <w:divBdr>
        <w:top w:val="none" w:sz="0" w:space="0" w:color="auto"/>
        <w:left w:val="none" w:sz="0" w:space="0" w:color="auto"/>
        <w:bottom w:val="none" w:sz="0" w:space="0" w:color="auto"/>
        <w:right w:val="none" w:sz="0" w:space="0" w:color="auto"/>
      </w:divBdr>
    </w:div>
    <w:div w:id="1581914411">
      <w:bodyDiv w:val="1"/>
      <w:marLeft w:val="0"/>
      <w:marRight w:val="0"/>
      <w:marTop w:val="0"/>
      <w:marBottom w:val="0"/>
      <w:divBdr>
        <w:top w:val="none" w:sz="0" w:space="0" w:color="auto"/>
        <w:left w:val="none" w:sz="0" w:space="0" w:color="auto"/>
        <w:bottom w:val="none" w:sz="0" w:space="0" w:color="auto"/>
        <w:right w:val="none" w:sz="0" w:space="0" w:color="auto"/>
      </w:divBdr>
    </w:div>
    <w:div w:id="1638029062">
      <w:bodyDiv w:val="1"/>
      <w:marLeft w:val="0"/>
      <w:marRight w:val="0"/>
      <w:marTop w:val="0"/>
      <w:marBottom w:val="0"/>
      <w:divBdr>
        <w:top w:val="none" w:sz="0" w:space="0" w:color="auto"/>
        <w:left w:val="none" w:sz="0" w:space="0" w:color="auto"/>
        <w:bottom w:val="none" w:sz="0" w:space="0" w:color="auto"/>
        <w:right w:val="none" w:sz="0" w:space="0" w:color="auto"/>
      </w:divBdr>
    </w:div>
    <w:div w:id="1778139681">
      <w:bodyDiv w:val="1"/>
      <w:marLeft w:val="0"/>
      <w:marRight w:val="0"/>
      <w:marTop w:val="0"/>
      <w:marBottom w:val="0"/>
      <w:divBdr>
        <w:top w:val="none" w:sz="0" w:space="0" w:color="auto"/>
        <w:left w:val="none" w:sz="0" w:space="0" w:color="auto"/>
        <w:bottom w:val="none" w:sz="0" w:space="0" w:color="auto"/>
        <w:right w:val="none" w:sz="0" w:space="0" w:color="auto"/>
      </w:divBdr>
    </w:div>
    <w:div w:id="1822771869">
      <w:bodyDiv w:val="1"/>
      <w:marLeft w:val="0"/>
      <w:marRight w:val="0"/>
      <w:marTop w:val="0"/>
      <w:marBottom w:val="0"/>
      <w:divBdr>
        <w:top w:val="none" w:sz="0" w:space="0" w:color="auto"/>
        <w:left w:val="none" w:sz="0" w:space="0" w:color="auto"/>
        <w:bottom w:val="none" w:sz="0" w:space="0" w:color="auto"/>
        <w:right w:val="none" w:sz="0" w:space="0" w:color="auto"/>
      </w:divBdr>
      <w:divsChild>
        <w:div w:id="181725641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91153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7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173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361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4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79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887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424023">
      <w:bodyDiv w:val="1"/>
      <w:marLeft w:val="0"/>
      <w:marRight w:val="0"/>
      <w:marTop w:val="0"/>
      <w:marBottom w:val="0"/>
      <w:divBdr>
        <w:top w:val="none" w:sz="0" w:space="0" w:color="auto"/>
        <w:left w:val="none" w:sz="0" w:space="0" w:color="auto"/>
        <w:bottom w:val="none" w:sz="0" w:space="0" w:color="auto"/>
        <w:right w:val="none" w:sz="0" w:space="0" w:color="auto"/>
      </w:divBdr>
    </w:div>
    <w:div w:id="1832796967">
      <w:bodyDiv w:val="1"/>
      <w:marLeft w:val="0"/>
      <w:marRight w:val="0"/>
      <w:marTop w:val="0"/>
      <w:marBottom w:val="0"/>
      <w:divBdr>
        <w:top w:val="none" w:sz="0" w:space="0" w:color="auto"/>
        <w:left w:val="none" w:sz="0" w:space="0" w:color="auto"/>
        <w:bottom w:val="none" w:sz="0" w:space="0" w:color="auto"/>
        <w:right w:val="none" w:sz="0" w:space="0" w:color="auto"/>
      </w:divBdr>
    </w:div>
    <w:div w:id="1834253644">
      <w:bodyDiv w:val="1"/>
      <w:marLeft w:val="0"/>
      <w:marRight w:val="0"/>
      <w:marTop w:val="0"/>
      <w:marBottom w:val="0"/>
      <w:divBdr>
        <w:top w:val="none" w:sz="0" w:space="0" w:color="auto"/>
        <w:left w:val="none" w:sz="0" w:space="0" w:color="auto"/>
        <w:bottom w:val="none" w:sz="0" w:space="0" w:color="auto"/>
        <w:right w:val="none" w:sz="0" w:space="0" w:color="auto"/>
      </w:divBdr>
    </w:div>
    <w:div w:id="2032871343">
      <w:bodyDiv w:val="1"/>
      <w:marLeft w:val="0"/>
      <w:marRight w:val="0"/>
      <w:marTop w:val="0"/>
      <w:marBottom w:val="0"/>
      <w:divBdr>
        <w:top w:val="none" w:sz="0" w:space="0" w:color="auto"/>
        <w:left w:val="none" w:sz="0" w:space="0" w:color="auto"/>
        <w:bottom w:val="none" w:sz="0" w:space="0" w:color="auto"/>
        <w:right w:val="none" w:sz="0" w:space="0" w:color="auto"/>
      </w:divBdr>
    </w:div>
    <w:div w:id="2106344745">
      <w:bodyDiv w:val="1"/>
      <w:marLeft w:val="0"/>
      <w:marRight w:val="0"/>
      <w:marTop w:val="0"/>
      <w:marBottom w:val="0"/>
      <w:divBdr>
        <w:top w:val="none" w:sz="0" w:space="0" w:color="auto"/>
        <w:left w:val="none" w:sz="0" w:space="0" w:color="auto"/>
        <w:bottom w:val="none" w:sz="0" w:space="0" w:color="auto"/>
        <w:right w:val="none" w:sz="0" w:space="0" w:color="auto"/>
      </w:divBdr>
    </w:div>
    <w:div w:id="21113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pkorir@mmarau.ac.ke" TargetMode="External"/><Relationship Id="rId3" Type="http://schemas.openxmlformats.org/officeDocument/2006/relationships/settings" Target="settings.xml"/><Relationship Id="rId7" Type="http://schemas.openxmlformats.org/officeDocument/2006/relationships/hyperlink" Target="https://orcid.org/0009-0007-7039-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thomasjuma@kabianga.ac.ke" TargetMode="External"/><Relationship Id="rId5" Type="http://schemas.openxmlformats.org/officeDocument/2006/relationships/hyperlink" Target="mailto:1kipkorir@mmarau.ac.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22</Pages>
  <Words>11823</Words>
  <Characters>67396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Dever</dc:creator>
  <cp:keywords/>
  <dc:description/>
  <cp:lastModifiedBy>Candy Dever</cp:lastModifiedBy>
  <cp:revision>15</cp:revision>
  <dcterms:created xsi:type="dcterms:W3CDTF">2026-06-09T04:29:00Z</dcterms:created>
  <dcterms:modified xsi:type="dcterms:W3CDTF">2026-06-09T12:44:00Z</dcterms:modified>
</cp:coreProperties>
</file>