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78F0E" w14:textId="5E33A0DD" w:rsidR="00E32CC9" w:rsidRDefault="00420A0D" w:rsidP="009951F7">
      <w:pPr>
        <w:jc w:val="center"/>
        <w:rPr>
          <w:b/>
          <w:bCs/>
          <w:sz w:val="28"/>
          <w:szCs w:val="28"/>
        </w:rPr>
      </w:pPr>
      <w:r>
        <w:rPr>
          <w:b/>
          <w:bCs/>
          <w:sz w:val="28"/>
          <w:szCs w:val="28"/>
        </w:rPr>
        <w:t xml:space="preserve">Brain-drain </w:t>
      </w:r>
      <w:r w:rsidR="001C294B" w:rsidRPr="001C294B">
        <w:rPr>
          <w:b/>
          <w:bCs/>
          <w:sz w:val="28"/>
          <w:szCs w:val="28"/>
        </w:rPr>
        <w:t>Phobia</w:t>
      </w:r>
      <w:r w:rsidR="00CB2BDF">
        <w:rPr>
          <w:b/>
          <w:bCs/>
          <w:sz w:val="28"/>
          <w:szCs w:val="28"/>
        </w:rPr>
        <w:t xml:space="preserve">, </w:t>
      </w:r>
      <w:r w:rsidR="00A87211">
        <w:rPr>
          <w:b/>
          <w:bCs/>
          <w:sz w:val="28"/>
          <w:szCs w:val="28"/>
        </w:rPr>
        <w:t>Brain</w:t>
      </w:r>
      <w:r w:rsidR="00282C4F">
        <w:rPr>
          <w:b/>
          <w:bCs/>
          <w:sz w:val="28"/>
          <w:szCs w:val="28"/>
        </w:rPr>
        <w:t xml:space="preserve"> Circulation</w:t>
      </w:r>
      <w:r w:rsidR="005A370B">
        <w:rPr>
          <w:b/>
          <w:bCs/>
          <w:sz w:val="28"/>
          <w:szCs w:val="28"/>
        </w:rPr>
        <w:t xml:space="preserve"> and Professional </w:t>
      </w:r>
      <w:r w:rsidR="00E169FA">
        <w:rPr>
          <w:b/>
          <w:bCs/>
          <w:sz w:val="28"/>
          <w:szCs w:val="28"/>
        </w:rPr>
        <w:t>Em</w:t>
      </w:r>
      <w:r w:rsidR="005A370B">
        <w:rPr>
          <w:b/>
          <w:bCs/>
          <w:sz w:val="28"/>
          <w:szCs w:val="28"/>
        </w:rPr>
        <w:t>igration</w:t>
      </w:r>
    </w:p>
    <w:p w14:paraId="7E17C002" w14:textId="77777777" w:rsidR="00E32CC9" w:rsidRDefault="00AB2F68">
      <w:pPr>
        <w:spacing w:after="80"/>
      </w:pPr>
      <w:r>
        <w:rPr>
          <w:b/>
          <w:bCs/>
        </w:rPr>
        <w:t>Abstract</w:t>
      </w:r>
    </w:p>
    <w:p w14:paraId="575B6EC4" w14:textId="49A6C691" w:rsidR="00496250" w:rsidRPr="00496250" w:rsidRDefault="00801532" w:rsidP="00496250">
      <w:pPr>
        <w:spacing w:after="480"/>
      </w:pPr>
      <w:r w:rsidRPr="00801532">
        <w:t xml:space="preserve">Professional brain drain—the large-scale emigration of skilled workers—poses a complex development challenge for countries that fund professional training yet receive diminishing returns. This study is the first for Sri Lanka to jointly model cross-sectoral professional migration using time-series econometrics and to </w:t>
      </w:r>
      <w:proofErr w:type="spellStart"/>
      <w:r w:rsidRPr="00801532">
        <w:t>analyse</w:t>
      </w:r>
      <w:proofErr w:type="spellEnd"/>
      <w:r w:rsidRPr="00801532">
        <w:t xml:space="preserve"> how institutional discourse frames brain drain as a policy problem. Using a Vector Error Correction Model on annual data (1999–2023) for health, accounting, engineering, and academia, supplemented by policy discourse analysis of institutional reports and media, it finds that professional emigration is statistically significantly and negatively associated with long-run GDP growth, but with small economic effects; the largest impact arises for university academics, and only accountants show a significant short-run effect. Lacking professional-specific remittance data, the dampening mechanisms remain inconclusive. Discourse analysis reveals pervasive </w:t>
      </w:r>
      <w:r w:rsidRPr="007A6AD3">
        <w:rPr>
          <w:i/>
          <w:iCs/>
        </w:rPr>
        <w:t>brain-drain phobia</w:t>
      </w:r>
      <w:r w:rsidRPr="00801532">
        <w:t xml:space="preserve">, obscuring </w:t>
      </w:r>
      <w:r w:rsidRPr="007A6AD3">
        <w:rPr>
          <w:i/>
          <w:iCs/>
        </w:rPr>
        <w:t>brain circulation</w:t>
      </w:r>
      <w:r w:rsidRPr="00801532">
        <w:t xml:space="preserve"> and strategic skill export, and points to the need for diaspora engagement, institutional strengthening, and structured return pathways.</w:t>
      </w:r>
    </w:p>
    <w:p w14:paraId="30FDC048" w14:textId="44CCA9F8" w:rsidR="00E32CC9" w:rsidRDefault="00AB2F68" w:rsidP="00FB0EDC">
      <w:pPr>
        <w:spacing w:after="480"/>
      </w:pPr>
      <w:r>
        <w:rPr>
          <w:b/>
          <w:bCs/>
        </w:rPr>
        <w:t xml:space="preserve">Keywords: </w:t>
      </w:r>
      <w:r w:rsidR="00420A0D">
        <w:t xml:space="preserve">Brain-drain </w:t>
      </w:r>
      <w:r w:rsidR="008B2095">
        <w:t>phobia</w:t>
      </w:r>
      <w:r w:rsidR="00DA45F4" w:rsidRPr="000C75E5">
        <w:t xml:space="preserve">; </w:t>
      </w:r>
      <w:r w:rsidR="00C37AD9">
        <w:t xml:space="preserve">brain circulation; skill export; </w:t>
      </w:r>
      <w:r w:rsidR="00DA45F4" w:rsidRPr="000C75E5">
        <w:t>professional emigration; economic growth; human capital; VECM</w:t>
      </w:r>
      <w:r w:rsidR="00E1728D">
        <w:t>.</w:t>
      </w:r>
    </w:p>
    <w:p w14:paraId="53CBA4FE" w14:textId="77777777" w:rsidR="007E3F56" w:rsidRDefault="007E3F56" w:rsidP="00FB0EDC">
      <w:pPr>
        <w:spacing w:after="480"/>
        <w:rPr>
          <w:b/>
          <w:bCs/>
        </w:rPr>
      </w:pPr>
    </w:p>
    <w:p w14:paraId="0A860D3C" w14:textId="77777777" w:rsidR="007E3F56" w:rsidRDefault="007E3F56" w:rsidP="00FB0EDC">
      <w:pPr>
        <w:spacing w:after="480"/>
        <w:rPr>
          <w:b/>
          <w:bCs/>
        </w:rPr>
      </w:pPr>
    </w:p>
    <w:p w14:paraId="1B118ED5" w14:textId="77777777" w:rsidR="007E3F56" w:rsidRDefault="007E3F56" w:rsidP="00FB0EDC">
      <w:pPr>
        <w:spacing w:after="480"/>
        <w:rPr>
          <w:b/>
          <w:bCs/>
        </w:rPr>
      </w:pPr>
    </w:p>
    <w:p w14:paraId="310C3578" w14:textId="0BA148DD" w:rsidR="000A3CEC" w:rsidRPr="007E3F56" w:rsidRDefault="007E3F56" w:rsidP="00FB0EDC">
      <w:pPr>
        <w:spacing w:after="480"/>
        <w:rPr>
          <w:b/>
          <w:bCs/>
        </w:rPr>
      </w:pPr>
      <w:r w:rsidRPr="007E3F56">
        <w:rPr>
          <w:b/>
          <w:bCs/>
        </w:rPr>
        <w:lastRenderedPageBreak/>
        <w:t>Graphical Abstract</w:t>
      </w:r>
    </w:p>
    <w:p w14:paraId="237A6F4F" w14:textId="2B0CFF1E" w:rsidR="007E3F56" w:rsidRPr="000C75E5" w:rsidRDefault="007E3F56" w:rsidP="00FB0EDC">
      <w:pPr>
        <w:spacing w:after="480"/>
      </w:pPr>
      <w:r>
        <w:rPr>
          <w:noProof/>
        </w:rPr>
        <w:drawing>
          <wp:inline distT="0" distB="0" distL="0" distR="0" wp14:anchorId="2CA3FE70" wp14:editId="0E4A6A65">
            <wp:extent cx="5943600" cy="3962400"/>
            <wp:effectExtent l="0" t="0" r="0" b="0"/>
            <wp:docPr id="1281866132" name="Picture 1" descr="Graphical abstract contrasting small macroeconomic brain-drain effects with large fear-based discourse and overlooked brain circulation in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abstract contrasting small macroeconomic brain-drain effects with large fear-based discourse and overlooked brain circulation in Sri Lank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1C65AB5" w14:textId="703C4437" w:rsidR="00E32CC9" w:rsidRDefault="00AB2F68" w:rsidP="009E5B93">
      <w:pPr>
        <w:pStyle w:val="Heading1"/>
      </w:pPr>
      <w:r>
        <w:t>Introduction</w:t>
      </w:r>
    </w:p>
    <w:p w14:paraId="01928F59" w14:textId="47BF0881" w:rsidR="00E32CC9" w:rsidRDefault="00AB2F68" w:rsidP="00BB1DF8">
      <w:r>
        <w:t>Brain</w:t>
      </w:r>
      <w:r w:rsidR="001F2617">
        <w:t>-</w:t>
      </w:r>
      <w:r>
        <w:t>drain, defined as the large-scale emigration of skilled and educated individuals, has long been a central concern within development studies. For countries such as Sri Lanka, where the state bears a substantial share of the cost of tertiary education and economic uncertainty persists, the outward migration of professionals in medicine, engineering, accounting, academia, and</w:t>
      </w:r>
      <w:r w:rsidR="00300FA4">
        <w:t xml:space="preserve"> </w:t>
      </w:r>
      <w:r>
        <w:t>more recently</w:t>
      </w:r>
      <w:r w:rsidR="00300FA4">
        <w:t xml:space="preserve">, </w:t>
      </w:r>
      <w:r>
        <w:t>information technology</w:t>
      </w:r>
      <w:r w:rsidR="00300FA4">
        <w:t>,</w:t>
      </w:r>
      <w:r>
        <w:t xml:space="preserve"> presents a complex dilemma. On the one hand, professional emigration reduces the domestic stock of human capital; on the other, it generates remittance inflows that support</w:t>
      </w:r>
      <w:r w:rsidR="000D3D11">
        <w:t xml:space="preserve"> </w:t>
      </w:r>
      <w:r>
        <w:t xml:space="preserve">macroeconomic stability. This inherent tension between loss and gain renders the Sri Lankan experience particularly salient, especially against the backdrop of the </w:t>
      </w:r>
      <w:proofErr w:type="spellStart"/>
      <w:r>
        <w:t>countrys</w:t>
      </w:r>
      <w:proofErr w:type="spellEnd"/>
      <w:r>
        <w:t xml:space="preserve"> </w:t>
      </w:r>
      <w:r>
        <w:lastRenderedPageBreak/>
        <w:t>recent political instability and economic crisis.</w:t>
      </w:r>
      <w:r w:rsidR="00AB1425">
        <w:t xml:space="preserve"> </w:t>
      </w:r>
      <w:r w:rsidR="008B2095" w:rsidRPr="008B2095">
        <w:t xml:space="preserve">Alongside these empirical questions, this study introduces and </w:t>
      </w:r>
      <w:proofErr w:type="spellStart"/>
      <w:r w:rsidR="008B2095" w:rsidRPr="008B2095">
        <w:t>operationalises</w:t>
      </w:r>
      <w:proofErr w:type="spellEnd"/>
      <w:r w:rsidR="008B2095" w:rsidRPr="008B2095">
        <w:t xml:space="preserve"> the concept of </w:t>
      </w:r>
      <w:r w:rsidR="00420A0D">
        <w:rPr>
          <w:i/>
          <w:iCs/>
        </w:rPr>
        <w:t xml:space="preserve">brain-drain </w:t>
      </w:r>
      <w:r w:rsidR="008B2095" w:rsidRPr="008B2095">
        <w:rPr>
          <w:i/>
          <w:iCs/>
        </w:rPr>
        <w:t>phobia</w:t>
      </w:r>
      <w:r w:rsidR="006F0FC0">
        <w:t xml:space="preserve">, </w:t>
      </w:r>
      <w:r w:rsidR="008B2095" w:rsidRPr="008B2095">
        <w:t xml:space="preserve">defined as the systematic tendency in institutional and public discourse to frame professional emigration exclusively as national loss, thereby foreclosing policy engagement with </w:t>
      </w:r>
      <w:r w:rsidR="001642D6">
        <w:t>brain circulation</w:t>
      </w:r>
      <w:r w:rsidR="008B2095" w:rsidRPr="008B2095">
        <w:t>, diaspora engagement, and strategic skill export as viable development alternatives</w:t>
      </w:r>
      <w:r w:rsidR="00B907C5">
        <w:t xml:space="preserve"> (Eaton</w:t>
      </w:r>
      <w:r w:rsidR="00C040CE">
        <w:t>, 2023)</w:t>
      </w:r>
      <w:r w:rsidR="008B2095" w:rsidRPr="008B2095">
        <w:t>. This discursive framing is shown to be as consequential as the economic phenomenon itself in shaping Sri Lankas migration policy environment</w:t>
      </w:r>
      <w:r w:rsidR="008B2095">
        <w:t>.</w:t>
      </w:r>
    </w:p>
    <w:p w14:paraId="6E9208A5" w14:textId="1121D99F" w:rsidR="00E32CC9" w:rsidRDefault="00AB2F68">
      <w:pPr>
        <w:ind w:firstLine="720"/>
      </w:pPr>
      <w:r>
        <w:t xml:space="preserve">Historically, Sri Lanka has depended heavily on remittances from unskilled and semi-skilled workers employed in the Middle East. While these flows remain important, the past two decades have witnessed an unprecedented rise in the emigration of skilled professionals. Data published by the Sri Lanka Bureau of Foreign Employment (SLBFE) and the Central Bank of Sri Lanka indicate that in 2023 alone, nearly 300,000 Sri Lankans migrated for overseas employment, with more than two-thirds classified as skilled workers or professionals. This translates to over 20,000 departures per month, a scale previously unseen in the </w:t>
      </w:r>
      <w:proofErr w:type="spellStart"/>
      <w:r>
        <w:t>countrys</w:t>
      </w:r>
      <w:proofErr w:type="spellEnd"/>
      <w:r>
        <w:t xml:space="preserve"> migration history. The increasing outflow of doctors, nurses, engineers, accountants, university lecturers, and </w:t>
      </w:r>
      <w:r w:rsidR="003E2A62">
        <w:t>other</w:t>
      </w:r>
      <w:r>
        <w:t xml:space="preserve"> professionals reflects not only a quantitative escalation but also a qualitative transformation in Sri Lankas human capital base.</w:t>
      </w:r>
    </w:p>
    <w:p w14:paraId="73628E70" w14:textId="5AA65232" w:rsidR="00E32CC9" w:rsidRDefault="00AB2F68">
      <w:pPr>
        <w:ind w:firstLine="720"/>
      </w:pPr>
      <w:r>
        <w:t xml:space="preserve">The distribution of emigration across professions highlights the depth of the challenge. In the health sector, successive cohorts of medical graduates and experienced specialists have migrated to high-income countries, further weakening an already strained public healthcare system. In engineering, destinations such as the Middle East, Australia, </w:t>
      </w:r>
      <w:proofErr w:type="spellStart"/>
      <w:r w:rsidR="00BE2BC0">
        <w:t>Canadab</w:t>
      </w:r>
      <w:r>
        <w:t>and</w:t>
      </w:r>
      <w:proofErr w:type="spellEnd"/>
      <w:r>
        <w:t xml:space="preserve"> New Zealand continue to attract professionals in civil, mechanical, and IT-related fields, despite substantial public investment in technical and tertiary education. The accounting profession has similarly </w:t>
      </w:r>
      <w:r>
        <w:lastRenderedPageBreak/>
        <w:t xml:space="preserve">experienced significant outward mobility, driven by political uncertainty, limited career advancement opportunities, and weak regulatory frameworks. Meanwhile, academia has been adversely affected by the migration of researchers and lecturers pursuing doctoral training and permanent appointments abroad, resulting in lower research output and diminished international competitiveness. Collectively, these patterns indicate that Sri Lankas </w:t>
      </w:r>
      <w:r w:rsidR="00DD77A2">
        <w:t xml:space="preserve">brain-drain </w:t>
      </w:r>
      <w:r>
        <w:t>is not confined to a single profession but represents a system-wide challenge affecting multiple pillars of the knowledge economy.</w:t>
      </w:r>
    </w:p>
    <w:p w14:paraId="26FF44AB" w14:textId="39AC332A" w:rsidR="00E32CC9" w:rsidRDefault="00AB2F68">
      <w:pPr>
        <w:ind w:firstLine="720"/>
      </w:pPr>
      <w:r>
        <w:t xml:space="preserve">From an economic perspective, professional emigration generates both benefits and costs. Remittances have remained a crucial </w:t>
      </w:r>
      <w:proofErr w:type="spellStart"/>
      <w:r>
        <w:t>stabilising</w:t>
      </w:r>
      <w:proofErr w:type="spellEnd"/>
      <w:r>
        <w:t xml:space="preserve"> force, with migrant workers sending nearly USD 6 billion to Sri Lanka in 2023, thereby supporting the balance of payments and easing foreign exchange shortages. However, these gains are offset by longer-term losses associated with reduced innovation capacity, declining service quality, and a shrinking pool of skilled </w:t>
      </w:r>
      <w:proofErr w:type="spellStart"/>
      <w:r>
        <w:t>labour</w:t>
      </w:r>
      <w:proofErr w:type="spellEnd"/>
      <w:r>
        <w:t xml:space="preserve"> necessary for sustained development. The issue is further compounded by the </w:t>
      </w:r>
      <w:proofErr w:type="spellStart"/>
      <w:r>
        <w:t>countrys</w:t>
      </w:r>
      <w:proofErr w:type="spellEnd"/>
      <w:r>
        <w:t xml:space="preserve"> commitment to free tertiary education, as individuals trained at public expense frequently deploy their skills and productivity abroad rather than contributing domestically. </w:t>
      </w:r>
      <w:proofErr w:type="gramStart"/>
      <w:r>
        <w:t>This dynamic raises</w:t>
      </w:r>
      <w:proofErr w:type="gramEnd"/>
      <w:r>
        <w:t xml:space="preserve"> persistent concerns regarding fiscal sustainability and equity in public investment in education.</w:t>
      </w:r>
    </w:p>
    <w:p w14:paraId="29FA0FD7" w14:textId="423ED290" w:rsidR="00E32CC9" w:rsidRDefault="00AB2F68">
      <w:pPr>
        <w:ind w:firstLine="720"/>
      </w:pPr>
      <w:r>
        <w:t xml:space="preserve">Beyond economic outcomes, the consequences of </w:t>
      </w:r>
      <w:r w:rsidR="00DD77A2">
        <w:t xml:space="preserve">brain-drain </w:t>
      </w:r>
      <w:r>
        <w:t>extend deeply into the social and institutional fabric of the country</w:t>
      </w:r>
      <w:r w:rsidR="00242AF8">
        <w:t xml:space="preserve"> (</w:t>
      </w:r>
      <w:proofErr w:type="spellStart"/>
      <w:r w:rsidR="00242AF8">
        <w:t>Labonté</w:t>
      </w:r>
      <w:proofErr w:type="spellEnd"/>
      <w:r w:rsidR="00242AF8">
        <w:t xml:space="preserve"> et al., 2015</w:t>
      </w:r>
      <w:r>
        <w:t xml:space="preserve">. In healthcare, declining human resource capacity has led to longer waiting times, higher patient-to-doctor ratios, and compromised standards of care. Within higher education, the emigration of highly qualified academics has reduced mentoring opportunities and constrained professional development for future generations of scholars. In accounting and engineering, the loss of skilled professionals undermines regulatory oversight, corporate governance, and infrastructure development. At a broader societal level, </w:t>
      </w:r>
      <w:r>
        <w:lastRenderedPageBreak/>
        <w:t xml:space="preserve">sustained professional emigration shapes the aspirations of younger cohorts, </w:t>
      </w:r>
      <w:proofErr w:type="spellStart"/>
      <w:r>
        <w:t>normalising</w:t>
      </w:r>
      <w:proofErr w:type="spellEnd"/>
      <w:r>
        <w:t xml:space="preserve"> migration as the primary pathway to career success and potentially weakening civic engagement and trust in national institutions.</w:t>
      </w:r>
    </w:p>
    <w:p w14:paraId="48B2404B" w14:textId="77777777" w:rsidR="004F78E5" w:rsidRDefault="00AB2F68" w:rsidP="001110F8">
      <w:pPr>
        <w:ind w:firstLine="720"/>
      </w:pPr>
      <w:r>
        <w:t xml:space="preserve">The international literature </w:t>
      </w:r>
      <w:proofErr w:type="spellStart"/>
      <w:r>
        <w:t>characterises</w:t>
      </w:r>
      <w:proofErr w:type="spellEnd"/>
      <w:r>
        <w:t xml:space="preserve"> </w:t>
      </w:r>
      <w:r w:rsidR="00DD77A2">
        <w:t xml:space="preserve">brain-drain </w:t>
      </w:r>
      <w:r>
        <w:t xml:space="preserve">as both a developmental cost and a potential opportunity. Although important contributions </w:t>
      </w:r>
      <w:proofErr w:type="spellStart"/>
      <w:r>
        <w:t>emphasise</w:t>
      </w:r>
      <w:proofErr w:type="spellEnd"/>
      <w:r>
        <w:t xml:space="preserve"> the negative impact of human capital flight on source countries (</w:t>
      </w:r>
      <w:r w:rsidR="00C7231D">
        <w:t xml:space="preserve">Meyer &amp; Shera, 2017; </w:t>
      </w:r>
      <w:proofErr w:type="spellStart"/>
      <w:r>
        <w:t>Docquier</w:t>
      </w:r>
      <w:proofErr w:type="spellEnd"/>
      <w:r>
        <w:t xml:space="preserve"> &amp; Rapoport, 2007, 2012), </w:t>
      </w:r>
      <w:r w:rsidR="006B1460">
        <w:t>other</w:t>
      </w:r>
      <w:r>
        <w:t xml:space="preserve"> research show that remittances, diaspora </w:t>
      </w:r>
      <w:proofErr w:type="spellStart"/>
      <w:r>
        <w:t>mobilisation</w:t>
      </w:r>
      <w:proofErr w:type="spellEnd"/>
      <w:r>
        <w:t>, and return flows can lead to net development benefits (</w:t>
      </w:r>
      <w:r w:rsidR="00440B96">
        <w:t xml:space="preserve">Akinola et al. 2024; </w:t>
      </w:r>
      <w:r w:rsidR="006B1460">
        <w:t xml:space="preserve">Azam, 2015; </w:t>
      </w:r>
      <w:r>
        <w:t>Gibson &amp; McKenzie, 2012</w:t>
      </w:r>
      <w:r w:rsidR="008962B5">
        <w:t xml:space="preserve">; </w:t>
      </w:r>
      <w:r w:rsidR="008962B5" w:rsidRPr="00471231">
        <w:t>Adams and Page</w:t>
      </w:r>
      <w:r w:rsidR="008962B5">
        <w:t xml:space="preserve">, </w:t>
      </w:r>
      <w:r w:rsidR="008962B5" w:rsidRPr="00471231">
        <w:t>2005</w:t>
      </w:r>
      <w:r>
        <w:t xml:space="preserve">). </w:t>
      </w:r>
      <w:r w:rsidR="003A0F15">
        <w:t>Furthermore, developmental consequences of skilled emigration depend less on simple headcounts of departures and more on how origin</w:t>
      </w:r>
      <w:r w:rsidR="003A0F15">
        <w:rPr>
          <w:rFonts w:ascii="Cambria Math" w:hAnsi="Cambria Math" w:cs="Cambria Math"/>
        </w:rPr>
        <w:t>‑</w:t>
      </w:r>
      <w:r w:rsidR="003A0F15">
        <w:t xml:space="preserve">country institutions, </w:t>
      </w:r>
      <w:proofErr w:type="spellStart"/>
      <w:r w:rsidR="003A0F15">
        <w:t>labour</w:t>
      </w:r>
      <w:proofErr w:type="spellEnd"/>
      <w:r w:rsidR="003A0F15">
        <w:t xml:space="preserve"> markets, and diaspora linkages mediate those flows (</w:t>
      </w:r>
      <w:proofErr w:type="spellStart"/>
      <w:r w:rsidR="003A0F15">
        <w:t>Ciumas</w:t>
      </w:r>
      <w:proofErr w:type="spellEnd"/>
      <w:r w:rsidR="003A0F15">
        <w:t xml:space="preserve"> &amp; </w:t>
      </w:r>
      <w:proofErr w:type="spellStart"/>
      <w:r w:rsidR="003A0F15">
        <w:t>Fokkema</w:t>
      </w:r>
      <w:proofErr w:type="spellEnd"/>
      <w:r w:rsidR="003A0F15">
        <w:t xml:space="preserve">, 2017; </w:t>
      </w:r>
      <w:proofErr w:type="spellStart"/>
      <w:r w:rsidR="003A0F15">
        <w:t>Sinatti</w:t>
      </w:r>
      <w:proofErr w:type="spellEnd"/>
      <w:r w:rsidR="003A0F15">
        <w:t xml:space="preserve"> &amp; Horst, 2015). </w:t>
      </w:r>
    </w:p>
    <w:p w14:paraId="0344D927" w14:textId="3E0B2004" w:rsidR="003A0F15" w:rsidRDefault="003A0F15" w:rsidP="001110F8">
      <w:pPr>
        <w:ind w:firstLine="720"/>
      </w:pPr>
      <w:proofErr w:type="gramStart"/>
      <w:r>
        <w:t>Th</w:t>
      </w:r>
      <w:r w:rsidR="004F78E5">
        <w:t>ee</w:t>
      </w:r>
      <w:proofErr w:type="gramEnd"/>
      <w:r>
        <w:t xml:space="preserve"> literature documents how highly skilled migrants sustain transnational professional networks, channel social remittances of norms and practices back to origin countries, and participate in forms of brain circulation that can, under supportive institutional conditions, offset some of the immediate fiscal and human</w:t>
      </w:r>
      <w:r>
        <w:rPr>
          <w:rFonts w:ascii="Cambria Math" w:hAnsi="Cambria Math" w:cs="Cambria Math"/>
        </w:rPr>
        <w:t>‑</w:t>
      </w:r>
      <w:r>
        <w:t>capital losses associated with brain drain. By juxtaposing small but statistically significant long</w:t>
      </w:r>
      <w:r>
        <w:rPr>
          <w:rFonts w:ascii="Cambria Math" w:hAnsi="Cambria Math" w:cs="Cambria Math"/>
        </w:rPr>
        <w:t>‑</w:t>
      </w:r>
      <w:r>
        <w:t>run GDP effects of professional emigration with a pervasive brain</w:t>
      </w:r>
      <w:r>
        <w:rPr>
          <w:rFonts w:ascii="Cambria Math" w:hAnsi="Cambria Math" w:cs="Cambria Math"/>
        </w:rPr>
        <w:t>‑</w:t>
      </w:r>
      <w:r>
        <w:t xml:space="preserve">drain phobia in Sri Lankan policy and media discourse, </w:t>
      </w:r>
      <w:r w:rsidR="009624B9">
        <w:t>we</w:t>
      </w:r>
      <w:r>
        <w:t xml:space="preserve"> </w:t>
      </w:r>
      <w:r w:rsidR="00D54F31">
        <w:t>examine</w:t>
      </w:r>
      <w:r>
        <w:t xml:space="preserve"> </w:t>
      </w:r>
      <w:r w:rsidR="009C69A7">
        <w:t>the impact to</w:t>
      </w:r>
      <w:r w:rsidR="00A470E0">
        <w:t xml:space="preserve"> </w:t>
      </w:r>
      <w:r>
        <w:t>sending</w:t>
      </w:r>
      <w:r>
        <w:rPr>
          <w:rFonts w:ascii="Cambria Math" w:hAnsi="Cambria Math" w:cs="Cambria Math"/>
        </w:rPr>
        <w:t>‑</w:t>
      </w:r>
      <w:r>
        <w:t>countr</w:t>
      </w:r>
      <w:r w:rsidR="002E76F2">
        <w:t>ies</w:t>
      </w:r>
      <w:r>
        <w:rPr>
          <w:rFonts w:ascii="Calibri" w:hAnsi="Calibri" w:cs="Calibri"/>
        </w:rPr>
        <w:t xml:space="preserve">, </w:t>
      </w:r>
      <w:r>
        <w:t>whether loss</w:t>
      </w:r>
      <w:r>
        <w:rPr>
          <w:rFonts w:ascii="Cambria Math" w:hAnsi="Cambria Math" w:cs="Cambria Math"/>
        </w:rPr>
        <w:t>‑</w:t>
      </w:r>
      <w:r>
        <w:t>oriented or circulation</w:t>
      </w:r>
      <w:r>
        <w:rPr>
          <w:rFonts w:ascii="Cambria Math" w:hAnsi="Cambria Math" w:cs="Cambria Math"/>
        </w:rPr>
        <w:t>‑</w:t>
      </w:r>
      <w:r>
        <w:t>oriented</w:t>
      </w:r>
      <w:r>
        <w:rPr>
          <w:rFonts w:ascii="Calibri" w:hAnsi="Calibri" w:cs="Calibri"/>
        </w:rPr>
        <w:t xml:space="preserve">, </w:t>
      </w:r>
      <w:r w:rsidR="002F295A" w:rsidRPr="002F295A">
        <w:t>whether</w:t>
      </w:r>
      <w:r w:rsidR="002F295A">
        <w:rPr>
          <w:rFonts w:ascii="Calibri" w:hAnsi="Calibri" w:cs="Calibri"/>
        </w:rPr>
        <w:t xml:space="preserve"> </w:t>
      </w:r>
      <w:r w:rsidR="000E1477" w:rsidRPr="000E1477">
        <w:t xml:space="preserve">these </w:t>
      </w:r>
      <w:r>
        <w:t>transnational linkages are recognized and mobilized for development (Van Hear, 2014).</w:t>
      </w:r>
    </w:p>
    <w:p w14:paraId="793E7C06" w14:textId="0212F5E2" w:rsidR="00E32CC9" w:rsidRDefault="00AB2F68">
      <w:pPr>
        <w:ind w:firstLine="720"/>
      </w:pPr>
      <w:r>
        <w:t xml:space="preserve">Countries such as India and China have actively pursued </w:t>
      </w:r>
      <w:r w:rsidR="001642D6">
        <w:t>brain circulation</w:t>
      </w:r>
      <w:r>
        <w:t xml:space="preserve"> strategies, encouraging temporary migration and facilitating knowledge and capital transfers through structured diaspora policies. In contrast, Sri Lankas policy responses remain largely ad hoc and reactive, treating professional emigration primarily as a loss to be mitigated rather than a dynamic </w:t>
      </w:r>
      <w:r>
        <w:lastRenderedPageBreak/>
        <w:t>process to be strategically managed. Consequently, the country continues to grapple with the trade-off between short-term foreign exchange needs and long-term requirements for talent retention, innovation, and institutional strengthening.</w:t>
      </w:r>
    </w:p>
    <w:p w14:paraId="6D28F8F9" w14:textId="2C6F8EC2" w:rsidR="00E32CC9" w:rsidRDefault="00AB2F68">
      <w:pPr>
        <w:ind w:firstLine="720"/>
      </w:pPr>
      <w:r>
        <w:t xml:space="preserve">Despite the centrality of migration in Sri Lankas development trajectory, relatively few empirical studies have examined the macroeconomic consequences of professional </w:t>
      </w:r>
      <w:r w:rsidR="00DD77A2">
        <w:t xml:space="preserve">brain-drain </w:t>
      </w:r>
      <w:r>
        <w:t xml:space="preserve">at the sectoral level. Existing research has predominantly focused on unskilled migration or aggregate remittance flows, offering limited insight into the differentiated economic and institutional effects of losing skilled professionals. This study addresses this gap by employing a VECM to </w:t>
      </w:r>
      <w:proofErr w:type="spellStart"/>
      <w:r>
        <w:t>analyse</w:t>
      </w:r>
      <w:proofErr w:type="spellEnd"/>
      <w:r>
        <w:t xml:space="preserve"> 25 years of data (1999–2023) across four key professional sectors: health, engineering, accounting, and academia. Existing literature has focused on either aggregate remittance impacts (Azam, 2015; Islam, 2022) or profession-specific studies in isolation (</w:t>
      </w:r>
      <w:proofErr w:type="spellStart"/>
      <w:r>
        <w:t>Chandradasa</w:t>
      </w:r>
      <w:proofErr w:type="spellEnd"/>
      <w:r>
        <w:t xml:space="preserve"> &amp; </w:t>
      </w:r>
      <w:proofErr w:type="spellStart"/>
      <w:r>
        <w:t>Kuruppuarachchi</w:t>
      </w:r>
      <w:proofErr w:type="spellEnd"/>
      <w:r>
        <w:t xml:space="preserve">, 2024; Gunawardena &amp; </w:t>
      </w:r>
      <w:proofErr w:type="spellStart"/>
      <w:r>
        <w:t>Nawaratne</w:t>
      </w:r>
      <w:proofErr w:type="spellEnd"/>
      <w:r>
        <w:t>, 2017). No study has simultaneously modelled cross-sectoral professional migration using time-series econometrics in the Sri Lankan context. This study seeks to fill this knowledge gap.</w:t>
      </w:r>
    </w:p>
    <w:p w14:paraId="57E45FF7" w14:textId="64F1BA98" w:rsidR="00E32CC9" w:rsidRDefault="00AB2F68">
      <w:pPr>
        <w:ind w:firstLine="720"/>
      </w:pPr>
      <w:r>
        <w:t xml:space="preserve">Drawing upon the human capital depletion model (Beine et al., 2001) and the </w:t>
      </w:r>
      <w:r w:rsidR="001642D6">
        <w:t>brain circulation</w:t>
      </w:r>
      <w:r>
        <w:t xml:space="preserve"> perspective (Gibson &amp; McKenzie, 2012), the analysis combines econometric modelling with </w:t>
      </w:r>
      <w:r w:rsidR="00930F06">
        <w:t>PDA</w:t>
      </w:r>
      <w:r>
        <w:t xml:space="preserve"> in order to examine both the macro-level and institutional dimensions of professional emigration.</w:t>
      </w:r>
    </w:p>
    <w:p w14:paraId="6F427C24" w14:textId="70EB942D" w:rsidR="00E32CC9" w:rsidRDefault="00AB2F68" w:rsidP="00451E8C">
      <w:pPr>
        <w:pStyle w:val="Heading1"/>
      </w:pPr>
      <w:r>
        <w:t>Literature Review</w:t>
      </w:r>
    </w:p>
    <w:p w14:paraId="64A1631E" w14:textId="34B5B3E6" w:rsidR="00E32CC9" w:rsidRDefault="00AB2F68" w:rsidP="00BB1DF8">
      <w:r>
        <w:t xml:space="preserve">The concept of </w:t>
      </w:r>
      <w:r w:rsidR="00DD77A2">
        <w:t xml:space="preserve">brain-drain </w:t>
      </w:r>
      <w:r>
        <w:t>has been extensively discussed in the domains of development economics, sociology, and migration studies, though its applicability varies with context and professional field. While the term typically denotes the emigration of highly qualified personnel, the quantity, diversity, and impact of such movements are far from homogeneous.</w:t>
      </w:r>
    </w:p>
    <w:p w14:paraId="1E64616C" w14:textId="4CB45622" w:rsidR="00E32CC9" w:rsidRDefault="00AB2F68" w:rsidP="00A37CEB">
      <w:pPr>
        <w:pStyle w:val="Heading2"/>
      </w:pPr>
      <w:r>
        <w:lastRenderedPageBreak/>
        <w:t xml:space="preserve">Global </w:t>
      </w:r>
      <w:r w:rsidR="00CF18E0">
        <w:t>p</w:t>
      </w:r>
      <w:r>
        <w:t xml:space="preserve">erspectives on </w:t>
      </w:r>
      <w:r w:rsidR="00CF18E0">
        <w:t>b</w:t>
      </w:r>
      <w:r w:rsidR="00DD77A2">
        <w:t xml:space="preserve">rain-drain </w:t>
      </w:r>
    </w:p>
    <w:p w14:paraId="0BFA38D1" w14:textId="53AAB53E" w:rsidR="00E32CC9" w:rsidRDefault="00AB2F68" w:rsidP="00BB1DF8">
      <w:r>
        <w:t xml:space="preserve">International scholarship views </w:t>
      </w:r>
      <w:r w:rsidR="00420A0D">
        <w:t xml:space="preserve">brain-drain </w:t>
      </w:r>
      <w:r>
        <w:t xml:space="preserve">as both a threat and an opportunity. Traditional perspectives </w:t>
      </w:r>
      <w:proofErr w:type="spellStart"/>
      <w:r>
        <w:t>emphasise</w:t>
      </w:r>
      <w:proofErr w:type="spellEnd"/>
      <w:r>
        <w:t xml:space="preserve"> human capital depletion in source countries, documenting adverse consequences for productivity, innovation, and institutional performance (</w:t>
      </w:r>
      <w:proofErr w:type="spellStart"/>
      <w:r>
        <w:t>Docquier</w:t>
      </w:r>
      <w:proofErr w:type="spellEnd"/>
      <w:r>
        <w:t xml:space="preserve"> &amp; Rapoport, 2007). Where professionals emigrate, source countries bear the full public cost of professional training while receiving none of the returns on that investment</w:t>
      </w:r>
      <w:r w:rsidR="00AD3EE3">
        <w:t xml:space="preserve">, </w:t>
      </w:r>
      <w:r>
        <w:t>an especially acute burden for low- and middle-income nations with limited fiscal capacity.</w:t>
      </w:r>
    </w:p>
    <w:p w14:paraId="19624F78" w14:textId="610AE5A8" w:rsidR="00E32CC9" w:rsidRDefault="00AB2F68" w:rsidP="00C603CD">
      <w:r>
        <w:t xml:space="preserve">More recent literature complicates this picture by </w:t>
      </w:r>
      <w:proofErr w:type="spellStart"/>
      <w:r>
        <w:t>recognising</w:t>
      </w:r>
      <w:proofErr w:type="spellEnd"/>
      <w:r>
        <w:t xml:space="preserve"> countervailing benefits. Gibson and McKenzie (2012) argue that remittances, diaspora networks, and knowledge flows can offset or </w:t>
      </w:r>
      <w:proofErr w:type="spellStart"/>
      <w:r>
        <w:t>neutralise</w:t>
      </w:r>
      <w:proofErr w:type="spellEnd"/>
      <w:r>
        <w:t xml:space="preserve"> the negative impacts of professional emigration. </w:t>
      </w:r>
      <w:r w:rsidR="00C603CD">
        <w:t xml:space="preserve">Similarly, Akinola et al. (2024) found in Nigeria that a 1% increase in net migration decreased GDP growth by only 0.543%, highlighting that economic consequences may appear negligible when measured solely in macroeconomic terms. </w:t>
      </w:r>
      <w:r>
        <w:t xml:space="preserve">Where </w:t>
      </w:r>
      <w:proofErr w:type="spellStart"/>
      <w:r>
        <w:t>labour</w:t>
      </w:r>
      <w:proofErr w:type="spellEnd"/>
      <w:r>
        <w:t xml:space="preserve"> markets are saturated or local conditions constrain opportunities, migration can also relieve unemployment pressure while generating foreign exchange inflows. This perspective re-</w:t>
      </w:r>
      <w:proofErr w:type="spellStart"/>
      <w:r>
        <w:t>conceptualises</w:t>
      </w:r>
      <w:proofErr w:type="spellEnd"/>
      <w:r>
        <w:t xml:space="preserve"> migration as </w:t>
      </w:r>
      <w:r w:rsidR="001642D6">
        <w:t>brain circulation</w:t>
      </w:r>
      <w:r>
        <w:t xml:space="preserve"> rather than a one-way loss.</w:t>
      </w:r>
    </w:p>
    <w:p w14:paraId="6B8F6224" w14:textId="77777777" w:rsidR="00E32CC9" w:rsidRDefault="00AB2F68">
      <w:pPr>
        <w:ind w:firstLine="720"/>
      </w:pPr>
      <w:r>
        <w:t>There is also empirical evidence for regional variation. The migration of health workers from sub-Saharan Africa has been observed to reduce local service coverage and increase mortality rates (Mills et al., 2011). By contrast, India and China have leveraged diaspora activity to drive technology transfer and entrepreneurship (Sabharwal &amp; Varma, 2016). This divergence indicates that outcomes depend not merely on the volume of migration but on state capacity, institutional adaptability, and policy innovation.</w:t>
      </w:r>
    </w:p>
    <w:p w14:paraId="76B4FE14" w14:textId="2335A6FB" w:rsidR="00E32CC9" w:rsidRDefault="00AB2F68" w:rsidP="00E726D6">
      <w:pPr>
        <w:pStyle w:val="Heading2"/>
      </w:pPr>
      <w:r>
        <w:t xml:space="preserve">Sectoral </w:t>
      </w:r>
      <w:r w:rsidR="00CF18E0">
        <w:t>i</w:t>
      </w:r>
      <w:r>
        <w:t>nsights</w:t>
      </w:r>
    </w:p>
    <w:p w14:paraId="188440FA" w14:textId="1295418E" w:rsidR="00E32CC9" w:rsidRDefault="00AB2F68" w:rsidP="00E726D6">
      <w:pPr>
        <w:pStyle w:val="Heading3"/>
      </w:pPr>
      <w:r>
        <w:t xml:space="preserve">Health </w:t>
      </w:r>
      <w:r w:rsidR="00CF18E0">
        <w:t>s</w:t>
      </w:r>
      <w:r>
        <w:t>ector</w:t>
      </w:r>
    </w:p>
    <w:p w14:paraId="24BD661A" w14:textId="29233A89" w:rsidR="00E32CC9" w:rsidRDefault="00AB2F68" w:rsidP="00BB1DF8">
      <w:r>
        <w:lastRenderedPageBreak/>
        <w:t xml:space="preserve">The health sector has received particular academic attention owing to its direct implications for social welfare. Studies consistently report that medical </w:t>
      </w:r>
      <w:r w:rsidR="00420A0D">
        <w:t xml:space="preserve">brain-drain </w:t>
      </w:r>
      <w:r>
        <w:t>undermines the ability of health systems in developing countries to deliver adequate care (</w:t>
      </w:r>
      <w:proofErr w:type="spellStart"/>
      <w:r>
        <w:t>Adovor</w:t>
      </w:r>
      <w:proofErr w:type="spellEnd"/>
      <w:r>
        <w:t xml:space="preserve"> et al., 2021). In Sri Lanka, despite heavy public investment in free medical education, many graduates emigrate, creating gaps in specialties such as </w:t>
      </w:r>
      <w:proofErr w:type="spellStart"/>
      <w:r>
        <w:t>anaesthesiology</w:t>
      </w:r>
      <w:proofErr w:type="spellEnd"/>
      <w:r>
        <w:t xml:space="preserve"> and psychiatry (De Silva, 2023; </w:t>
      </w:r>
      <w:proofErr w:type="spellStart"/>
      <w:r>
        <w:t>Chandradasa</w:t>
      </w:r>
      <w:proofErr w:type="spellEnd"/>
      <w:r>
        <w:t xml:space="preserve"> &amp; </w:t>
      </w:r>
      <w:proofErr w:type="spellStart"/>
      <w:r>
        <w:t>Kuruppuarachchi</w:t>
      </w:r>
      <w:proofErr w:type="spellEnd"/>
      <w:r>
        <w:t xml:space="preserve">, 2024). The consequences extend beyond workforce numbers to patient care outcomes, public trust, and intergenerational equity, as taxpayers effectively </w:t>
      </w:r>
      <w:proofErr w:type="spellStart"/>
      <w:r>
        <w:t>subsidise</w:t>
      </w:r>
      <w:proofErr w:type="spellEnd"/>
      <w:r>
        <w:t xml:space="preserve"> health systems in destination countries.</w:t>
      </w:r>
    </w:p>
    <w:p w14:paraId="1102BE87" w14:textId="082A8012" w:rsidR="00E32CC9" w:rsidRDefault="00AB2F68" w:rsidP="00782D1B">
      <w:pPr>
        <w:pStyle w:val="Heading3"/>
      </w:pPr>
      <w:r>
        <w:t xml:space="preserve">Engineering and </w:t>
      </w:r>
      <w:r w:rsidR="001A0FAD">
        <w:t>t</w:t>
      </w:r>
      <w:r>
        <w:t>echnology</w:t>
      </w:r>
    </w:p>
    <w:p w14:paraId="3153F4AB" w14:textId="4EC4176B" w:rsidR="00E32CC9" w:rsidRDefault="00AB2F68" w:rsidP="00BB1DF8">
      <w:r>
        <w:t>Although engineering migration attracts less public attention than health-sector emigration, it carries significant implications for infrastructure development, technological capacity, and long-term productivity. Evidence from South Asia indicates that engineers frequently migrate to meet international demand in infrastructure, IT, and construction (</w:t>
      </w:r>
      <w:proofErr w:type="spellStart"/>
      <w:r>
        <w:t>Gherheș</w:t>
      </w:r>
      <w:proofErr w:type="spellEnd"/>
      <w:r>
        <w:t xml:space="preserve"> et al., 2020). Sri Lanka has experienced this pattern through the emigration of engineers to Australia, New Zealand, </w:t>
      </w:r>
      <w:r w:rsidR="00573CEC">
        <w:t xml:space="preserve">Canada </w:t>
      </w:r>
      <w:r>
        <w:t xml:space="preserve">and the Middle East (Gunawardhana &amp; Jayalath, 2016). The long-term trade-off involves the erosion of local innovation capacity and technological self-determination alongside the macroeconomic </w:t>
      </w:r>
      <w:proofErr w:type="spellStart"/>
      <w:r>
        <w:t>stabilisation</w:t>
      </w:r>
      <w:proofErr w:type="spellEnd"/>
      <w:r>
        <w:t xml:space="preserve"> afforded by remittances.</w:t>
      </w:r>
    </w:p>
    <w:p w14:paraId="7CDE23BA" w14:textId="03A7CD9E" w:rsidR="00E32CC9" w:rsidRDefault="00AB2F68" w:rsidP="007774A5">
      <w:pPr>
        <w:pStyle w:val="Heading3"/>
      </w:pPr>
      <w:r>
        <w:t xml:space="preserve">Accounting and </w:t>
      </w:r>
      <w:r w:rsidR="001A0FAD">
        <w:t>f</w:t>
      </w:r>
      <w:r>
        <w:t>inance</w:t>
      </w:r>
    </w:p>
    <w:p w14:paraId="710D8E14" w14:textId="77777777" w:rsidR="00E32CC9" w:rsidRDefault="00AB2F68" w:rsidP="00BB1DF8">
      <w:r>
        <w:t xml:space="preserve">Accountant migration has received less scholarly attention globally, although recent literature addresses how cross-border standard </w:t>
      </w:r>
      <w:proofErr w:type="spellStart"/>
      <w:r>
        <w:t>harmonisation</w:t>
      </w:r>
      <w:proofErr w:type="spellEnd"/>
      <w:r>
        <w:t xml:space="preserve"> facilitates professional mobility (Bloomfield et al., 2017). In Sri Lanka, political instability and limited career advancement have pushed many accountants to seek employment in high-income countries with stronger demands for financial disclosure and regulation (Ekanayake &amp; Jackling, 2014). This reduces domestic regulatory </w:t>
      </w:r>
      <w:r>
        <w:lastRenderedPageBreak/>
        <w:t>capacity and corporate governance quality, with long-run effects on the investment climate and capital market development.</w:t>
      </w:r>
    </w:p>
    <w:p w14:paraId="30108AAE" w14:textId="7C605262" w:rsidR="00E32CC9" w:rsidRDefault="00AB2F68" w:rsidP="001B1735">
      <w:pPr>
        <w:pStyle w:val="Heading3"/>
      </w:pPr>
      <w:r>
        <w:t>Academia</w:t>
      </w:r>
    </w:p>
    <w:p w14:paraId="05A500F8" w14:textId="7D1F909E" w:rsidR="00E32CC9" w:rsidRDefault="00420A0D" w:rsidP="00BB1DF8">
      <w:r>
        <w:t xml:space="preserve">Brain-drain </w:t>
      </w:r>
      <w:r w:rsidR="00AB2F68">
        <w:t xml:space="preserve">among university faculty has profound consequences for research capacity and higher education quality. Studies of African and South Asian universities illustrate how faculty losses undermine mentorship, reduce research productivity, and diminish international competitiveness (Odhiambo, 2013). In Sri Lanka, political-economic instability and the pursuit of doctoral education abroad have driven the emigration of university lecturers and researchers (Gunawardena &amp; </w:t>
      </w:r>
      <w:proofErr w:type="spellStart"/>
      <w:r w:rsidR="00AB2F68">
        <w:t>Nawaratne</w:t>
      </w:r>
      <w:proofErr w:type="spellEnd"/>
      <w:r w:rsidR="00AB2F68">
        <w:t>, 2017), depriving institutions of the intellectual capital necessary for context-specific research and the mentorship of future professional generations.</w:t>
      </w:r>
    </w:p>
    <w:p w14:paraId="17EAAFB6" w14:textId="7A193672" w:rsidR="006B7096" w:rsidRDefault="006B7096" w:rsidP="006B7096">
      <w:pPr>
        <w:ind w:firstLine="720"/>
      </w:pPr>
      <w:r w:rsidRPr="006B7096">
        <w:t xml:space="preserve">More recent bibliometric evidence confirms this pattern. </w:t>
      </w:r>
      <w:proofErr w:type="spellStart"/>
      <w:r w:rsidRPr="006B7096">
        <w:t>Sanliturk</w:t>
      </w:r>
      <w:proofErr w:type="spellEnd"/>
      <w:r w:rsidRPr="006B7096">
        <w:t xml:space="preserve"> et al. (2023) demonstrate, using Scopus data across 48 developing economies, that academic </w:t>
      </w:r>
      <w:r w:rsidR="00420A0D">
        <w:t xml:space="preserve">brain-drain </w:t>
      </w:r>
      <w:r w:rsidRPr="006B7096">
        <w:t>is the most consequential form of professional emigration for long-run innovation capacity, because academics generate positive externalities</w:t>
      </w:r>
      <w:r w:rsidR="006F0FC0">
        <w:t xml:space="preserve">, </w:t>
      </w:r>
      <w:r w:rsidRPr="006B7096">
        <w:t>through publication, supervision, and knowledge spillover</w:t>
      </w:r>
      <w:r w:rsidR="006F0FC0">
        <w:t xml:space="preserve">, </w:t>
      </w:r>
      <w:r w:rsidRPr="006B7096">
        <w:t>that extend far beyond their individual output. Kea and Kim (2022) show that in Southeast Asian universities, faculty emigration is associated with measurable reductions in institutional research output with a lag of approximately five years, consistent with the long-run VECM coefficients observed in the present study. Horta et al. (2021) further demonstrate that the departure of senior academics is disproportionately damaging relative to junior faculty, as it removes mentorship capacity that cannot be quickly replaced</w:t>
      </w:r>
      <w:r w:rsidR="006F0FC0">
        <w:t xml:space="preserve">, </w:t>
      </w:r>
      <w:r w:rsidRPr="006B7096">
        <w:t>a finding of particular relevance to Sri Lankas smaller university system.</w:t>
      </w:r>
    </w:p>
    <w:p w14:paraId="2622CFB6" w14:textId="1433BBBA" w:rsidR="00E32CC9" w:rsidRDefault="00AB2F68" w:rsidP="00EF66BB">
      <w:pPr>
        <w:pStyle w:val="Heading2"/>
      </w:pPr>
      <w:r>
        <w:t xml:space="preserve">Regional </w:t>
      </w:r>
      <w:r w:rsidR="001A0FAD">
        <w:t>p</w:t>
      </w:r>
      <w:r>
        <w:t>erspectives</w:t>
      </w:r>
    </w:p>
    <w:p w14:paraId="208733A3" w14:textId="3EE9EB29" w:rsidR="00E32CC9" w:rsidRDefault="00420A0D" w:rsidP="00BB1DF8">
      <w:r>
        <w:lastRenderedPageBreak/>
        <w:t xml:space="preserve">Brain-drain </w:t>
      </w:r>
      <w:r w:rsidR="00AB2F68">
        <w:t>in South Asia is both extensive and multifaceted. Research on India shows that while the emigration of IT and medical professionals initially led to shortages, diaspora engagement policies have produced long-term gains through reverse migration, foreign investment, and knowledge transfer (</w:t>
      </w:r>
      <w:proofErr w:type="spellStart"/>
      <w:r w:rsidR="00AB2F68">
        <w:t>Docquier</w:t>
      </w:r>
      <w:proofErr w:type="spellEnd"/>
      <w:r w:rsidR="00AB2F68">
        <w:t xml:space="preserve"> &amp; Rapoport, 2012). Pakistan, by contrast, continues to struggle with retaining medical graduates, with surveys capturing high migration intentions attributable to poor working conditions and limited professional autonomy (Nadir et al., 2023). Nepal has experienced similar health worker and academic emigration, with mixed evidence on remittance gains relative to service deficits (Islam, 2022).</w:t>
      </w:r>
    </w:p>
    <w:p w14:paraId="14E372BC" w14:textId="4EEA76C1" w:rsidR="007440C9" w:rsidRDefault="007440C9" w:rsidP="00D87F0D">
      <w:pPr>
        <w:ind w:firstLine="720"/>
      </w:pPr>
      <w:r w:rsidRPr="007440C9">
        <w:t xml:space="preserve">Vietnam and the Philippines offer instructive contrasts to the Sri Lankan experience. Vietnam, which experienced substantial academic and medical emigration in the 1990s and 2000s, implemented a structured </w:t>
      </w:r>
      <w:r w:rsidR="001642D6">
        <w:t>brain circulation</w:t>
      </w:r>
      <w:r w:rsidRPr="007440C9">
        <w:t xml:space="preserve"> </w:t>
      </w:r>
      <w:proofErr w:type="spellStart"/>
      <w:r w:rsidRPr="007440C9">
        <w:t>programme</w:t>
      </w:r>
      <w:proofErr w:type="spellEnd"/>
      <w:r w:rsidR="006F0FC0">
        <w:t xml:space="preserve">, </w:t>
      </w:r>
      <w:r w:rsidRPr="007440C9">
        <w:t>the Overseas Vietnamese (Viet Kieu) initiative</w:t>
      </w:r>
      <w:r w:rsidR="006F0FC0">
        <w:t xml:space="preserve">, </w:t>
      </w:r>
      <w:r w:rsidRPr="007440C9">
        <w:t xml:space="preserve">that provided financial incentives, academic recognition, and administrative facilitation for diaspora professionals to contribute to domestic institutions on short-term or part-time bases (Waibel et al., 2021). The result was a measurable increase in co-authored international publications and technology transfer without requiring permanent return. The Philippines has similarly leveraged the professional diaspora through the Commission on Filipinos Overseas, establishing networks of physicians, engineers, and educators that channel skills and investment back to domestic institutions (Yang, 2022). Both cases demonstrate that </w:t>
      </w:r>
      <w:r w:rsidR="001642D6">
        <w:t>brain circulation</w:t>
      </w:r>
      <w:r w:rsidRPr="007440C9">
        <w:t xml:space="preserve"> is not a natural market outcome but a policy achievement</w:t>
      </w:r>
      <w:r w:rsidR="006F0FC0">
        <w:t xml:space="preserve">, </w:t>
      </w:r>
      <w:r w:rsidRPr="007440C9">
        <w:t>one that requires deliberate institutional architecture that Sri Lanka has not yet constructed.</w:t>
      </w:r>
    </w:p>
    <w:p w14:paraId="7DD4C8BB" w14:textId="344A9A24" w:rsidR="00E32CC9" w:rsidRDefault="00AB2F68">
      <w:pPr>
        <w:ind w:firstLine="720"/>
      </w:pPr>
      <w:r>
        <w:t xml:space="preserve">Sri Lankas situation, while comparable, is distinctive in scale relative to population size. Political instability, macroeconomic volatility, and weak institutional incentives are identified as key migration drivers (Kaluarachchi &amp; Jayathilaka, 2024). Compared with larger </w:t>
      </w:r>
      <w:proofErr w:type="spellStart"/>
      <w:r>
        <w:t>neighbouring</w:t>
      </w:r>
      <w:proofErr w:type="spellEnd"/>
      <w:r>
        <w:t xml:space="preserve"> </w:t>
      </w:r>
      <w:r>
        <w:lastRenderedPageBreak/>
        <w:t>countries, Sri Lanka lacks a well-formulated policy environment capable of converting professional migration into a development advantage, thereby exposing the country to long-term governance and innovation deficits.</w:t>
      </w:r>
    </w:p>
    <w:p w14:paraId="6725A9F0" w14:textId="0FDC65E5" w:rsidR="00E32CC9" w:rsidRDefault="00420A0D" w:rsidP="006C60BE">
      <w:pPr>
        <w:pStyle w:val="Heading2"/>
      </w:pPr>
      <w:r>
        <w:t xml:space="preserve">Brain-drain </w:t>
      </w:r>
      <w:r w:rsidR="00AB2F68">
        <w:t xml:space="preserve">and </w:t>
      </w:r>
      <w:r w:rsidR="001A0FAD">
        <w:t>e</w:t>
      </w:r>
      <w:r w:rsidR="00AB2F68">
        <w:t xml:space="preserve">conomic </w:t>
      </w:r>
      <w:r w:rsidR="001A0FAD">
        <w:t>g</w:t>
      </w:r>
      <w:r w:rsidR="00AB2F68">
        <w:t>rowth</w:t>
      </w:r>
    </w:p>
    <w:p w14:paraId="2AF54DB5" w14:textId="4538B3D5" w:rsidR="00E32CC9" w:rsidRDefault="00AB2F68" w:rsidP="00BB1DF8">
      <w:r>
        <w:t xml:space="preserve">The link between </w:t>
      </w:r>
      <w:r w:rsidR="00420A0D">
        <w:t xml:space="preserve">brain-drain </w:t>
      </w:r>
      <w:r>
        <w:t xml:space="preserve">and economic growth is not straightforward. Barro (2001) and Hanushek and </w:t>
      </w:r>
      <w:proofErr w:type="spellStart"/>
      <w:r>
        <w:t>Woessmann</w:t>
      </w:r>
      <w:proofErr w:type="spellEnd"/>
      <w:r>
        <w:t xml:space="preserve"> (2008) </w:t>
      </w:r>
      <w:proofErr w:type="spellStart"/>
      <w:r>
        <w:t>emphasise</w:t>
      </w:r>
      <w:proofErr w:type="spellEnd"/>
      <w:r>
        <w:t xml:space="preserve"> the contribution of human capital in growth regressions but caution that institutional quality is a critical mediating variable. Pritchett (2001) reinforces the argument that human capital accumulation, in the absence of sound governance and absorptive capacity, is not necessarily reflected in economic growth. These findings have parallels in the Sri Lankan context,</w:t>
      </w:r>
      <w:r w:rsidR="008F37B3">
        <w:t xml:space="preserve"> </w:t>
      </w:r>
      <w:proofErr w:type="gramStart"/>
      <w:r>
        <w:t>where</w:t>
      </w:r>
      <w:proofErr w:type="gramEnd"/>
      <w:r w:rsidR="008F37B3">
        <w:t xml:space="preserve"> </w:t>
      </w:r>
      <w:r>
        <w:t>professional emigration exhibits statistically significant but economically modest effects on GDP growth. The paradox is that although professionals constitute an important component of human capital, their shortage at the macro level may not produce large measurable effects on GDP, even as the social costs remain high.</w:t>
      </w:r>
    </w:p>
    <w:p w14:paraId="1FB2D35A" w14:textId="7ABA1AF0" w:rsidR="00E32CC9" w:rsidRDefault="00AB2F68" w:rsidP="00196B5A">
      <w:pPr>
        <w:pStyle w:val="Heading2"/>
      </w:pPr>
      <w:r>
        <w:t xml:space="preserve">Theoretical </w:t>
      </w:r>
      <w:r w:rsidR="001A0FAD">
        <w:t>f</w:t>
      </w:r>
      <w:r>
        <w:t>rameworks</w:t>
      </w:r>
    </w:p>
    <w:p w14:paraId="4AF85025" w14:textId="45D09950" w:rsidR="00F623DE" w:rsidRDefault="00AB2F68" w:rsidP="00BB1DF8">
      <w:r>
        <w:t>T</w:t>
      </w:r>
      <w:r w:rsidR="00C3679C">
        <w:t>hree</w:t>
      </w:r>
      <w:r>
        <w:t xml:space="preserve"> broad theoretical paradigms prevail in the literature. The human capital flight model </w:t>
      </w:r>
      <w:proofErr w:type="spellStart"/>
      <w:r>
        <w:t>emphasises</w:t>
      </w:r>
      <w:proofErr w:type="spellEnd"/>
      <w:r>
        <w:t xml:space="preserve"> losses to the domestic economy when skilled workers migrate (Beine et al., 2001), highlighting fiscal expenditures, reduced service provision, and slowed innovation. The diaspora externalities model, however, </w:t>
      </w:r>
      <w:proofErr w:type="spellStart"/>
      <w:r>
        <w:t>emphasises</w:t>
      </w:r>
      <w:proofErr w:type="spellEnd"/>
      <w:r>
        <w:t xml:space="preserve"> remittances, skill transmission, and network externalities as potential gains (Mohamed et al., 2024). A third, more integrative perspective is the </w:t>
      </w:r>
      <w:r w:rsidR="001642D6">
        <w:t>brain circulation</w:t>
      </w:r>
      <w:r>
        <w:t xml:space="preserve"> model, which focuses on return movement and temporary migration, viewing emigration as participation in a dynamic global </w:t>
      </w:r>
      <w:proofErr w:type="spellStart"/>
      <w:r>
        <w:t>labour</w:t>
      </w:r>
      <w:proofErr w:type="spellEnd"/>
      <w:r>
        <w:t xml:space="preserve"> market (Gibson &amp; McKenzie, 2012). </w:t>
      </w:r>
    </w:p>
    <w:p w14:paraId="77D1E502" w14:textId="3304EDE5" w:rsidR="00D56856" w:rsidRDefault="00D56856" w:rsidP="00433A1B">
      <w:pPr>
        <w:ind w:firstLine="720"/>
      </w:pPr>
      <w:r>
        <w:t xml:space="preserve">For Sri Lanka, elements of all three frameworks simultaneously apply: remittance inflows contribute to macroeconomic stability (consistent with the diaspora externalities model), sectoral </w:t>
      </w:r>
      <w:r>
        <w:lastRenderedPageBreak/>
        <w:t xml:space="preserve">shortages are evident in health and academia (consistent with human capital depletion), and return flows remain largely </w:t>
      </w:r>
      <w:proofErr w:type="spellStart"/>
      <w:r>
        <w:t>unrealised</w:t>
      </w:r>
      <w:proofErr w:type="spellEnd"/>
      <w:r>
        <w:t xml:space="preserve"> (inconsistent with the </w:t>
      </w:r>
      <w:r w:rsidR="001642D6">
        <w:t>brain circulation</w:t>
      </w:r>
      <w:r>
        <w:t xml:space="preserve"> expectation). This coexistence of frameworks generates a specific and testable theoretical expectation for the Sri Lankan context. If human capital depletion is the dominant mechanism, the VECM should produce substantial negative long-run coefficients on all migration variables. If the diaspora externalities mechanism is also at work</w:t>
      </w:r>
      <w:r w:rsidR="006F0FC0">
        <w:t xml:space="preserve">, </w:t>
      </w:r>
      <w:r>
        <w:t>with remittances offsetting productivity losses at the macroeconomic level</w:t>
      </w:r>
      <w:r w:rsidR="006F0FC0">
        <w:t xml:space="preserve">, </w:t>
      </w:r>
      <w:r>
        <w:t xml:space="preserve">the coefficients should be statistically significant but economically modest. And if </w:t>
      </w:r>
      <w:r w:rsidR="001642D6">
        <w:t>brain circulation</w:t>
      </w:r>
      <w:r>
        <w:t xml:space="preserve"> remains underdeveloped due to policy inaction, the short-run coefficients should be weak across most professional groups, with structural effects accumulating only over the long run. Three propositions follow from this synthesis:</w:t>
      </w:r>
    </w:p>
    <w:p w14:paraId="4A4B7F21" w14:textId="77777777" w:rsidR="00D56856" w:rsidRDefault="00D56856" w:rsidP="007F13FD">
      <w:pPr>
        <w:pStyle w:val="ListParagraph"/>
        <w:numPr>
          <w:ilvl w:val="0"/>
          <w:numId w:val="4"/>
        </w:numPr>
        <w:spacing w:line="480" w:lineRule="auto"/>
        <w:jc w:val="both"/>
      </w:pPr>
      <w:r>
        <w:t>P1: Professional emigration will exhibit a statistically significant negative long-run relationship with GDP growth across all four professional categories, consistent with cumulative human capital depletion.</w:t>
      </w:r>
    </w:p>
    <w:p w14:paraId="4D58E323" w14:textId="77777777" w:rsidR="00D56856" w:rsidRDefault="00D56856" w:rsidP="007F13FD">
      <w:pPr>
        <w:pStyle w:val="ListParagraph"/>
        <w:numPr>
          <w:ilvl w:val="0"/>
          <w:numId w:val="4"/>
        </w:numPr>
        <w:spacing w:line="480" w:lineRule="auto"/>
        <w:jc w:val="both"/>
      </w:pPr>
      <w:r>
        <w:t>P2: Short-run effects will be weak for most professional groups, reflecting the lag with which structural losses manifest in aggregate output and the partial buffering role of remittances at the macroeconomic level.</w:t>
      </w:r>
    </w:p>
    <w:p w14:paraId="660EA0DC" w14:textId="77777777" w:rsidR="00D56856" w:rsidRDefault="00D56856" w:rsidP="007F13FD">
      <w:pPr>
        <w:pStyle w:val="ListParagraph"/>
        <w:numPr>
          <w:ilvl w:val="0"/>
          <w:numId w:val="4"/>
        </w:numPr>
        <w:spacing w:line="480" w:lineRule="auto"/>
        <w:jc w:val="both"/>
      </w:pPr>
      <w:r>
        <w:t>P3: The magnitude of long-run effects will vary across sectors, with university academics exhibiting the largest coefficient, reflecting the disproportionate role of higher education and research-based human capital in long-run productivity growth.</w:t>
      </w:r>
    </w:p>
    <w:p w14:paraId="1408B3EC" w14:textId="70E6084E" w:rsidR="00E32CC9" w:rsidRDefault="00153F4D" w:rsidP="0084089C">
      <w:pPr>
        <w:pStyle w:val="Heading1"/>
      </w:pPr>
      <w:r>
        <w:t xml:space="preserve">Materials and </w:t>
      </w:r>
      <w:r w:rsidR="00AB2F68">
        <w:t>Metho</w:t>
      </w:r>
      <w:r w:rsidR="0084089C">
        <w:t>s</w:t>
      </w:r>
    </w:p>
    <w:p w14:paraId="17B4510A" w14:textId="7FB8A7CB" w:rsidR="007B3B2F" w:rsidRDefault="007B3B2F" w:rsidP="00643C1D">
      <w:r>
        <w:t xml:space="preserve">This study </w:t>
      </w:r>
      <w:r w:rsidR="0005303A">
        <w:t>is an</w:t>
      </w:r>
      <w:r>
        <w:t xml:space="preserve"> integration of VECM and </w:t>
      </w:r>
      <w:r w:rsidR="00930F06">
        <w:t>PDA</w:t>
      </w:r>
      <w:r>
        <w:t xml:space="preserve">: the VECM identifies statistical regularities in the relationship between professional emigration and GDP growth across time, while the discourse </w:t>
      </w:r>
      <w:r>
        <w:lastRenderedPageBreak/>
        <w:t xml:space="preserve">analysis reveals the institutional and ideological frameworks within which those regularities are constructed, interpreted, and acted upon. Neither method alone is sufficient. The VECM cannot explain why </w:t>
      </w:r>
      <w:r w:rsidR="00420A0D">
        <w:t xml:space="preserve">brain-drain </w:t>
      </w:r>
      <w:r>
        <w:t>is framed as it is in policy documents; the discourse analysis cannot establish whether migration produces measurable macroeconomic effects. Together, anchored in structured pluralism, they produce a more complete account than either could achieve in isolation.</w:t>
      </w:r>
    </w:p>
    <w:p w14:paraId="5598F86C" w14:textId="2FDC1C79" w:rsidR="00E32CC9" w:rsidRDefault="00AB2F68" w:rsidP="007B3B2F">
      <w:pPr>
        <w:ind w:firstLine="720"/>
      </w:pPr>
      <w:r>
        <w:t xml:space="preserve">The methodological framework is guided by two overarching objectives. First, it seeks to evaluate the net benefits and costs of professional migration for Sri Lanka, with particular attention to GDP growth, remittance inflows, and fiscal sustainability. Second, it aims to offer comparative insight into the economic and social consequences of </w:t>
      </w:r>
      <w:r w:rsidR="00420A0D">
        <w:t xml:space="preserve">brain-drain </w:t>
      </w:r>
      <w:r>
        <w:t>by explicitly accounting for professional heterogeneity across health, engineering, accountancy, and academia. Addressing these objectives necessitates an integrated research design combining econometric modelling with documentary review and discourse analysis.</w:t>
      </w:r>
    </w:p>
    <w:p w14:paraId="687F22B8" w14:textId="498314FD" w:rsidR="00E32CC9" w:rsidRDefault="00AB2F68" w:rsidP="00214888">
      <w:pPr>
        <w:pStyle w:val="Heading2"/>
      </w:pPr>
      <w:r>
        <w:t xml:space="preserve">Integrated </w:t>
      </w:r>
      <w:r w:rsidR="001A0FAD">
        <w:t>m</w:t>
      </w:r>
      <w:r>
        <w:t xml:space="preserve">ethodological </w:t>
      </w:r>
      <w:r w:rsidR="001A0FAD">
        <w:t>l</w:t>
      </w:r>
      <w:r>
        <w:t>ayers</w:t>
      </w:r>
    </w:p>
    <w:p w14:paraId="7063E4BA" w14:textId="6FF5FA03" w:rsidR="00E32CC9" w:rsidRDefault="00EC3529" w:rsidP="00B2063C">
      <w:pPr>
        <w:pStyle w:val="Heading3"/>
      </w:pPr>
      <w:r>
        <w:t xml:space="preserve">Data </w:t>
      </w:r>
      <w:r w:rsidR="001A0FAD">
        <w:t>c</w:t>
      </w:r>
      <w:r>
        <w:t>ollection</w:t>
      </w:r>
    </w:p>
    <w:p w14:paraId="434AA563" w14:textId="02E0D0F3" w:rsidR="00E32CC9" w:rsidRDefault="00AB2F68" w:rsidP="00BB1DF8">
      <w:r>
        <w:t>A systematic search of institutional reports</w:t>
      </w:r>
      <w:r w:rsidR="00AD6CFA">
        <w:t xml:space="preserve">, </w:t>
      </w:r>
      <w:r w:rsidR="00AD6CFA" w:rsidRPr="00890F0E">
        <w:t>policy documents</w:t>
      </w:r>
      <w:r w:rsidR="00F63476">
        <w:t xml:space="preserve">, </w:t>
      </w:r>
      <w:r w:rsidR="00AD6CFA" w:rsidRPr="00890F0E">
        <w:t>media coverage</w:t>
      </w:r>
      <w:r>
        <w:t xml:space="preserve"> and databases was conducted to establish the basis of the study. Principal data sources were the Sri Lanka Bureau of Foreign Employment (SLBFE), the Central Bank of Sri Lanka, and the World Bank Development Indicators. Annual professional migration flow data</w:t>
      </w:r>
      <w:r w:rsidR="00AD3EE3">
        <w:t xml:space="preserve">, </w:t>
      </w:r>
      <w:r>
        <w:t>covering health professionals, engineers, accountants, and university academics</w:t>
      </w:r>
      <w:r w:rsidR="00AD3EE3">
        <w:t xml:space="preserve">, </w:t>
      </w:r>
      <w:r>
        <w:t>alongside GDP growth data were collected for the period 1999–2023.</w:t>
      </w:r>
    </w:p>
    <w:p w14:paraId="21B79D82" w14:textId="75C8BFAD" w:rsidR="00E32CC9" w:rsidRDefault="00AB2F68" w:rsidP="00EC3529">
      <w:pPr>
        <w:pStyle w:val="Heading3"/>
      </w:pPr>
      <w:r>
        <w:t xml:space="preserve">Econometric </w:t>
      </w:r>
      <w:r w:rsidR="001A0FAD">
        <w:t>m</w:t>
      </w:r>
      <w:r>
        <w:t>odelling</w:t>
      </w:r>
    </w:p>
    <w:p w14:paraId="1C225633" w14:textId="1FE94E29" w:rsidR="00E32CC9" w:rsidRDefault="00AB2F68" w:rsidP="00BB1DF8">
      <w:r>
        <w:t>To capture the dynamic relationship between economic growth and migration, a VECM was applied</w:t>
      </w:r>
      <w:r w:rsidR="00FA38EF">
        <w:t xml:space="preserve"> with one year lag</w:t>
      </w:r>
      <w:r>
        <w:t xml:space="preserve">. This framework is well suited to the analysis of cointegrated time series, </w:t>
      </w:r>
      <w:r>
        <w:lastRenderedPageBreak/>
        <w:t>as it distinguishes between long-run equilibrium and short-run deviations. The baseline model is specified as:</w:t>
      </w:r>
    </w:p>
    <w:p w14:paraId="6C51B16D" w14:textId="7FB2F6B2" w:rsidR="00E32CC9" w:rsidRDefault="00AB2F68">
      <w:pPr>
        <w:spacing w:before="120" w:after="120" w:line="360" w:lineRule="auto"/>
        <w:jc w:val="center"/>
      </w:pPr>
      <w:proofErr w:type="spellStart"/>
      <w:r>
        <w:rPr>
          <w:i/>
          <w:iCs/>
        </w:rPr>
        <w:t>ΔlnGDP</w:t>
      </w:r>
      <w:proofErr w:type="spellEnd"/>
      <w:r>
        <w:t xml:space="preserve"> = β0 + β1HealthMig + β2AccountMig + β3EngineerMig + β4UnivMig + ε</w:t>
      </w:r>
    </w:p>
    <w:p w14:paraId="5BB57C61" w14:textId="06EA71C2" w:rsidR="001A4985" w:rsidRPr="001A4985" w:rsidRDefault="001A4985" w:rsidP="001A4985">
      <w:pPr>
        <w:ind w:firstLine="720"/>
      </w:pPr>
      <w:r w:rsidRPr="001A4985">
        <w:t>A significant data limitation must be acknowledged at the outset. Although remittance inflows constitute a theoretically important offsetting mechanism</w:t>
      </w:r>
      <w:r w:rsidR="006F0FC0">
        <w:t xml:space="preserve">, </w:t>
      </w:r>
      <w:r w:rsidRPr="001A4985">
        <w:t>and aggregate Sri Lankan remittances are publicly documented at approximately USD 6 billion for 2023</w:t>
      </w:r>
      <w:r w:rsidR="006F0FC0">
        <w:t xml:space="preserve">, </w:t>
      </w:r>
      <w:r w:rsidRPr="001A4985">
        <w:t xml:space="preserve">professional-specific remittance data disaggregated by occupational category are not available in any published source for the full study period. The SLBFE and Central Bank of Sri Lanka report remittance flows by destination country and broad skill category but do not distinguish remittances attributable to medical professionals, accountants, engineers, or university academics separately. Accordingly, remittances could not be included as a control variable in the VECM specification. This constitutes a limitation: the observed small GDP coefficients on migration variables may partly reflect remittance offset effects operating through the residual, but this cannot be confirmed or quantified from within the present empirical design. All interpretations of the magnitude of </w:t>
      </w:r>
      <w:r w:rsidR="00420A0D">
        <w:t xml:space="preserve">brain-drain </w:t>
      </w:r>
      <w:r w:rsidRPr="001A4985">
        <w:t>effects on GDP should be read with this caveat in mind.</w:t>
      </w:r>
    </w:p>
    <w:p w14:paraId="151086B4" w14:textId="2D08321E" w:rsidR="00E32CC9" w:rsidRDefault="00AB2F68">
      <w:pPr>
        <w:ind w:firstLine="720"/>
      </w:pPr>
      <w:r>
        <w:t xml:space="preserve">GDP growth is specified as the dependent variable, while migration flows from the four professional groups serve as key explanatory variables. A series of diagnostic tests was conducted to ensure the validity and reliability of the empirical specification. Stationarity was assessed using the Augmented Dickey–Fuller (ADF) test, which confirmed that all variables are integrated of order one, </w:t>
      </w:r>
      <w:proofErr w:type="gramStart"/>
      <w:r>
        <w:t>I(</w:t>
      </w:r>
      <w:proofErr w:type="gramEnd"/>
      <w:r>
        <w:t xml:space="preserve">1). Lag length selection was carried out using the Akaike Information Criterion (AIC) and the Schwarz Information Criterion (SIC). The presence of long-run equilibrium relationships among the variables was examined using </w:t>
      </w:r>
      <w:proofErr w:type="spellStart"/>
      <w:r>
        <w:t>Johansens</w:t>
      </w:r>
      <w:proofErr w:type="spellEnd"/>
      <w:r>
        <w:t xml:space="preserve"> cointegration tests. Standard residual </w:t>
      </w:r>
      <w:r>
        <w:lastRenderedPageBreak/>
        <w:t>diagnostics</w:t>
      </w:r>
      <w:r w:rsidR="00AD3EE3">
        <w:t xml:space="preserve">, </w:t>
      </w:r>
      <w:r>
        <w:t>including tests for normality, heteroskedasticity, and serial correlation</w:t>
      </w:r>
      <w:r w:rsidR="00AD3EE3">
        <w:t xml:space="preserve">, </w:t>
      </w:r>
      <w:r>
        <w:t>were performed to confirm model consistency.</w:t>
      </w:r>
    </w:p>
    <w:p w14:paraId="360C74A5" w14:textId="209B7AD4" w:rsidR="00E32CC9" w:rsidRDefault="002C77E5" w:rsidP="00930F06">
      <w:pPr>
        <w:pStyle w:val="Heading2"/>
      </w:pPr>
      <w:r w:rsidRPr="001A4985">
        <w:t xml:space="preserve">Policy </w:t>
      </w:r>
      <w:r w:rsidR="001A0FAD">
        <w:t>d</w:t>
      </w:r>
      <w:r w:rsidRPr="001A4985">
        <w:t xml:space="preserve">iscourse </w:t>
      </w:r>
      <w:r w:rsidR="001A0FAD">
        <w:t>a</w:t>
      </w:r>
      <w:r w:rsidRPr="001A4985">
        <w:t>nalysis</w:t>
      </w:r>
      <w:r w:rsidR="00930F06">
        <w:t xml:space="preserve"> (PDA)</w:t>
      </w:r>
    </w:p>
    <w:p w14:paraId="379463DA" w14:textId="4A21FADD" w:rsidR="00890F0E" w:rsidRDefault="00890F0E" w:rsidP="00890F0E">
      <w:r w:rsidRPr="00890F0E">
        <w:t>Rather than applying the full apparatus of Critical Discourse Analysis</w:t>
      </w:r>
      <w:r w:rsidR="00930F06">
        <w:t xml:space="preserve"> (CDA)</w:t>
      </w:r>
      <w:r w:rsidR="006F0FC0">
        <w:t xml:space="preserve">, </w:t>
      </w:r>
      <w:r w:rsidRPr="00890F0E">
        <w:t>which would require sustained close linguistic reading of primary texts</w:t>
      </w:r>
      <w:r w:rsidR="006F0FC0">
        <w:t xml:space="preserve">, </w:t>
      </w:r>
      <w:r w:rsidRPr="00890F0E">
        <w:t xml:space="preserve">this study conducts a systematic thematic analysis of documentary sources to identify dominant narratives, recurring framings, and notable silences in the official discourse on professional emigration. The analytical focus is on the policy and institutional level: what is said, what is omitted, and what framing of </w:t>
      </w:r>
      <w:r w:rsidR="00420A0D">
        <w:t xml:space="preserve">brain-drain </w:t>
      </w:r>
      <w:r w:rsidRPr="00890F0E">
        <w:t>is thereby reproduced.</w:t>
      </w:r>
    </w:p>
    <w:p w14:paraId="46EE37B0" w14:textId="42ABEB22" w:rsidR="00E32CC9" w:rsidRDefault="00AB2F68">
      <w:pPr>
        <w:ind w:firstLine="720"/>
      </w:pPr>
      <w:r>
        <w:t xml:space="preserve">The study is informed by a critical-realist epistemological position (Bhaskar, 1978; Pawson &amp; Tilley, 1997), which situates professional migration as a structural phenomenon shaped by conjunctural economic, political, and institutional factors. By examining migration through the dimensions of policy, practice, people, purpose, and power, the framework brings to light institutional weaknesses and ethical concerns that are often obscured in more narrowly focused analytical approaches. </w:t>
      </w:r>
      <w:r w:rsidR="00707496">
        <w:t>This</w:t>
      </w:r>
      <w:r>
        <w:t xml:space="preserve"> framework allows the study to </w:t>
      </w:r>
      <w:proofErr w:type="spellStart"/>
      <w:r>
        <w:t>conceptualise</w:t>
      </w:r>
      <w:proofErr w:type="spellEnd"/>
      <w:r>
        <w:t xml:space="preserve"> </w:t>
      </w:r>
      <w:r w:rsidR="00420A0D">
        <w:t xml:space="preserve">brain-drain </w:t>
      </w:r>
      <w:r>
        <w:t xml:space="preserve">not simply as a numerical outflow of skilled </w:t>
      </w:r>
      <w:proofErr w:type="spellStart"/>
      <w:r>
        <w:t>labour</w:t>
      </w:r>
      <w:proofErr w:type="spellEnd"/>
      <w:r>
        <w:t xml:space="preserve"> but as a multidimensional process shaped by economic conditions, policy choices, and issues of social justice.</w:t>
      </w:r>
    </w:p>
    <w:p w14:paraId="7B4ECB66" w14:textId="2E7776FA" w:rsidR="002D15DA" w:rsidRDefault="00315244" w:rsidP="003243BC">
      <w:pPr>
        <w:ind w:firstLine="720"/>
      </w:pPr>
      <w:r w:rsidRPr="00315244">
        <w:t xml:space="preserve">The adoption of this integrated design reflects the recognition that Sri Lankas </w:t>
      </w:r>
      <w:r w:rsidR="00420A0D">
        <w:t xml:space="preserve">brain-drain </w:t>
      </w:r>
      <w:r w:rsidRPr="00315244">
        <w:t xml:space="preserve">must be examined from multiple disciplinary perspectives. Econometric modelling provides statistical </w:t>
      </w:r>
      <w:proofErr w:type="spellStart"/>
      <w:r w:rsidRPr="00315244">
        <w:t>rigour</w:t>
      </w:r>
      <w:proofErr w:type="spellEnd"/>
      <w:r w:rsidRPr="00315244">
        <w:t xml:space="preserve"> but cannot illuminate the institutional constructions and policy contradictions embedded in migration decisions. Discourse analysis without quantitative grounding risks anecdotal </w:t>
      </w:r>
      <w:proofErr w:type="spellStart"/>
      <w:r w:rsidRPr="00315244">
        <w:t>generalisation</w:t>
      </w:r>
      <w:proofErr w:type="spellEnd"/>
      <w:r w:rsidRPr="00315244">
        <w:t>. Combining the two positions the research on a structured pluralist foundation (Saliya, 2022, 2023), enabling both depth and breadth of analysis.</w:t>
      </w:r>
    </w:p>
    <w:p w14:paraId="63D50458" w14:textId="2A81FF2C" w:rsidR="00E32CC9" w:rsidRDefault="00AB2F68" w:rsidP="00476FE1">
      <w:pPr>
        <w:pStyle w:val="Heading1"/>
      </w:pPr>
      <w:r>
        <w:lastRenderedPageBreak/>
        <w:t>Results</w:t>
      </w:r>
    </w:p>
    <w:p w14:paraId="7E147D0E" w14:textId="381C12A3" w:rsidR="00E32CC9" w:rsidRDefault="00AB2F68" w:rsidP="00CC5873">
      <w:r>
        <w:t xml:space="preserve">Findings are presented in two parts. First, the short- and long-run impacts of professional migration on Sri Lankas GDP. Second, the </w:t>
      </w:r>
      <w:r w:rsidR="00930F06">
        <w:t>P</w:t>
      </w:r>
      <w:r>
        <w:t xml:space="preserve">DA findings examine how </w:t>
      </w:r>
      <w:r w:rsidR="00420A0D">
        <w:t xml:space="preserve">brain-drain </w:t>
      </w:r>
      <w:r>
        <w:t xml:space="preserve">is constructed in policy and institutional discourse, thereby </w:t>
      </w:r>
      <w:proofErr w:type="spellStart"/>
      <w:r>
        <w:t>contextualising</w:t>
      </w:r>
      <w:proofErr w:type="spellEnd"/>
      <w:r>
        <w:t xml:space="preserve"> the econometric results within broader narratives.</w:t>
      </w:r>
    </w:p>
    <w:p w14:paraId="730E8129" w14:textId="6752BB81" w:rsidR="00E32CC9" w:rsidRDefault="00AB2F68" w:rsidP="00BD7887">
      <w:pPr>
        <w:pStyle w:val="Heading2"/>
      </w:pPr>
      <w:r>
        <w:t xml:space="preserve">Model </w:t>
      </w:r>
      <w:r w:rsidR="00E84823">
        <w:t>d</w:t>
      </w:r>
      <w:r>
        <w:t>iagnostics</w:t>
      </w:r>
    </w:p>
    <w:p w14:paraId="0E7E047F" w14:textId="25551F12" w:rsidR="00E32CC9" w:rsidRDefault="00AB2F68" w:rsidP="00BD7887">
      <w:pPr>
        <w:pStyle w:val="Heading3"/>
      </w:pPr>
      <w:r>
        <w:t xml:space="preserve">Unit </w:t>
      </w:r>
      <w:r w:rsidR="00E84823">
        <w:t>r</w:t>
      </w:r>
      <w:r>
        <w:t xml:space="preserve">oot </w:t>
      </w:r>
      <w:r w:rsidR="00E84823">
        <w:t>t</w:t>
      </w:r>
      <w:r>
        <w:t xml:space="preserve">ests and </w:t>
      </w:r>
      <w:r w:rsidR="00E84823">
        <w:t>l</w:t>
      </w:r>
      <w:r>
        <w:t xml:space="preserve">ag </w:t>
      </w:r>
      <w:r w:rsidR="00E84823">
        <w:t>s</w:t>
      </w:r>
      <w:r>
        <w:t>election</w:t>
      </w:r>
    </w:p>
    <w:p w14:paraId="137F46B2" w14:textId="57483D90" w:rsidR="00E32CC9" w:rsidRDefault="00AB2F68" w:rsidP="00CC5873">
      <w:r>
        <w:t xml:space="preserve">Augmented Dickey–Fuller (ADF) tests were applied to all variables to assess stationarity. Results indicate that none of the variables is stationary at levels; however, all become stationary after first differencing, confirming integration of order one, </w:t>
      </w:r>
      <w:proofErr w:type="gramStart"/>
      <w:r>
        <w:t>I(</w:t>
      </w:r>
      <w:proofErr w:type="gramEnd"/>
      <w:r>
        <w:t>1)</w:t>
      </w:r>
      <w:r w:rsidR="00DC7929">
        <w:t xml:space="preserve"> (Table 1)</w:t>
      </w:r>
      <w:r>
        <w:t>. Optimal lag length was determined using AIC, HQIC, and LR criteria</w:t>
      </w:r>
      <w:r w:rsidR="00F1460F">
        <w:t xml:space="preserve"> Table 2)</w:t>
      </w:r>
      <w:r>
        <w:t>. All tests consistently identified two lags as the most appropriate specification, providing a balance between model fit and parsimony.</w:t>
      </w:r>
    </w:p>
    <w:p w14:paraId="38012397" w14:textId="77777777" w:rsidR="005378C4" w:rsidRDefault="005378C4" w:rsidP="00DC7929">
      <w:pPr>
        <w:spacing w:after="160" w:line="278" w:lineRule="auto"/>
        <w:rPr>
          <w:b/>
          <w:bCs/>
        </w:rPr>
        <w:sectPr w:rsidR="005378C4">
          <w:headerReference w:type="default" r:id="rId9"/>
          <w:footerReference w:type="default" r:id="rId10"/>
          <w:pgSz w:w="12240" w:h="15840"/>
          <w:pgMar w:top="1440" w:right="1440" w:bottom="1440" w:left="1440" w:header="708" w:footer="708" w:gutter="0"/>
          <w:cols w:space="720"/>
          <w:docGrid w:linePitch="360"/>
        </w:sectPr>
      </w:pPr>
    </w:p>
    <w:p w14:paraId="0C903C4F" w14:textId="0BE8D8AE" w:rsidR="00DC7929" w:rsidRPr="009604CB" w:rsidRDefault="00DC7929" w:rsidP="00DC7929">
      <w:pPr>
        <w:spacing w:after="160" w:line="278" w:lineRule="auto"/>
      </w:pPr>
      <w:r w:rsidRPr="009604CB">
        <w:rPr>
          <w:b/>
          <w:bCs/>
        </w:rPr>
        <w:lastRenderedPageBreak/>
        <w:t xml:space="preserve">Table 1: </w:t>
      </w:r>
      <w:r w:rsidRPr="009604CB">
        <w:t xml:space="preserve">ADF </w:t>
      </w:r>
      <w:r w:rsidR="00E84823">
        <w:t>u</w:t>
      </w:r>
      <w:r w:rsidRPr="009604CB">
        <w:t xml:space="preserve">nit </w:t>
      </w:r>
      <w:r w:rsidR="00E84823">
        <w:t>r</w:t>
      </w:r>
      <w:r w:rsidRPr="009604CB">
        <w:t xml:space="preserve">oot </w:t>
      </w:r>
      <w:r w:rsidR="00E84823">
        <w:t>t</w:t>
      </w:r>
      <w:r w:rsidRPr="009604CB">
        <w:t xml:space="preserve">est </w:t>
      </w:r>
      <w:r w:rsidR="00E84823">
        <w:t>r</w:t>
      </w:r>
      <w:r w:rsidRPr="009604CB">
        <w:t>esults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700"/>
        <w:gridCol w:w="1260"/>
        <w:gridCol w:w="735"/>
      </w:tblGrid>
      <w:tr w:rsidR="002E764E" w:rsidRPr="009604CB" w14:paraId="1F877E4C" w14:textId="77777777" w:rsidTr="00DC7929">
        <w:trPr>
          <w:tblHeader/>
          <w:tblCellSpacing w:w="15" w:type="dxa"/>
        </w:trPr>
        <w:tc>
          <w:tcPr>
            <w:tcW w:w="2655" w:type="dxa"/>
            <w:vAlign w:val="center"/>
            <w:hideMark/>
          </w:tcPr>
          <w:p w14:paraId="14666C48" w14:textId="77777777" w:rsidR="00DC7929" w:rsidRPr="009604CB" w:rsidRDefault="00DC7929" w:rsidP="00E314C0">
            <w:pPr>
              <w:spacing w:after="160" w:line="278" w:lineRule="auto"/>
              <w:rPr>
                <w:b/>
                <w:bCs/>
              </w:rPr>
            </w:pPr>
            <w:r w:rsidRPr="009604CB">
              <w:rPr>
                <w:b/>
                <w:bCs/>
              </w:rPr>
              <w:t>Variable</w:t>
            </w:r>
          </w:p>
        </w:tc>
        <w:tc>
          <w:tcPr>
            <w:tcW w:w="1230" w:type="dxa"/>
            <w:vAlign w:val="center"/>
            <w:hideMark/>
          </w:tcPr>
          <w:p w14:paraId="3854C7DF" w14:textId="77777777" w:rsidR="00DC7929" w:rsidRPr="009604CB" w:rsidRDefault="00DC7929" w:rsidP="00E314C0">
            <w:pPr>
              <w:spacing w:after="160" w:line="278" w:lineRule="auto"/>
              <w:rPr>
                <w:b/>
                <w:bCs/>
              </w:rPr>
            </w:pPr>
            <w:proofErr w:type="gramStart"/>
            <w:r w:rsidRPr="009604CB">
              <w:rPr>
                <w:b/>
                <w:bCs/>
              </w:rPr>
              <w:t>I(</w:t>
            </w:r>
            <w:proofErr w:type="gramEnd"/>
            <w:r w:rsidRPr="009604CB">
              <w:rPr>
                <w:b/>
                <w:bCs/>
              </w:rPr>
              <w:t>0)</w:t>
            </w:r>
          </w:p>
        </w:tc>
        <w:tc>
          <w:tcPr>
            <w:tcW w:w="675" w:type="dxa"/>
            <w:vAlign w:val="center"/>
            <w:hideMark/>
          </w:tcPr>
          <w:p w14:paraId="278474F4" w14:textId="77777777" w:rsidR="00DC7929" w:rsidRPr="009604CB" w:rsidRDefault="00DC7929" w:rsidP="00E314C0">
            <w:pPr>
              <w:spacing w:after="160" w:line="278" w:lineRule="auto"/>
              <w:rPr>
                <w:b/>
                <w:bCs/>
              </w:rPr>
            </w:pPr>
            <w:proofErr w:type="gramStart"/>
            <w:r w:rsidRPr="009604CB">
              <w:rPr>
                <w:b/>
                <w:bCs/>
              </w:rPr>
              <w:t>I(</w:t>
            </w:r>
            <w:proofErr w:type="gramEnd"/>
            <w:r w:rsidRPr="009604CB">
              <w:rPr>
                <w:b/>
                <w:bCs/>
              </w:rPr>
              <w:t>1)</w:t>
            </w:r>
          </w:p>
        </w:tc>
      </w:tr>
      <w:tr w:rsidR="00DC7929" w:rsidRPr="002E764E" w14:paraId="657D6669" w14:textId="77777777" w:rsidTr="00DC7929">
        <w:trPr>
          <w:tblCellSpacing w:w="15" w:type="dxa"/>
        </w:trPr>
        <w:tc>
          <w:tcPr>
            <w:tcW w:w="2655" w:type="dxa"/>
            <w:tcBorders>
              <w:top w:val="single" w:sz="4" w:space="0" w:color="auto"/>
              <w:bottom w:val="single" w:sz="4" w:space="0" w:color="auto"/>
            </w:tcBorders>
            <w:vAlign w:val="center"/>
            <w:hideMark/>
          </w:tcPr>
          <w:p w14:paraId="2C04F24B" w14:textId="77777777" w:rsidR="00DC7929" w:rsidRPr="009604CB" w:rsidRDefault="00DC7929" w:rsidP="00E314C0">
            <w:pPr>
              <w:spacing w:after="160" w:line="278" w:lineRule="auto"/>
            </w:pPr>
            <w:r w:rsidRPr="009604CB">
              <w:t>GDP</w:t>
            </w:r>
          </w:p>
        </w:tc>
        <w:tc>
          <w:tcPr>
            <w:tcW w:w="1230" w:type="dxa"/>
            <w:tcBorders>
              <w:top w:val="single" w:sz="4" w:space="0" w:color="auto"/>
              <w:bottom w:val="single" w:sz="4" w:space="0" w:color="auto"/>
            </w:tcBorders>
            <w:vAlign w:val="center"/>
            <w:hideMark/>
          </w:tcPr>
          <w:p w14:paraId="54CFE210" w14:textId="77777777" w:rsidR="00DC7929" w:rsidRPr="009604CB" w:rsidRDefault="00DC7929" w:rsidP="00E314C0">
            <w:pPr>
              <w:spacing w:after="160" w:line="278" w:lineRule="auto"/>
            </w:pPr>
            <w:r w:rsidRPr="009604CB">
              <w:t>0.3404</w:t>
            </w:r>
          </w:p>
        </w:tc>
        <w:tc>
          <w:tcPr>
            <w:tcW w:w="675" w:type="dxa"/>
            <w:tcBorders>
              <w:top w:val="single" w:sz="4" w:space="0" w:color="auto"/>
              <w:bottom w:val="single" w:sz="4" w:space="0" w:color="auto"/>
            </w:tcBorders>
            <w:vAlign w:val="center"/>
            <w:hideMark/>
          </w:tcPr>
          <w:p w14:paraId="46207034" w14:textId="77777777" w:rsidR="00DC7929" w:rsidRPr="009604CB" w:rsidRDefault="00DC7929" w:rsidP="00E314C0">
            <w:pPr>
              <w:spacing w:after="160" w:line="278" w:lineRule="auto"/>
            </w:pPr>
            <w:r w:rsidRPr="009604CB">
              <w:t>0.0001</w:t>
            </w:r>
          </w:p>
        </w:tc>
      </w:tr>
      <w:tr w:rsidR="002E764E" w:rsidRPr="009604CB" w14:paraId="01E44374" w14:textId="77777777" w:rsidTr="00DC7929">
        <w:trPr>
          <w:tblCellSpacing w:w="15" w:type="dxa"/>
        </w:trPr>
        <w:tc>
          <w:tcPr>
            <w:tcW w:w="2655" w:type="dxa"/>
            <w:vAlign w:val="center"/>
            <w:hideMark/>
          </w:tcPr>
          <w:p w14:paraId="16CEBD16" w14:textId="77777777" w:rsidR="00DC7929" w:rsidRPr="009604CB" w:rsidRDefault="00DC7929" w:rsidP="00E314C0">
            <w:pPr>
              <w:spacing w:after="160" w:line="278" w:lineRule="auto"/>
            </w:pPr>
            <w:r w:rsidRPr="009604CB">
              <w:t>Accountants</w:t>
            </w:r>
          </w:p>
        </w:tc>
        <w:tc>
          <w:tcPr>
            <w:tcW w:w="1230" w:type="dxa"/>
            <w:vAlign w:val="center"/>
            <w:hideMark/>
          </w:tcPr>
          <w:p w14:paraId="1438C0E6" w14:textId="77777777" w:rsidR="00DC7929" w:rsidRPr="009604CB" w:rsidRDefault="00DC7929" w:rsidP="00E314C0">
            <w:pPr>
              <w:spacing w:after="160" w:line="278" w:lineRule="auto"/>
            </w:pPr>
            <w:r w:rsidRPr="009604CB">
              <w:t>0.7460</w:t>
            </w:r>
          </w:p>
        </w:tc>
        <w:tc>
          <w:tcPr>
            <w:tcW w:w="675" w:type="dxa"/>
            <w:vAlign w:val="center"/>
            <w:hideMark/>
          </w:tcPr>
          <w:p w14:paraId="604CEB1B" w14:textId="77777777" w:rsidR="00DC7929" w:rsidRPr="009604CB" w:rsidRDefault="00DC7929" w:rsidP="00E314C0">
            <w:pPr>
              <w:spacing w:after="160" w:line="278" w:lineRule="auto"/>
            </w:pPr>
            <w:r w:rsidRPr="009604CB">
              <w:t>0.0006</w:t>
            </w:r>
          </w:p>
        </w:tc>
      </w:tr>
      <w:tr w:rsidR="00DC7929" w:rsidRPr="002E764E" w14:paraId="1474269E" w14:textId="77777777" w:rsidTr="00DC7929">
        <w:trPr>
          <w:tblCellSpacing w:w="15" w:type="dxa"/>
        </w:trPr>
        <w:tc>
          <w:tcPr>
            <w:tcW w:w="2655" w:type="dxa"/>
            <w:tcBorders>
              <w:top w:val="single" w:sz="4" w:space="0" w:color="auto"/>
              <w:bottom w:val="single" w:sz="4" w:space="0" w:color="auto"/>
            </w:tcBorders>
            <w:vAlign w:val="center"/>
            <w:hideMark/>
          </w:tcPr>
          <w:p w14:paraId="2CFC680C" w14:textId="77777777" w:rsidR="00DC7929" w:rsidRPr="009604CB" w:rsidRDefault="00DC7929" w:rsidP="00E314C0">
            <w:pPr>
              <w:spacing w:after="160" w:line="278" w:lineRule="auto"/>
            </w:pPr>
            <w:r w:rsidRPr="009604CB">
              <w:t>Engineers</w:t>
            </w:r>
          </w:p>
        </w:tc>
        <w:tc>
          <w:tcPr>
            <w:tcW w:w="1230" w:type="dxa"/>
            <w:tcBorders>
              <w:top w:val="single" w:sz="4" w:space="0" w:color="auto"/>
              <w:bottom w:val="single" w:sz="4" w:space="0" w:color="auto"/>
            </w:tcBorders>
            <w:vAlign w:val="center"/>
            <w:hideMark/>
          </w:tcPr>
          <w:p w14:paraId="6A3062F6" w14:textId="77777777" w:rsidR="00DC7929" w:rsidRPr="009604CB" w:rsidRDefault="00DC7929" w:rsidP="00E314C0">
            <w:pPr>
              <w:spacing w:after="160" w:line="278" w:lineRule="auto"/>
            </w:pPr>
            <w:r w:rsidRPr="009604CB">
              <w:t>0.3461</w:t>
            </w:r>
          </w:p>
        </w:tc>
        <w:tc>
          <w:tcPr>
            <w:tcW w:w="675" w:type="dxa"/>
            <w:tcBorders>
              <w:top w:val="single" w:sz="4" w:space="0" w:color="auto"/>
              <w:bottom w:val="single" w:sz="4" w:space="0" w:color="auto"/>
            </w:tcBorders>
            <w:vAlign w:val="center"/>
            <w:hideMark/>
          </w:tcPr>
          <w:p w14:paraId="5D515699" w14:textId="77777777" w:rsidR="00DC7929" w:rsidRPr="009604CB" w:rsidRDefault="00DC7929" w:rsidP="00E314C0">
            <w:pPr>
              <w:spacing w:after="160" w:line="278" w:lineRule="auto"/>
            </w:pPr>
            <w:r w:rsidRPr="009604CB">
              <w:t>0.0001</w:t>
            </w:r>
          </w:p>
        </w:tc>
      </w:tr>
      <w:tr w:rsidR="002E764E" w:rsidRPr="009604CB" w14:paraId="7D0FE055" w14:textId="77777777" w:rsidTr="00DC7929">
        <w:trPr>
          <w:tblCellSpacing w:w="15" w:type="dxa"/>
        </w:trPr>
        <w:tc>
          <w:tcPr>
            <w:tcW w:w="2655" w:type="dxa"/>
            <w:vAlign w:val="center"/>
            <w:hideMark/>
          </w:tcPr>
          <w:p w14:paraId="46FA389D" w14:textId="77777777" w:rsidR="00DC7929" w:rsidRPr="009604CB" w:rsidRDefault="00DC7929" w:rsidP="00E314C0">
            <w:pPr>
              <w:spacing w:after="160" w:line="278" w:lineRule="auto"/>
            </w:pPr>
            <w:r w:rsidRPr="009604CB">
              <w:t>Health Sector Professionals</w:t>
            </w:r>
          </w:p>
        </w:tc>
        <w:tc>
          <w:tcPr>
            <w:tcW w:w="1230" w:type="dxa"/>
            <w:vAlign w:val="center"/>
            <w:hideMark/>
          </w:tcPr>
          <w:p w14:paraId="085AC83D" w14:textId="77777777" w:rsidR="00DC7929" w:rsidRPr="009604CB" w:rsidRDefault="00DC7929" w:rsidP="00E314C0">
            <w:pPr>
              <w:spacing w:after="160" w:line="278" w:lineRule="auto"/>
            </w:pPr>
            <w:r w:rsidRPr="009604CB">
              <w:t>0.0502</w:t>
            </w:r>
          </w:p>
        </w:tc>
        <w:tc>
          <w:tcPr>
            <w:tcW w:w="675" w:type="dxa"/>
            <w:vAlign w:val="center"/>
            <w:hideMark/>
          </w:tcPr>
          <w:p w14:paraId="1DC0808A" w14:textId="77777777" w:rsidR="00DC7929" w:rsidRPr="009604CB" w:rsidRDefault="00DC7929" w:rsidP="00E314C0">
            <w:pPr>
              <w:spacing w:after="160" w:line="278" w:lineRule="auto"/>
            </w:pPr>
            <w:r w:rsidRPr="009604CB">
              <w:t>0.0000</w:t>
            </w:r>
          </w:p>
        </w:tc>
      </w:tr>
      <w:tr w:rsidR="00DC7929" w:rsidRPr="002E764E" w14:paraId="3D295FAD" w14:textId="77777777" w:rsidTr="00DC7929">
        <w:trPr>
          <w:tblCellSpacing w:w="15" w:type="dxa"/>
        </w:trPr>
        <w:tc>
          <w:tcPr>
            <w:tcW w:w="2655" w:type="dxa"/>
            <w:tcBorders>
              <w:top w:val="single" w:sz="4" w:space="0" w:color="auto"/>
              <w:bottom w:val="single" w:sz="4" w:space="0" w:color="auto"/>
            </w:tcBorders>
            <w:vAlign w:val="center"/>
            <w:hideMark/>
          </w:tcPr>
          <w:p w14:paraId="651E118A" w14:textId="77777777" w:rsidR="00DC7929" w:rsidRPr="009604CB" w:rsidRDefault="00DC7929" w:rsidP="00E314C0">
            <w:pPr>
              <w:spacing w:after="160" w:line="278" w:lineRule="auto"/>
            </w:pPr>
            <w:r w:rsidRPr="009604CB">
              <w:t>University Academics</w:t>
            </w:r>
          </w:p>
        </w:tc>
        <w:tc>
          <w:tcPr>
            <w:tcW w:w="1230" w:type="dxa"/>
            <w:tcBorders>
              <w:top w:val="single" w:sz="4" w:space="0" w:color="auto"/>
              <w:bottom w:val="single" w:sz="4" w:space="0" w:color="auto"/>
            </w:tcBorders>
            <w:vAlign w:val="center"/>
            <w:hideMark/>
          </w:tcPr>
          <w:p w14:paraId="4D93D44B" w14:textId="77777777" w:rsidR="00DC7929" w:rsidRPr="009604CB" w:rsidRDefault="00DC7929" w:rsidP="00E314C0">
            <w:pPr>
              <w:spacing w:after="160" w:line="278" w:lineRule="auto"/>
            </w:pPr>
            <w:r w:rsidRPr="009604CB">
              <w:t>0.0885</w:t>
            </w:r>
          </w:p>
        </w:tc>
        <w:tc>
          <w:tcPr>
            <w:tcW w:w="675" w:type="dxa"/>
            <w:tcBorders>
              <w:top w:val="single" w:sz="4" w:space="0" w:color="auto"/>
              <w:bottom w:val="single" w:sz="4" w:space="0" w:color="auto"/>
            </w:tcBorders>
            <w:vAlign w:val="center"/>
            <w:hideMark/>
          </w:tcPr>
          <w:p w14:paraId="3B441012" w14:textId="77777777" w:rsidR="00DC7929" w:rsidRPr="009604CB" w:rsidRDefault="00DC7929" w:rsidP="00E314C0">
            <w:pPr>
              <w:spacing w:after="160" w:line="278" w:lineRule="auto"/>
            </w:pPr>
            <w:r w:rsidRPr="009604CB">
              <w:t>0.0000</w:t>
            </w:r>
          </w:p>
        </w:tc>
      </w:tr>
    </w:tbl>
    <w:p w14:paraId="77484137" w14:textId="2803CB70" w:rsidR="00DC7929" w:rsidRPr="00F1460F" w:rsidRDefault="00DC7929" w:rsidP="00DC7929">
      <w:pPr>
        <w:spacing w:after="160" w:line="278" w:lineRule="auto"/>
        <w:rPr>
          <w:sz w:val="20"/>
          <w:szCs w:val="20"/>
        </w:rPr>
      </w:pPr>
      <w:r w:rsidRPr="00F1460F">
        <w:rPr>
          <w:sz w:val="20"/>
          <w:szCs w:val="20"/>
        </w:rPr>
        <w:t>p-values reported. Source: Authors calculations (</w:t>
      </w:r>
      <w:r w:rsidR="00F1460F" w:rsidRPr="00F1460F">
        <w:rPr>
          <w:sz w:val="20"/>
          <w:szCs w:val="20"/>
        </w:rPr>
        <w:t>Stata</w:t>
      </w:r>
      <w:r w:rsidRPr="00F1460F">
        <w:rPr>
          <w:sz w:val="20"/>
          <w:szCs w:val="20"/>
        </w:rPr>
        <w:t>).</w:t>
      </w:r>
    </w:p>
    <w:p w14:paraId="1EBF1AC5" w14:textId="77777777" w:rsidR="005378C4" w:rsidRDefault="005378C4" w:rsidP="00256737">
      <w:pPr>
        <w:spacing w:after="160" w:line="278" w:lineRule="auto"/>
        <w:rPr>
          <w:rFonts w:eastAsia="Calibri"/>
          <w:b/>
          <w:bCs/>
          <w:kern w:val="2"/>
          <w14:ligatures w14:val="standardContextual"/>
        </w:rPr>
        <w:sectPr w:rsidR="005378C4">
          <w:pgSz w:w="12240" w:h="15840"/>
          <w:pgMar w:top="1440" w:right="1440" w:bottom="1440" w:left="1440" w:header="708" w:footer="708" w:gutter="0"/>
          <w:cols w:space="720"/>
          <w:docGrid w:linePitch="360"/>
        </w:sectPr>
      </w:pPr>
    </w:p>
    <w:p w14:paraId="65622F7F" w14:textId="0F8BD35E" w:rsidR="00256737" w:rsidRPr="00256737" w:rsidRDefault="00256737" w:rsidP="00256737">
      <w:pPr>
        <w:spacing w:after="160" w:line="278" w:lineRule="auto"/>
        <w:rPr>
          <w:rFonts w:eastAsia="Calibri"/>
          <w:kern w:val="2"/>
          <w14:ligatures w14:val="standardContextual"/>
        </w:rPr>
      </w:pPr>
      <w:r w:rsidRPr="00256737">
        <w:rPr>
          <w:rFonts w:eastAsia="Calibri"/>
          <w:b/>
          <w:bCs/>
          <w:kern w:val="2"/>
          <w14:ligatures w14:val="standardContextual"/>
        </w:rPr>
        <w:lastRenderedPageBreak/>
        <w:t xml:space="preserve">Table 2: </w:t>
      </w:r>
      <w:r w:rsidRPr="00256737">
        <w:rPr>
          <w:rFonts w:eastAsia="Calibri"/>
          <w:kern w:val="2"/>
          <w14:ligatures w14:val="standardContextual"/>
        </w:rPr>
        <w:t xml:space="preserve">Lag </w:t>
      </w:r>
      <w:r w:rsidR="005378C4">
        <w:rPr>
          <w:rFonts w:eastAsia="Calibri"/>
          <w:kern w:val="2"/>
          <w14:ligatures w14:val="standardContextual"/>
        </w:rPr>
        <w:t>l</w:t>
      </w:r>
      <w:r w:rsidRPr="00256737">
        <w:rPr>
          <w:rFonts w:eastAsia="Calibri"/>
          <w:kern w:val="2"/>
          <w14:ligatures w14:val="standardContextual"/>
        </w:rPr>
        <w:t xml:space="preserve">ength </w:t>
      </w:r>
      <w:r w:rsidR="005378C4">
        <w:rPr>
          <w:rFonts w:eastAsia="Calibri"/>
          <w:kern w:val="2"/>
          <w14:ligatures w14:val="standardContextual"/>
        </w:rPr>
        <w:t>s</w:t>
      </w:r>
      <w:r w:rsidRPr="00256737">
        <w:rPr>
          <w:rFonts w:eastAsia="Calibri"/>
          <w:kern w:val="2"/>
          <w14:ligatures w14:val="standardContextual"/>
        </w:rPr>
        <w:t xml:space="preserve">election </w:t>
      </w:r>
      <w:r w:rsidR="005378C4">
        <w:rPr>
          <w:rFonts w:eastAsia="Calibri"/>
          <w:kern w:val="2"/>
          <w14:ligatures w14:val="standardContextual"/>
        </w:rPr>
        <w:t>c</w:t>
      </w:r>
      <w:r w:rsidRPr="00256737">
        <w:rPr>
          <w:rFonts w:eastAsia="Calibri"/>
          <w:kern w:val="2"/>
          <w14:ligatures w14:val="standardContextual"/>
        </w:rPr>
        <w:t>riteria</w:t>
      </w:r>
    </w:p>
    <w:tbl>
      <w:tblPr>
        <w:tblW w:w="0" w:type="auto"/>
        <w:tblCellSpacing w:w="15"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76"/>
        <w:gridCol w:w="1234"/>
        <w:gridCol w:w="1373"/>
        <w:gridCol w:w="865"/>
        <w:gridCol w:w="865"/>
        <w:gridCol w:w="865"/>
        <w:gridCol w:w="865"/>
        <w:gridCol w:w="865"/>
        <w:gridCol w:w="865"/>
      </w:tblGrid>
      <w:tr w:rsidR="002E764E" w:rsidRPr="00256737" w14:paraId="47B8890D" w14:textId="77777777" w:rsidTr="002E764E">
        <w:trPr>
          <w:tblHeader/>
          <w:tblCellSpacing w:w="15" w:type="dxa"/>
        </w:trPr>
        <w:tc>
          <w:tcPr>
            <w:tcW w:w="431" w:type="dxa"/>
            <w:vAlign w:val="center"/>
            <w:hideMark/>
          </w:tcPr>
          <w:p w14:paraId="02C50A42" w14:textId="77777777" w:rsidR="00256737" w:rsidRPr="00256737" w:rsidRDefault="00256737" w:rsidP="00256737">
            <w:pPr>
              <w:spacing w:after="160" w:line="278" w:lineRule="auto"/>
              <w:rPr>
                <w:rFonts w:eastAsia="Calibri"/>
                <w:b/>
                <w:bCs/>
                <w:kern w:val="2"/>
                <w14:ligatures w14:val="standardContextual"/>
              </w:rPr>
            </w:pPr>
            <w:r w:rsidRPr="00256737">
              <w:rPr>
                <w:rFonts w:eastAsia="Calibri"/>
                <w:b/>
                <w:bCs/>
                <w:kern w:val="2"/>
                <w14:ligatures w14:val="standardContextual"/>
              </w:rPr>
              <w:t>Lag</w:t>
            </w:r>
          </w:p>
        </w:tc>
        <w:tc>
          <w:tcPr>
            <w:tcW w:w="1204" w:type="dxa"/>
            <w:vAlign w:val="center"/>
            <w:hideMark/>
          </w:tcPr>
          <w:p w14:paraId="5C2747C3" w14:textId="77777777" w:rsidR="00256737" w:rsidRPr="00256737" w:rsidRDefault="00256737" w:rsidP="00256737">
            <w:pPr>
              <w:spacing w:after="160" w:line="278" w:lineRule="auto"/>
              <w:rPr>
                <w:rFonts w:eastAsia="Calibri"/>
                <w:b/>
                <w:bCs/>
                <w:kern w:val="2"/>
                <w14:ligatures w14:val="standardContextual"/>
              </w:rPr>
            </w:pPr>
            <w:r w:rsidRPr="00256737">
              <w:rPr>
                <w:rFonts w:eastAsia="Calibri"/>
                <w:b/>
                <w:bCs/>
                <w:kern w:val="2"/>
                <w14:ligatures w14:val="standardContextual"/>
              </w:rPr>
              <w:t>LL</w:t>
            </w:r>
          </w:p>
        </w:tc>
        <w:tc>
          <w:tcPr>
            <w:tcW w:w="1343" w:type="dxa"/>
            <w:vAlign w:val="center"/>
            <w:hideMark/>
          </w:tcPr>
          <w:p w14:paraId="69F8F01D" w14:textId="77777777" w:rsidR="00256737" w:rsidRPr="00256737" w:rsidRDefault="00256737" w:rsidP="00256737">
            <w:pPr>
              <w:spacing w:after="160" w:line="278" w:lineRule="auto"/>
              <w:rPr>
                <w:rFonts w:eastAsia="Calibri"/>
                <w:b/>
                <w:bCs/>
                <w:kern w:val="2"/>
                <w14:ligatures w14:val="standardContextual"/>
              </w:rPr>
            </w:pPr>
            <w:r w:rsidRPr="00256737">
              <w:rPr>
                <w:rFonts w:eastAsia="Calibri"/>
                <w:b/>
                <w:bCs/>
                <w:kern w:val="2"/>
                <w14:ligatures w14:val="standardContextual"/>
              </w:rPr>
              <w:t>LR</w:t>
            </w:r>
          </w:p>
        </w:tc>
        <w:tc>
          <w:tcPr>
            <w:tcW w:w="835" w:type="dxa"/>
            <w:vAlign w:val="center"/>
            <w:hideMark/>
          </w:tcPr>
          <w:p w14:paraId="0E206513" w14:textId="77777777" w:rsidR="00256737" w:rsidRPr="00256737" w:rsidRDefault="00256737" w:rsidP="00256737">
            <w:pPr>
              <w:spacing w:after="160" w:line="278" w:lineRule="auto"/>
              <w:rPr>
                <w:rFonts w:eastAsia="Calibri"/>
                <w:b/>
                <w:bCs/>
                <w:kern w:val="2"/>
                <w14:ligatures w14:val="standardContextual"/>
              </w:rPr>
            </w:pPr>
            <w:proofErr w:type="spellStart"/>
            <w:r w:rsidRPr="00256737">
              <w:rPr>
                <w:rFonts w:eastAsia="Calibri"/>
                <w:b/>
                <w:bCs/>
                <w:kern w:val="2"/>
                <w14:ligatures w14:val="standardContextual"/>
              </w:rPr>
              <w:t>df</w:t>
            </w:r>
            <w:proofErr w:type="spellEnd"/>
          </w:p>
        </w:tc>
        <w:tc>
          <w:tcPr>
            <w:tcW w:w="835" w:type="dxa"/>
            <w:vAlign w:val="center"/>
            <w:hideMark/>
          </w:tcPr>
          <w:p w14:paraId="0BD249E5" w14:textId="77777777" w:rsidR="00256737" w:rsidRPr="00256737" w:rsidRDefault="00256737" w:rsidP="00256737">
            <w:pPr>
              <w:spacing w:after="160" w:line="278" w:lineRule="auto"/>
              <w:rPr>
                <w:rFonts w:eastAsia="Calibri"/>
                <w:b/>
                <w:bCs/>
                <w:kern w:val="2"/>
                <w14:ligatures w14:val="standardContextual"/>
              </w:rPr>
            </w:pPr>
            <w:r w:rsidRPr="00256737">
              <w:rPr>
                <w:rFonts w:eastAsia="Calibri"/>
                <w:b/>
                <w:bCs/>
                <w:kern w:val="2"/>
                <w14:ligatures w14:val="standardContextual"/>
              </w:rPr>
              <w:t>p</w:t>
            </w:r>
          </w:p>
        </w:tc>
        <w:tc>
          <w:tcPr>
            <w:tcW w:w="835" w:type="dxa"/>
            <w:vAlign w:val="center"/>
            <w:hideMark/>
          </w:tcPr>
          <w:p w14:paraId="1D698E51" w14:textId="77777777" w:rsidR="00256737" w:rsidRPr="00256737" w:rsidRDefault="00256737" w:rsidP="00256737">
            <w:pPr>
              <w:spacing w:after="160" w:line="278" w:lineRule="auto"/>
              <w:rPr>
                <w:rFonts w:eastAsia="Calibri"/>
                <w:b/>
                <w:bCs/>
                <w:kern w:val="2"/>
                <w14:ligatures w14:val="standardContextual"/>
              </w:rPr>
            </w:pPr>
            <w:r w:rsidRPr="00256737">
              <w:rPr>
                <w:rFonts w:eastAsia="Calibri"/>
                <w:b/>
                <w:bCs/>
                <w:kern w:val="2"/>
                <w14:ligatures w14:val="standardContextual"/>
              </w:rPr>
              <w:t>FPE</w:t>
            </w:r>
          </w:p>
        </w:tc>
        <w:tc>
          <w:tcPr>
            <w:tcW w:w="835" w:type="dxa"/>
            <w:vAlign w:val="center"/>
            <w:hideMark/>
          </w:tcPr>
          <w:p w14:paraId="75856EC6" w14:textId="77777777" w:rsidR="00256737" w:rsidRPr="00256737" w:rsidRDefault="00256737" w:rsidP="00256737">
            <w:pPr>
              <w:spacing w:after="160" w:line="278" w:lineRule="auto"/>
              <w:rPr>
                <w:rFonts w:eastAsia="Calibri"/>
                <w:b/>
                <w:bCs/>
                <w:kern w:val="2"/>
                <w14:ligatures w14:val="standardContextual"/>
              </w:rPr>
            </w:pPr>
            <w:r w:rsidRPr="00256737">
              <w:rPr>
                <w:rFonts w:eastAsia="Calibri"/>
                <w:b/>
                <w:bCs/>
                <w:kern w:val="2"/>
                <w14:ligatures w14:val="standardContextual"/>
              </w:rPr>
              <w:t>AIC</w:t>
            </w:r>
          </w:p>
        </w:tc>
        <w:tc>
          <w:tcPr>
            <w:tcW w:w="835" w:type="dxa"/>
            <w:vAlign w:val="center"/>
            <w:hideMark/>
          </w:tcPr>
          <w:p w14:paraId="1AF7885C" w14:textId="77777777" w:rsidR="00256737" w:rsidRPr="00256737" w:rsidRDefault="00256737" w:rsidP="00256737">
            <w:pPr>
              <w:spacing w:after="160" w:line="278" w:lineRule="auto"/>
              <w:rPr>
                <w:rFonts w:eastAsia="Calibri"/>
                <w:b/>
                <w:bCs/>
                <w:kern w:val="2"/>
                <w14:ligatures w14:val="standardContextual"/>
              </w:rPr>
            </w:pPr>
            <w:r w:rsidRPr="00256737">
              <w:rPr>
                <w:rFonts w:eastAsia="Calibri"/>
                <w:b/>
                <w:bCs/>
                <w:kern w:val="2"/>
                <w14:ligatures w14:val="standardContextual"/>
              </w:rPr>
              <w:t>HQIC</w:t>
            </w:r>
          </w:p>
        </w:tc>
        <w:tc>
          <w:tcPr>
            <w:tcW w:w="820" w:type="dxa"/>
            <w:vAlign w:val="center"/>
            <w:hideMark/>
          </w:tcPr>
          <w:p w14:paraId="2536F097" w14:textId="77777777" w:rsidR="00256737" w:rsidRPr="00256737" w:rsidRDefault="00256737" w:rsidP="00256737">
            <w:pPr>
              <w:spacing w:after="160" w:line="278" w:lineRule="auto"/>
              <w:rPr>
                <w:rFonts w:eastAsia="Calibri"/>
                <w:b/>
                <w:bCs/>
                <w:kern w:val="2"/>
                <w14:ligatures w14:val="standardContextual"/>
              </w:rPr>
            </w:pPr>
            <w:r w:rsidRPr="00256737">
              <w:rPr>
                <w:rFonts w:eastAsia="Calibri"/>
                <w:b/>
                <w:bCs/>
                <w:kern w:val="2"/>
                <w14:ligatures w14:val="standardContextual"/>
              </w:rPr>
              <w:t>SBIC</w:t>
            </w:r>
          </w:p>
        </w:tc>
      </w:tr>
      <w:tr w:rsidR="002E764E" w:rsidRPr="00256737" w14:paraId="680EE7D3" w14:textId="77777777" w:rsidTr="002E764E">
        <w:trPr>
          <w:tblCellSpacing w:w="15" w:type="dxa"/>
        </w:trPr>
        <w:tc>
          <w:tcPr>
            <w:tcW w:w="431" w:type="dxa"/>
            <w:tcBorders>
              <w:top w:val="single" w:sz="4" w:space="0" w:color="auto"/>
              <w:bottom w:val="single" w:sz="4" w:space="0" w:color="auto"/>
            </w:tcBorders>
            <w:vAlign w:val="center"/>
            <w:hideMark/>
          </w:tcPr>
          <w:p w14:paraId="0D6E9A68"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0</w:t>
            </w:r>
          </w:p>
        </w:tc>
        <w:tc>
          <w:tcPr>
            <w:tcW w:w="1204" w:type="dxa"/>
            <w:tcBorders>
              <w:top w:val="single" w:sz="4" w:space="0" w:color="auto"/>
              <w:bottom w:val="single" w:sz="4" w:space="0" w:color="auto"/>
            </w:tcBorders>
            <w:vAlign w:val="center"/>
            <w:hideMark/>
          </w:tcPr>
          <w:p w14:paraId="672643B9"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−363.625</w:t>
            </w:r>
          </w:p>
        </w:tc>
        <w:tc>
          <w:tcPr>
            <w:tcW w:w="1343" w:type="dxa"/>
            <w:tcBorders>
              <w:top w:val="single" w:sz="4" w:space="0" w:color="auto"/>
              <w:bottom w:val="single" w:sz="4" w:space="0" w:color="auto"/>
            </w:tcBorders>
            <w:vAlign w:val="center"/>
            <w:hideMark/>
          </w:tcPr>
          <w:p w14:paraId="4200F609" w14:textId="18F1FA1B" w:rsidR="00256737" w:rsidRPr="00256737" w:rsidRDefault="00AD3EE3" w:rsidP="00256737">
            <w:pPr>
              <w:spacing w:after="160" w:line="278" w:lineRule="auto"/>
              <w:rPr>
                <w:rFonts w:eastAsia="Calibri"/>
                <w:kern w:val="2"/>
                <w14:ligatures w14:val="standardContextual"/>
              </w:rPr>
            </w:pPr>
            <w:r>
              <w:rPr>
                <w:rFonts w:eastAsia="Calibri"/>
                <w:kern w:val="2"/>
                <w14:ligatures w14:val="standardContextual"/>
              </w:rPr>
              <w:t xml:space="preserve">, </w:t>
            </w:r>
          </w:p>
        </w:tc>
        <w:tc>
          <w:tcPr>
            <w:tcW w:w="835" w:type="dxa"/>
            <w:tcBorders>
              <w:top w:val="single" w:sz="4" w:space="0" w:color="auto"/>
              <w:bottom w:val="single" w:sz="4" w:space="0" w:color="auto"/>
            </w:tcBorders>
            <w:vAlign w:val="center"/>
            <w:hideMark/>
          </w:tcPr>
          <w:p w14:paraId="39EB8B57" w14:textId="3132AB5F" w:rsidR="00256737" w:rsidRPr="00256737" w:rsidRDefault="00AD3EE3" w:rsidP="00256737">
            <w:pPr>
              <w:spacing w:after="160" w:line="278" w:lineRule="auto"/>
              <w:rPr>
                <w:rFonts w:eastAsia="Calibri"/>
                <w:kern w:val="2"/>
                <w14:ligatures w14:val="standardContextual"/>
              </w:rPr>
            </w:pPr>
            <w:r>
              <w:rPr>
                <w:rFonts w:eastAsia="Calibri"/>
                <w:kern w:val="2"/>
                <w14:ligatures w14:val="standardContextual"/>
              </w:rPr>
              <w:t xml:space="preserve">, </w:t>
            </w:r>
          </w:p>
        </w:tc>
        <w:tc>
          <w:tcPr>
            <w:tcW w:w="835" w:type="dxa"/>
            <w:tcBorders>
              <w:top w:val="single" w:sz="4" w:space="0" w:color="auto"/>
              <w:bottom w:val="single" w:sz="4" w:space="0" w:color="auto"/>
            </w:tcBorders>
            <w:vAlign w:val="center"/>
            <w:hideMark/>
          </w:tcPr>
          <w:p w14:paraId="1C4D5ACE" w14:textId="12D2E232" w:rsidR="00256737" w:rsidRPr="00256737" w:rsidRDefault="00AD3EE3" w:rsidP="00256737">
            <w:pPr>
              <w:spacing w:after="160" w:line="278" w:lineRule="auto"/>
              <w:rPr>
                <w:rFonts w:eastAsia="Calibri"/>
                <w:kern w:val="2"/>
                <w14:ligatures w14:val="standardContextual"/>
              </w:rPr>
            </w:pPr>
            <w:r>
              <w:rPr>
                <w:rFonts w:eastAsia="Calibri"/>
                <w:kern w:val="2"/>
                <w14:ligatures w14:val="standardContextual"/>
              </w:rPr>
              <w:t xml:space="preserve">, </w:t>
            </w:r>
          </w:p>
        </w:tc>
        <w:tc>
          <w:tcPr>
            <w:tcW w:w="835" w:type="dxa"/>
            <w:tcBorders>
              <w:top w:val="single" w:sz="4" w:space="0" w:color="auto"/>
              <w:bottom w:val="single" w:sz="4" w:space="0" w:color="auto"/>
            </w:tcBorders>
            <w:vAlign w:val="center"/>
            <w:hideMark/>
          </w:tcPr>
          <w:p w14:paraId="5EA14E47"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7.0e+09</w:t>
            </w:r>
          </w:p>
        </w:tc>
        <w:tc>
          <w:tcPr>
            <w:tcW w:w="835" w:type="dxa"/>
            <w:tcBorders>
              <w:top w:val="single" w:sz="4" w:space="0" w:color="auto"/>
              <w:bottom w:val="single" w:sz="4" w:space="0" w:color="auto"/>
            </w:tcBorders>
            <w:vAlign w:val="center"/>
            <w:hideMark/>
          </w:tcPr>
          <w:p w14:paraId="6D44D188"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36.8625</w:t>
            </w:r>
          </w:p>
        </w:tc>
        <w:tc>
          <w:tcPr>
            <w:tcW w:w="835" w:type="dxa"/>
            <w:tcBorders>
              <w:top w:val="single" w:sz="4" w:space="0" w:color="auto"/>
              <w:bottom w:val="single" w:sz="4" w:space="0" w:color="auto"/>
            </w:tcBorders>
            <w:vAlign w:val="center"/>
            <w:hideMark/>
          </w:tcPr>
          <w:p w14:paraId="04274326"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36.9111</w:t>
            </w:r>
          </w:p>
        </w:tc>
        <w:tc>
          <w:tcPr>
            <w:tcW w:w="820" w:type="dxa"/>
            <w:tcBorders>
              <w:top w:val="single" w:sz="4" w:space="0" w:color="auto"/>
              <w:bottom w:val="single" w:sz="4" w:space="0" w:color="auto"/>
            </w:tcBorders>
            <w:vAlign w:val="center"/>
            <w:hideMark/>
          </w:tcPr>
          <w:p w14:paraId="7147BC47"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37.1114</w:t>
            </w:r>
          </w:p>
        </w:tc>
      </w:tr>
      <w:tr w:rsidR="002E764E" w:rsidRPr="00256737" w14:paraId="17D57AB6" w14:textId="77777777" w:rsidTr="002E764E">
        <w:trPr>
          <w:tblCellSpacing w:w="15" w:type="dxa"/>
        </w:trPr>
        <w:tc>
          <w:tcPr>
            <w:tcW w:w="431" w:type="dxa"/>
            <w:vAlign w:val="center"/>
            <w:hideMark/>
          </w:tcPr>
          <w:p w14:paraId="1EE0898F"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1</w:t>
            </w:r>
          </w:p>
        </w:tc>
        <w:tc>
          <w:tcPr>
            <w:tcW w:w="1204" w:type="dxa"/>
            <w:vAlign w:val="center"/>
            <w:hideMark/>
          </w:tcPr>
          <w:p w14:paraId="2709E8C0"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−340.999</w:t>
            </w:r>
          </w:p>
        </w:tc>
        <w:tc>
          <w:tcPr>
            <w:tcW w:w="1343" w:type="dxa"/>
            <w:vAlign w:val="center"/>
            <w:hideMark/>
          </w:tcPr>
          <w:p w14:paraId="4232D143"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45.251</w:t>
            </w:r>
          </w:p>
        </w:tc>
        <w:tc>
          <w:tcPr>
            <w:tcW w:w="835" w:type="dxa"/>
            <w:vAlign w:val="center"/>
            <w:hideMark/>
          </w:tcPr>
          <w:p w14:paraId="3292C411"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25</w:t>
            </w:r>
          </w:p>
        </w:tc>
        <w:tc>
          <w:tcPr>
            <w:tcW w:w="835" w:type="dxa"/>
            <w:vAlign w:val="center"/>
            <w:hideMark/>
          </w:tcPr>
          <w:p w14:paraId="43789A04"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0.008</w:t>
            </w:r>
          </w:p>
        </w:tc>
        <w:tc>
          <w:tcPr>
            <w:tcW w:w="835" w:type="dxa"/>
            <w:vAlign w:val="center"/>
            <w:hideMark/>
          </w:tcPr>
          <w:p w14:paraId="04B95D21"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9.8e+09</w:t>
            </w:r>
          </w:p>
        </w:tc>
        <w:tc>
          <w:tcPr>
            <w:tcW w:w="835" w:type="dxa"/>
            <w:vAlign w:val="center"/>
            <w:hideMark/>
          </w:tcPr>
          <w:p w14:paraId="56366E03"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37.0999</w:t>
            </w:r>
          </w:p>
        </w:tc>
        <w:tc>
          <w:tcPr>
            <w:tcW w:w="835" w:type="dxa"/>
            <w:vAlign w:val="center"/>
            <w:hideMark/>
          </w:tcPr>
          <w:p w14:paraId="01275DAF"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37.3915</w:t>
            </w:r>
          </w:p>
        </w:tc>
        <w:tc>
          <w:tcPr>
            <w:tcW w:w="820" w:type="dxa"/>
            <w:vAlign w:val="center"/>
            <w:hideMark/>
          </w:tcPr>
          <w:p w14:paraId="5E41A7F6"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38.5935</w:t>
            </w:r>
          </w:p>
        </w:tc>
      </w:tr>
      <w:tr w:rsidR="002E764E" w:rsidRPr="002E764E" w14:paraId="2DDC743F" w14:textId="77777777" w:rsidTr="002E764E">
        <w:trPr>
          <w:tblCellSpacing w:w="15" w:type="dxa"/>
        </w:trPr>
        <w:tc>
          <w:tcPr>
            <w:tcW w:w="431" w:type="dxa"/>
            <w:tcBorders>
              <w:top w:val="single" w:sz="4" w:space="0" w:color="auto"/>
              <w:bottom w:val="single" w:sz="4" w:space="0" w:color="auto"/>
            </w:tcBorders>
            <w:vAlign w:val="center"/>
            <w:hideMark/>
          </w:tcPr>
          <w:p w14:paraId="73D15E19" w14:textId="77777777" w:rsidR="00256737" w:rsidRPr="00256737" w:rsidRDefault="00256737" w:rsidP="00256737">
            <w:pPr>
              <w:spacing w:after="160" w:line="278" w:lineRule="auto"/>
              <w:rPr>
                <w:rFonts w:eastAsia="Calibri"/>
                <w:kern w:val="2"/>
                <w14:ligatures w14:val="standardContextual"/>
              </w:rPr>
            </w:pPr>
            <w:r w:rsidRPr="00256737">
              <w:rPr>
                <w:rFonts w:eastAsia="Calibri"/>
                <w:b/>
                <w:bCs/>
                <w:kern w:val="2"/>
                <w14:ligatures w14:val="standardContextual"/>
              </w:rPr>
              <w:t>2</w:t>
            </w:r>
          </w:p>
        </w:tc>
        <w:tc>
          <w:tcPr>
            <w:tcW w:w="1204" w:type="dxa"/>
            <w:tcBorders>
              <w:top w:val="single" w:sz="4" w:space="0" w:color="auto"/>
              <w:bottom w:val="single" w:sz="4" w:space="0" w:color="auto"/>
            </w:tcBorders>
            <w:vAlign w:val="center"/>
            <w:hideMark/>
          </w:tcPr>
          <w:p w14:paraId="4213D7F3" w14:textId="77777777" w:rsidR="00256737" w:rsidRPr="00256737" w:rsidRDefault="00256737" w:rsidP="00256737">
            <w:pPr>
              <w:spacing w:after="160" w:line="278" w:lineRule="auto"/>
              <w:rPr>
                <w:rFonts w:eastAsia="Calibri"/>
                <w:kern w:val="2"/>
                <w14:ligatures w14:val="standardContextual"/>
              </w:rPr>
            </w:pPr>
            <w:r w:rsidRPr="00256737">
              <w:rPr>
                <w:rFonts w:eastAsia="Calibri"/>
                <w:b/>
                <w:bCs/>
                <w:kern w:val="2"/>
                <w14:ligatures w14:val="standardContextual"/>
              </w:rPr>
              <w:t>−304.974</w:t>
            </w:r>
          </w:p>
        </w:tc>
        <w:tc>
          <w:tcPr>
            <w:tcW w:w="1343" w:type="dxa"/>
            <w:tcBorders>
              <w:top w:val="single" w:sz="4" w:space="0" w:color="auto"/>
              <w:bottom w:val="single" w:sz="4" w:space="0" w:color="auto"/>
            </w:tcBorders>
            <w:vAlign w:val="center"/>
            <w:hideMark/>
          </w:tcPr>
          <w:p w14:paraId="0E504A4A" w14:textId="2B9F6C54" w:rsidR="00256737" w:rsidRPr="00256737" w:rsidRDefault="00256737" w:rsidP="00256737">
            <w:pPr>
              <w:spacing w:after="160" w:line="278" w:lineRule="auto"/>
              <w:rPr>
                <w:rFonts w:eastAsia="Calibri"/>
                <w:kern w:val="2"/>
                <w14:ligatures w14:val="standardContextual"/>
              </w:rPr>
            </w:pPr>
            <w:r w:rsidRPr="00256737">
              <w:rPr>
                <w:rFonts w:eastAsia="Calibri"/>
                <w:b/>
                <w:bCs/>
                <w:kern w:val="2"/>
                <w14:ligatures w14:val="standardContextual"/>
              </w:rPr>
              <w:t>72.05</w:t>
            </w:r>
            <w:r w:rsidR="00B4605B" w:rsidRPr="00AA1263">
              <w:rPr>
                <w:rFonts w:eastAsia="Calibri"/>
                <w:i/>
                <w:iCs/>
                <w:kern w:val="2"/>
                <w14:ligatures w14:val="standardContextual"/>
              </w:rPr>
              <w:t>†</w:t>
            </w:r>
          </w:p>
        </w:tc>
        <w:tc>
          <w:tcPr>
            <w:tcW w:w="835" w:type="dxa"/>
            <w:tcBorders>
              <w:top w:val="single" w:sz="4" w:space="0" w:color="auto"/>
              <w:bottom w:val="single" w:sz="4" w:space="0" w:color="auto"/>
            </w:tcBorders>
            <w:vAlign w:val="center"/>
            <w:hideMark/>
          </w:tcPr>
          <w:p w14:paraId="393EB786" w14:textId="77777777" w:rsidR="00256737" w:rsidRPr="00256737" w:rsidRDefault="00256737" w:rsidP="00256737">
            <w:pPr>
              <w:spacing w:after="160" w:line="278" w:lineRule="auto"/>
              <w:rPr>
                <w:rFonts w:eastAsia="Calibri"/>
                <w:kern w:val="2"/>
                <w14:ligatures w14:val="standardContextual"/>
              </w:rPr>
            </w:pPr>
            <w:r w:rsidRPr="00256737">
              <w:rPr>
                <w:rFonts w:eastAsia="Calibri"/>
                <w:b/>
                <w:bCs/>
                <w:kern w:val="2"/>
                <w14:ligatures w14:val="standardContextual"/>
              </w:rPr>
              <w:t>25</w:t>
            </w:r>
          </w:p>
        </w:tc>
        <w:tc>
          <w:tcPr>
            <w:tcW w:w="835" w:type="dxa"/>
            <w:tcBorders>
              <w:top w:val="single" w:sz="4" w:space="0" w:color="auto"/>
              <w:bottom w:val="single" w:sz="4" w:space="0" w:color="auto"/>
            </w:tcBorders>
            <w:vAlign w:val="center"/>
            <w:hideMark/>
          </w:tcPr>
          <w:p w14:paraId="361363D3" w14:textId="77777777" w:rsidR="00256737" w:rsidRPr="00256737" w:rsidRDefault="00256737" w:rsidP="00256737">
            <w:pPr>
              <w:spacing w:after="160" w:line="278" w:lineRule="auto"/>
              <w:rPr>
                <w:rFonts w:eastAsia="Calibri"/>
                <w:kern w:val="2"/>
                <w14:ligatures w14:val="standardContextual"/>
              </w:rPr>
            </w:pPr>
            <w:r w:rsidRPr="00256737">
              <w:rPr>
                <w:rFonts w:eastAsia="Calibri"/>
                <w:b/>
                <w:bCs/>
                <w:kern w:val="2"/>
                <w14:ligatures w14:val="standardContextual"/>
              </w:rPr>
              <w:t>0.000</w:t>
            </w:r>
          </w:p>
        </w:tc>
        <w:tc>
          <w:tcPr>
            <w:tcW w:w="835" w:type="dxa"/>
            <w:tcBorders>
              <w:top w:val="single" w:sz="4" w:space="0" w:color="auto"/>
              <w:bottom w:val="single" w:sz="4" w:space="0" w:color="auto"/>
            </w:tcBorders>
            <w:vAlign w:val="center"/>
            <w:hideMark/>
          </w:tcPr>
          <w:p w14:paraId="20E96ED2" w14:textId="77777777" w:rsidR="00256737" w:rsidRPr="00256737" w:rsidRDefault="00256737" w:rsidP="00256737">
            <w:pPr>
              <w:spacing w:after="160" w:line="278" w:lineRule="auto"/>
              <w:rPr>
                <w:rFonts w:eastAsia="Calibri"/>
                <w:kern w:val="2"/>
                <w14:ligatures w14:val="standardContextual"/>
              </w:rPr>
            </w:pPr>
            <w:r w:rsidRPr="00256737">
              <w:rPr>
                <w:rFonts w:eastAsia="Calibri"/>
                <w:b/>
                <w:bCs/>
                <w:kern w:val="2"/>
                <w14:ligatures w14:val="standardContextual"/>
              </w:rPr>
              <w:t>5.9e+09</w:t>
            </w:r>
          </w:p>
        </w:tc>
        <w:tc>
          <w:tcPr>
            <w:tcW w:w="835" w:type="dxa"/>
            <w:tcBorders>
              <w:top w:val="single" w:sz="4" w:space="0" w:color="auto"/>
              <w:bottom w:val="single" w:sz="4" w:space="0" w:color="auto"/>
            </w:tcBorders>
            <w:vAlign w:val="center"/>
            <w:hideMark/>
          </w:tcPr>
          <w:p w14:paraId="364D279C" w14:textId="77777777" w:rsidR="00256737" w:rsidRPr="00256737" w:rsidRDefault="00256737" w:rsidP="00256737">
            <w:pPr>
              <w:spacing w:after="160" w:line="278" w:lineRule="auto"/>
              <w:rPr>
                <w:rFonts w:eastAsia="Calibri"/>
                <w:kern w:val="2"/>
                <w14:ligatures w14:val="standardContextual"/>
              </w:rPr>
            </w:pPr>
            <w:r w:rsidRPr="00256737">
              <w:rPr>
                <w:rFonts w:eastAsia="Calibri"/>
                <w:b/>
                <w:bCs/>
                <w:kern w:val="2"/>
                <w14:ligatures w14:val="standardContextual"/>
              </w:rPr>
              <w:t>35.9974</w:t>
            </w:r>
          </w:p>
        </w:tc>
        <w:tc>
          <w:tcPr>
            <w:tcW w:w="835" w:type="dxa"/>
            <w:tcBorders>
              <w:top w:val="single" w:sz="4" w:space="0" w:color="auto"/>
              <w:bottom w:val="single" w:sz="4" w:space="0" w:color="auto"/>
            </w:tcBorders>
            <w:vAlign w:val="center"/>
            <w:hideMark/>
          </w:tcPr>
          <w:p w14:paraId="48F563CA" w14:textId="77777777" w:rsidR="00256737" w:rsidRPr="00256737" w:rsidRDefault="00256737" w:rsidP="00256737">
            <w:pPr>
              <w:spacing w:after="160" w:line="278" w:lineRule="auto"/>
              <w:rPr>
                <w:rFonts w:eastAsia="Calibri"/>
                <w:kern w:val="2"/>
                <w14:ligatures w14:val="standardContextual"/>
              </w:rPr>
            </w:pPr>
            <w:r w:rsidRPr="00256737">
              <w:rPr>
                <w:rFonts w:eastAsia="Calibri"/>
                <w:b/>
                <w:bCs/>
                <w:kern w:val="2"/>
                <w14:ligatures w14:val="standardContextual"/>
              </w:rPr>
              <w:t>36.532</w:t>
            </w:r>
          </w:p>
        </w:tc>
        <w:tc>
          <w:tcPr>
            <w:tcW w:w="820" w:type="dxa"/>
            <w:tcBorders>
              <w:top w:val="single" w:sz="4" w:space="0" w:color="auto"/>
              <w:bottom w:val="single" w:sz="4" w:space="0" w:color="auto"/>
            </w:tcBorders>
            <w:vAlign w:val="center"/>
            <w:hideMark/>
          </w:tcPr>
          <w:p w14:paraId="0902073D" w14:textId="77777777" w:rsidR="00256737" w:rsidRPr="00256737" w:rsidRDefault="00256737" w:rsidP="00256737">
            <w:pPr>
              <w:spacing w:after="160" w:line="278" w:lineRule="auto"/>
              <w:rPr>
                <w:rFonts w:eastAsia="Calibri"/>
                <w:kern w:val="2"/>
                <w14:ligatures w14:val="standardContextual"/>
              </w:rPr>
            </w:pPr>
            <w:r w:rsidRPr="00256737">
              <w:rPr>
                <w:rFonts w:eastAsia="Calibri"/>
                <w:b/>
                <w:bCs/>
                <w:kern w:val="2"/>
                <w14:ligatures w14:val="standardContextual"/>
              </w:rPr>
              <w:t>38.7357</w:t>
            </w:r>
          </w:p>
        </w:tc>
      </w:tr>
    </w:tbl>
    <w:p w14:paraId="7D645A7E" w14:textId="34A04175" w:rsidR="00256737" w:rsidRPr="00F1460F" w:rsidRDefault="00AA1263" w:rsidP="00256737">
      <w:pPr>
        <w:spacing w:after="160" w:line="278" w:lineRule="auto"/>
        <w:rPr>
          <w:rFonts w:eastAsia="Calibri"/>
          <w:kern w:val="2"/>
          <w:sz w:val="20"/>
          <w:szCs w:val="20"/>
          <w14:ligatures w14:val="standardContextual"/>
        </w:rPr>
      </w:pPr>
      <w:r w:rsidRPr="00F1460F">
        <w:rPr>
          <w:rFonts w:eastAsia="Calibri"/>
          <w:kern w:val="2"/>
          <w:sz w:val="20"/>
          <w:szCs w:val="20"/>
          <w14:ligatures w14:val="standardContextual"/>
        </w:rPr>
        <w:t>"† denotes optimal lag selected across LR, AIC, and HQIC criteria</w:t>
      </w:r>
      <w:r w:rsidR="00256737" w:rsidRPr="00F1460F">
        <w:rPr>
          <w:rFonts w:eastAsia="Calibri"/>
          <w:kern w:val="2"/>
          <w:sz w:val="20"/>
          <w:szCs w:val="20"/>
          <w14:ligatures w14:val="standardContextual"/>
        </w:rPr>
        <w:t>. Source: Authors calculations (</w:t>
      </w:r>
      <w:r w:rsidR="00F1460F" w:rsidRPr="00F1460F">
        <w:rPr>
          <w:rFonts w:eastAsia="Calibri"/>
          <w:kern w:val="2"/>
          <w:sz w:val="20"/>
          <w:szCs w:val="20"/>
          <w14:ligatures w14:val="standardContextual"/>
        </w:rPr>
        <w:t>Stata</w:t>
      </w:r>
      <w:r w:rsidR="00256737" w:rsidRPr="00F1460F">
        <w:rPr>
          <w:rFonts w:eastAsia="Calibri"/>
          <w:kern w:val="2"/>
          <w:sz w:val="20"/>
          <w:szCs w:val="20"/>
          <w14:ligatures w14:val="standardContextual"/>
        </w:rPr>
        <w:t>).</w:t>
      </w:r>
    </w:p>
    <w:p w14:paraId="43C5B66A" w14:textId="77777777" w:rsidR="00256737" w:rsidRPr="002E764E" w:rsidRDefault="00256737" w:rsidP="00F1460F">
      <w:pPr>
        <w:ind w:firstLine="720"/>
      </w:pPr>
      <w:r w:rsidRPr="00256737">
        <w:rPr>
          <w:rFonts w:eastAsia="Calibri"/>
          <w:kern w:val="2"/>
          <w14:ligatures w14:val="standardContextual"/>
        </w:rPr>
        <w:t>Lag 2 is selected across the LR, AIC, and HQIC criteria, providing the most appropriate balance between model fit and parsimony.</w:t>
      </w:r>
      <w:r w:rsidRPr="002E764E">
        <w:rPr>
          <w:rFonts w:eastAsia="Calibri"/>
          <w:kern w:val="2"/>
          <w14:ligatures w14:val="standardContextual"/>
        </w:rPr>
        <w:t xml:space="preserve"> </w:t>
      </w:r>
      <w:r w:rsidRPr="009604CB">
        <w:t xml:space="preserve">All variables reject the unit root null at </w:t>
      </w:r>
      <w:proofErr w:type="gramStart"/>
      <w:r w:rsidRPr="009604CB">
        <w:t>I(</w:t>
      </w:r>
      <w:proofErr w:type="gramEnd"/>
      <w:r w:rsidRPr="009604CB">
        <w:t>1), satisfying the prerequisite for cointegration testing</w:t>
      </w:r>
      <w:r w:rsidRPr="002E764E">
        <w:t>.</w:t>
      </w:r>
    </w:p>
    <w:p w14:paraId="14C7C3E1" w14:textId="598A55F7" w:rsidR="00E32CC9" w:rsidRPr="002E764E" w:rsidRDefault="00AB2F68" w:rsidP="00F1460F">
      <w:pPr>
        <w:pStyle w:val="Heading3"/>
      </w:pPr>
      <w:r w:rsidRPr="002E764E">
        <w:t xml:space="preserve">Johansen </w:t>
      </w:r>
      <w:r w:rsidR="005378C4">
        <w:t>c</w:t>
      </w:r>
      <w:r w:rsidRPr="002E764E">
        <w:t xml:space="preserve">ointegration </w:t>
      </w:r>
      <w:r w:rsidR="005378C4">
        <w:t>t</w:t>
      </w:r>
      <w:r w:rsidRPr="002E764E">
        <w:t>est</w:t>
      </w:r>
    </w:p>
    <w:p w14:paraId="4EB23E78" w14:textId="02FC0112" w:rsidR="00E32CC9" w:rsidRPr="002E764E" w:rsidRDefault="00AB2F68" w:rsidP="00CC5873">
      <w:r w:rsidRPr="002E764E">
        <w:t xml:space="preserve">Given that all variables are integrated of order one, </w:t>
      </w:r>
      <w:proofErr w:type="spellStart"/>
      <w:r w:rsidRPr="002E764E">
        <w:t>Johansens</w:t>
      </w:r>
      <w:proofErr w:type="spellEnd"/>
      <w:r w:rsidRPr="002E764E">
        <w:t xml:space="preserve"> cointegration test was applied to assess the presence of long-run equilibrium relationships. Trace statistics decisively rejected the null hypothesis of no cointegration, indicating at least one cointegrating relationship between GDP and the four professional migration series. These results provide a clear empirical justification for the use of a VECM</w:t>
      </w:r>
      <w:r w:rsidR="00F1460F">
        <w:t xml:space="preserve"> (Table 3)</w:t>
      </w:r>
      <w:r w:rsidRPr="002E764E">
        <w:t>.</w:t>
      </w:r>
    </w:p>
    <w:p w14:paraId="7464E3C6" w14:textId="77777777" w:rsidR="005378C4" w:rsidRDefault="005378C4" w:rsidP="00256737">
      <w:pPr>
        <w:spacing w:after="160" w:line="278" w:lineRule="auto"/>
        <w:rPr>
          <w:rFonts w:eastAsia="Calibri"/>
          <w:b/>
          <w:bCs/>
          <w:kern w:val="2"/>
          <w14:ligatures w14:val="standardContextual"/>
        </w:rPr>
        <w:sectPr w:rsidR="005378C4">
          <w:pgSz w:w="12240" w:h="15840"/>
          <w:pgMar w:top="1440" w:right="1440" w:bottom="1440" w:left="1440" w:header="708" w:footer="708" w:gutter="0"/>
          <w:cols w:space="720"/>
          <w:docGrid w:linePitch="360"/>
        </w:sectPr>
      </w:pPr>
    </w:p>
    <w:p w14:paraId="25A9552D" w14:textId="14D2C1E3" w:rsidR="00256737" w:rsidRPr="00256737" w:rsidRDefault="00256737" w:rsidP="00256737">
      <w:pPr>
        <w:spacing w:after="160" w:line="278" w:lineRule="auto"/>
        <w:rPr>
          <w:rFonts w:eastAsia="Calibri"/>
          <w:kern w:val="2"/>
          <w14:ligatures w14:val="standardContextual"/>
        </w:rPr>
      </w:pPr>
      <w:r w:rsidRPr="00256737">
        <w:rPr>
          <w:rFonts w:eastAsia="Calibri"/>
          <w:b/>
          <w:bCs/>
          <w:kern w:val="2"/>
          <w14:ligatures w14:val="standardContextual"/>
        </w:rPr>
        <w:lastRenderedPageBreak/>
        <w:t xml:space="preserve">Table 3: </w:t>
      </w:r>
      <w:r w:rsidRPr="00256737">
        <w:rPr>
          <w:rFonts w:eastAsia="Calibri"/>
          <w:kern w:val="2"/>
          <w14:ligatures w14:val="standardContextual"/>
        </w:rPr>
        <w:t xml:space="preserve">Johansen </w:t>
      </w:r>
      <w:r w:rsidR="005378C4">
        <w:rPr>
          <w:rFonts w:eastAsia="Calibri"/>
          <w:kern w:val="2"/>
          <w14:ligatures w14:val="standardContextual"/>
        </w:rPr>
        <w:t>c</w:t>
      </w:r>
      <w:r w:rsidRPr="00256737">
        <w:rPr>
          <w:rFonts w:eastAsia="Calibri"/>
          <w:kern w:val="2"/>
          <w14:ligatures w14:val="standardContextual"/>
        </w:rPr>
        <w:t xml:space="preserve">ointegration </w:t>
      </w:r>
      <w:r w:rsidR="005378C4">
        <w:rPr>
          <w:rFonts w:eastAsia="Calibri"/>
          <w:kern w:val="2"/>
          <w14:ligatures w14:val="standardContextual"/>
        </w:rPr>
        <w:t>t</w:t>
      </w:r>
      <w:r w:rsidRPr="00256737">
        <w:rPr>
          <w:rFonts w:eastAsia="Calibri"/>
          <w:kern w:val="2"/>
          <w14:ligatures w14:val="standardContextual"/>
        </w:rPr>
        <w:t xml:space="preserve">est (Trace </w:t>
      </w:r>
      <w:r w:rsidR="005378C4">
        <w:rPr>
          <w:rFonts w:eastAsia="Calibri"/>
          <w:kern w:val="2"/>
          <w14:ligatures w14:val="standardContextual"/>
        </w:rPr>
        <w:t>s</w:t>
      </w:r>
      <w:r w:rsidRPr="00256737">
        <w:rPr>
          <w:rFonts w:eastAsia="Calibri"/>
          <w:kern w:val="2"/>
          <w14:ligatures w14:val="standardContextual"/>
        </w:rPr>
        <w:t>tatistic)</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970"/>
        <w:gridCol w:w="1620"/>
        <w:gridCol w:w="1710"/>
        <w:gridCol w:w="1980"/>
      </w:tblGrid>
      <w:tr w:rsidR="00256737" w:rsidRPr="002E764E" w14:paraId="6F9BD7A1" w14:textId="77777777" w:rsidTr="002E764E">
        <w:trPr>
          <w:tblHeader/>
          <w:tblCellSpacing w:w="15" w:type="dxa"/>
        </w:trPr>
        <w:tc>
          <w:tcPr>
            <w:tcW w:w="2925" w:type="dxa"/>
            <w:vAlign w:val="center"/>
            <w:hideMark/>
          </w:tcPr>
          <w:p w14:paraId="6C356CF9" w14:textId="77777777" w:rsidR="00256737" w:rsidRPr="00256737" w:rsidRDefault="00256737" w:rsidP="002E764E">
            <w:pPr>
              <w:spacing w:after="160" w:line="278" w:lineRule="auto"/>
              <w:rPr>
                <w:rFonts w:eastAsia="Calibri"/>
                <w:b/>
                <w:bCs/>
                <w:kern w:val="2"/>
                <w14:ligatures w14:val="standardContextual"/>
              </w:rPr>
            </w:pPr>
            <w:proofErr w:type="spellStart"/>
            <w:r w:rsidRPr="00256737">
              <w:rPr>
                <w:rFonts w:eastAsia="Calibri"/>
                <w:b/>
                <w:bCs/>
                <w:kern w:val="2"/>
                <w14:ligatures w14:val="standardContextual"/>
              </w:rPr>
              <w:t>Hypothesised</w:t>
            </w:r>
            <w:proofErr w:type="spellEnd"/>
            <w:r w:rsidRPr="00256737">
              <w:rPr>
                <w:rFonts w:eastAsia="Calibri"/>
                <w:b/>
                <w:bCs/>
                <w:kern w:val="2"/>
                <w14:ligatures w14:val="standardContextual"/>
              </w:rPr>
              <w:t xml:space="preserve"> No. of CE(s)</w:t>
            </w:r>
          </w:p>
        </w:tc>
        <w:tc>
          <w:tcPr>
            <w:tcW w:w="1590" w:type="dxa"/>
            <w:vAlign w:val="center"/>
            <w:hideMark/>
          </w:tcPr>
          <w:p w14:paraId="58A26D30" w14:textId="77777777" w:rsidR="00256737" w:rsidRPr="00256737" w:rsidRDefault="00256737" w:rsidP="002E764E">
            <w:pPr>
              <w:spacing w:after="160" w:line="278" w:lineRule="auto"/>
              <w:jc w:val="center"/>
              <w:rPr>
                <w:rFonts w:eastAsia="Calibri"/>
                <w:b/>
                <w:bCs/>
                <w:kern w:val="2"/>
                <w14:ligatures w14:val="standardContextual"/>
              </w:rPr>
            </w:pPr>
            <w:r w:rsidRPr="00256737">
              <w:rPr>
                <w:rFonts w:eastAsia="Calibri"/>
                <w:b/>
                <w:bCs/>
                <w:kern w:val="2"/>
                <w14:ligatures w14:val="standardContextual"/>
              </w:rPr>
              <w:t>Eigenvalue</w:t>
            </w:r>
          </w:p>
        </w:tc>
        <w:tc>
          <w:tcPr>
            <w:tcW w:w="1680" w:type="dxa"/>
            <w:vAlign w:val="center"/>
            <w:hideMark/>
          </w:tcPr>
          <w:p w14:paraId="6A43B775" w14:textId="77777777" w:rsidR="00256737" w:rsidRPr="00256737" w:rsidRDefault="00256737" w:rsidP="002E764E">
            <w:pPr>
              <w:spacing w:after="160" w:line="278" w:lineRule="auto"/>
              <w:jc w:val="center"/>
              <w:rPr>
                <w:rFonts w:eastAsia="Calibri"/>
                <w:b/>
                <w:bCs/>
                <w:kern w:val="2"/>
                <w14:ligatures w14:val="standardContextual"/>
              </w:rPr>
            </w:pPr>
            <w:r w:rsidRPr="00256737">
              <w:rPr>
                <w:rFonts w:eastAsia="Calibri"/>
                <w:b/>
                <w:bCs/>
                <w:kern w:val="2"/>
                <w14:ligatures w14:val="standardContextual"/>
              </w:rPr>
              <w:t>Trace Statistic</w:t>
            </w:r>
          </w:p>
        </w:tc>
        <w:tc>
          <w:tcPr>
            <w:tcW w:w="1935" w:type="dxa"/>
            <w:vAlign w:val="center"/>
            <w:hideMark/>
          </w:tcPr>
          <w:p w14:paraId="42E1E85C" w14:textId="77777777" w:rsidR="00256737" w:rsidRPr="00256737" w:rsidRDefault="00256737" w:rsidP="002E764E">
            <w:pPr>
              <w:spacing w:after="160" w:line="278" w:lineRule="auto"/>
              <w:jc w:val="center"/>
              <w:rPr>
                <w:rFonts w:eastAsia="Calibri"/>
                <w:b/>
                <w:bCs/>
                <w:kern w:val="2"/>
                <w14:ligatures w14:val="standardContextual"/>
              </w:rPr>
            </w:pPr>
            <w:r w:rsidRPr="00256737">
              <w:rPr>
                <w:rFonts w:eastAsia="Calibri"/>
                <w:b/>
                <w:bCs/>
                <w:kern w:val="2"/>
                <w14:ligatures w14:val="standardContextual"/>
              </w:rPr>
              <w:t>5% Critical Value</w:t>
            </w:r>
          </w:p>
        </w:tc>
      </w:tr>
      <w:tr w:rsidR="00256737" w:rsidRPr="002E764E" w14:paraId="035B7C8D" w14:textId="77777777" w:rsidTr="002E764E">
        <w:trPr>
          <w:tblCellSpacing w:w="15" w:type="dxa"/>
        </w:trPr>
        <w:tc>
          <w:tcPr>
            <w:tcW w:w="2925" w:type="dxa"/>
            <w:tcBorders>
              <w:top w:val="single" w:sz="4" w:space="0" w:color="auto"/>
              <w:bottom w:val="single" w:sz="4" w:space="0" w:color="auto"/>
            </w:tcBorders>
            <w:vAlign w:val="center"/>
            <w:hideMark/>
          </w:tcPr>
          <w:p w14:paraId="48AC1CE5"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None *</w:t>
            </w:r>
          </w:p>
        </w:tc>
        <w:tc>
          <w:tcPr>
            <w:tcW w:w="1590" w:type="dxa"/>
            <w:tcBorders>
              <w:top w:val="single" w:sz="4" w:space="0" w:color="auto"/>
              <w:bottom w:val="single" w:sz="4" w:space="0" w:color="auto"/>
            </w:tcBorders>
            <w:vAlign w:val="center"/>
            <w:hideMark/>
          </w:tcPr>
          <w:p w14:paraId="0DDD5C21" w14:textId="085F568C" w:rsidR="00256737" w:rsidRPr="00256737" w:rsidRDefault="00AD3EE3" w:rsidP="00256737">
            <w:pPr>
              <w:spacing w:after="160" w:line="278" w:lineRule="auto"/>
              <w:rPr>
                <w:rFonts w:eastAsia="Calibri"/>
                <w:kern w:val="2"/>
                <w14:ligatures w14:val="standardContextual"/>
              </w:rPr>
            </w:pPr>
            <w:r>
              <w:rPr>
                <w:rFonts w:eastAsia="Calibri"/>
                <w:kern w:val="2"/>
                <w14:ligatures w14:val="standardContextual"/>
              </w:rPr>
              <w:t xml:space="preserve">, </w:t>
            </w:r>
          </w:p>
        </w:tc>
        <w:tc>
          <w:tcPr>
            <w:tcW w:w="1680" w:type="dxa"/>
            <w:tcBorders>
              <w:top w:val="single" w:sz="4" w:space="0" w:color="auto"/>
              <w:bottom w:val="single" w:sz="4" w:space="0" w:color="auto"/>
            </w:tcBorders>
            <w:vAlign w:val="center"/>
            <w:hideMark/>
          </w:tcPr>
          <w:p w14:paraId="002416CA"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124.9335</w:t>
            </w:r>
          </w:p>
        </w:tc>
        <w:tc>
          <w:tcPr>
            <w:tcW w:w="1935" w:type="dxa"/>
            <w:tcBorders>
              <w:top w:val="single" w:sz="4" w:space="0" w:color="auto"/>
              <w:bottom w:val="single" w:sz="4" w:space="0" w:color="auto"/>
            </w:tcBorders>
            <w:vAlign w:val="center"/>
            <w:hideMark/>
          </w:tcPr>
          <w:p w14:paraId="038AEAB9"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68.52</w:t>
            </w:r>
          </w:p>
        </w:tc>
      </w:tr>
      <w:tr w:rsidR="00256737" w:rsidRPr="002E764E" w14:paraId="5F0FA815" w14:textId="77777777" w:rsidTr="002E764E">
        <w:trPr>
          <w:tblCellSpacing w:w="15" w:type="dxa"/>
        </w:trPr>
        <w:tc>
          <w:tcPr>
            <w:tcW w:w="2925" w:type="dxa"/>
            <w:vAlign w:val="center"/>
            <w:hideMark/>
          </w:tcPr>
          <w:p w14:paraId="67C5D7B1"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At most 1</w:t>
            </w:r>
          </w:p>
        </w:tc>
        <w:tc>
          <w:tcPr>
            <w:tcW w:w="1590" w:type="dxa"/>
            <w:vAlign w:val="center"/>
            <w:hideMark/>
          </w:tcPr>
          <w:p w14:paraId="2BF08A3E"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0.88808</w:t>
            </w:r>
          </w:p>
        </w:tc>
        <w:tc>
          <w:tcPr>
            <w:tcW w:w="1680" w:type="dxa"/>
            <w:vAlign w:val="center"/>
            <w:hideMark/>
          </w:tcPr>
          <w:p w14:paraId="45F449A9"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76.7535</w:t>
            </w:r>
          </w:p>
        </w:tc>
        <w:tc>
          <w:tcPr>
            <w:tcW w:w="1935" w:type="dxa"/>
            <w:vAlign w:val="center"/>
            <w:hideMark/>
          </w:tcPr>
          <w:p w14:paraId="47BAA9C4"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47.21</w:t>
            </w:r>
          </w:p>
        </w:tc>
      </w:tr>
      <w:tr w:rsidR="00256737" w:rsidRPr="002E764E" w14:paraId="6128C88A" w14:textId="77777777" w:rsidTr="002E764E">
        <w:trPr>
          <w:tblCellSpacing w:w="15" w:type="dxa"/>
        </w:trPr>
        <w:tc>
          <w:tcPr>
            <w:tcW w:w="2925" w:type="dxa"/>
            <w:tcBorders>
              <w:top w:val="single" w:sz="4" w:space="0" w:color="auto"/>
              <w:bottom w:val="single" w:sz="4" w:space="0" w:color="auto"/>
            </w:tcBorders>
            <w:vAlign w:val="center"/>
            <w:hideMark/>
          </w:tcPr>
          <w:p w14:paraId="76B00C56"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At most 2</w:t>
            </w:r>
          </w:p>
        </w:tc>
        <w:tc>
          <w:tcPr>
            <w:tcW w:w="1590" w:type="dxa"/>
            <w:tcBorders>
              <w:top w:val="single" w:sz="4" w:space="0" w:color="auto"/>
              <w:bottom w:val="single" w:sz="4" w:space="0" w:color="auto"/>
            </w:tcBorders>
            <w:vAlign w:val="center"/>
            <w:hideMark/>
          </w:tcPr>
          <w:p w14:paraId="5AD62FDC"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0.76525</w:t>
            </w:r>
          </w:p>
        </w:tc>
        <w:tc>
          <w:tcPr>
            <w:tcW w:w="1680" w:type="dxa"/>
            <w:tcBorders>
              <w:top w:val="single" w:sz="4" w:space="0" w:color="auto"/>
              <w:bottom w:val="single" w:sz="4" w:space="0" w:color="auto"/>
            </w:tcBorders>
            <w:vAlign w:val="center"/>
            <w:hideMark/>
          </w:tcPr>
          <w:p w14:paraId="65F6E50F"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44.8706</w:t>
            </w:r>
          </w:p>
        </w:tc>
        <w:tc>
          <w:tcPr>
            <w:tcW w:w="1935" w:type="dxa"/>
            <w:tcBorders>
              <w:top w:val="single" w:sz="4" w:space="0" w:color="auto"/>
              <w:bottom w:val="single" w:sz="4" w:space="0" w:color="auto"/>
            </w:tcBorders>
            <w:vAlign w:val="center"/>
            <w:hideMark/>
          </w:tcPr>
          <w:p w14:paraId="4BBE5DFE"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29.68</w:t>
            </w:r>
          </w:p>
        </w:tc>
      </w:tr>
      <w:tr w:rsidR="00256737" w:rsidRPr="002E764E" w14:paraId="1ECE3BFD" w14:textId="77777777" w:rsidTr="002E764E">
        <w:trPr>
          <w:tblCellSpacing w:w="15" w:type="dxa"/>
        </w:trPr>
        <w:tc>
          <w:tcPr>
            <w:tcW w:w="2925" w:type="dxa"/>
            <w:vAlign w:val="center"/>
            <w:hideMark/>
          </w:tcPr>
          <w:p w14:paraId="74A24C38"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At most 3</w:t>
            </w:r>
          </w:p>
        </w:tc>
        <w:tc>
          <w:tcPr>
            <w:tcW w:w="1590" w:type="dxa"/>
            <w:vAlign w:val="center"/>
            <w:hideMark/>
          </w:tcPr>
          <w:p w14:paraId="1152E460"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0.70882</w:t>
            </w:r>
          </w:p>
        </w:tc>
        <w:tc>
          <w:tcPr>
            <w:tcW w:w="1680" w:type="dxa"/>
            <w:vAlign w:val="center"/>
            <w:hideMark/>
          </w:tcPr>
          <w:p w14:paraId="340FFD3C"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17.7267</w:t>
            </w:r>
          </w:p>
        </w:tc>
        <w:tc>
          <w:tcPr>
            <w:tcW w:w="1935" w:type="dxa"/>
            <w:vAlign w:val="center"/>
            <w:hideMark/>
          </w:tcPr>
          <w:p w14:paraId="6472AFC6"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15.41</w:t>
            </w:r>
          </w:p>
        </w:tc>
      </w:tr>
      <w:tr w:rsidR="00256737" w:rsidRPr="002E764E" w14:paraId="03042528" w14:textId="77777777" w:rsidTr="002E764E">
        <w:trPr>
          <w:tblCellSpacing w:w="15" w:type="dxa"/>
        </w:trPr>
        <w:tc>
          <w:tcPr>
            <w:tcW w:w="2925" w:type="dxa"/>
            <w:tcBorders>
              <w:top w:val="single" w:sz="4" w:space="0" w:color="auto"/>
              <w:bottom w:val="single" w:sz="4" w:space="0" w:color="auto"/>
            </w:tcBorders>
            <w:vAlign w:val="center"/>
            <w:hideMark/>
          </w:tcPr>
          <w:p w14:paraId="68E01274"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At most 4</w:t>
            </w:r>
          </w:p>
        </w:tc>
        <w:tc>
          <w:tcPr>
            <w:tcW w:w="1590" w:type="dxa"/>
            <w:tcBorders>
              <w:top w:val="single" w:sz="4" w:space="0" w:color="auto"/>
              <w:bottom w:val="single" w:sz="4" w:space="0" w:color="auto"/>
            </w:tcBorders>
            <w:vAlign w:val="center"/>
            <w:hideMark/>
          </w:tcPr>
          <w:p w14:paraId="7730D929"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0.41779</w:t>
            </w:r>
          </w:p>
        </w:tc>
        <w:tc>
          <w:tcPr>
            <w:tcW w:w="1680" w:type="dxa"/>
            <w:tcBorders>
              <w:top w:val="single" w:sz="4" w:space="0" w:color="auto"/>
              <w:bottom w:val="single" w:sz="4" w:space="0" w:color="auto"/>
            </w:tcBorders>
            <w:vAlign w:val="center"/>
            <w:hideMark/>
          </w:tcPr>
          <w:p w14:paraId="2807DEC0"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5.8262</w:t>
            </w:r>
          </w:p>
        </w:tc>
        <w:tc>
          <w:tcPr>
            <w:tcW w:w="1935" w:type="dxa"/>
            <w:tcBorders>
              <w:top w:val="single" w:sz="4" w:space="0" w:color="auto"/>
              <w:bottom w:val="single" w:sz="4" w:space="0" w:color="auto"/>
            </w:tcBorders>
            <w:vAlign w:val="center"/>
            <w:hideMark/>
          </w:tcPr>
          <w:p w14:paraId="50F9321B" w14:textId="77777777" w:rsidR="00256737" w:rsidRPr="00256737" w:rsidRDefault="00256737" w:rsidP="00256737">
            <w:pPr>
              <w:spacing w:after="160" w:line="278" w:lineRule="auto"/>
              <w:rPr>
                <w:rFonts w:eastAsia="Calibri"/>
                <w:kern w:val="2"/>
                <w14:ligatures w14:val="standardContextual"/>
              </w:rPr>
            </w:pPr>
            <w:r w:rsidRPr="00256737">
              <w:rPr>
                <w:rFonts w:eastAsia="Calibri"/>
                <w:kern w:val="2"/>
                <w14:ligatures w14:val="standardContextual"/>
              </w:rPr>
              <w:t>3.76</w:t>
            </w:r>
          </w:p>
        </w:tc>
      </w:tr>
    </w:tbl>
    <w:p w14:paraId="51121FDC" w14:textId="18C1C1AB" w:rsidR="00256737" w:rsidRPr="00256737" w:rsidRDefault="00256737" w:rsidP="00256737">
      <w:pPr>
        <w:spacing w:after="160" w:line="278" w:lineRule="auto"/>
        <w:rPr>
          <w:rFonts w:eastAsia="Calibri"/>
          <w:kern w:val="2"/>
          <w14:ligatures w14:val="standardContextual"/>
        </w:rPr>
      </w:pPr>
      <w:r w:rsidRPr="00256737">
        <w:rPr>
          <w:rFonts w:eastAsia="Calibri"/>
          <w:i/>
          <w:iCs/>
          <w:kern w:val="2"/>
          <w14:ligatures w14:val="standardContextual"/>
        </w:rPr>
        <w:t xml:space="preserve">* </w:t>
      </w:r>
      <w:proofErr w:type="gramStart"/>
      <w:r w:rsidRPr="00F1460F">
        <w:rPr>
          <w:rFonts w:eastAsia="Calibri"/>
          <w:kern w:val="2"/>
          <w:sz w:val="20"/>
          <w:szCs w:val="20"/>
          <w14:ligatures w14:val="standardContextual"/>
        </w:rPr>
        <w:t>denotes</w:t>
      </w:r>
      <w:proofErr w:type="gramEnd"/>
      <w:r w:rsidRPr="00F1460F">
        <w:rPr>
          <w:rFonts w:eastAsia="Calibri"/>
          <w:kern w:val="2"/>
          <w:sz w:val="20"/>
          <w:szCs w:val="20"/>
          <w14:ligatures w14:val="standardContextual"/>
        </w:rPr>
        <w:t xml:space="preserve"> rejection of the null at the 0.05 level. Source: Authors calculations (</w:t>
      </w:r>
      <w:r w:rsidR="00F1460F" w:rsidRPr="00F1460F">
        <w:rPr>
          <w:rFonts w:eastAsia="Calibri"/>
          <w:kern w:val="2"/>
          <w:sz w:val="20"/>
          <w:szCs w:val="20"/>
          <w14:ligatures w14:val="standardContextual"/>
        </w:rPr>
        <w:t>S</w:t>
      </w:r>
      <w:r w:rsidR="00F1460F">
        <w:rPr>
          <w:rFonts w:eastAsia="Calibri"/>
          <w:kern w:val="2"/>
          <w:sz w:val="20"/>
          <w:szCs w:val="20"/>
          <w14:ligatures w14:val="standardContextual"/>
        </w:rPr>
        <w:t>tata</w:t>
      </w:r>
      <w:r w:rsidRPr="00F1460F">
        <w:rPr>
          <w:rFonts w:eastAsia="Calibri"/>
          <w:kern w:val="2"/>
          <w:sz w:val="20"/>
          <w:szCs w:val="20"/>
          <w14:ligatures w14:val="standardContextual"/>
        </w:rPr>
        <w:t>).</w:t>
      </w:r>
    </w:p>
    <w:p w14:paraId="0633BFB3" w14:textId="3F5D1AD5" w:rsidR="00256737" w:rsidRDefault="00256737" w:rsidP="00F1460F">
      <w:pPr>
        <w:ind w:firstLine="720"/>
        <w:rPr>
          <w:rFonts w:eastAsia="Calibri"/>
          <w:kern w:val="2"/>
          <w14:ligatures w14:val="standardContextual"/>
        </w:rPr>
      </w:pPr>
      <w:r w:rsidRPr="009604CB">
        <w:rPr>
          <w:rFonts w:eastAsia="Calibri"/>
          <w:kern w:val="2"/>
          <w14:ligatures w14:val="standardContextual"/>
        </w:rPr>
        <w:t>The trace statistic (124.93) substantially exceeds the 5% critical value (68.52) under the null of no cointegration. The test supports the existence of at least one cointegrating relationship (rank = 1) among GDP and the four professional migration series. This confirms the empirical appropriateness of the VECM framework.</w:t>
      </w:r>
    </w:p>
    <w:p w14:paraId="14FADDA9" w14:textId="048EDF5C" w:rsidR="00D602F6" w:rsidRPr="009604CB" w:rsidRDefault="00D602F6" w:rsidP="00F1460F">
      <w:pPr>
        <w:pStyle w:val="Heading2"/>
      </w:pPr>
      <w:r w:rsidRPr="009604CB">
        <w:t xml:space="preserve">Residual </w:t>
      </w:r>
      <w:r w:rsidR="00D32FB3">
        <w:t>d</w:t>
      </w:r>
      <w:r w:rsidRPr="009604CB">
        <w:t>iagnostics</w:t>
      </w:r>
    </w:p>
    <w:p w14:paraId="771646F3" w14:textId="2A447331" w:rsidR="00D602F6" w:rsidRPr="009604CB" w:rsidRDefault="00D602F6" w:rsidP="00D602F6">
      <w:pPr>
        <w:spacing w:after="160" w:line="278" w:lineRule="auto"/>
      </w:pPr>
      <w:r w:rsidRPr="009604CB">
        <w:t xml:space="preserve">To verify the statistical adequacy of the model, three standard diagnostic tests were conducted (Table </w:t>
      </w:r>
      <w:r>
        <w:t>4</w:t>
      </w:r>
      <w:r w:rsidRPr="009604CB">
        <w:t>).</w:t>
      </w:r>
    </w:p>
    <w:p w14:paraId="5B156F36" w14:textId="77777777" w:rsidR="00D32FB3" w:rsidRDefault="00D32FB3" w:rsidP="00D602F6">
      <w:pPr>
        <w:spacing w:after="160" w:line="278" w:lineRule="auto"/>
        <w:rPr>
          <w:b/>
          <w:bCs/>
        </w:rPr>
        <w:sectPr w:rsidR="00D32FB3">
          <w:pgSz w:w="12240" w:h="15840"/>
          <w:pgMar w:top="1440" w:right="1440" w:bottom="1440" w:left="1440" w:header="708" w:footer="708" w:gutter="0"/>
          <w:cols w:space="720"/>
          <w:docGrid w:linePitch="360"/>
        </w:sectPr>
      </w:pPr>
    </w:p>
    <w:p w14:paraId="2CACDF13" w14:textId="5436F302" w:rsidR="00D602F6" w:rsidRPr="009604CB" w:rsidRDefault="00D602F6" w:rsidP="00D602F6">
      <w:pPr>
        <w:spacing w:after="160" w:line="278" w:lineRule="auto"/>
      </w:pPr>
      <w:r w:rsidRPr="009604CB">
        <w:rPr>
          <w:b/>
          <w:bCs/>
        </w:rPr>
        <w:lastRenderedPageBreak/>
        <w:t xml:space="preserve">Table </w:t>
      </w:r>
      <w:r>
        <w:rPr>
          <w:b/>
          <w:bCs/>
        </w:rPr>
        <w:t>4</w:t>
      </w:r>
      <w:r w:rsidRPr="009604CB">
        <w:rPr>
          <w:b/>
          <w:bCs/>
        </w:rPr>
        <w:t xml:space="preserve">: </w:t>
      </w:r>
      <w:r w:rsidRPr="009604CB">
        <w:t xml:space="preserve">Residual </w:t>
      </w:r>
      <w:r w:rsidR="00D32FB3">
        <w:t>d</w:t>
      </w:r>
      <w:r w:rsidRPr="009604CB">
        <w:t>iagnostics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320"/>
        <w:gridCol w:w="1800"/>
        <w:gridCol w:w="1080"/>
        <w:gridCol w:w="2070"/>
      </w:tblGrid>
      <w:tr w:rsidR="00D602F6" w:rsidRPr="00D602F6" w14:paraId="4D495DCB" w14:textId="77777777" w:rsidTr="00D602F6">
        <w:trPr>
          <w:tblHeader/>
          <w:tblCellSpacing w:w="15" w:type="dxa"/>
        </w:trPr>
        <w:tc>
          <w:tcPr>
            <w:tcW w:w="4275" w:type="dxa"/>
            <w:vAlign w:val="center"/>
            <w:hideMark/>
          </w:tcPr>
          <w:p w14:paraId="7EF6AD0C" w14:textId="77777777" w:rsidR="00D602F6" w:rsidRPr="009604CB" w:rsidRDefault="00D602F6" w:rsidP="00E314C0">
            <w:pPr>
              <w:spacing w:after="160" w:line="278" w:lineRule="auto"/>
              <w:rPr>
                <w:b/>
                <w:bCs/>
              </w:rPr>
            </w:pPr>
            <w:r w:rsidRPr="009604CB">
              <w:rPr>
                <w:b/>
                <w:bCs/>
              </w:rPr>
              <w:t>Test</w:t>
            </w:r>
          </w:p>
        </w:tc>
        <w:tc>
          <w:tcPr>
            <w:tcW w:w="1770" w:type="dxa"/>
            <w:vAlign w:val="center"/>
            <w:hideMark/>
          </w:tcPr>
          <w:p w14:paraId="58599AB2" w14:textId="77777777" w:rsidR="00D602F6" w:rsidRPr="009604CB" w:rsidRDefault="00D602F6" w:rsidP="00E314C0">
            <w:pPr>
              <w:spacing w:after="160" w:line="278" w:lineRule="auto"/>
              <w:rPr>
                <w:b/>
                <w:bCs/>
              </w:rPr>
            </w:pPr>
            <w:r w:rsidRPr="009604CB">
              <w:rPr>
                <w:b/>
                <w:bCs/>
              </w:rPr>
              <w:t>Statistic / Basis</w:t>
            </w:r>
          </w:p>
        </w:tc>
        <w:tc>
          <w:tcPr>
            <w:tcW w:w="1050" w:type="dxa"/>
            <w:vAlign w:val="center"/>
            <w:hideMark/>
          </w:tcPr>
          <w:p w14:paraId="009089E4" w14:textId="77777777" w:rsidR="00D602F6" w:rsidRPr="009604CB" w:rsidRDefault="00D602F6" w:rsidP="00E314C0">
            <w:pPr>
              <w:spacing w:after="160" w:line="278" w:lineRule="auto"/>
              <w:rPr>
                <w:b/>
                <w:bCs/>
              </w:rPr>
            </w:pPr>
            <w:r w:rsidRPr="009604CB">
              <w:rPr>
                <w:b/>
                <w:bCs/>
                <w:i/>
                <w:iCs/>
              </w:rPr>
              <w:t>p</w:t>
            </w:r>
            <w:r w:rsidRPr="009604CB">
              <w:rPr>
                <w:b/>
                <w:bCs/>
              </w:rPr>
              <w:t>-value</w:t>
            </w:r>
          </w:p>
        </w:tc>
        <w:tc>
          <w:tcPr>
            <w:tcW w:w="2025" w:type="dxa"/>
            <w:vAlign w:val="center"/>
            <w:hideMark/>
          </w:tcPr>
          <w:p w14:paraId="4406A088" w14:textId="77777777" w:rsidR="00D602F6" w:rsidRPr="009604CB" w:rsidRDefault="00D602F6" w:rsidP="00E314C0">
            <w:pPr>
              <w:spacing w:after="160" w:line="278" w:lineRule="auto"/>
              <w:rPr>
                <w:b/>
                <w:bCs/>
              </w:rPr>
            </w:pPr>
            <w:r w:rsidRPr="009604CB">
              <w:rPr>
                <w:b/>
                <w:bCs/>
              </w:rPr>
              <w:t>Inference</w:t>
            </w:r>
          </w:p>
        </w:tc>
      </w:tr>
      <w:tr w:rsidR="00D602F6" w:rsidRPr="00D602F6" w14:paraId="60CF4C9A" w14:textId="77777777" w:rsidTr="00D602F6">
        <w:trPr>
          <w:tblCellSpacing w:w="15" w:type="dxa"/>
        </w:trPr>
        <w:tc>
          <w:tcPr>
            <w:tcW w:w="4275" w:type="dxa"/>
            <w:tcBorders>
              <w:top w:val="single" w:sz="4" w:space="0" w:color="auto"/>
              <w:bottom w:val="single" w:sz="4" w:space="0" w:color="auto"/>
            </w:tcBorders>
            <w:vAlign w:val="center"/>
            <w:hideMark/>
          </w:tcPr>
          <w:p w14:paraId="12A018A1" w14:textId="77777777" w:rsidR="00D602F6" w:rsidRPr="009604CB" w:rsidRDefault="00D602F6" w:rsidP="00D602F6">
            <w:pPr>
              <w:spacing w:after="160" w:line="278" w:lineRule="auto"/>
            </w:pPr>
            <w:r w:rsidRPr="009604CB">
              <w:t>Normality (Skewness/Kurtosis)</w:t>
            </w:r>
          </w:p>
        </w:tc>
        <w:tc>
          <w:tcPr>
            <w:tcW w:w="1770" w:type="dxa"/>
            <w:tcBorders>
              <w:top w:val="single" w:sz="4" w:space="0" w:color="auto"/>
              <w:bottom w:val="single" w:sz="4" w:space="0" w:color="auto"/>
            </w:tcBorders>
            <w:vAlign w:val="center"/>
            <w:hideMark/>
          </w:tcPr>
          <w:p w14:paraId="22DD90D6" w14:textId="77777777" w:rsidR="00D602F6" w:rsidRPr="009604CB" w:rsidRDefault="00D602F6" w:rsidP="00E314C0">
            <w:pPr>
              <w:spacing w:after="160" w:line="278" w:lineRule="auto"/>
            </w:pPr>
            <w:r w:rsidRPr="009604CB">
              <w:t>Joint test</w:t>
            </w:r>
          </w:p>
        </w:tc>
        <w:tc>
          <w:tcPr>
            <w:tcW w:w="1050" w:type="dxa"/>
            <w:tcBorders>
              <w:top w:val="single" w:sz="4" w:space="0" w:color="auto"/>
              <w:bottom w:val="single" w:sz="4" w:space="0" w:color="auto"/>
            </w:tcBorders>
            <w:vAlign w:val="center"/>
            <w:hideMark/>
          </w:tcPr>
          <w:p w14:paraId="290A2BFF" w14:textId="77777777" w:rsidR="00D602F6" w:rsidRPr="009604CB" w:rsidRDefault="00D602F6" w:rsidP="00E314C0">
            <w:pPr>
              <w:spacing w:after="160" w:line="278" w:lineRule="auto"/>
            </w:pPr>
            <w:r w:rsidRPr="009604CB">
              <w:t>0.3917</w:t>
            </w:r>
          </w:p>
        </w:tc>
        <w:tc>
          <w:tcPr>
            <w:tcW w:w="2025" w:type="dxa"/>
            <w:tcBorders>
              <w:top w:val="single" w:sz="4" w:space="0" w:color="auto"/>
              <w:bottom w:val="single" w:sz="4" w:space="0" w:color="auto"/>
            </w:tcBorders>
            <w:vAlign w:val="center"/>
            <w:hideMark/>
          </w:tcPr>
          <w:p w14:paraId="0646AFB4" w14:textId="77777777" w:rsidR="00D602F6" w:rsidRPr="009604CB" w:rsidRDefault="00D602F6" w:rsidP="00D602F6">
            <w:pPr>
              <w:spacing w:after="160" w:line="278" w:lineRule="auto"/>
            </w:pPr>
            <w:r w:rsidRPr="009604CB">
              <w:t>Residuals normally distributed</w:t>
            </w:r>
          </w:p>
        </w:tc>
      </w:tr>
      <w:tr w:rsidR="00D602F6" w:rsidRPr="00D602F6" w14:paraId="0AED8BA0" w14:textId="77777777" w:rsidTr="00D602F6">
        <w:trPr>
          <w:tblCellSpacing w:w="15" w:type="dxa"/>
        </w:trPr>
        <w:tc>
          <w:tcPr>
            <w:tcW w:w="4275" w:type="dxa"/>
            <w:vAlign w:val="center"/>
            <w:hideMark/>
          </w:tcPr>
          <w:p w14:paraId="0BBAA357" w14:textId="77777777" w:rsidR="00D602F6" w:rsidRPr="009604CB" w:rsidRDefault="00D602F6" w:rsidP="00D602F6">
            <w:pPr>
              <w:spacing w:after="160" w:line="278" w:lineRule="auto"/>
            </w:pPr>
            <w:r w:rsidRPr="009604CB">
              <w:t>Serial Correlation (Breusch–Godfrey LM)</w:t>
            </w:r>
          </w:p>
        </w:tc>
        <w:tc>
          <w:tcPr>
            <w:tcW w:w="1770" w:type="dxa"/>
            <w:vAlign w:val="center"/>
            <w:hideMark/>
          </w:tcPr>
          <w:p w14:paraId="1218E998" w14:textId="77777777" w:rsidR="00D602F6" w:rsidRPr="009604CB" w:rsidRDefault="00D602F6" w:rsidP="00E314C0">
            <w:pPr>
              <w:spacing w:after="160" w:line="278" w:lineRule="auto"/>
            </w:pPr>
            <w:r w:rsidRPr="009604CB">
              <w:t>LM test</w:t>
            </w:r>
          </w:p>
        </w:tc>
        <w:tc>
          <w:tcPr>
            <w:tcW w:w="1050" w:type="dxa"/>
            <w:vAlign w:val="center"/>
            <w:hideMark/>
          </w:tcPr>
          <w:p w14:paraId="60C62D68" w14:textId="77777777" w:rsidR="00D602F6" w:rsidRPr="009604CB" w:rsidRDefault="00D602F6" w:rsidP="00E314C0">
            <w:pPr>
              <w:spacing w:after="160" w:line="278" w:lineRule="auto"/>
            </w:pPr>
            <w:r w:rsidRPr="009604CB">
              <w:t>0.0723</w:t>
            </w:r>
          </w:p>
        </w:tc>
        <w:tc>
          <w:tcPr>
            <w:tcW w:w="2025" w:type="dxa"/>
            <w:vAlign w:val="center"/>
            <w:hideMark/>
          </w:tcPr>
          <w:p w14:paraId="2DC8C9AC" w14:textId="77777777" w:rsidR="00D602F6" w:rsidRPr="009604CB" w:rsidRDefault="00D602F6" w:rsidP="00D602F6">
            <w:pPr>
              <w:spacing w:after="160" w:line="278" w:lineRule="auto"/>
            </w:pPr>
            <w:r w:rsidRPr="009604CB">
              <w:t>No significant autocorrelation</w:t>
            </w:r>
          </w:p>
        </w:tc>
      </w:tr>
      <w:tr w:rsidR="00D602F6" w:rsidRPr="00D602F6" w14:paraId="712D51EF" w14:textId="77777777" w:rsidTr="00D602F6">
        <w:trPr>
          <w:tblCellSpacing w:w="15" w:type="dxa"/>
        </w:trPr>
        <w:tc>
          <w:tcPr>
            <w:tcW w:w="4275" w:type="dxa"/>
            <w:tcBorders>
              <w:top w:val="single" w:sz="4" w:space="0" w:color="auto"/>
              <w:bottom w:val="single" w:sz="4" w:space="0" w:color="auto"/>
            </w:tcBorders>
            <w:vAlign w:val="center"/>
            <w:hideMark/>
          </w:tcPr>
          <w:p w14:paraId="56123F2F" w14:textId="77777777" w:rsidR="00D602F6" w:rsidRPr="009604CB" w:rsidRDefault="00D602F6" w:rsidP="00D602F6">
            <w:pPr>
              <w:spacing w:after="160" w:line="278" w:lineRule="auto"/>
            </w:pPr>
            <w:r w:rsidRPr="009604CB">
              <w:t>Heteroskedasticity (Breusch–Pagan)</w:t>
            </w:r>
          </w:p>
        </w:tc>
        <w:tc>
          <w:tcPr>
            <w:tcW w:w="1770" w:type="dxa"/>
            <w:tcBorders>
              <w:top w:val="single" w:sz="4" w:space="0" w:color="auto"/>
              <w:bottom w:val="single" w:sz="4" w:space="0" w:color="auto"/>
            </w:tcBorders>
            <w:vAlign w:val="center"/>
            <w:hideMark/>
          </w:tcPr>
          <w:p w14:paraId="150EC18C" w14:textId="77777777" w:rsidR="00D602F6" w:rsidRPr="009604CB" w:rsidRDefault="00D602F6" w:rsidP="00E314C0">
            <w:pPr>
              <w:spacing w:after="160" w:line="278" w:lineRule="auto"/>
            </w:pPr>
            <w:r w:rsidRPr="009604CB">
              <w:t>χ</w:t>
            </w:r>
            <w:proofErr w:type="gramStart"/>
            <w:r w:rsidRPr="009604CB">
              <w:t>²(</w:t>
            </w:r>
            <w:proofErr w:type="gramEnd"/>
            <w:r w:rsidRPr="009604CB">
              <w:t>1) = 0.03</w:t>
            </w:r>
          </w:p>
        </w:tc>
        <w:tc>
          <w:tcPr>
            <w:tcW w:w="1050" w:type="dxa"/>
            <w:tcBorders>
              <w:top w:val="single" w:sz="4" w:space="0" w:color="auto"/>
              <w:bottom w:val="single" w:sz="4" w:space="0" w:color="auto"/>
            </w:tcBorders>
            <w:vAlign w:val="center"/>
            <w:hideMark/>
          </w:tcPr>
          <w:p w14:paraId="7223D8AB" w14:textId="77777777" w:rsidR="00D602F6" w:rsidRPr="009604CB" w:rsidRDefault="00D602F6" w:rsidP="00E314C0">
            <w:pPr>
              <w:spacing w:after="160" w:line="278" w:lineRule="auto"/>
            </w:pPr>
            <w:r w:rsidRPr="009604CB">
              <w:t>0.8674</w:t>
            </w:r>
          </w:p>
        </w:tc>
        <w:tc>
          <w:tcPr>
            <w:tcW w:w="2025" w:type="dxa"/>
            <w:tcBorders>
              <w:top w:val="single" w:sz="4" w:space="0" w:color="auto"/>
              <w:bottom w:val="single" w:sz="4" w:space="0" w:color="auto"/>
            </w:tcBorders>
            <w:vAlign w:val="center"/>
            <w:hideMark/>
          </w:tcPr>
          <w:p w14:paraId="643C1CE4" w14:textId="77777777" w:rsidR="00D602F6" w:rsidRPr="009604CB" w:rsidRDefault="00D602F6" w:rsidP="00D602F6">
            <w:pPr>
              <w:spacing w:after="160" w:line="278" w:lineRule="auto"/>
            </w:pPr>
            <w:proofErr w:type="spellStart"/>
            <w:r w:rsidRPr="009604CB">
              <w:t>Homoskedastic</w:t>
            </w:r>
            <w:proofErr w:type="spellEnd"/>
            <w:r w:rsidRPr="009604CB">
              <w:t xml:space="preserve"> residuals</w:t>
            </w:r>
          </w:p>
        </w:tc>
      </w:tr>
    </w:tbl>
    <w:p w14:paraId="72AD285F" w14:textId="5C2F8474" w:rsidR="00D602F6" w:rsidRPr="00F1460F" w:rsidRDefault="00D602F6" w:rsidP="00D602F6">
      <w:pPr>
        <w:spacing w:after="160" w:line="278" w:lineRule="auto"/>
        <w:rPr>
          <w:sz w:val="20"/>
          <w:szCs w:val="20"/>
        </w:rPr>
      </w:pPr>
      <w:r w:rsidRPr="00F1460F">
        <w:rPr>
          <w:sz w:val="20"/>
          <w:szCs w:val="20"/>
        </w:rPr>
        <w:t>Source: Authors calculations (</w:t>
      </w:r>
      <w:r w:rsidR="00F1460F" w:rsidRPr="00F1460F">
        <w:rPr>
          <w:sz w:val="20"/>
          <w:szCs w:val="20"/>
        </w:rPr>
        <w:t>Stata</w:t>
      </w:r>
      <w:r w:rsidRPr="00F1460F">
        <w:rPr>
          <w:sz w:val="20"/>
          <w:szCs w:val="20"/>
        </w:rPr>
        <w:t>).</w:t>
      </w:r>
    </w:p>
    <w:p w14:paraId="77F2A9BD" w14:textId="77777777" w:rsidR="00D602F6" w:rsidRPr="009604CB" w:rsidRDefault="00D602F6" w:rsidP="00F1460F">
      <w:pPr>
        <w:spacing w:after="160"/>
        <w:ind w:firstLine="720"/>
      </w:pPr>
      <w:r w:rsidRPr="009604CB">
        <w:t>All three tests fail to reject their respective null hypotheses at the 5% level. The VECM residuals satisfy the assumptions of normality, serial independence, and constant variance, supporting the reliability of the estimated coefficients.</w:t>
      </w:r>
    </w:p>
    <w:p w14:paraId="2713501F" w14:textId="15CAFE2D" w:rsidR="00E32CC9" w:rsidRDefault="00D602F6" w:rsidP="00F1460F">
      <w:pPr>
        <w:pStyle w:val="Heading2"/>
      </w:pPr>
      <w:r>
        <w:t xml:space="preserve">VECM </w:t>
      </w:r>
      <w:r w:rsidR="009F3CA3">
        <w:t>e</w:t>
      </w:r>
      <w:r>
        <w:t>stimates</w:t>
      </w:r>
    </w:p>
    <w:p w14:paraId="2AF57687" w14:textId="77777777" w:rsidR="00E32CC9" w:rsidRDefault="00AB2F68" w:rsidP="00CC5873">
      <w:r>
        <w:t>The estimated long-run coefficients indicate that professional migration exerts a persistent and statistically significant negative influence on GDP growth across all four occupational categories. The emigration of university academics generates the most pronounced adverse effect: a long-run coefficient of −0.00788, implying that each additional academic emigrant is associated with a 0.00788 basis-point decrease in GDP growth.</w:t>
      </w:r>
    </w:p>
    <w:p w14:paraId="008F6531" w14:textId="25F943FD" w:rsidR="00AA198D" w:rsidRDefault="00AB2F68">
      <w:pPr>
        <w:ind w:firstLine="720"/>
      </w:pPr>
      <w:r>
        <w:t xml:space="preserve">Short-run dynamics reveal a more limited set of immediate effects. Only migration within the accounting profession shows a statistically significant short-run coefficient. </w:t>
      </w:r>
      <w:r w:rsidR="00471231" w:rsidRPr="00471231">
        <w:t>A noteworthy and somewhat counter-intuitive result is the positive short-run coefficient for health professionals (+0.00003, p = 0.730). While statistically insignificant, the positive direction warrants comment. One plausible interpretation is that, in the short run, the emigration of medical professionals generates an immediate increase in household remittance income that marginally offsets the productivity loss from their departure</w:t>
      </w:r>
      <w:r w:rsidR="006F0FC0">
        <w:t xml:space="preserve">, </w:t>
      </w:r>
      <w:r w:rsidR="00471231" w:rsidRPr="00471231">
        <w:t xml:space="preserve">consistent with Adams and Pages (2005) finding that </w:t>
      </w:r>
      <w:r w:rsidR="00471231" w:rsidRPr="00471231">
        <w:lastRenderedPageBreak/>
        <w:t xml:space="preserve">remittances can produce short-run macroeconomic </w:t>
      </w:r>
      <w:proofErr w:type="spellStart"/>
      <w:r w:rsidR="00471231" w:rsidRPr="00471231">
        <w:t>stabilisation</w:t>
      </w:r>
      <w:proofErr w:type="spellEnd"/>
      <w:r w:rsidR="00471231" w:rsidRPr="00471231">
        <w:t xml:space="preserve"> even when long-run human capital losses accumulate. A second interpretation follows Akinola et al. (2024), who note that where public health systems are already constrained, the marginal short-run output loss from one additional physician emigrant may be absorbed by informal coping mechanisms (task-shifting, private sector expansion) without registering in aggregate GDP. The long-run coefficient, however, confirms that these short-run adjustments are insufficient to prevent sustained structural deterioration. For engineers, the short-run coefficient is negative (−0.00010, p = 0.107), approaching but not reaching conventional significance thresholds, consistent with the view that engineering capacity gaps manifest gradually through project delays, reduced maintenance capacity, and slower technological adoption rather than through immediate output shocks</w:t>
      </w:r>
      <w:r w:rsidR="00471231">
        <w:t>.</w:t>
      </w:r>
    </w:p>
    <w:p w14:paraId="25D0D48A" w14:textId="26D97CA4" w:rsidR="00E32CC9" w:rsidRDefault="00AB2F68">
      <w:pPr>
        <w:ind w:firstLine="720"/>
      </w:pPr>
      <w:r>
        <w:t xml:space="preserve">Coefficients for health professionals, university academics, and engineers are statistically insignificant at conventional levels (p &gt; 0.10), suggesting that the economic impacts of emigration for these groups operate primarily through longer-term structural and institutional channels rather than immediate macroeconomic mechanisms. Full estimation results are presented in Table </w:t>
      </w:r>
      <w:r w:rsidR="00D602F6">
        <w:t>5</w:t>
      </w:r>
      <w:r>
        <w:t>.</w:t>
      </w:r>
    </w:p>
    <w:p w14:paraId="2785D366" w14:textId="77777777" w:rsidR="009F3CA3" w:rsidRDefault="009F3CA3">
      <w:pPr>
        <w:spacing w:before="120" w:after="80"/>
        <w:rPr>
          <w:b/>
          <w:bCs/>
        </w:rPr>
        <w:sectPr w:rsidR="009F3CA3">
          <w:pgSz w:w="12240" w:h="15840"/>
          <w:pgMar w:top="1440" w:right="1440" w:bottom="1440" w:left="1440" w:header="708" w:footer="708" w:gutter="0"/>
          <w:cols w:space="720"/>
          <w:docGrid w:linePitch="360"/>
        </w:sectPr>
      </w:pPr>
    </w:p>
    <w:p w14:paraId="756C9499" w14:textId="648ADEBF" w:rsidR="00E32CC9" w:rsidRDefault="00AB2F68">
      <w:pPr>
        <w:spacing w:before="120" w:after="80"/>
      </w:pPr>
      <w:r>
        <w:rPr>
          <w:b/>
          <w:bCs/>
        </w:rPr>
        <w:lastRenderedPageBreak/>
        <w:t xml:space="preserve">Table </w:t>
      </w:r>
      <w:r w:rsidR="00D602F6">
        <w:rPr>
          <w:b/>
          <w:bCs/>
        </w:rPr>
        <w:t>5</w:t>
      </w:r>
      <w:r w:rsidR="002E764E">
        <w:rPr>
          <w:b/>
          <w:bCs/>
        </w:rPr>
        <w:t>:</w:t>
      </w:r>
      <w:r>
        <w:t xml:space="preserve"> VECM </w:t>
      </w:r>
      <w:r w:rsidR="009F3CA3">
        <w:t>e</w:t>
      </w:r>
      <w:r>
        <w:t xml:space="preserve">stimation </w:t>
      </w:r>
      <w:r w:rsidR="009F3CA3">
        <w:t>r</w:t>
      </w:r>
      <w:r>
        <w:t>esults</w:t>
      </w:r>
    </w:p>
    <w:tbl>
      <w:tblPr>
        <w:tblW w:w="9360" w:type="dxa"/>
        <w:tblBorders>
          <w:top w:val="single" w:sz="4" w:space="0" w:color="auto"/>
          <w:bottom w:val="single" w:sz="4" w:space="0" w:color="auto"/>
          <w:insideH w:val="single" w:sz="4" w:space="0" w:color="auto"/>
        </w:tblBorders>
        <w:tblCellMar>
          <w:left w:w="10" w:type="dxa"/>
          <w:right w:w="10" w:type="dxa"/>
        </w:tblCellMar>
        <w:tblLook w:val="04A0" w:firstRow="1" w:lastRow="0" w:firstColumn="1" w:lastColumn="0" w:noHBand="0" w:noVBand="1"/>
      </w:tblPr>
      <w:tblGrid>
        <w:gridCol w:w="1600"/>
        <w:gridCol w:w="2000"/>
        <w:gridCol w:w="2000"/>
        <w:gridCol w:w="3760"/>
      </w:tblGrid>
      <w:tr w:rsidR="00E32CC9" w14:paraId="5587964A" w14:textId="77777777" w:rsidTr="001C3A0F">
        <w:tc>
          <w:tcPr>
            <w:tcW w:w="1600" w:type="dxa"/>
            <w:shd w:val="clear" w:color="auto" w:fill="DDDDDD"/>
            <w:tcMar>
              <w:top w:w="80" w:type="dxa"/>
              <w:left w:w="120" w:type="dxa"/>
              <w:bottom w:w="80" w:type="dxa"/>
              <w:right w:w="120" w:type="dxa"/>
            </w:tcMar>
          </w:tcPr>
          <w:p w14:paraId="618DA7E4" w14:textId="77777777" w:rsidR="00E32CC9" w:rsidRDefault="00AB2F68">
            <w:r>
              <w:rPr>
                <w:b/>
                <w:bCs/>
                <w:sz w:val="20"/>
                <w:szCs w:val="20"/>
              </w:rPr>
              <w:t>Variable</w:t>
            </w:r>
          </w:p>
        </w:tc>
        <w:tc>
          <w:tcPr>
            <w:tcW w:w="2000" w:type="dxa"/>
            <w:shd w:val="clear" w:color="auto" w:fill="DDDDDD"/>
            <w:tcMar>
              <w:top w:w="80" w:type="dxa"/>
              <w:left w:w="120" w:type="dxa"/>
              <w:bottom w:w="80" w:type="dxa"/>
              <w:right w:w="120" w:type="dxa"/>
            </w:tcMar>
          </w:tcPr>
          <w:p w14:paraId="126ECED7" w14:textId="77777777" w:rsidR="00E32CC9" w:rsidRDefault="00AB2F68">
            <w:r>
              <w:rPr>
                <w:b/>
                <w:bCs/>
                <w:sz w:val="20"/>
                <w:szCs w:val="20"/>
              </w:rPr>
              <w:t>Long-Run Coefficient (</w:t>
            </w:r>
            <w:r>
              <w:rPr>
                <w:b/>
                <w:bCs/>
                <w:i/>
                <w:iCs/>
                <w:sz w:val="20"/>
                <w:szCs w:val="20"/>
              </w:rPr>
              <w:t>p</w:t>
            </w:r>
            <w:r>
              <w:rPr>
                <w:b/>
                <w:bCs/>
                <w:sz w:val="20"/>
                <w:szCs w:val="20"/>
              </w:rPr>
              <w:t>-value)</w:t>
            </w:r>
          </w:p>
        </w:tc>
        <w:tc>
          <w:tcPr>
            <w:tcW w:w="2000" w:type="dxa"/>
            <w:shd w:val="clear" w:color="auto" w:fill="DDDDDD"/>
            <w:tcMar>
              <w:top w:w="80" w:type="dxa"/>
              <w:left w:w="120" w:type="dxa"/>
              <w:bottom w:w="80" w:type="dxa"/>
              <w:right w:w="120" w:type="dxa"/>
            </w:tcMar>
          </w:tcPr>
          <w:p w14:paraId="4001CEFE" w14:textId="77777777" w:rsidR="00E32CC9" w:rsidRDefault="00AB2F68">
            <w:r>
              <w:rPr>
                <w:b/>
                <w:bCs/>
                <w:sz w:val="20"/>
                <w:szCs w:val="20"/>
              </w:rPr>
              <w:t>Short-Run Coefficient (</w:t>
            </w:r>
            <w:r>
              <w:rPr>
                <w:b/>
                <w:bCs/>
                <w:i/>
                <w:iCs/>
                <w:sz w:val="20"/>
                <w:szCs w:val="20"/>
              </w:rPr>
              <w:t>p</w:t>
            </w:r>
            <w:r>
              <w:rPr>
                <w:b/>
                <w:bCs/>
                <w:sz w:val="20"/>
                <w:szCs w:val="20"/>
              </w:rPr>
              <w:t>-value)</w:t>
            </w:r>
          </w:p>
        </w:tc>
        <w:tc>
          <w:tcPr>
            <w:tcW w:w="3760" w:type="dxa"/>
            <w:shd w:val="clear" w:color="auto" w:fill="DDDDDD"/>
            <w:tcMar>
              <w:top w:w="80" w:type="dxa"/>
              <w:left w:w="120" w:type="dxa"/>
              <w:bottom w:w="80" w:type="dxa"/>
              <w:right w:w="120" w:type="dxa"/>
            </w:tcMar>
          </w:tcPr>
          <w:p w14:paraId="206ECBA7" w14:textId="77777777" w:rsidR="00E32CC9" w:rsidRDefault="00AB2F68">
            <w:r>
              <w:rPr>
                <w:b/>
                <w:bCs/>
                <w:sz w:val="20"/>
                <w:szCs w:val="20"/>
              </w:rPr>
              <w:t>Interpretation</w:t>
            </w:r>
          </w:p>
        </w:tc>
      </w:tr>
      <w:tr w:rsidR="00E32CC9" w14:paraId="4847F2DD" w14:textId="77777777" w:rsidTr="001C3A0F">
        <w:tc>
          <w:tcPr>
            <w:tcW w:w="1600" w:type="dxa"/>
            <w:tcMar>
              <w:top w:w="80" w:type="dxa"/>
              <w:left w:w="120" w:type="dxa"/>
              <w:bottom w:w="80" w:type="dxa"/>
              <w:right w:w="120" w:type="dxa"/>
            </w:tcMar>
          </w:tcPr>
          <w:p w14:paraId="4D9D7FCE" w14:textId="77777777" w:rsidR="00E32CC9" w:rsidRDefault="00AB2F68">
            <w:r>
              <w:rPr>
                <w:sz w:val="20"/>
                <w:szCs w:val="20"/>
              </w:rPr>
              <w:t>Health professionals</w:t>
            </w:r>
          </w:p>
        </w:tc>
        <w:tc>
          <w:tcPr>
            <w:tcW w:w="2000" w:type="dxa"/>
            <w:tcMar>
              <w:top w:w="80" w:type="dxa"/>
              <w:left w:w="120" w:type="dxa"/>
              <w:bottom w:w="80" w:type="dxa"/>
              <w:right w:w="120" w:type="dxa"/>
            </w:tcMar>
          </w:tcPr>
          <w:p w14:paraId="2E3CE365" w14:textId="77777777" w:rsidR="00E32CC9" w:rsidRDefault="00AB2F68">
            <w:r>
              <w:rPr>
                <w:sz w:val="20"/>
                <w:szCs w:val="20"/>
              </w:rPr>
              <w:t>−0.00031 (0.003)</w:t>
            </w:r>
          </w:p>
        </w:tc>
        <w:tc>
          <w:tcPr>
            <w:tcW w:w="2000" w:type="dxa"/>
            <w:tcMar>
              <w:top w:w="80" w:type="dxa"/>
              <w:left w:w="120" w:type="dxa"/>
              <w:bottom w:w="80" w:type="dxa"/>
              <w:right w:w="120" w:type="dxa"/>
            </w:tcMar>
          </w:tcPr>
          <w:p w14:paraId="70EC6032" w14:textId="77777777" w:rsidR="00E32CC9" w:rsidRDefault="00AB2F68">
            <w:r>
              <w:rPr>
                <w:sz w:val="20"/>
                <w:szCs w:val="20"/>
              </w:rPr>
              <w:t>+0.00003 (0.730)</w:t>
            </w:r>
          </w:p>
        </w:tc>
        <w:tc>
          <w:tcPr>
            <w:tcW w:w="3760" w:type="dxa"/>
            <w:tcMar>
              <w:top w:w="80" w:type="dxa"/>
              <w:left w:w="120" w:type="dxa"/>
              <w:bottom w:w="80" w:type="dxa"/>
              <w:right w:w="120" w:type="dxa"/>
            </w:tcMar>
          </w:tcPr>
          <w:p w14:paraId="37335B72" w14:textId="77777777" w:rsidR="00E32CC9" w:rsidRDefault="00AB2F68">
            <w:r>
              <w:rPr>
                <w:sz w:val="20"/>
                <w:szCs w:val="20"/>
              </w:rPr>
              <w:t>Significant long-run reduction in GDP growth; no significant short-run effect</w:t>
            </w:r>
          </w:p>
        </w:tc>
      </w:tr>
      <w:tr w:rsidR="00E32CC9" w14:paraId="7B305966" w14:textId="77777777" w:rsidTr="001C3A0F">
        <w:tc>
          <w:tcPr>
            <w:tcW w:w="1600" w:type="dxa"/>
            <w:tcMar>
              <w:top w:w="80" w:type="dxa"/>
              <w:left w:w="120" w:type="dxa"/>
              <w:bottom w:w="80" w:type="dxa"/>
              <w:right w:w="120" w:type="dxa"/>
            </w:tcMar>
          </w:tcPr>
          <w:p w14:paraId="0B3CE8F2" w14:textId="77777777" w:rsidR="00E32CC9" w:rsidRDefault="00AB2F68">
            <w:r>
              <w:rPr>
                <w:sz w:val="20"/>
                <w:szCs w:val="20"/>
              </w:rPr>
              <w:t>Accountants</w:t>
            </w:r>
          </w:p>
        </w:tc>
        <w:tc>
          <w:tcPr>
            <w:tcW w:w="2000" w:type="dxa"/>
            <w:tcMar>
              <w:top w:w="80" w:type="dxa"/>
              <w:left w:w="120" w:type="dxa"/>
              <w:bottom w:w="80" w:type="dxa"/>
              <w:right w:w="120" w:type="dxa"/>
            </w:tcMar>
          </w:tcPr>
          <w:p w14:paraId="3AC14B87" w14:textId="77777777" w:rsidR="00E32CC9" w:rsidRDefault="00AB2F68">
            <w:r>
              <w:rPr>
                <w:sz w:val="20"/>
                <w:szCs w:val="20"/>
              </w:rPr>
              <w:t>−0.00089 (&lt;0.001)</w:t>
            </w:r>
          </w:p>
        </w:tc>
        <w:tc>
          <w:tcPr>
            <w:tcW w:w="2000" w:type="dxa"/>
            <w:tcMar>
              <w:top w:w="80" w:type="dxa"/>
              <w:left w:w="120" w:type="dxa"/>
              <w:bottom w:w="80" w:type="dxa"/>
              <w:right w:w="120" w:type="dxa"/>
            </w:tcMar>
          </w:tcPr>
          <w:p w14:paraId="247B5C0D" w14:textId="77777777" w:rsidR="00E32CC9" w:rsidRDefault="00AB2F68">
            <w:r>
              <w:rPr>
                <w:sz w:val="20"/>
                <w:szCs w:val="20"/>
              </w:rPr>
              <w:t>−0.00066 (&lt;0.001)</w:t>
            </w:r>
          </w:p>
        </w:tc>
        <w:tc>
          <w:tcPr>
            <w:tcW w:w="3760" w:type="dxa"/>
            <w:tcMar>
              <w:top w:w="80" w:type="dxa"/>
              <w:left w:w="120" w:type="dxa"/>
              <w:bottom w:w="80" w:type="dxa"/>
              <w:right w:w="120" w:type="dxa"/>
            </w:tcMar>
          </w:tcPr>
          <w:p w14:paraId="2B8728AE" w14:textId="77777777" w:rsidR="00E32CC9" w:rsidRDefault="00AB2F68">
            <w:r>
              <w:rPr>
                <w:sz w:val="20"/>
                <w:szCs w:val="20"/>
              </w:rPr>
              <w:t>Strong negative effects in both long and short run</w:t>
            </w:r>
          </w:p>
        </w:tc>
      </w:tr>
      <w:tr w:rsidR="00E32CC9" w14:paraId="02E9BDD8" w14:textId="77777777" w:rsidTr="001C3A0F">
        <w:tc>
          <w:tcPr>
            <w:tcW w:w="1600" w:type="dxa"/>
            <w:tcMar>
              <w:top w:w="80" w:type="dxa"/>
              <w:left w:w="120" w:type="dxa"/>
              <w:bottom w:w="80" w:type="dxa"/>
              <w:right w:w="120" w:type="dxa"/>
            </w:tcMar>
          </w:tcPr>
          <w:p w14:paraId="08E2951F" w14:textId="77777777" w:rsidR="00E32CC9" w:rsidRDefault="00AB2F68">
            <w:r>
              <w:rPr>
                <w:sz w:val="20"/>
                <w:szCs w:val="20"/>
              </w:rPr>
              <w:t>University academics</w:t>
            </w:r>
          </w:p>
        </w:tc>
        <w:tc>
          <w:tcPr>
            <w:tcW w:w="2000" w:type="dxa"/>
            <w:tcMar>
              <w:top w:w="80" w:type="dxa"/>
              <w:left w:w="120" w:type="dxa"/>
              <w:bottom w:w="80" w:type="dxa"/>
              <w:right w:w="120" w:type="dxa"/>
            </w:tcMar>
          </w:tcPr>
          <w:p w14:paraId="777F6B7F" w14:textId="77777777" w:rsidR="00E32CC9" w:rsidRDefault="00AB2F68">
            <w:r>
              <w:rPr>
                <w:sz w:val="20"/>
                <w:szCs w:val="20"/>
              </w:rPr>
              <w:t>−0.00788 (&lt;0.001)</w:t>
            </w:r>
          </w:p>
        </w:tc>
        <w:tc>
          <w:tcPr>
            <w:tcW w:w="2000" w:type="dxa"/>
            <w:tcMar>
              <w:top w:w="80" w:type="dxa"/>
              <w:left w:w="120" w:type="dxa"/>
              <w:bottom w:w="80" w:type="dxa"/>
              <w:right w:w="120" w:type="dxa"/>
            </w:tcMar>
          </w:tcPr>
          <w:p w14:paraId="6E4BF1E7" w14:textId="77777777" w:rsidR="00E32CC9" w:rsidRDefault="00AB2F68">
            <w:r>
              <w:rPr>
                <w:sz w:val="20"/>
                <w:szCs w:val="20"/>
              </w:rPr>
              <w:t>−0.00230 (0.250)</w:t>
            </w:r>
          </w:p>
        </w:tc>
        <w:tc>
          <w:tcPr>
            <w:tcW w:w="3760" w:type="dxa"/>
            <w:tcMar>
              <w:top w:w="80" w:type="dxa"/>
              <w:left w:w="120" w:type="dxa"/>
              <w:bottom w:w="80" w:type="dxa"/>
              <w:right w:w="120" w:type="dxa"/>
            </w:tcMar>
          </w:tcPr>
          <w:p w14:paraId="728C140A" w14:textId="77777777" w:rsidR="00E32CC9" w:rsidRDefault="00AB2F68">
            <w:r>
              <w:rPr>
                <w:sz w:val="20"/>
                <w:szCs w:val="20"/>
              </w:rPr>
              <w:t>Largest long-run impact; short-run effect not significant</w:t>
            </w:r>
          </w:p>
        </w:tc>
      </w:tr>
      <w:tr w:rsidR="00E32CC9" w14:paraId="52285569" w14:textId="77777777" w:rsidTr="001C3A0F">
        <w:tc>
          <w:tcPr>
            <w:tcW w:w="1600" w:type="dxa"/>
            <w:tcMar>
              <w:top w:w="80" w:type="dxa"/>
              <w:left w:w="120" w:type="dxa"/>
              <w:bottom w:w="80" w:type="dxa"/>
              <w:right w:w="120" w:type="dxa"/>
            </w:tcMar>
          </w:tcPr>
          <w:p w14:paraId="5C24C4D5" w14:textId="77777777" w:rsidR="00E32CC9" w:rsidRDefault="00AB2F68">
            <w:r>
              <w:rPr>
                <w:sz w:val="20"/>
                <w:szCs w:val="20"/>
              </w:rPr>
              <w:t>Engineers</w:t>
            </w:r>
          </w:p>
        </w:tc>
        <w:tc>
          <w:tcPr>
            <w:tcW w:w="2000" w:type="dxa"/>
            <w:tcMar>
              <w:top w:w="80" w:type="dxa"/>
              <w:left w:w="120" w:type="dxa"/>
              <w:bottom w:w="80" w:type="dxa"/>
              <w:right w:w="120" w:type="dxa"/>
            </w:tcMar>
          </w:tcPr>
          <w:p w14:paraId="09A01685" w14:textId="77777777" w:rsidR="00E32CC9" w:rsidRDefault="00AB2F68">
            <w:r>
              <w:rPr>
                <w:sz w:val="20"/>
                <w:szCs w:val="20"/>
              </w:rPr>
              <w:t>−0.00034 (&lt;0.001)</w:t>
            </w:r>
          </w:p>
        </w:tc>
        <w:tc>
          <w:tcPr>
            <w:tcW w:w="2000" w:type="dxa"/>
            <w:tcMar>
              <w:top w:w="80" w:type="dxa"/>
              <w:left w:w="120" w:type="dxa"/>
              <w:bottom w:w="80" w:type="dxa"/>
              <w:right w:w="120" w:type="dxa"/>
            </w:tcMar>
          </w:tcPr>
          <w:p w14:paraId="5D8CAF73" w14:textId="77777777" w:rsidR="00E32CC9" w:rsidRDefault="00AB2F68">
            <w:r>
              <w:rPr>
                <w:sz w:val="20"/>
                <w:szCs w:val="20"/>
              </w:rPr>
              <w:t>−0.00010 (0.107)</w:t>
            </w:r>
          </w:p>
        </w:tc>
        <w:tc>
          <w:tcPr>
            <w:tcW w:w="3760" w:type="dxa"/>
            <w:tcMar>
              <w:top w:w="80" w:type="dxa"/>
              <w:left w:w="120" w:type="dxa"/>
              <w:bottom w:w="80" w:type="dxa"/>
              <w:right w:w="120" w:type="dxa"/>
            </w:tcMar>
          </w:tcPr>
          <w:p w14:paraId="7933C563" w14:textId="77777777" w:rsidR="00E32CC9" w:rsidRDefault="00AB2F68">
            <w:r>
              <w:rPr>
                <w:sz w:val="20"/>
                <w:szCs w:val="20"/>
              </w:rPr>
              <w:t>Significant long-run reduction; short-run effect not significant</w:t>
            </w:r>
          </w:p>
        </w:tc>
      </w:tr>
    </w:tbl>
    <w:p w14:paraId="70616D17" w14:textId="7E061EBC" w:rsidR="00E32CC9" w:rsidRPr="00350788" w:rsidRDefault="00AB2F68">
      <w:pPr>
        <w:spacing w:before="80" w:after="240"/>
        <w:rPr>
          <w:sz w:val="20"/>
          <w:szCs w:val="20"/>
        </w:rPr>
      </w:pPr>
      <w:r w:rsidRPr="00350788">
        <w:rPr>
          <w:i/>
          <w:iCs/>
          <w:sz w:val="20"/>
          <w:szCs w:val="20"/>
        </w:rPr>
        <w:t xml:space="preserve">Note. </w:t>
      </w:r>
      <w:r w:rsidRPr="00350788">
        <w:rPr>
          <w:sz w:val="20"/>
          <w:szCs w:val="20"/>
        </w:rPr>
        <w:t xml:space="preserve">Migration variable measured in units of annual registered migrant departures per professional category (SLBFE data). </w:t>
      </w:r>
      <w:r w:rsidR="00A34198" w:rsidRPr="00350788">
        <w:rPr>
          <w:sz w:val="20"/>
          <w:szCs w:val="20"/>
        </w:rPr>
        <w:t xml:space="preserve">Cointegration confirmed by Johansen trace statistic = 124.93 (p &lt; 0.001); see Table 3 for full </w:t>
      </w:r>
      <w:proofErr w:type="gramStart"/>
      <w:r w:rsidR="00A34198" w:rsidRPr="00350788">
        <w:rPr>
          <w:sz w:val="20"/>
          <w:szCs w:val="20"/>
        </w:rPr>
        <w:t>results.</w:t>
      </w:r>
      <w:r w:rsidRPr="00350788">
        <w:rPr>
          <w:sz w:val="20"/>
          <w:szCs w:val="20"/>
        </w:rPr>
        <w:t>.</w:t>
      </w:r>
      <w:proofErr w:type="gramEnd"/>
      <w:r w:rsidRPr="00350788">
        <w:rPr>
          <w:sz w:val="20"/>
          <w:szCs w:val="20"/>
        </w:rPr>
        <w:t xml:space="preserve"> Log-likelihood = −375.53. Residual diagnostics: normality, Skewness–Kurtosis test </w:t>
      </w:r>
      <w:r w:rsidRPr="00350788">
        <w:rPr>
          <w:i/>
          <w:iCs/>
          <w:sz w:val="20"/>
          <w:szCs w:val="20"/>
        </w:rPr>
        <w:t>p</w:t>
      </w:r>
      <w:r w:rsidRPr="00350788">
        <w:rPr>
          <w:sz w:val="20"/>
          <w:szCs w:val="20"/>
        </w:rPr>
        <w:t xml:space="preserve"> = 0.392; serial correlation, LM test </w:t>
      </w:r>
      <w:r w:rsidRPr="00350788">
        <w:rPr>
          <w:i/>
          <w:iCs/>
          <w:sz w:val="20"/>
          <w:szCs w:val="20"/>
        </w:rPr>
        <w:t>p</w:t>
      </w:r>
      <w:r w:rsidRPr="00350788">
        <w:rPr>
          <w:sz w:val="20"/>
          <w:szCs w:val="20"/>
        </w:rPr>
        <w:t xml:space="preserve"> = 0.072; heteroskedasticity, Breusch–Pagan test </w:t>
      </w:r>
      <w:r w:rsidRPr="00350788">
        <w:rPr>
          <w:i/>
          <w:iCs/>
          <w:sz w:val="20"/>
          <w:szCs w:val="20"/>
        </w:rPr>
        <w:t>p</w:t>
      </w:r>
      <w:r w:rsidRPr="00350788">
        <w:rPr>
          <w:sz w:val="20"/>
          <w:szCs w:val="20"/>
        </w:rPr>
        <w:t xml:space="preserve"> = 0.867. Estimated using </w:t>
      </w:r>
      <w:r w:rsidR="00F1460F" w:rsidRPr="00350788">
        <w:rPr>
          <w:sz w:val="20"/>
          <w:szCs w:val="20"/>
        </w:rPr>
        <w:t>Stata</w:t>
      </w:r>
      <w:r w:rsidRPr="00350788">
        <w:rPr>
          <w:sz w:val="20"/>
          <w:szCs w:val="20"/>
        </w:rPr>
        <w:t>.</w:t>
      </w:r>
    </w:p>
    <w:p w14:paraId="64A3044A" w14:textId="10410405" w:rsidR="00E32CC9" w:rsidRDefault="00AB2F68">
      <w:pPr>
        <w:ind w:firstLine="720"/>
      </w:pPr>
      <w:r>
        <w:t>Model robustness was evaluated using a comprehensive set of residual diagnostic tests. The skewness–kurtosis test yields a p-value of 0.392, indicating that residuals follow a normal distribution. The LM test for serial correlation produces a p-value of 0.072, suggesting that autocorrelation is not statistically significant. The Breusch–Pagan test for heteroskedasticity further supports model adequacy (p = 0.867), confirming that the error variance remains stable across observations. Taken together, these results demonstrate that the VECM is well specified, satisfying the assumptions of normality, independence, and homoskedasticity.</w:t>
      </w:r>
    </w:p>
    <w:p w14:paraId="344CD223" w14:textId="66B1FF53" w:rsidR="00720EDB" w:rsidRPr="00720EDB" w:rsidRDefault="00720EDB" w:rsidP="00DE5273">
      <w:pPr>
        <w:ind w:firstLine="720"/>
      </w:pPr>
      <w:r w:rsidRPr="00720EDB">
        <w:lastRenderedPageBreak/>
        <w:t xml:space="preserve">While the econometric estimates reveal statistically significant relationships between professional migration and GDP growth, the economic magnitude of these effects remains limited. The relatively small coefficients suggest that aggregate productivity losses associated with skilled emigration may be partially offset by broader macroeconomic </w:t>
      </w:r>
      <w:proofErr w:type="spellStart"/>
      <w:r w:rsidRPr="00720EDB">
        <w:t>stabilising</w:t>
      </w:r>
      <w:proofErr w:type="spellEnd"/>
      <w:r w:rsidRPr="00720EDB">
        <w:t xml:space="preserve"> forces</w:t>
      </w:r>
      <w:r w:rsidR="006F0FC0">
        <w:t xml:space="preserve">, </w:t>
      </w:r>
      <w:r w:rsidRPr="00720EDB">
        <w:t>including remittance inflows, which amounted to approximately USD 6 billion for Sri Lanka in 2023. However, because disaggregated remittance data by professional category are unavailable, it is not possible within this study to directly attribute the dampening of GDP effects to professional remittances specifically. The small coefficients should therefore be interpreted with caution: they indicate a weak macroeconomic relationship, but the precise mechanism</w:t>
      </w:r>
      <w:r w:rsidR="006F0FC0">
        <w:t xml:space="preserve">, </w:t>
      </w:r>
      <w:r w:rsidRPr="00720EDB">
        <w:t xml:space="preserve">whether offset by remittances, by </w:t>
      </w:r>
      <w:proofErr w:type="spellStart"/>
      <w:r w:rsidRPr="00720EDB">
        <w:t>labour</w:t>
      </w:r>
      <w:proofErr w:type="spellEnd"/>
      <w:r w:rsidRPr="00720EDB">
        <w:t xml:space="preserve"> market substitution, or by the limited absorptive capacity of Sri Lankas economy (Pritchett, 2001)</w:t>
      </w:r>
      <w:r w:rsidR="006F0FC0">
        <w:t xml:space="preserve">, </w:t>
      </w:r>
      <w:r w:rsidRPr="00720EDB">
        <w:t>cannot be determined from the present specification alone. What can be stated with confidence is that the structural and institutional consequences of professional migration are considerably more substantial than the macroeconomic coefficients imply, particularly in academia and healthcare.</w:t>
      </w:r>
    </w:p>
    <w:p w14:paraId="5B69D37F" w14:textId="5413CB82" w:rsidR="00E32CC9" w:rsidRDefault="000802A7" w:rsidP="00DE5273">
      <w:pPr>
        <w:pStyle w:val="Heading2"/>
      </w:pPr>
      <w:r w:rsidRPr="00D11F61">
        <w:t xml:space="preserve">Policy </w:t>
      </w:r>
      <w:r w:rsidR="009F3CA3">
        <w:t>d</w:t>
      </w:r>
      <w:r w:rsidRPr="00D11F61">
        <w:t xml:space="preserve">iscourse </w:t>
      </w:r>
      <w:r w:rsidR="009F3CA3">
        <w:t>a</w:t>
      </w:r>
      <w:r w:rsidRPr="00D11F61">
        <w:t xml:space="preserve">nalysis </w:t>
      </w:r>
      <w:r w:rsidR="009F3CA3">
        <w:t>f</w:t>
      </w:r>
      <w:r w:rsidRPr="00D11F61">
        <w:t>indings</w:t>
      </w:r>
    </w:p>
    <w:p w14:paraId="04ABB1FC" w14:textId="77777777" w:rsidR="00286B31" w:rsidRDefault="000E3D1F" w:rsidP="000E3D1F">
      <w:r w:rsidRPr="000E3D1F">
        <w:t xml:space="preserve">The following themes were identified through systematic thematic analysis of the documentary corpus, which comprised SLBFE Annual Reports (2000–2023), Ministry of </w:t>
      </w:r>
      <w:proofErr w:type="spellStart"/>
      <w:r w:rsidRPr="000E3D1F">
        <w:t>Labour</w:t>
      </w:r>
      <w:proofErr w:type="spellEnd"/>
      <w:r w:rsidRPr="000E3D1F">
        <w:t xml:space="preserve"> policy statements, Central Bank of Sri Lanka Annual Reports (selected years), and national media coverage from Daily Mirror, Daily FT, and Sunday Times archives. Documents were coded inductively for recurring frames, evaluative language, and policy prescriptions or omissions.</w:t>
      </w:r>
    </w:p>
    <w:p w14:paraId="081E4D10" w14:textId="0177EC6D" w:rsidR="00E32CC9" w:rsidRDefault="00AB2F68" w:rsidP="00286B31">
      <w:pPr>
        <w:ind w:firstLine="720"/>
      </w:pPr>
      <w:r>
        <w:t xml:space="preserve">A third theme concerns the striking absence of policy engagement with </w:t>
      </w:r>
      <w:r w:rsidR="001642D6">
        <w:t>brain circulation</w:t>
      </w:r>
      <w:r>
        <w:t>. References to return migration, diaspora engagement, or mechanisms for skills transfer appear only sporadically in official documents. Instead, migration is commonly discussed in binary terms</w:t>
      </w:r>
      <w:r w:rsidR="00AD3EE3">
        <w:t xml:space="preserve">, </w:t>
      </w:r>
      <w:r>
        <w:lastRenderedPageBreak/>
        <w:t xml:space="preserve">either as a phenomenon to be prevented or as an unavoidable problem to be endured. Finally, the discourse displays clear sectoral biases: while the emigration of health professionals receives considerable attention, the outward movement of engineers, accountants, and academics is comparatively </w:t>
      </w:r>
      <w:proofErr w:type="spellStart"/>
      <w:r>
        <w:t>marginalised</w:t>
      </w:r>
      <w:proofErr w:type="spellEnd"/>
      <w:r>
        <w:t>, despite equally significant implications for long-term institutional capacity.</w:t>
      </w:r>
    </w:p>
    <w:p w14:paraId="0D7F0135" w14:textId="1788BE0C" w:rsidR="00E32CC9" w:rsidRDefault="00AB2F68">
      <w:pPr>
        <w:ind w:firstLine="720"/>
      </w:pPr>
      <w:r>
        <w:t xml:space="preserve">Taken together, these discursive patterns shape public perceptions of professional migration and contribute to policy inertia. By framing </w:t>
      </w:r>
      <w:r w:rsidR="00420A0D">
        <w:t xml:space="preserve">brain-drain </w:t>
      </w:r>
      <w:r>
        <w:t>primarily as a loss or moral failure, the scope of policy debate remains constrained, delaying the emergence of more mature strategies capable of leveraging professional mobility for development gains.</w:t>
      </w:r>
    </w:p>
    <w:p w14:paraId="5C5E100A" w14:textId="4EA448D9" w:rsidR="00E32CC9" w:rsidRDefault="00217330" w:rsidP="00DE5273">
      <w:pPr>
        <w:pStyle w:val="Heading2"/>
      </w:pPr>
      <w:r>
        <w:t>Synthesis</w:t>
      </w:r>
    </w:p>
    <w:p w14:paraId="1F9A3BE8" w14:textId="29777ED9" w:rsidR="00E32CC9" w:rsidRDefault="00AB2F68" w:rsidP="00CC5873">
      <w:r>
        <w:t>The integration of quantitative and qualitative findings reveals a clear contradiction. At the macroeconomic level, professional migration exerts only a limited effect on GDP growth, largely because</w:t>
      </w:r>
      <w:r w:rsidR="00DE5273">
        <w:t xml:space="preserve">, as revealed </w:t>
      </w:r>
      <w:r w:rsidR="00440B96">
        <w:t xml:space="preserve">in </w:t>
      </w:r>
      <w:r w:rsidR="00DE5273">
        <w:t>many</w:t>
      </w:r>
      <w:r w:rsidR="008804B5">
        <w:t>,</w:t>
      </w:r>
      <w:r w:rsidR="00DE5273">
        <w:t xml:space="preserve"> </w:t>
      </w:r>
      <w:r w:rsidR="00440B96">
        <w:t>more recent</w:t>
      </w:r>
      <w:r w:rsidR="008804B5">
        <w:t>,</w:t>
      </w:r>
      <w:r w:rsidR="00440B96">
        <w:t xml:space="preserve"> </w:t>
      </w:r>
      <w:r w:rsidR="00DE5273">
        <w:t>research (</w:t>
      </w:r>
      <w:r w:rsidR="00440B96">
        <w:t>e.g.</w:t>
      </w:r>
      <w:r w:rsidR="003D5767">
        <w:t xml:space="preserve"> </w:t>
      </w:r>
      <w:r w:rsidR="00440B96">
        <w:t xml:space="preserve">Akinola et al. 2024; </w:t>
      </w:r>
      <w:r w:rsidR="003D5767">
        <w:t xml:space="preserve">Mohamed et al., 2024; </w:t>
      </w:r>
      <w:r w:rsidR="00440B96">
        <w:t xml:space="preserve">Azam, 2015; Gibson &amp; McKenzie, 2012; </w:t>
      </w:r>
      <w:r w:rsidR="003D5767" w:rsidRPr="00471231">
        <w:t xml:space="preserve">Adams </w:t>
      </w:r>
      <w:r w:rsidR="003D5767">
        <w:t>&amp;</w:t>
      </w:r>
      <w:r w:rsidR="003D5767" w:rsidRPr="00471231">
        <w:t xml:space="preserve"> Page</w:t>
      </w:r>
      <w:r w:rsidR="003D5767">
        <w:t xml:space="preserve">, </w:t>
      </w:r>
      <w:r w:rsidR="003D5767" w:rsidRPr="00471231">
        <w:t>2005)</w:t>
      </w:r>
      <w:r w:rsidR="00440B96">
        <w:t>,</w:t>
      </w:r>
      <w:r>
        <w:t xml:space="preserve"> remittance inflows offset aggregate productivity losses. However, when examined at the sectoral and institutional levels, the consequences are far more substantial. Public hospitals face persistent shortages of skilled personnel, university research capacity is steadily eroded, financial and regulatory institutions experience weakening oversight, and the pace of infrastructure development is slowed by the loss of technical expertise.</w:t>
      </w:r>
    </w:p>
    <w:p w14:paraId="7AF8F8D0" w14:textId="01FFE9A5" w:rsidR="00E32CC9" w:rsidRDefault="00AB2F68">
      <w:pPr>
        <w:ind w:firstLine="720"/>
      </w:pPr>
      <w:r>
        <w:t xml:space="preserve">The </w:t>
      </w:r>
      <w:r w:rsidR="007440C9">
        <w:t>P</w:t>
      </w:r>
      <w:r>
        <w:t xml:space="preserve">DA findings underscore how these sector-specific realities are amplified within policy and public discourse, reinforcing what may be described as a pervasive </w:t>
      </w:r>
      <w:r w:rsidR="00420A0D">
        <w:t xml:space="preserve">brain-drain </w:t>
      </w:r>
      <w:r>
        <w:t xml:space="preserve">phobia. This framing leaves little room for alternative narratives that </w:t>
      </w:r>
      <w:proofErr w:type="spellStart"/>
      <w:r>
        <w:t>recognise</w:t>
      </w:r>
      <w:proofErr w:type="spellEnd"/>
      <w:r>
        <w:t xml:space="preserve"> </w:t>
      </w:r>
      <w:r w:rsidR="001642D6">
        <w:t>brain circulation</w:t>
      </w:r>
      <w:r>
        <w:t xml:space="preserve"> or strategic skill export as viable development pathways. As a result, policy responses remain reactive </w:t>
      </w:r>
      <w:r>
        <w:lastRenderedPageBreak/>
        <w:t>and defensive, rather than forward-looking and strategically oriented toward harnessing the long-term potential of professional mobility.</w:t>
      </w:r>
    </w:p>
    <w:p w14:paraId="3C6E32FB" w14:textId="2497A9A4" w:rsidR="00E32CC9" w:rsidRDefault="00AB2F68" w:rsidP="00DE5273">
      <w:pPr>
        <w:pStyle w:val="Heading1"/>
      </w:pPr>
      <w:r>
        <w:t>Discussion</w:t>
      </w:r>
    </w:p>
    <w:p w14:paraId="6AA6A4EB" w14:textId="51B31723" w:rsidR="00E32CC9" w:rsidRDefault="00AB2F68" w:rsidP="00CC5873">
      <w:r>
        <w:t xml:space="preserve">The findings of this study point to a clear and instructive paradox. Although the econometric evidence indicates that professional migration exerts statistically significant yet economically </w:t>
      </w:r>
      <w:r w:rsidR="00086425">
        <w:t>neglig</w:t>
      </w:r>
      <w:r w:rsidR="007778F2">
        <w:t>i</w:t>
      </w:r>
      <w:r w:rsidR="00086425">
        <w:t>ble</w:t>
      </w:r>
      <w:r>
        <w:t xml:space="preserve"> effects on Sri Lankas GDP growth, its broader social and institutional repercussions are</w:t>
      </w:r>
      <w:r w:rsidR="00440B96">
        <w:t xml:space="preserve"> perceived as</w:t>
      </w:r>
      <w:r>
        <w:t xml:space="preserve"> more substantial. Placing these results within the existing literature reveals that conventional macroeconomic indicators alone are insufficient to capture the full consequences of </w:t>
      </w:r>
      <w:r w:rsidR="00DD77A2">
        <w:t>brain-drain</w:t>
      </w:r>
      <w:r>
        <w:t>.</w:t>
      </w:r>
    </w:p>
    <w:p w14:paraId="1611AE21" w14:textId="30812D9D" w:rsidR="00E32CC9" w:rsidRDefault="00AB2F68">
      <w:pPr>
        <w:ind w:firstLine="720"/>
      </w:pPr>
      <w:r>
        <w:t xml:space="preserve">Three central insights emerge from the analysis. First, </w:t>
      </w:r>
      <w:r w:rsidR="007778F2">
        <w:t>t</w:t>
      </w:r>
      <w:r>
        <w:t>he negative</w:t>
      </w:r>
      <w:r w:rsidR="007778F2">
        <w:t xml:space="preserve">, </w:t>
      </w:r>
      <w:r w:rsidR="002B5D1F" w:rsidRPr="002B5D1F">
        <w:t>albeit small yet statistically significant</w:t>
      </w:r>
      <w:r w:rsidR="007778F2">
        <w:t>,</w:t>
      </w:r>
      <w:r>
        <w:t xml:space="preserve"> long-run effects observed across all occupational groups </w:t>
      </w:r>
      <w:r w:rsidR="00FD3E24">
        <w:t>suggest</w:t>
      </w:r>
      <w:r>
        <w:t xml:space="preserve"> that </w:t>
      </w:r>
      <w:r w:rsidR="00420A0D">
        <w:t xml:space="preserve">brain-drain </w:t>
      </w:r>
      <w:r w:rsidR="00227FFD">
        <w:t>may function</w:t>
      </w:r>
      <w:r>
        <w:t xml:space="preserve"> as a structural constraint on development</w:t>
      </w:r>
      <w:r w:rsidR="007778F2">
        <w:t xml:space="preserve">, when taking </w:t>
      </w:r>
      <w:r w:rsidR="007D44DD" w:rsidRPr="007D44DD">
        <w:t xml:space="preserve">its </w:t>
      </w:r>
      <w:r w:rsidR="007D44DD" w:rsidRPr="00227FFD">
        <w:rPr>
          <w:i/>
          <w:iCs/>
        </w:rPr>
        <w:t>cumulative impact</w:t>
      </w:r>
      <w:r w:rsidR="007D44DD" w:rsidRPr="007D44DD">
        <w:t xml:space="preserve"> is considered</w:t>
      </w:r>
      <w:r w:rsidR="007778F2">
        <w:t>,</w:t>
      </w:r>
      <w:r>
        <w:t xml:space="preserve"> rather than a </w:t>
      </w:r>
      <w:r w:rsidR="007D44DD">
        <w:t xml:space="preserve">mere </w:t>
      </w:r>
      <w:r>
        <w:t>transitory shock. The</w:t>
      </w:r>
      <w:r w:rsidR="00440B96">
        <w:t xml:space="preserve"> relatively bigger</w:t>
      </w:r>
      <w:r>
        <w:t xml:space="preserve"> impact associated with the emigration of university academics highlights the critical role of higher education and research-based human capital in sustaining productivity growth, innovation, and institutional capacity over time.</w:t>
      </w:r>
    </w:p>
    <w:p w14:paraId="3F51EAE6" w14:textId="77777777" w:rsidR="00E32CC9" w:rsidRDefault="00AB2F68">
      <w:pPr>
        <w:ind w:firstLine="720"/>
      </w:pPr>
      <w:r>
        <w:t xml:space="preserve">Second, the results reveal important asymmetries in short-run dynamics. While the effects of migration for most professional groups </w:t>
      </w:r>
      <w:proofErr w:type="spellStart"/>
      <w:r>
        <w:t>materialise</w:t>
      </w:r>
      <w:proofErr w:type="spellEnd"/>
      <w:r>
        <w:t xml:space="preserve"> gradually, the outflow of accountants produces an immediate reduction in GDP growth, reflecting the sensitivity of financial systems and regulatory functions to skilled </w:t>
      </w:r>
      <w:proofErr w:type="spellStart"/>
      <w:r>
        <w:t>labour</w:t>
      </w:r>
      <w:proofErr w:type="spellEnd"/>
      <w:r>
        <w:t xml:space="preserve"> shortages.</w:t>
      </w:r>
    </w:p>
    <w:p w14:paraId="44AD5B43" w14:textId="27630DB4" w:rsidR="00E32CC9" w:rsidRDefault="00AB2F68">
      <w:pPr>
        <w:ind w:firstLine="720"/>
      </w:pPr>
      <w:r>
        <w:t xml:space="preserve">Third, the policy implications extend well beyond the narrow interpretation of GDP effects. </w:t>
      </w:r>
      <w:r w:rsidR="00440B96">
        <w:t>Although negligible on annual basis, th</w:t>
      </w:r>
      <w:r>
        <w:t xml:space="preserve">e </w:t>
      </w:r>
      <w:r w:rsidRPr="00440B96">
        <w:rPr>
          <w:i/>
          <w:iCs/>
        </w:rPr>
        <w:t>cumulative long-term costs</w:t>
      </w:r>
      <w:r w:rsidR="00AD3EE3">
        <w:t xml:space="preserve">, </w:t>
      </w:r>
      <w:r>
        <w:t>particularly those arising from the erosion of academic, technical, and professional capacity</w:t>
      </w:r>
      <w:r w:rsidR="00AD3EE3">
        <w:t xml:space="preserve">, </w:t>
      </w:r>
      <w:r w:rsidR="00440B96">
        <w:t>can be</w:t>
      </w:r>
      <w:r>
        <w:t xml:space="preserve"> substantial. These </w:t>
      </w:r>
      <w:r>
        <w:lastRenderedPageBreak/>
        <w:t xml:space="preserve">findings underscore the need for policy frameworks that move beyond containment strategies and toward transforming </w:t>
      </w:r>
      <w:r w:rsidR="00420A0D">
        <w:t xml:space="preserve">brain-drain </w:t>
      </w:r>
      <w:r>
        <w:t xml:space="preserve">into </w:t>
      </w:r>
      <w:r w:rsidR="001642D6">
        <w:t>brain circulation</w:t>
      </w:r>
      <w:r>
        <w:t xml:space="preserve"> through mechanisms such as diaspora engagement, structured knowledge transfer, and institutional strengthening.</w:t>
      </w:r>
    </w:p>
    <w:p w14:paraId="4992EDC9" w14:textId="0F8E84F2" w:rsidR="00E32CC9" w:rsidRDefault="00420A0D" w:rsidP="00440B96">
      <w:pPr>
        <w:pStyle w:val="Heading2"/>
      </w:pPr>
      <w:r>
        <w:t xml:space="preserve">Brain-drain </w:t>
      </w:r>
      <w:r w:rsidR="00AB2F68">
        <w:t xml:space="preserve">and </w:t>
      </w:r>
      <w:r w:rsidR="00F1573E">
        <w:t>e</w:t>
      </w:r>
      <w:r w:rsidR="00AB2F68">
        <w:t xml:space="preserve">conomic </w:t>
      </w:r>
      <w:r w:rsidR="00F1573E">
        <w:t>g</w:t>
      </w:r>
      <w:r w:rsidR="00AB2F68">
        <w:t>rowth</w:t>
      </w:r>
    </w:p>
    <w:p w14:paraId="24B906B2" w14:textId="764CE371" w:rsidR="00E32CC9" w:rsidRDefault="00AB2F68" w:rsidP="00CC5873">
      <w:r>
        <w:t xml:space="preserve">VECM results confirm that migration of health professionals, accountants, engineers, and academics is negatively associated with GDP growth in the long run, yet the coefficients are extremely small, echoing findings by </w:t>
      </w:r>
      <w:r w:rsidR="00440B96">
        <w:t>many researchers</w:t>
      </w:r>
      <w:r>
        <w:t xml:space="preserve">, who observed that while </w:t>
      </w:r>
      <w:r w:rsidR="00420A0D">
        <w:t xml:space="preserve">brain-drain </w:t>
      </w:r>
      <w:r>
        <w:t xml:space="preserve">reduces GDP growth, the effect is often marginal. </w:t>
      </w:r>
    </w:p>
    <w:p w14:paraId="6942A9DC" w14:textId="5E8B7C65" w:rsidR="00E32CC9" w:rsidRDefault="00AB2F68">
      <w:pPr>
        <w:ind w:firstLine="720"/>
      </w:pPr>
      <w:r>
        <w:t xml:space="preserve">These findings resonate with Pritchetts (2001) argument that investments in human capital do not automatically translate into growth unless institutions, </w:t>
      </w:r>
      <w:proofErr w:type="spellStart"/>
      <w:r>
        <w:t>labour</w:t>
      </w:r>
      <w:proofErr w:type="spellEnd"/>
      <w:r>
        <w:t xml:space="preserve"> markets, and innovation ecosystems can effectively absorb talent. In Sri Lanka, the loss of professionals may not register strongly in GDP figures because the economic system has limited absorptive capacity to begin with: the absence of doctors or academics is felt acutely in hospitals and universities, but macroeconomic indicators fail to capture these sectoral inefficiencies.</w:t>
      </w:r>
    </w:p>
    <w:p w14:paraId="3D7B5CE6" w14:textId="7FF7B93E" w:rsidR="00E32CC9" w:rsidRDefault="00AB2F68" w:rsidP="008804B5">
      <w:pPr>
        <w:pStyle w:val="Heading2"/>
      </w:pPr>
      <w:r>
        <w:t xml:space="preserve">Sectoral </w:t>
      </w:r>
      <w:r w:rsidR="00F1573E">
        <w:t>i</w:t>
      </w:r>
      <w:r>
        <w:t xml:space="preserve">mpacts: </w:t>
      </w:r>
      <w:r w:rsidR="00F1573E">
        <w:t>b</w:t>
      </w:r>
      <w:r>
        <w:t xml:space="preserve">eyond GDP </w:t>
      </w:r>
      <w:r w:rsidR="00F1573E">
        <w:t>m</w:t>
      </w:r>
      <w:r>
        <w:t>etrics</w:t>
      </w:r>
    </w:p>
    <w:p w14:paraId="7A6078B4" w14:textId="77777777" w:rsidR="00F80727" w:rsidRDefault="00F80727" w:rsidP="00F80727">
      <w:pPr>
        <w:spacing w:before="180" w:after="80" w:line="360" w:lineRule="auto"/>
      </w:pPr>
      <w:r>
        <w:t xml:space="preserve">Although GDP growth remains the most widely used indicator of economic performance, its inability to capture social and institutional losses is well </w:t>
      </w:r>
      <w:proofErr w:type="spellStart"/>
      <w:r>
        <w:t>recognised</w:t>
      </w:r>
      <w:proofErr w:type="spellEnd"/>
      <w:r>
        <w:t xml:space="preserve"> (Barro, 2001; Hanushek &amp; </w:t>
      </w:r>
      <w:proofErr w:type="spellStart"/>
      <w:r>
        <w:t>Woessmann</w:t>
      </w:r>
      <w:proofErr w:type="spellEnd"/>
      <w:r>
        <w:t>, 2008). The sectoral VECM results extend this recognition by quantifying the differential long-run exposure of four professional groups and revealing important asymmetries that aggregate analyses conceal.</w:t>
      </w:r>
    </w:p>
    <w:p w14:paraId="0BB3B27C" w14:textId="77777777" w:rsidR="00320A3F" w:rsidRDefault="00F80727" w:rsidP="00320A3F">
      <w:pPr>
        <w:spacing w:before="180" w:after="80" w:line="360" w:lineRule="auto"/>
        <w:ind w:firstLine="720"/>
      </w:pPr>
      <w:r>
        <w:t>For the health sector</w:t>
      </w:r>
      <w:r w:rsidR="00320A3F">
        <w:t xml:space="preserve"> </w:t>
      </w:r>
      <w:r>
        <w:t xml:space="preserve">our finding of a significant long-run coefficient (−0.00031) confirms the qualitative evidence of De Silva (2023) and </w:t>
      </w:r>
      <w:proofErr w:type="spellStart"/>
      <w:r>
        <w:t>Chandradasa</w:t>
      </w:r>
      <w:proofErr w:type="spellEnd"/>
      <w:r>
        <w:t xml:space="preserve"> and </w:t>
      </w:r>
      <w:proofErr w:type="spellStart"/>
      <w:r>
        <w:t>Kuruppuarachchi</w:t>
      </w:r>
      <w:proofErr w:type="spellEnd"/>
      <w:r>
        <w:t xml:space="preserve"> (2024), </w:t>
      </w:r>
      <w:r w:rsidR="00320A3F">
        <w:t>and</w:t>
      </w:r>
      <w:r>
        <w:t xml:space="preserve"> produces a measurable and sustained drag on aggregate output</w:t>
      </w:r>
      <w:r w:rsidR="006F0FC0">
        <w:t xml:space="preserve">, </w:t>
      </w:r>
      <w:r>
        <w:t>not merely a service delivery problem.</w:t>
      </w:r>
      <w:r w:rsidR="00320A3F">
        <w:t xml:space="preserve"> </w:t>
      </w:r>
    </w:p>
    <w:p w14:paraId="3B6E8324" w14:textId="5A7B64C3" w:rsidR="00F80727" w:rsidRDefault="00F80727" w:rsidP="00320A3F">
      <w:pPr>
        <w:spacing w:before="180" w:after="80" w:line="360" w:lineRule="auto"/>
        <w:ind w:firstLine="720"/>
      </w:pPr>
      <w:r>
        <w:lastRenderedPageBreak/>
        <w:t xml:space="preserve">For university academics, the largest long-run coefficient in the model (−0.00788) extends Gunawardena and </w:t>
      </w:r>
      <w:proofErr w:type="spellStart"/>
      <w:r>
        <w:t>Nawaratnes</w:t>
      </w:r>
      <w:proofErr w:type="spellEnd"/>
      <w:r>
        <w:t xml:space="preserve"> (2017) Sri Lanka-specific evidence and </w:t>
      </w:r>
      <w:proofErr w:type="spellStart"/>
      <w:r>
        <w:t>Sanliturk</w:t>
      </w:r>
      <w:proofErr w:type="spellEnd"/>
      <w:r>
        <w:t xml:space="preserve"> et </w:t>
      </w:r>
      <w:proofErr w:type="spellStart"/>
      <w:proofErr w:type="gramStart"/>
      <w:r>
        <w:t>al.s</w:t>
      </w:r>
      <w:proofErr w:type="spellEnd"/>
      <w:proofErr w:type="gramEnd"/>
      <w:r>
        <w:t xml:space="preserve"> (2023) cross-national findings by demonstrating that academic emigration is not merely institutionally disruptive but macroeconomically consequential over long horizons</w:t>
      </w:r>
      <w:r w:rsidR="006F0FC0">
        <w:t xml:space="preserve">, </w:t>
      </w:r>
      <w:r>
        <w:t>a result that cannot be derived from cross-sectional or case-based approaches.</w:t>
      </w:r>
    </w:p>
    <w:p w14:paraId="19A9C390" w14:textId="4AD561BC" w:rsidR="00F80727" w:rsidRDefault="00F80727" w:rsidP="00320A3F">
      <w:pPr>
        <w:spacing w:before="180" w:after="80" w:line="360" w:lineRule="auto"/>
        <w:ind w:firstLine="720"/>
      </w:pPr>
      <w:r>
        <w:t xml:space="preserve">For accountants, the significant short-run coefficient (−0.00066, p &lt; 0.001) adds to Bloomfield et </w:t>
      </w:r>
      <w:proofErr w:type="spellStart"/>
      <w:proofErr w:type="gramStart"/>
      <w:r>
        <w:t>al.s</w:t>
      </w:r>
      <w:proofErr w:type="spellEnd"/>
      <w:proofErr w:type="gramEnd"/>
      <w:r>
        <w:t xml:space="preserve"> (2017) analysis of regulatory </w:t>
      </w:r>
      <w:proofErr w:type="spellStart"/>
      <w:r>
        <w:t>harmonisation</w:t>
      </w:r>
      <w:proofErr w:type="spellEnd"/>
      <w:r>
        <w:t xml:space="preserve"> and professional mobility by demonstrating that the economic consequences of accountant emigration are immediate rather than deferred</w:t>
      </w:r>
      <w:r w:rsidR="006F0FC0">
        <w:t xml:space="preserve">, </w:t>
      </w:r>
      <w:r>
        <w:t xml:space="preserve">consistent with the hypothesis that financial and regulatory functions are highly sensitive to skilled </w:t>
      </w:r>
      <w:proofErr w:type="spellStart"/>
      <w:r>
        <w:t>labour</w:t>
      </w:r>
      <w:proofErr w:type="spellEnd"/>
      <w:r>
        <w:t xml:space="preserve"> shortages in ways that </w:t>
      </w:r>
      <w:r w:rsidR="00320A3F">
        <w:t xml:space="preserve">medical, </w:t>
      </w:r>
      <w:r>
        <w:t>engineering and academic functions are not.</w:t>
      </w:r>
    </w:p>
    <w:p w14:paraId="11948E57" w14:textId="37DB54B5" w:rsidR="00320A3F" w:rsidRDefault="00F80727" w:rsidP="00320A3F">
      <w:pPr>
        <w:spacing w:before="180" w:after="80" w:line="360" w:lineRule="auto"/>
        <w:ind w:firstLine="720"/>
      </w:pPr>
      <w:r>
        <w:t xml:space="preserve">For engineers, the significant long-run but insignificant short-run coefficient confirms Gunawardhana and </w:t>
      </w:r>
      <w:proofErr w:type="spellStart"/>
      <w:r>
        <w:t>Jayalaths</w:t>
      </w:r>
      <w:proofErr w:type="spellEnd"/>
      <w:r>
        <w:t xml:space="preserve"> (2016) account of gradual capacity erosion, while contradicting the implicit assumption of </w:t>
      </w:r>
      <w:proofErr w:type="spellStart"/>
      <w:r>
        <w:t>Gherheș</w:t>
      </w:r>
      <w:proofErr w:type="spellEnd"/>
      <w:r>
        <w:t xml:space="preserve"> et al. (2020) that engineering emigration effects are primarily short-term. Our results suggest the opposite: engineering effects accumulate structurally and are unlikely to register in any single </w:t>
      </w:r>
      <w:proofErr w:type="gramStart"/>
      <w:r>
        <w:t>years</w:t>
      </w:r>
      <w:proofErr w:type="gramEnd"/>
      <w:r>
        <w:t xml:space="preserve"> output statistics.</w:t>
      </w:r>
    </w:p>
    <w:p w14:paraId="7384C2C7" w14:textId="3C0B1FFC" w:rsidR="00E32CC9" w:rsidRDefault="00AB2F68" w:rsidP="00320A3F">
      <w:pPr>
        <w:pStyle w:val="Heading2"/>
      </w:pPr>
      <w:r>
        <w:t xml:space="preserve">Theoretical </w:t>
      </w:r>
      <w:r w:rsidR="00F1573E">
        <w:t>p</w:t>
      </w:r>
      <w:r>
        <w:t>erspectives</w:t>
      </w:r>
      <w:r w:rsidR="00F1573E">
        <w:t>;</w:t>
      </w:r>
      <w:r>
        <w:t xml:space="preserve"> </w:t>
      </w:r>
      <w:r w:rsidR="00F1573E">
        <w:t>h</w:t>
      </w:r>
      <w:r>
        <w:t xml:space="preserve">uman </w:t>
      </w:r>
      <w:r w:rsidR="00F1573E">
        <w:t>c</w:t>
      </w:r>
      <w:r>
        <w:t xml:space="preserve">apital, </w:t>
      </w:r>
      <w:r w:rsidR="00F1573E">
        <w:t>e</w:t>
      </w:r>
      <w:r>
        <w:t xml:space="preserve">xternalities, and </w:t>
      </w:r>
      <w:r w:rsidR="00F1573E">
        <w:t>c</w:t>
      </w:r>
      <w:r>
        <w:t>irculation</w:t>
      </w:r>
    </w:p>
    <w:p w14:paraId="473149CC" w14:textId="5C287E45" w:rsidR="00E32CC9" w:rsidRDefault="00AB2F68" w:rsidP="00CC5873">
      <w:r>
        <w:t xml:space="preserve">The seemingly contradictory nature of the findings mirrors the coexistence of competing theoretical perspectives in the </w:t>
      </w:r>
      <w:r w:rsidR="00420A0D">
        <w:t xml:space="preserve">brain-drain </w:t>
      </w:r>
      <w:r>
        <w:t xml:space="preserve">literature. </w:t>
      </w:r>
      <w:r w:rsidR="00D82457">
        <w:t>First, f</w:t>
      </w:r>
      <w:r>
        <w:t>rom a human capital depletion standpoint, the results are consistent with the arguments of Beine et al. (2001), who contend that the emigration of skilled professionals diminishes domestic productivity and innovation capacity</w:t>
      </w:r>
      <w:r w:rsidR="00AD3EE3">
        <w:t xml:space="preserve">, </w:t>
      </w:r>
      <w:r>
        <w:t xml:space="preserve">most evident here in the academic sectors large negative coefficient. </w:t>
      </w:r>
      <w:r w:rsidR="00D82457">
        <w:t>Second,</w:t>
      </w:r>
      <w:r>
        <w:t xml:space="preserve"> the findings resonate with the diaspora externalities perspective, exemplified by the macroeconomic </w:t>
      </w:r>
      <w:proofErr w:type="spellStart"/>
      <w:r>
        <w:t>stabilising</w:t>
      </w:r>
      <w:proofErr w:type="spellEnd"/>
      <w:r>
        <w:t xml:space="preserve"> role of remittance inflows (Adams &amp; Page, 2005; Azam, 2015). Sri Lankas nearly USD 6 billion in professional remittances in 2023 cushions the economy against short-term pressures despite ongoing human capital losses.</w:t>
      </w:r>
    </w:p>
    <w:p w14:paraId="48E8FA8A" w14:textId="1DD0F810" w:rsidR="00E32CC9" w:rsidRDefault="00AB2F68">
      <w:pPr>
        <w:ind w:firstLine="720"/>
      </w:pPr>
      <w:r>
        <w:lastRenderedPageBreak/>
        <w:t xml:space="preserve">A third perspective is offered by the </w:t>
      </w:r>
      <w:r w:rsidR="001642D6">
        <w:t>brain circulation</w:t>
      </w:r>
      <w:r>
        <w:t xml:space="preserve"> model (Gibson &amp; McKenzie, 2012), which highlights the potential for migration to generate long-term development gains through return migration and diaspora engagement. Sri Lanka has yet to establish structured policy frameworks capable of harnessing such circulation effects, leaving much of the potential developmental benefit of professional mobility </w:t>
      </w:r>
      <w:proofErr w:type="spellStart"/>
      <w:r>
        <w:t>unrealised</w:t>
      </w:r>
      <w:proofErr w:type="spellEnd"/>
      <w:r>
        <w:t>.</w:t>
      </w:r>
    </w:p>
    <w:p w14:paraId="2CE05B66" w14:textId="1C95E1DD" w:rsidR="00E32CC9" w:rsidRDefault="00AB2F68" w:rsidP="00D82457">
      <w:pPr>
        <w:pStyle w:val="Heading2"/>
      </w:pPr>
      <w:r>
        <w:t xml:space="preserve">Migration </w:t>
      </w:r>
      <w:r w:rsidR="00F1573E">
        <w:t>d</w:t>
      </w:r>
      <w:r>
        <w:t>iscourses</w:t>
      </w:r>
      <w:r w:rsidR="00F1573E">
        <w:t>;</w:t>
      </w:r>
      <w:r>
        <w:t xml:space="preserve"> </w:t>
      </w:r>
      <w:r w:rsidR="00F1573E">
        <w:t>t</w:t>
      </w:r>
      <w:r>
        <w:t xml:space="preserve">he </w:t>
      </w:r>
      <w:r w:rsidR="00F1573E">
        <w:t>b</w:t>
      </w:r>
      <w:r w:rsidR="00420A0D">
        <w:t xml:space="preserve">rain-drain </w:t>
      </w:r>
      <w:r w:rsidR="00F1573E">
        <w:t>p</w:t>
      </w:r>
      <w:r>
        <w:t>hobia</w:t>
      </w:r>
    </w:p>
    <w:p w14:paraId="361F14AC" w14:textId="60EE7F27" w:rsidR="00E32CC9" w:rsidRDefault="00D82457" w:rsidP="00CC5873">
      <w:r>
        <w:t>The</w:t>
      </w:r>
      <w:r w:rsidR="00AB2F68">
        <w:t xml:space="preserve"> </w:t>
      </w:r>
      <w:r w:rsidR="00420A0D">
        <w:t xml:space="preserve">brain-drain </w:t>
      </w:r>
      <w:r w:rsidR="00AB2F68">
        <w:t xml:space="preserve">phobia can be defined as the tendency in institutional and media discourse to frame professional emigration exclusively as national loss, thereby obscuring its potential as a strategically managed development resource. </w:t>
      </w:r>
      <w:r w:rsidR="0086353E" w:rsidRPr="0086353E">
        <w:t xml:space="preserve">policy discourse analysis findings </w:t>
      </w:r>
      <w:r w:rsidR="00AB2F68">
        <w:t xml:space="preserve">reveal that institutional and media discourses in Sri Lanka consistently frame professional migration as a national crisis, depicting emigration as a betrayal of </w:t>
      </w:r>
      <w:proofErr w:type="gramStart"/>
      <w:r w:rsidR="00AB2F68">
        <w:t>taxpayers</w:t>
      </w:r>
      <w:proofErr w:type="gramEnd"/>
      <w:r w:rsidR="00AB2F68">
        <w:t xml:space="preserve"> investment in free education. This aligns with similar rhetorical strategies observed in Greece (Ioannis, 2016) and Pakistan (Nadir et al., 2023), where emigrants are positioned as abandoning their national duties.</w:t>
      </w:r>
    </w:p>
    <w:p w14:paraId="6168E24C" w14:textId="533A9DF2" w:rsidR="00E32CC9" w:rsidRDefault="00AB2F68">
      <w:pPr>
        <w:ind w:firstLine="720"/>
      </w:pPr>
      <w:r>
        <w:t>Such narratives obscure the reality that migration decisions are shaped by systemic governance failures, professional stagnation, and political instability (Kaluarachchi &amp; Jayathilaka, 2024). By focusing exclusively on the loss, policymakers neglect opportunities for structured diaspora engagement</w:t>
      </w:r>
      <w:r w:rsidR="00AD3EE3">
        <w:t xml:space="preserve">, </w:t>
      </w:r>
      <w:r>
        <w:t>what Meyer and Shera (2017) call the hidden capital of migration.</w:t>
      </w:r>
    </w:p>
    <w:p w14:paraId="0FBE7952" w14:textId="151E0489" w:rsidR="00E32CC9" w:rsidRDefault="00AB2F68" w:rsidP="00394054">
      <w:pPr>
        <w:pStyle w:val="Heading2"/>
      </w:pPr>
      <w:r>
        <w:t xml:space="preserve">Regional </w:t>
      </w:r>
      <w:r w:rsidR="00F1573E">
        <w:t>c</w:t>
      </w:r>
      <w:r>
        <w:t>omparisons</w:t>
      </w:r>
      <w:r w:rsidR="00F1573E">
        <w:t>;</w:t>
      </w:r>
      <w:r>
        <w:t xml:space="preserve"> </w:t>
      </w:r>
      <w:r w:rsidR="00F1573E">
        <w:t>l</w:t>
      </w:r>
      <w:r>
        <w:t>essons from South Asia</w:t>
      </w:r>
    </w:p>
    <w:p w14:paraId="1940EDFF" w14:textId="0C0EDFD1" w:rsidR="00E32CC9" w:rsidRDefault="00AB2F68" w:rsidP="00CC5873">
      <w:r>
        <w:t xml:space="preserve">The Sri Lankan experience cannot be interpreted in isolation. India offers a prominent example of how emigration can be reframed within a </w:t>
      </w:r>
      <w:r w:rsidR="001642D6">
        <w:t>brain circulation</w:t>
      </w:r>
      <w:r>
        <w:t xml:space="preserve"> framework in which diaspora capital, skills, and knowledge transfers are actively leveraged for domestic development (Sabharwal &amp; Varma, 2016). Pakistan continues to face persistent medical </w:t>
      </w:r>
      <w:r w:rsidR="00420A0D">
        <w:t xml:space="preserve">brain-drain </w:t>
      </w:r>
      <w:r>
        <w:t xml:space="preserve">with limited compensatory mechanisms (Nadir et al., 2023). Bangladesh occupies an intermediate position, having </w:t>
      </w:r>
      <w:r>
        <w:lastRenderedPageBreak/>
        <w:t xml:space="preserve">successfully sustained foreign exchange reserves through large-scale </w:t>
      </w:r>
      <w:proofErr w:type="spellStart"/>
      <w:r>
        <w:t>labour</w:t>
      </w:r>
      <w:proofErr w:type="spellEnd"/>
      <w:r>
        <w:t xml:space="preserve"> migration while experiencing rising professional outflows that pose long-term risks to innovation and productivity (Islam, 2022).</w:t>
      </w:r>
    </w:p>
    <w:p w14:paraId="6AF713BF" w14:textId="31AD1A3C" w:rsidR="00E32CC9" w:rsidRDefault="00AB2F68">
      <w:pPr>
        <w:ind w:firstLine="720"/>
      </w:pPr>
      <w:r>
        <w:t>In this comparative context, Sri Lankas trajectory more closely resembles that of Pakistan and Bangladesh than of India. Migration policy in Sri Lanka remains largely reactive and fragmented, with insufficient coordination between short-term remittance objectives and longer-term development priorities linked to talent retention, innovation, and institutional capacity building.</w:t>
      </w:r>
    </w:p>
    <w:p w14:paraId="23BD6480" w14:textId="62AFCFC9" w:rsidR="00E32CC9" w:rsidRDefault="00AB2F68" w:rsidP="00394054">
      <w:pPr>
        <w:pStyle w:val="Heading2"/>
      </w:pPr>
      <w:r>
        <w:t xml:space="preserve">Reconciling </w:t>
      </w:r>
      <w:r w:rsidR="00F1573E">
        <w:t>e</w:t>
      </w:r>
      <w:r>
        <w:t xml:space="preserve">conomic and </w:t>
      </w:r>
      <w:r w:rsidR="00F1573E">
        <w:t>s</w:t>
      </w:r>
      <w:r>
        <w:t xml:space="preserve">ocial </w:t>
      </w:r>
      <w:r w:rsidR="00F1573E">
        <w:t>d</w:t>
      </w:r>
      <w:r>
        <w:t>imensions</w:t>
      </w:r>
    </w:p>
    <w:p w14:paraId="33C53B5F" w14:textId="77777777" w:rsidR="00E32CC9" w:rsidRDefault="00AB2F68" w:rsidP="00CC5873">
      <w:r>
        <w:t xml:space="preserve">The key contribution of this study is to highlight the disjuncture between economic metrics and social realities. While GDP growth figures suggest minimal impact, the depletion of professionals generates profound ripple effects: weakened health systems, underfunded universities, fragile governance structures, and declining trust in institutions. This reinforces the argument of </w:t>
      </w:r>
      <w:proofErr w:type="spellStart"/>
      <w:r>
        <w:t>Labonté</w:t>
      </w:r>
      <w:proofErr w:type="spellEnd"/>
      <w:r>
        <w:t xml:space="preserve"> et al. (2015) that migration cannot be </w:t>
      </w:r>
      <w:proofErr w:type="spellStart"/>
      <w:r>
        <w:t>analysed</w:t>
      </w:r>
      <w:proofErr w:type="spellEnd"/>
      <w:r>
        <w:t xml:space="preserve"> purely in terms of monetary flows but must be situated in broader political and social contexts.</w:t>
      </w:r>
    </w:p>
    <w:p w14:paraId="3083802F" w14:textId="557A4944" w:rsidR="00E32CC9" w:rsidRDefault="00AB2F68" w:rsidP="00D25D7C">
      <w:pPr>
        <w:pStyle w:val="Heading2"/>
      </w:pPr>
      <w:r>
        <w:t xml:space="preserve">Policy </w:t>
      </w:r>
      <w:r w:rsidR="00C629E2">
        <w:t>i</w:t>
      </w:r>
      <w:r>
        <w:t>mplications</w:t>
      </w:r>
    </w:p>
    <w:p w14:paraId="3FD9484A" w14:textId="4EF66DDF" w:rsidR="00E32CC9" w:rsidRDefault="00AB2F68" w:rsidP="00CC5873">
      <w:r>
        <w:t xml:space="preserve">The evidence carries several important implications for Sri Lankas migration and development strategy. First, there is a need to move away from a narrow focus on loss prevention toward an approach </w:t>
      </w:r>
      <w:proofErr w:type="spellStart"/>
      <w:r>
        <w:t>centred</w:t>
      </w:r>
      <w:proofErr w:type="spellEnd"/>
      <w:r>
        <w:t xml:space="preserve"> on opportunity </w:t>
      </w:r>
      <w:proofErr w:type="spellStart"/>
      <w:r>
        <w:t>maximisation</w:t>
      </w:r>
      <w:proofErr w:type="spellEnd"/>
      <w:r>
        <w:t>. Rather than attempting to restrict professional mobility, Sri Lanka could pursue a strategy of brain export supported by bilateral agreements that both safeguard migrant professionals and facilitate the transfer of skills, knowledge, and experience back to the domestic economy (Eaton, 2023).</w:t>
      </w:r>
    </w:p>
    <w:p w14:paraId="0DB72816" w14:textId="5EE1D59B" w:rsidR="00E32CC9" w:rsidRDefault="00AB2F68">
      <w:pPr>
        <w:ind w:firstLine="720"/>
      </w:pPr>
      <w:r>
        <w:lastRenderedPageBreak/>
        <w:t>Second, stronger and more systematic diaspora engagement mechanisms are required. Indias experience with its global IT workforce demonstrates the developmental potential of well-</w:t>
      </w:r>
      <w:proofErr w:type="spellStart"/>
      <w:r>
        <w:t>organised</w:t>
      </w:r>
      <w:proofErr w:type="spellEnd"/>
      <w:r>
        <w:t xml:space="preserve"> diaspora networks. Establishing structured platforms for collaboration, mentoring, and investment could enable Sri Lanka to transform outward migration into a source of intellectual and technological gain.</w:t>
      </w:r>
    </w:p>
    <w:p w14:paraId="4689885E" w14:textId="06E07118" w:rsidR="00E32CC9" w:rsidRDefault="00AB2F68">
      <w:pPr>
        <w:ind w:firstLine="720"/>
      </w:pPr>
      <w:r>
        <w:t>Third, targeted investment in professional retention pathways remains essential. Improving compensation structures, expanding research funding, and strengthening career development opportunities</w:t>
      </w:r>
      <w:r w:rsidR="00AD3EE3">
        <w:t xml:space="preserve">, </w:t>
      </w:r>
      <w:r>
        <w:t>particularly in academia and high-skilled professions</w:t>
      </w:r>
      <w:r w:rsidR="00AD3EE3">
        <w:t xml:space="preserve">, </w:t>
      </w:r>
      <w:r>
        <w:t xml:space="preserve">would help address the push factors that drive emigration (Gunawardena &amp; </w:t>
      </w:r>
      <w:proofErr w:type="spellStart"/>
      <w:r>
        <w:t>Nawaratne</w:t>
      </w:r>
      <w:proofErr w:type="spellEnd"/>
      <w:r>
        <w:t>, 2017).</w:t>
      </w:r>
    </w:p>
    <w:p w14:paraId="254156B7" w14:textId="77777777" w:rsidR="00E32CC9" w:rsidRDefault="00AB2F68">
      <w:pPr>
        <w:ind w:firstLine="720"/>
      </w:pPr>
      <w:r>
        <w:t>Finally, these policy shifts must be accompanied by a broader reframing of public discourse. Moving away from narratives that portray emigrants as deserters toward an understanding of them as contributors to both national and global development is critical for creating a more constructive and forward-looking migration policy environment.</w:t>
      </w:r>
    </w:p>
    <w:p w14:paraId="56A878C8" w14:textId="5916FF71" w:rsidR="00E32CC9" w:rsidRDefault="00AB2F68" w:rsidP="003C415B">
      <w:pPr>
        <w:pStyle w:val="Heading1"/>
      </w:pPr>
      <w:r>
        <w:t>Conclusion</w:t>
      </w:r>
    </w:p>
    <w:p w14:paraId="182E6361" w14:textId="4F62310F" w:rsidR="00E32CC9" w:rsidRDefault="00AB2F68" w:rsidP="00CC5873">
      <w:r>
        <w:t xml:space="preserve">This study investigated the economic and social impacts of professional </w:t>
      </w:r>
      <w:r w:rsidR="00420A0D">
        <w:t xml:space="preserve">brain-drain </w:t>
      </w:r>
      <w:r>
        <w:t>in Sri Lanka across four professional categories: health workers, accountants, engineers, and university academics. The results identify a consistent pattern of statistically significant negative associations between professional migration and GDP growth. Whilst all long-run estimates are statistically significant, the economic magnitude of these effects is small, reinforcing the view that professional emigration operates as a structural</w:t>
      </w:r>
      <w:r w:rsidR="00AD3EE3">
        <w:t xml:space="preserve">, </w:t>
      </w:r>
      <w:r>
        <w:t>rather than a primary</w:t>
      </w:r>
      <w:r w:rsidR="00AD3EE3">
        <w:t xml:space="preserve">, </w:t>
      </w:r>
      <w:r>
        <w:t>constraint on GDP growth.</w:t>
      </w:r>
    </w:p>
    <w:p w14:paraId="46A74818" w14:textId="6BD3BFF5" w:rsidR="00E32CC9" w:rsidRDefault="00AB2F68">
      <w:pPr>
        <w:ind w:firstLine="720"/>
      </w:pPr>
      <w:r>
        <w:t xml:space="preserve">The long-run coefficients confirm the direction of effects: health professionals (−0.00031), accountants (−0.00089), engineers (−0.00034), and university academics (−0.00788) are all negatively associated with GDP growth. Short-run estimates are similarly modest, with the only </w:t>
      </w:r>
      <w:r>
        <w:lastRenderedPageBreak/>
        <w:t xml:space="preserve">statistically significant short-run effect being that of accountants. These findings accord with earlier work establishing that </w:t>
      </w:r>
      <w:r w:rsidR="00DD77A2">
        <w:t>brain-</w:t>
      </w:r>
      <w:proofErr w:type="gramStart"/>
      <w:r w:rsidR="00DD77A2">
        <w:t xml:space="preserve">drain </w:t>
      </w:r>
      <w:r>
        <w:t>,</w:t>
      </w:r>
      <w:proofErr w:type="gramEnd"/>
      <w:r>
        <w:t xml:space="preserve"> while symbolically and institutionally significant, exerts only minimal effects on aggregate GDP.</w:t>
      </w:r>
    </w:p>
    <w:p w14:paraId="18D05354" w14:textId="7452E23A" w:rsidR="00A9759F" w:rsidRDefault="00AB2F68">
      <w:pPr>
        <w:ind w:firstLine="720"/>
      </w:pPr>
      <w:r>
        <w:t xml:space="preserve">However, the primary consequences of professional migration in Sri Lanka are institutional and social rather than macroeconomic. Health services suffer from personnel shortages that undermine service delivery, while universities face constraints on research output and mentorship capacity. </w:t>
      </w:r>
      <w:r w:rsidR="00E034F1" w:rsidRPr="00E034F1">
        <w:t xml:space="preserve">Comparative evidence from India and China demonstrates that </w:t>
      </w:r>
      <w:r w:rsidR="00420A0D">
        <w:t xml:space="preserve">brain-drain </w:t>
      </w:r>
      <w:r w:rsidR="00E034F1" w:rsidRPr="00E034F1">
        <w:t xml:space="preserve">can be transformed into </w:t>
      </w:r>
      <w:r w:rsidR="001642D6">
        <w:t>brain circulation</w:t>
      </w:r>
      <w:r w:rsidR="00E034F1" w:rsidRPr="00E034F1">
        <w:t xml:space="preserve"> when supported by deliberate, well-designed policies. A key limitation of the present study, however, must be restated here: because professional-specific remittance data disaggregated by occupational category are not available for Sri Lanka for the study period, the precise mechanism dampening macroeconomic effects</w:t>
      </w:r>
      <w:r w:rsidR="006F0FC0">
        <w:t xml:space="preserve">, </w:t>
      </w:r>
      <w:r w:rsidR="00E034F1" w:rsidRPr="00E034F1">
        <w:t xml:space="preserve">whether remittance offset, </w:t>
      </w:r>
      <w:proofErr w:type="spellStart"/>
      <w:r w:rsidR="00E034F1" w:rsidRPr="00E034F1">
        <w:t>labour</w:t>
      </w:r>
      <w:proofErr w:type="spellEnd"/>
      <w:r w:rsidR="00E034F1" w:rsidRPr="00E034F1">
        <w:t xml:space="preserve"> market substitution, or limited absorptive capacity</w:t>
      </w:r>
      <w:r w:rsidR="006F0FC0">
        <w:t xml:space="preserve">, </w:t>
      </w:r>
      <w:r w:rsidR="00E034F1" w:rsidRPr="00E034F1">
        <w:t xml:space="preserve">cannot be confirmed from within the present empirical specification. The small long-run GDP coefficients should be read as evidence of a structurally constrained but real relationship, not as evidence that </w:t>
      </w:r>
      <w:r w:rsidR="00420A0D">
        <w:t xml:space="preserve">brain-drain </w:t>
      </w:r>
      <w:r w:rsidR="00E034F1" w:rsidRPr="00E034F1">
        <w:t>is macroeconomically inconsequential</w:t>
      </w:r>
      <w:r w:rsidR="004F517D">
        <w:t>, positive or negative</w:t>
      </w:r>
      <w:r w:rsidR="00E034F1" w:rsidRPr="00E034F1">
        <w:t>. Future research incorporating professional-level remittance estimates</w:t>
      </w:r>
      <w:r w:rsidR="006F0FC0">
        <w:t xml:space="preserve">, </w:t>
      </w:r>
      <w:r w:rsidR="00E034F1" w:rsidRPr="00E034F1">
        <w:t>potentially through survey-based imputation or household-level data</w:t>
      </w:r>
      <w:r w:rsidR="006F0FC0">
        <w:t xml:space="preserve">, </w:t>
      </w:r>
      <w:r w:rsidR="00E034F1" w:rsidRPr="00E034F1">
        <w:t>would substantially strengthen causal interpretation.</w:t>
      </w:r>
    </w:p>
    <w:p w14:paraId="13A3C4D2" w14:textId="4E52FBCC" w:rsidR="00E32CC9" w:rsidRDefault="00AB2F68">
      <w:pPr>
        <w:ind w:firstLine="720"/>
      </w:pPr>
      <w:r>
        <w:t xml:space="preserve">The policy implications are clear. </w:t>
      </w:r>
      <w:r w:rsidR="00420A0D">
        <w:t xml:space="preserve">Brain-drain </w:t>
      </w:r>
      <w:r>
        <w:t xml:space="preserve">should not be framed as an existential macroeconomic threat, and restrictive policies aimed solely at limiting migration flows are unlikely to yield meaningful benefits. Instead, policy efforts should </w:t>
      </w:r>
      <w:proofErr w:type="spellStart"/>
      <w:r>
        <w:t>prioritise</w:t>
      </w:r>
      <w:proofErr w:type="spellEnd"/>
      <w:r>
        <w:t xml:space="preserve"> strengthening domestic institutions, actively engaging the Sri Lankan diaspora, creating structured pathways for return migration, improving the productive use of remittances, and fostering international </w:t>
      </w:r>
      <w:r>
        <w:lastRenderedPageBreak/>
        <w:t>professional networks. These measures would enable Sri Lanka to reposition professional migration not as a liability but as a strategic asset for long-term development.</w:t>
      </w:r>
    </w:p>
    <w:p w14:paraId="0CC26D55" w14:textId="18CC9419" w:rsidR="00E32CC9" w:rsidRDefault="00AB2F68">
      <w:pPr>
        <w:ind w:firstLine="720"/>
      </w:pPr>
      <w:r>
        <w:t xml:space="preserve">In conclusion, </w:t>
      </w:r>
      <w:r w:rsidR="007D5CB3">
        <w:t>although</w:t>
      </w:r>
      <w:r>
        <w:t xml:space="preserve"> professional emigration has statistically significant</w:t>
      </w:r>
      <w:r w:rsidR="002B4638">
        <w:t xml:space="preserve">, </w:t>
      </w:r>
      <w:r w:rsidR="003F5B15">
        <w:t>albeit negligible</w:t>
      </w:r>
      <w:r w:rsidR="002B4638">
        <w:t>,</w:t>
      </w:r>
      <w:r w:rsidR="003F5B15">
        <w:t xml:space="preserve"> </w:t>
      </w:r>
      <w:r>
        <w:t xml:space="preserve">adverse macroeconomic consequences for GDP growth, the economic magnitudes are insufficient to warrant treating </w:t>
      </w:r>
      <w:r w:rsidR="00420A0D">
        <w:t xml:space="preserve">brain-drain </w:t>
      </w:r>
      <w:r>
        <w:t>as a critical macroeconomic risk. Sri Lankas central challenge lies not in managing professional emigration per se, but in developing institutional capabilities to leverage professional mobility as a driver of domestic resilience and international engagement.</w:t>
      </w:r>
    </w:p>
    <w:p w14:paraId="29C49F81" w14:textId="7698B137" w:rsidR="00E32CC9" w:rsidRDefault="00AB2F68" w:rsidP="00C629E2">
      <w:pPr>
        <w:spacing w:before="240" w:after="120" w:line="360" w:lineRule="auto"/>
        <w:jc w:val="center"/>
      </w:pPr>
      <w:r>
        <w:rPr>
          <w:b/>
          <w:bCs/>
        </w:rPr>
        <w:t>Declarations</w:t>
      </w:r>
    </w:p>
    <w:p w14:paraId="7727DB85" w14:textId="77777777" w:rsidR="00E32CC9" w:rsidRDefault="00AB2F68">
      <w:r>
        <w:rPr>
          <w:b/>
          <w:bCs/>
        </w:rPr>
        <w:t xml:space="preserve">Funding. </w:t>
      </w:r>
      <w:r>
        <w:t>No funds, grants, or other support was received.</w:t>
      </w:r>
    </w:p>
    <w:p w14:paraId="4F1D7E58" w14:textId="77777777" w:rsidR="00E32CC9" w:rsidRDefault="00AB2F68">
      <w:r>
        <w:rPr>
          <w:b/>
          <w:bCs/>
        </w:rPr>
        <w:t xml:space="preserve">Competing Interests. </w:t>
      </w:r>
      <w:r>
        <w:t>The authors have no relevant financial or non-financial interests to disclose.</w:t>
      </w:r>
    </w:p>
    <w:p w14:paraId="3984C7B7" w14:textId="77777777" w:rsidR="00E32CC9" w:rsidRDefault="00AB2F68">
      <w:r>
        <w:rPr>
          <w:b/>
          <w:bCs/>
        </w:rPr>
        <w:t xml:space="preserve">Data Availability. </w:t>
      </w:r>
      <w:r>
        <w:t>Data are available from the corresponding author on reasonable request.</w:t>
      </w:r>
    </w:p>
    <w:p w14:paraId="35EE97D7" w14:textId="77777777" w:rsidR="00E32CC9" w:rsidRDefault="00AB2F68">
      <w:r>
        <w:rPr>
          <w:b/>
          <w:bCs/>
        </w:rPr>
        <w:t xml:space="preserve">Ethical Approval. </w:t>
      </w:r>
      <w:r>
        <w:t>Not applicable; the study uses only previously published, publicly available data.</w:t>
      </w:r>
    </w:p>
    <w:p w14:paraId="3761951E" w14:textId="77777777" w:rsidR="005966FC" w:rsidRDefault="00AB2F68" w:rsidP="005966FC">
      <w:r>
        <w:rPr>
          <w:b/>
          <w:bCs/>
        </w:rPr>
        <w:t xml:space="preserve">AI Use Disclosure. </w:t>
      </w:r>
      <w:r w:rsidR="005966FC">
        <w:t>Declaration on the Use of Artificial Intelligence Technologies</w:t>
      </w:r>
    </w:p>
    <w:p w14:paraId="1D43DD36" w14:textId="2FA991FF" w:rsidR="00E32CC9" w:rsidRDefault="005966FC" w:rsidP="005966FC">
      <w:r>
        <w:t>In preparing this manuscript, the author</w:t>
      </w:r>
      <w:r w:rsidR="00BC6ED5">
        <w:t>s</w:t>
      </w:r>
      <w:r>
        <w:t xml:space="preserve"> used artificial intelligence tools (Perplexity AI and Chat GPT-Open AI) in a responsible and limited manner, in line with the </w:t>
      </w:r>
      <w:proofErr w:type="gramStart"/>
      <w:r>
        <w:t>journals</w:t>
      </w:r>
      <w:proofErr w:type="gramEnd"/>
      <w:r>
        <w:t xml:space="preserve"> guidelines on AI Technologies. Any such tools were employed only as companions to the writing process (for example, to support language polishing or to suggest alternative phrasings), and were not used to generate, alter, or manipulate original research data, quantitative results, or qualitative findings and interpretations. The author</w:t>
      </w:r>
      <w:r w:rsidR="00BC6ED5">
        <w:t>s</w:t>
      </w:r>
      <w:r>
        <w:t xml:space="preserve"> have independently verified the accuracy of all AI assisted text and remain fully accountable for the content, arguments, and conclusions presented in the article. The use of AI tools complied with all applicable privacy, confidentiality</w:t>
      </w:r>
      <w:r w:rsidR="00AB2F68">
        <w:t>.</w:t>
      </w:r>
    </w:p>
    <w:p w14:paraId="02E363D9" w14:textId="77777777" w:rsidR="00E32CC9" w:rsidRDefault="00AB2F68" w:rsidP="007A6CA9">
      <w:pPr>
        <w:spacing w:before="240" w:after="120" w:line="360" w:lineRule="auto"/>
        <w:jc w:val="center"/>
      </w:pPr>
      <w:r>
        <w:rPr>
          <w:b/>
          <w:bCs/>
        </w:rPr>
        <w:lastRenderedPageBreak/>
        <w:t>References</w:t>
      </w:r>
    </w:p>
    <w:p w14:paraId="306D72C8" w14:textId="186C61FA" w:rsidR="00E32CC9" w:rsidRDefault="00AB2F68" w:rsidP="007F4782">
      <w:pPr>
        <w:spacing w:line="360" w:lineRule="auto"/>
        <w:ind w:left="720" w:hanging="720"/>
      </w:pPr>
      <w:r>
        <w:t>Adams, R. H., Jr., &amp; Page, J. (2005). Do international migration and remittances reduce poverty in developing countries? World Development, 33(10), 1645–1669. https://doi.org/10.1016/j.worlddev.2005.05.004</w:t>
      </w:r>
    </w:p>
    <w:p w14:paraId="71D93DB1" w14:textId="76A2BE56" w:rsidR="00E32CC9" w:rsidRDefault="00AB2F68">
      <w:pPr>
        <w:spacing w:after="80" w:line="360" w:lineRule="auto"/>
        <w:ind w:left="720" w:hanging="720"/>
      </w:pPr>
      <w:proofErr w:type="spellStart"/>
      <w:r>
        <w:t>Adovor</w:t>
      </w:r>
      <w:proofErr w:type="spellEnd"/>
      <w:r>
        <w:t xml:space="preserve">, E., </w:t>
      </w:r>
      <w:proofErr w:type="spellStart"/>
      <w:r>
        <w:t>Czaika</w:t>
      </w:r>
      <w:proofErr w:type="spellEnd"/>
      <w:r>
        <w:t xml:space="preserve">, M., </w:t>
      </w:r>
      <w:proofErr w:type="spellStart"/>
      <w:r>
        <w:t>Docquier</w:t>
      </w:r>
      <w:proofErr w:type="spellEnd"/>
      <w:r>
        <w:t xml:space="preserve">, F., &amp; </w:t>
      </w:r>
      <w:proofErr w:type="spellStart"/>
      <w:r>
        <w:t>Moullan</w:t>
      </w:r>
      <w:proofErr w:type="spellEnd"/>
      <w:r>
        <w:t xml:space="preserve">, Y. (2021). Medical </w:t>
      </w:r>
      <w:r w:rsidR="00DD77A2">
        <w:t>brain-</w:t>
      </w:r>
      <w:proofErr w:type="gramStart"/>
      <w:r w:rsidR="00DD77A2">
        <w:t xml:space="preserve">drain </w:t>
      </w:r>
      <w:r>
        <w:t>:</w:t>
      </w:r>
      <w:proofErr w:type="gramEnd"/>
      <w:r>
        <w:t xml:space="preserve"> How many, where and why? </w:t>
      </w:r>
      <w:r>
        <w:rPr>
          <w:i/>
          <w:iCs/>
        </w:rPr>
        <w:t>Journal of Health Economics</w:t>
      </w:r>
      <w:r>
        <w:t>, 76, Article 102409. https://doi.org/10.1016/j.jhealeco.2021.102409</w:t>
      </w:r>
    </w:p>
    <w:p w14:paraId="3620A3BE" w14:textId="551A1C11" w:rsidR="00E32CC9" w:rsidRDefault="00AB2F68">
      <w:pPr>
        <w:spacing w:after="80" w:line="360" w:lineRule="auto"/>
        <w:ind w:left="720" w:hanging="720"/>
      </w:pPr>
      <w:r>
        <w:t xml:space="preserve">Akinola, A., </w:t>
      </w:r>
      <w:proofErr w:type="spellStart"/>
      <w:r>
        <w:t>Adekile</w:t>
      </w:r>
      <w:proofErr w:type="spellEnd"/>
      <w:r>
        <w:t xml:space="preserve">, A., &amp; </w:t>
      </w:r>
      <w:proofErr w:type="spellStart"/>
      <w:r>
        <w:t>Adejumoke</w:t>
      </w:r>
      <w:proofErr w:type="spellEnd"/>
      <w:r>
        <w:t xml:space="preserve"> (2024). The impact of </w:t>
      </w:r>
      <w:r w:rsidR="00DD77A2">
        <w:t xml:space="preserve">brain-drain </w:t>
      </w:r>
      <w:r>
        <w:t xml:space="preserve">and unemployment on economic growth in Nigeria. </w:t>
      </w:r>
      <w:r>
        <w:rPr>
          <w:i/>
          <w:iCs/>
        </w:rPr>
        <w:t>African Journal of Social Sciences and Humanities Research</w:t>
      </w:r>
      <w:r>
        <w:t>, 7(2), 265–277. https://doi.org/10.52589/AJSSHR-1VZ2VOUF</w:t>
      </w:r>
    </w:p>
    <w:p w14:paraId="1D366DFE" w14:textId="3620993C" w:rsidR="00E32CC9" w:rsidRDefault="00AB2F68">
      <w:pPr>
        <w:spacing w:after="80" w:line="360" w:lineRule="auto"/>
        <w:ind w:left="720" w:hanging="720"/>
      </w:pPr>
      <w:r>
        <w:t xml:space="preserve">Azam, M. (2015). The role of migrant workers remittances in fostering economic growth: The four Asian developing countries experiences. </w:t>
      </w:r>
      <w:r>
        <w:rPr>
          <w:i/>
          <w:iCs/>
        </w:rPr>
        <w:t>International Journal of Social Economics</w:t>
      </w:r>
      <w:r>
        <w:t>, 42(8), 690–705. https://doi.org/10.1108/IJSE-11-2013-0255</w:t>
      </w:r>
    </w:p>
    <w:p w14:paraId="4C266511" w14:textId="77777777" w:rsidR="00E32CC9" w:rsidRDefault="00AB2F68">
      <w:pPr>
        <w:spacing w:after="80" w:line="360" w:lineRule="auto"/>
        <w:ind w:left="720" w:hanging="720"/>
      </w:pPr>
      <w:r>
        <w:t xml:space="preserve">Barro, R. J. (2001). Human capital and growth. </w:t>
      </w:r>
      <w:r>
        <w:rPr>
          <w:i/>
          <w:iCs/>
        </w:rPr>
        <w:t>American Economic Review</w:t>
      </w:r>
      <w:r>
        <w:t>, 91(2), 12–17. https://doi.org/10.1257/aer.91.2.12</w:t>
      </w:r>
    </w:p>
    <w:p w14:paraId="78001510" w14:textId="3466A267" w:rsidR="00E32CC9" w:rsidRDefault="00AB2F68">
      <w:pPr>
        <w:spacing w:after="80" w:line="360" w:lineRule="auto"/>
        <w:ind w:left="720" w:hanging="720"/>
      </w:pPr>
      <w:r>
        <w:t xml:space="preserve">Beine, M., </w:t>
      </w:r>
      <w:proofErr w:type="spellStart"/>
      <w:r>
        <w:t>Docquier</w:t>
      </w:r>
      <w:proofErr w:type="spellEnd"/>
      <w:r>
        <w:t xml:space="preserve">, F., &amp; Rapoport, H. (2001). </w:t>
      </w:r>
      <w:r w:rsidR="00420A0D">
        <w:t xml:space="preserve">Brain-drain </w:t>
      </w:r>
      <w:r>
        <w:t xml:space="preserve">and economic growth: Theory and evidence. </w:t>
      </w:r>
      <w:r>
        <w:rPr>
          <w:i/>
          <w:iCs/>
        </w:rPr>
        <w:t>Journal of Development Economics</w:t>
      </w:r>
      <w:r>
        <w:t>, 64(1), 275–289. https://doi.org/10.1016/S0304-3878(00)00133-4</w:t>
      </w:r>
    </w:p>
    <w:p w14:paraId="3635097D" w14:textId="77777777" w:rsidR="00E32CC9" w:rsidRDefault="00AB2F68">
      <w:pPr>
        <w:spacing w:after="80" w:line="360" w:lineRule="auto"/>
        <w:ind w:left="720" w:hanging="720"/>
      </w:pPr>
      <w:r>
        <w:t xml:space="preserve">Bloomfield, M., Brüggemann, U., Christensen, H. B., &amp; </w:t>
      </w:r>
      <w:proofErr w:type="spellStart"/>
      <w:r>
        <w:t>Leuz</w:t>
      </w:r>
      <w:proofErr w:type="spellEnd"/>
      <w:r>
        <w:t xml:space="preserve">, C. (2017). The effect of regulatory harmonization on cross-border labor migration: Evidence from the accounting profession. </w:t>
      </w:r>
      <w:r>
        <w:rPr>
          <w:i/>
          <w:iCs/>
        </w:rPr>
        <w:t>Journal of Accounting Research</w:t>
      </w:r>
      <w:r>
        <w:t>, 55(1), 35–78. https://doi.org/10.1111/1475-679X.12155</w:t>
      </w:r>
    </w:p>
    <w:p w14:paraId="2BB9D1DC" w14:textId="1AE8D542" w:rsidR="00E32CC9" w:rsidRDefault="00AB2F68">
      <w:pPr>
        <w:spacing w:after="80" w:line="360" w:lineRule="auto"/>
        <w:ind w:left="720" w:hanging="720"/>
      </w:pPr>
      <w:proofErr w:type="spellStart"/>
      <w:r>
        <w:t>Chandradasa</w:t>
      </w:r>
      <w:proofErr w:type="spellEnd"/>
      <w:r>
        <w:t xml:space="preserve">, M., &amp; </w:t>
      </w:r>
      <w:proofErr w:type="spellStart"/>
      <w:r>
        <w:t>Kuruppuarachchi</w:t>
      </w:r>
      <w:proofErr w:type="spellEnd"/>
      <w:r>
        <w:t xml:space="preserve">, K. (2024). </w:t>
      </w:r>
      <w:r w:rsidR="00DD77A2">
        <w:t xml:space="preserve">Brain-drain </w:t>
      </w:r>
      <w:r>
        <w:t xml:space="preserve">among Sri Lankan psychiatrists. </w:t>
      </w:r>
      <w:r>
        <w:rPr>
          <w:i/>
          <w:iCs/>
        </w:rPr>
        <w:t>Sri Lanka Journal of Psychiatry</w:t>
      </w:r>
      <w:r>
        <w:t>, 14(2). https://doi.org/10.4038/sljpsyc.v14i2.8529</w:t>
      </w:r>
    </w:p>
    <w:p w14:paraId="49719F70" w14:textId="40CAFCD6" w:rsidR="00A7545E" w:rsidRDefault="001360C4">
      <w:pPr>
        <w:spacing w:after="80" w:line="360" w:lineRule="auto"/>
        <w:ind w:left="720" w:hanging="720"/>
      </w:pPr>
      <w:proofErr w:type="spellStart"/>
      <w:r w:rsidRPr="001360C4">
        <w:t>Ciumas</w:t>
      </w:r>
      <w:proofErr w:type="spellEnd"/>
      <w:r w:rsidRPr="001360C4">
        <w:t xml:space="preserve">, C., &amp; </w:t>
      </w:r>
      <w:proofErr w:type="spellStart"/>
      <w:r w:rsidRPr="001360C4">
        <w:t>Fokkema</w:t>
      </w:r>
      <w:proofErr w:type="spellEnd"/>
      <w:r w:rsidRPr="001360C4">
        <w:t xml:space="preserve">, T. (2017). The role of highly skilled migrants in the circulation of knowledge and practices between host and home countries. </w:t>
      </w:r>
      <w:r w:rsidRPr="00201DFC">
        <w:rPr>
          <w:i/>
          <w:iCs/>
        </w:rPr>
        <w:t>International Migration</w:t>
      </w:r>
      <w:r w:rsidRPr="001360C4">
        <w:t>, 55(4), 33–47.</w:t>
      </w:r>
    </w:p>
    <w:p w14:paraId="12B4A969" w14:textId="3B0BA97B" w:rsidR="00E32CC9" w:rsidRDefault="00AB2F68">
      <w:pPr>
        <w:spacing w:after="80" w:line="360" w:lineRule="auto"/>
        <w:ind w:left="720" w:hanging="720"/>
      </w:pPr>
      <w:r>
        <w:t xml:space="preserve">De Silva, M. (2023). Status of the economy and key challenges faced by the healthcare sector in Sri Lanka. </w:t>
      </w:r>
      <w:r>
        <w:rPr>
          <w:i/>
          <w:iCs/>
        </w:rPr>
        <w:t>Journal of the Ceylon College of Physicians</w:t>
      </w:r>
      <w:r>
        <w:t>, 54(2). https://doi.org/10.4038/jccp.v54i2.8028</w:t>
      </w:r>
    </w:p>
    <w:p w14:paraId="37D3D55F" w14:textId="77777777" w:rsidR="00E32CC9" w:rsidRDefault="00AB2F68">
      <w:pPr>
        <w:spacing w:after="80" w:line="360" w:lineRule="auto"/>
        <w:ind w:left="720" w:hanging="720"/>
      </w:pPr>
      <w:proofErr w:type="spellStart"/>
      <w:r>
        <w:lastRenderedPageBreak/>
        <w:t>Docquier</w:t>
      </w:r>
      <w:proofErr w:type="spellEnd"/>
      <w:r>
        <w:t>, F., &amp; Rapoport, H. (2007). Skilled migration: The perspective of developing countries (World Bank Policy Research Working Paper). https://doi.org/10.2139/ssrn.625259</w:t>
      </w:r>
    </w:p>
    <w:p w14:paraId="54AD6824" w14:textId="3B1E5E53" w:rsidR="00E32CC9" w:rsidRDefault="00AB2F68">
      <w:pPr>
        <w:spacing w:after="80" w:line="360" w:lineRule="auto"/>
        <w:ind w:left="720" w:hanging="720"/>
      </w:pPr>
      <w:proofErr w:type="spellStart"/>
      <w:r>
        <w:t>Docquier</w:t>
      </w:r>
      <w:proofErr w:type="spellEnd"/>
      <w:r>
        <w:t xml:space="preserve">, F., &amp; Rapoport, H. (2012). Globalization, </w:t>
      </w:r>
      <w:r w:rsidR="00F53BA1">
        <w:t>brain-drain</w:t>
      </w:r>
      <w:r>
        <w:t xml:space="preserve">, and development. </w:t>
      </w:r>
      <w:r>
        <w:rPr>
          <w:i/>
          <w:iCs/>
        </w:rPr>
        <w:t>Journal of Economic Literature</w:t>
      </w:r>
      <w:r>
        <w:t>, 50(3), 681–730. https://doi.org/10.1257/jel.50.3.681</w:t>
      </w:r>
    </w:p>
    <w:p w14:paraId="1B81039F" w14:textId="77777777" w:rsidR="00E32CC9" w:rsidRDefault="00AB2F68">
      <w:pPr>
        <w:spacing w:after="80" w:line="360" w:lineRule="auto"/>
        <w:ind w:left="720" w:hanging="720"/>
      </w:pPr>
      <w:r>
        <w:t xml:space="preserve">Eaton, S. E. (2023, October). </w:t>
      </w:r>
      <w:r>
        <w:rPr>
          <w:i/>
          <w:iCs/>
        </w:rPr>
        <w:t>Keynote address at the Academic and Research Integrity Conference Ireland (ARICI)</w:t>
      </w:r>
      <w:r>
        <w:t>. Galway, Ireland.</w:t>
      </w:r>
    </w:p>
    <w:p w14:paraId="3F74BCBC" w14:textId="77777777" w:rsidR="00E32CC9" w:rsidRDefault="00AB2F68">
      <w:pPr>
        <w:spacing w:after="80" w:line="360" w:lineRule="auto"/>
        <w:ind w:left="720" w:hanging="720"/>
      </w:pPr>
      <w:r>
        <w:t xml:space="preserve">Ekanayake, D., &amp; Jackling, B. (2014). The growth in international enrolments in accounting: Implications for an established nexus between education and migration. </w:t>
      </w:r>
      <w:r>
        <w:rPr>
          <w:i/>
          <w:iCs/>
        </w:rPr>
        <w:t>Accounting Education</w:t>
      </w:r>
      <w:r>
        <w:t>, 23(3), 223–236. https://doi.org/10.1080/09639284.2014.900958</w:t>
      </w:r>
    </w:p>
    <w:p w14:paraId="7C794731" w14:textId="77777777" w:rsidR="00E32CC9" w:rsidRDefault="00AB2F68">
      <w:pPr>
        <w:spacing w:after="80" w:line="360" w:lineRule="auto"/>
        <w:ind w:left="720" w:hanging="720"/>
      </w:pPr>
      <w:proofErr w:type="spellStart"/>
      <w:r>
        <w:t>Gherheș</w:t>
      </w:r>
      <w:proofErr w:type="spellEnd"/>
      <w:r>
        <w:t xml:space="preserve">, V., Dragomir, G., &amp; </w:t>
      </w:r>
      <w:proofErr w:type="spellStart"/>
      <w:r>
        <w:t>Cernicova</w:t>
      </w:r>
      <w:proofErr w:type="spellEnd"/>
      <w:r>
        <w:t xml:space="preserve">-Buca, M. (2020). Migration intentions of Romanian engineering students. </w:t>
      </w:r>
      <w:r>
        <w:rPr>
          <w:i/>
          <w:iCs/>
        </w:rPr>
        <w:t>Sustainability</w:t>
      </w:r>
      <w:r>
        <w:t>, 12(12), Article 4846. https://doi.org/10.3390/su12124846</w:t>
      </w:r>
    </w:p>
    <w:p w14:paraId="53AD2D44" w14:textId="3E31E749" w:rsidR="00E32CC9" w:rsidRDefault="00AB2F68">
      <w:pPr>
        <w:spacing w:after="80" w:line="360" w:lineRule="auto"/>
        <w:ind w:left="720" w:hanging="720"/>
      </w:pPr>
      <w:r>
        <w:t>Gibson, J., &amp; McKenzie, D. (2012). The economic consequences of "</w:t>
      </w:r>
      <w:r w:rsidR="00DD77A2">
        <w:t xml:space="preserve">brain-drain </w:t>
      </w:r>
      <w:r>
        <w:t xml:space="preserve">" of the best and brightest: Microeconomic evidence from five countries. </w:t>
      </w:r>
      <w:r>
        <w:rPr>
          <w:i/>
          <w:iCs/>
        </w:rPr>
        <w:t>Economic Journal</w:t>
      </w:r>
      <w:r>
        <w:t>, 122(560), 339–375. https://doi.org/10.1111/j.1468-0297.2012.02498.x</w:t>
      </w:r>
    </w:p>
    <w:p w14:paraId="35AE7D52" w14:textId="01C78CD6" w:rsidR="00E32CC9" w:rsidRDefault="00AB2F68">
      <w:pPr>
        <w:spacing w:after="80" w:line="360" w:lineRule="auto"/>
        <w:ind w:left="720" w:hanging="720"/>
      </w:pPr>
      <w:r>
        <w:t xml:space="preserve">Gunawardena, C., &amp; </w:t>
      </w:r>
      <w:proofErr w:type="spellStart"/>
      <w:r>
        <w:t>Nawaratne</w:t>
      </w:r>
      <w:proofErr w:type="spellEnd"/>
      <w:r>
        <w:t xml:space="preserve">, R. (2017). </w:t>
      </w:r>
      <w:r w:rsidR="00DD77A2">
        <w:t xml:space="preserve">Brain-drain </w:t>
      </w:r>
      <w:r>
        <w:t xml:space="preserve">from Sri Lankan universities. </w:t>
      </w:r>
      <w:r>
        <w:rPr>
          <w:i/>
          <w:iCs/>
        </w:rPr>
        <w:t>Sri Lanka Journal of Social Sciences</w:t>
      </w:r>
      <w:r>
        <w:t>, 40(2), 103–118. https://doi.org/10.4038/sljss.v40i2.7541</w:t>
      </w:r>
    </w:p>
    <w:p w14:paraId="020A70AF" w14:textId="4D6B9E53" w:rsidR="00E32CC9" w:rsidRDefault="00AB2F68">
      <w:pPr>
        <w:spacing w:after="80" w:line="360" w:lineRule="auto"/>
        <w:ind w:left="720" w:hanging="720"/>
      </w:pPr>
      <w:r>
        <w:t xml:space="preserve">Gunawardhana, N., &amp; Jayalath, H. (2016). Factors affecting </w:t>
      </w:r>
      <w:r w:rsidR="00DD77A2">
        <w:t xml:space="preserve">brain-drain </w:t>
      </w:r>
      <w:r>
        <w:t xml:space="preserve">of Sri Lankan engineers. </w:t>
      </w:r>
      <w:r>
        <w:rPr>
          <w:i/>
          <w:iCs/>
        </w:rPr>
        <w:t>GARI International Journal of Multidisciplinary Research</w:t>
      </w:r>
      <w:r>
        <w:t>, 2(1), 93–120.</w:t>
      </w:r>
    </w:p>
    <w:p w14:paraId="65919E66" w14:textId="77777777" w:rsidR="00E32CC9" w:rsidRDefault="00AB2F68">
      <w:pPr>
        <w:spacing w:after="80" w:line="360" w:lineRule="auto"/>
        <w:ind w:left="720" w:hanging="720"/>
      </w:pPr>
      <w:r>
        <w:t xml:space="preserve">Hanushek, E., &amp; </w:t>
      </w:r>
      <w:proofErr w:type="spellStart"/>
      <w:r>
        <w:t>Woessmann</w:t>
      </w:r>
      <w:proofErr w:type="spellEnd"/>
      <w:r>
        <w:t xml:space="preserve">, L. (2008). The role of cognitive skills in economic development. </w:t>
      </w:r>
      <w:r>
        <w:rPr>
          <w:i/>
          <w:iCs/>
        </w:rPr>
        <w:t>Journal of Economic Literature</w:t>
      </w:r>
      <w:r>
        <w:t>, 46(3), 607–668. https://doi.org/10.1257/jel.46.3.607</w:t>
      </w:r>
    </w:p>
    <w:p w14:paraId="1E768B12" w14:textId="6BA81795" w:rsidR="00E32CC9" w:rsidRDefault="00AB2F68">
      <w:pPr>
        <w:spacing w:after="80" w:line="360" w:lineRule="auto"/>
        <w:ind w:left="720" w:hanging="720"/>
      </w:pPr>
      <w:r>
        <w:t xml:space="preserve">Ioannis, K. (2016). The effects of </w:t>
      </w:r>
      <w:r w:rsidR="00420A0D">
        <w:t xml:space="preserve">brain-drain </w:t>
      </w:r>
      <w:r>
        <w:t xml:space="preserve">phenomenon under the Greek national health system. </w:t>
      </w:r>
      <w:r>
        <w:rPr>
          <w:i/>
          <w:iCs/>
        </w:rPr>
        <w:t>Open Access Library Journal</w:t>
      </w:r>
      <w:r>
        <w:t>, 3(2), Article 1. https://doi.org/10.4236/oalib.1102372</w:t>
      </w:r>
    </w:p>
    <w:p w14:paraId="44C1FE1E" w14:textId="77777777" w:rsidR="00E32CC9" w:rsidRDefault="00AB2F68">
      <w:pPr>
        <w:spacing w:after="80" w:line="360" w:lineRule="auto"/>
        <w:ind w:left="720" w:hanging="720"/>
      </w:pPr>
      <w:r>
        <w:t xml:space="preserve">Islam, M. (2022). Do personal remittances influence economic growth in South Asia? A panel analysis. </w:t>
      </w:r>
      <w:r>
        <w:rPr>
          <w:i/>
          <w:iCs/>
        </w:rPr>
        <w:t>Review of Development Economics</w:t>
      </w:r>
      <w:r>
        <w:t>, 26(1), 242–258. https://doi.org/10.1111/rode.12842</w:t>
      </w:r>
    </w:p>
    <w:p w14:paraId="613E90CD" w14:textId="1BA36FDC" w:rsidR="00E32CC9" w:rsidRDefault="00AB2F68">
      <w:pPr>
        <w:spacing w:after="80" w:line="360" w:lineRule="auto"/>
        <w:ind w:left="720" w:hanging="720"/>
      </w:pPr>
      <w:r>
        <w:t xml:space="preserve">Kaluarachchi, S., &amp; Jayathilaka, R. (2024). Unveiling Sri Lankas </w:t>
      </w:r>
      <w:r w:rsidR="00DD77A2">
        <w:t xml:space="preserve">brain-drain </w:t>
      </w:r>
      <w:r>
        <w:t xml:space="preserve">and </w:t>
      </w:r>
      <w:proofErr w:type="spellStart"/>
      <w:r>
        <w:t>labour</w:t>
      </w:r>
      <w:proofErr w:type="spellEnd"/>
      <w:r>
        <w:t xml:space="preserve"> market pressure: A study of macroeconomic factors on migration. </w:t>
      </w:r>
      <w:r>
        <w:rPr>
          <w:i/>
          <w:iCs/>
        </w:rPr>
        <w:t>PLOS ONE</w:t>
      </w:r>
      <w:r>
        <w:t>, 19(3), Article e0300343. https://doi.org/10.1371/journal.pone.0300343</w:t>
      </w:r>
    </w:p>
    <w:p w14:paraId="3845E263" w14:textId="77777777" w:rsidR="00E32CC9" w:rsidRDefault="00AB2F68">
      <w:pPr>
        <w:spacing w:after="80" w:line="360" w:lineRule="auto"/>
        <w:ind w:left="720" w:hanging="720"/>
      </w:pPr>
      <w:r>
        <w:lastRenderedPageBreak/>
        <w:t xml:space="preserve">Labonté, R., Sanders, D., Mathole, T., Crush, J., Chikanda, A., </w:t>
      </w:r>
      <w:proofErr w:type="spellStart"/>
      <w:r>
        <w:t>Dambisya</w:t>
      </w:r>
      <w:proofErr w:type="spellEnd"/>
      <w:r>
        <w:t xml:space="preserve">, Y., Runnels, V., Packer, C., Mackenzie, A., Murphy, G. T., &amp; Bourgeault, I. L. (2015). Health worker migration from South Africa: Causes, consequences and policy responses. </w:t>
      </w:r>
      <w:r>
        <w:rPr>
          <w:i/>
          <w:iCs/>
        </w:rPr>
        <w:t>Human Resources for Health</w:t>
      </w:r>
      <w:r>
        <w:t>, 13, Article 92. https://doi.org/10.1186/s12960-015-0093-4</w:t>
      </w:r>
    </w:p>
    <w:p w14:paraId="6C0AC89A" w14:textId="77777777" w:rsidR="00E32CC9" w:rsidRDefault="00AB2F68">
      <w:pPr>
        <w:spacing w:after="80" w:line="360" w:lineRule="auto"/>
        <w:ind w:left="720" w:hanging="720"/>
      </w:pPr>
      <w:r>
        <w:t xml:space="preserve">Meyer, D., &amp; Shera, A. (2017). The impact of remittances on economic growth: An econometric model. </w:t>
      </w:r>
      <w:proofErr w:type="spellStart"/>
      <w:r>
        <w:rPr>
          <w:i/>
          <w:iCs/>
        </w:rPr>
        <w:t>EconomiA</w:t>
      </w:r>
      <w:proofErr w:type="spellEnd"/>
      <w:r>
        <w:t>, 18(2), 147–155. https://doi.org/10.1016/j.econ.2016.06.001</w:t>
      </w:r>
    </w:p>
    <w:p w14:paraId="74BEB793" w14:textId="77777777" w:rsidR="00E32CC9" w:rsidRDefault="00AB2F68">
      <w:pPr>
        <w:spacing w:after="80" w:line="360" w:lineRule="auto"/>
        <w:ind w:left="720" w:hanging="720"/>
      </w:pPr>
      <w:r>
        <w:t xml:space="preserve">Mills, E., </w:t>
      </w:r>
      <w:proofErr w:type="spellStart"/>
      <w:r>
        <w:t>Kanters</w:t>
      </w:r>
      <w:proofErr w:type="spellEnd"/>
      <w:r>
        <w:t xml:space="preserve">, S., Hagopian, A., </w:t>
      </w:r>
      <w:proofErr w:type="spellStart"/>
      <w:r>
        <w:t>Bansback</w:t>
      </w:r>
      <w:proofErr w:type="spellEnd"/>
      <w:r>
        <w:t xml:space="preserve">, N., </w:t>
      </w:r>
      <w:proofErr w:type="spellStart"/>
      <w:r>
        <w:t>Nachega</w:t>
      </w:r>
      <w:proofErr w:type="spellEnd"/>
      <w:r>
        <w:t xml:space="preserve">, J., Alberton, M., &amp; </w:t>
      </w:r>
      <w:proofErr w:type="spellStart"/>
      <w:r>
        <w:t>Luboga</w:t>
      </w:r>
      <w:proofErr w:type="spellEnd"/>
      <w:r>
        <w:t xml:space="preserve">, S. (2011). The financial cost of doctors emigrating from sub-Saharan Africa: Human capital analysis. </w:t>
      </w:r>
      <w:r>
        <w:rPr>
          <w:i/>
          <w:iCs/>
        </w:rPr>
        <w:t>BMJ</w:t>
      </w:r>
      <w:r>
        <w:t>, 343, Article d7031. https://doi.org/10.1136/bmj.d7031</w:t>
      </w:r>
    </w:p>
    <w:p w14:paraId="53957784" w14:textId="5E85FEF9" w:rsidR="00E32CC9" w:rsidRDefault="00AB2F68">
      <w:pPr>
        <w:spacing w:after="80" w:line="360" w:lineRule="auto"/>
        <w:ind w:left="720" w:hanging="720"/>
      </w:pPr>
      <w:r>
        <w:t xml:space="preserve">Mohamed, S., Amer, G., &amp; Fattah, K. (2024). The impact of </w:t>
      </w:r>
      <w:r w:rsidR="00DD77A2">
        <w:t xml:space="preserve">brain-drain </w:t>
      </w:r>
      <w:r>
        <w:t xml:space="preserve">on economic growth: Addressing diaspora externalities. </w:t>
      </w:r>
      <w:r>
        <w:rPr>
          <w:i/>
          <w:iCs/>
        </w:rPr>
        <w:t>Migration Letters</w:t>
      </w:r>
      <w:r>
        <w:t>, 21(4), 762–786.</w:t>
      </w:r>
    </w:p>
    <w:p w14:paraId="2816D933" w14:textId="1564787B" w:rsidR="00E32CC9" w:rsidRDefault="00AB2F68">
      <w:pPr>
        <w:spacing w:after="80" w:line="360" w:lineRule="auto"/>
        <w:ind w:left="720" w:hanging="720"/>
      </w:pPr>
      <w:r>
        <w:t xml:space="preserve">Nadir, F., Sardar, H., &amp; Ahmad, H. (2023). Perceptions of medical students about </w:t>
      </w:r>
      <w:r w:rsidR="00DD77A2">
        <w:t xml:space="preserve">brain-drain </w:t>
      </w:r>
      <w:r>
        <w:t xml:space="preserve">and its impact on the socio-medical conditions of Pakistan: A cross-sectional study. </w:t>
      </w:r>
      <w:r>
        <w:rPr>
          <w:i/>
          <w:iCs/>
        </w:rPr>
        <w:t>Pakistan Journal of Medical Sciences</w:t>
      </w:r>
      <w:r>
        <w:t>, 39(2), 401–403. https://doi.org/10.12669/pjms.39.2.7139</w:t>
      </w:r>
    </w:p>
    <w:p w14:paraId="0F972FA1" w14:textId="5E6F4A90" w:rsidR="00E32CC9" w:rsidRDefault="00AB2F68">
      <w:pPr>
        <w:spacing w:after="80" w:line="360" w:lineRule="auto"/>
        <w:ind w:left="720" w:hanging="720"/>
      </w:pPr>
      <w:r>
        <w:t xml:space="preserve">Odhiambo, G. (2013). Academic </w:t>
      </w:r>
      <w:r w:rsidR="00F53BA1">
        <w:t>brain-drain</w:t>
      </w:r>
      <w:r>
        <w:t xml:space="preserve">: Impact and implications for public higher education quality in Kenya. </w:t>
      </w:r>
      <w:r>
        <w:rPr>
          <w:i/>
          <w:iCs/>
        </w:rPr>
        <w:t>Research in Comparative and International Education</w:t>
      </w:r>
      <w:r>
        <w:t>, 8(4), 510–523. https://doi.org/10.2304/rcie.2013.8.4.510</w:t>
      </w:r>
    </w:p>
    <w:p w14:paraId="360AEC82" w14:textId="77777777" w:rsidR="00E32CC9" w:rsidRDefault="00AB2F68">
      <w:pPr>
        <w:spacing w:after="80" w:line="360" w:lineRule="auto"/>
        <w:ind w:left="720" w:hanging="720"/>
      </w:pPr>
      <w:r>
        <w:t xml:space="preserve">Pritchett, L. (2001). Where has all the education gone? </w:t>
      </w:r>
      <w:r>
        <w:rPr>
          <w:i/>
          <w:iCs/>
        </w:rPr>
        <w:t>World Bank Economic Review</w:t>
      </w:r>
      <w:r>
        <w:t>, 15(3), 367–391. https://doi.org/10.1093/wber/15.3.367</w:t>
      </w:r>
    </w:p>
    <w:p w14:paraId="5C2019D5" w14:textId="77777777" w:rsidR="00E32CC9" w:rsidRDefault="00AB2F68">
      <w:pPr>
        <w:spacing w:after="80" w:line="360" w:lineRule="auto"/>
        <w:ind w:left="720" w:hanging="720"/>
      </w:pPr>
      <w:r>
        <w:t xml:space="preserve">Sabharwal, M., &amp; Varma, R. (2016). Reverse migration of high-skilled Indians: Returnees and diaspora engagement. </w:t>
      </w:r>
      <w:r>
        <w:rPr>
          <w:i/>
          <w:iCs/>
        </w:rPr>
        <w:t xml:space="preserve">Indian Journal of </w:t>
      </w:r>
      <w:proofErr w:type="spellStart"/>
      <w:r>
        <w:rPr>
          <w:i/>
          <w:iCs/>
        </w:rPr>
        <w:t>Labour</w:t>
      </w:r>
      <w:proofErr w:type="spellEnd"/>
      <w:r>
        <w:rPr>
          <w:i/>
          <w:iCs/>
        </w:rPr>
        <w:t xml:space="preserve"> Economics</w:t>
      </w:r>
      <w:r>
        <w:t>, 59(2), 243–263. https://doi.org/10.1007/s41027-016-0031-9</w:t>
      </w:r>
    </w:p>
    <w:p w14:paraId="568BDBB7" w14:textId="77777777" w:rsidR="00E32CC9" w:rsidRDefault="00AB2F68">
      <w:pPr>
        <w:spacing w:after="80" w:line="360" w:lineRule="auto"/>
        <w:ind w:left="720" w:hanging="720"/>
      </w:pPr>
      <w:r>
        <w:t xml:space="preserve">Saliya, C. A. (2022). </w:t>
      </w:r>
      <w:r>
        <w:rPr>
          <w:i/>
          <w:iCs/>
        </w:rPr>
        <w:t>Doing social research and publishing results: A guide to non-native English speakers</w:t>
      </w:r>
      <w:r>
        <w:t>. Springer. https://doi.org/10.1007/978-981-19-3780-4</w:t>
      </w:r>
    </w:p>
    <w:p w14:paraId="078282C1" w14:textId="4AF515DF" w:rsidR="00E32CC9" w:rsidRDefault="00AB2F68">
      <w:pPr>
        <w:spacing w:after="80" w:line="360" w:lineRule="auto"/>
        <w:ind w:left="720" w:hanging="720"/>
      </w:pPr>
      <w:r>
        <w:t xml:space="preserve">Saliya, C. A. (2023). </w:t>
      </w:r>
      <w:r>
        <w:rPr>
          <w:i/>
          <w:iCs/>
        </w:rPr>
        <w:t>Social research methodology and publishing results: A guide to non-native English speakers</w:t>
      </w:r>
      <w:r>
        <w:t>. https://doi.org/10.4018/978-1-6684-6859-3.ch001</w:t>
      </w:r>
    </w:p>
    <w:p w14:paraId="34DED1CC" w14:textId="3E2656B3" w:rsidR="00E32CC9" w:rsidRDefault="00AB2F68">
      <w:pPr>
        <w:spacing w:after="80" w:line="360" w:lineRule="auto"/>
        <w:ind w:left="720" w:hanging="720"/>
      </w:pPr>
      <w:proofErr w:type="spellStart"/>
      <w:r>
        <w:t>Sanliturk</w:t>
      </w:r>
      <w:proofErr w:type="spellEnd"/>
      <w:r>
        <w:t xml:space="preserve">, E., Horta, H., &amp; Santos, J. (2023). Academic </w:t>
      </w:r>
      <w:r w:rsidR="00DD77A2">
        <w:t xml:space="preserve">brain-drain </w:t>
      </w:r>
      <w:r>
        <w:t xml:space="preserve">in developing economies: Evidence from Scopus bibliometrics. </w:t>
      </w:r>
      <w:r>
        <w:rPr>
          <w:i/>
          <w:iCs/>
        </w:rPr>
        <w:t>Higher Education Policy</w:t>
      </w:r>
      <w:r>
        <w:t xml:space="preserve">, 36(2), 312–334. </w:t>
      </w:r>
      <w:hyperlink r:id="rId11" w:history="1">
        <w:r w:rsidR="00201DFC" w:rsidRPr="00971C69">
          <w:rPr>
            <w:rStyle w:val="Hyperlink"/>
          </w:rPr>
          <w:t>https://doi.org/10.1057/s41307-022-00279-0</w:t>
        </w:r>
      </w:hyperlink>
    </w:p>
    <w:p w14:paraId="0F68DB6F" w14:textId="50701583" w:rsidR="00201DFC" w:rsidRDefault="00201DFC">
      <w:pPr>
        <w:spacing w:after="80" w:line="360" w:lineRule="auto"/>
        <w:ind w:left="720" w:hanging="720"/>
      </w:pPr>
      <w:proofErr w:type="spellStart"/>
      <w:r w:rsidRPr="00201DFC">
        <w:lastRenderedPageBreak/>
        <w:t>Sinatti</w:t>
      </w:r>
      <w:proofErr w:type="spellEnd"/>
      <w:r w:rsidRPr="00201DFC">
        <w:t xml:space="preserve">, G., &amp; Horst, C. (2015). Migrants as agents of development: Diaspora engagement and the limits of the “brain gain” narrative. </w:t>
      </w:r>
      <w:r w:rsidRPr="00201DFC">
        <w:rPr>
          <w:i/>
          <w:iCs/>
        </w:rPr>
        <w:t>International Migration</w:t>
      </w:r>
      <w:r w:rsidRPr="00201DFC">
        <w:t>, 53(2), 205–219.</w:t>
      </w:r>
    </w:p>
    <w:p w14:paraId="42306A5D" w14:textId="04CABA65" w:rsidR="00EA2830" w:rsidRDefault="00EA2830">
      <w:pPr>
        <w:spacing w:after="80" w:line="360" w:lineRule="auto"/>
        <w:ind w:left="720" w:hanging="720"/>
      </w:pPr>
      <w:r w:rsidRPr="00EA2830">
        <w:t xml:space="preserve">Van Hear, N. (2014). Reconsidering migration and development: The migration–development nexus and the role of social remittances. </w:t>
      </w:r>
      <w:r w:rsidRPr="00EA2830">
        <w:rPr>
          <w:i/>
          <w:iCs/>
        </w:rPr>
        <w:t>International Migration</w:t>
      </w:r>
      <w:r w:rsidRPr="00EA2830">
        <w:t>, 52(5), 1–18</w:t>
      </w:r>
    </w:p>
    <w:sectPr w:rsidR="00EA2830">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99987" w14:textId="77777777" w:rsidR="00BB7DF7" w:rsidRDefault="00BB7DF7">
      <w:r>
        <w:separator/>
      </w:r>
    </w:p>
  </w:endnote>
  <w:endnote w:type="continuationSeparator" w:id="0">
    <w:p w14:paraId="7E1AAB04" w14:textId="77777777" w:rsidR="00BB7DF7" w:rsidRDefault="00BB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Iskoola Pota">
    <w:charset w:val="00"/>
    <w:family w:val="swiss"/>
    <w:pitch w:val="variable"/>
    <w:sig w:usb0="00000003" w:usb1="00000000" w:usb2="000002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6818D" w14:textId="77777777" w:rsidR="00E32CC9" w:rsidRDefault="00AB2F68">
    <w:pPr>
      <w:jc w:val="center"/>
    </w:pPr>
    <w:r>
      <w:rPr>
        <w:sz w:val="20"/>
        <w:szCs w:val="20"/>
      </w:rPr>
      <w:fldChar w:fldCharType="begin"/>
    </w:r>
    <w:r>
      <w:rPr>
        <w:sz w:val="20"/>
        <w:szCs w:val="20"/>
      </w:rPr>
      <w:instrText>PAGE</w:instrText>
    </w:r>
    <w:r>
      <w:rPr>
        <w:sz w:val="20"/>
        <w:szCs w:val="20"/>
      </w:rPr>
      <w:fldChar w:fldCharType="separate"/>
    </w:r>
    <w:r w:rsidR="009951F7">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2FC24" w14:textId="77777777" w:rsidR="00BB7DF7" w:rsidRDefault="00BB7DF7">
      <w:r>
        <w:separator/>
      </w:r>
    </w:p>
  </w:footnote>
  <w:footnote w:type="continuationSeparator" w:id="0">
    <w:p w14:paraId="64768A14" w14:textId="77777777" w:rsidR="00BB7DF7" w:rsidRDefault="00BB7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4C1DC" w14:textId="77777777" w:rsidR="00E32CC9" w:rsidRDefault="00AB2F68">
    <w:pPr>
      <w:jc w:val="right"/>
    </w:pPr>
    <w:r>
      <w:rPr>
        <w:i/>
        <w:iCs/>
        <w:sz w:val="20"/>
        <w:szCs w:val="20"/>
      </w:rPr>
      <w:t>Brain Drain and Economic Development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A223C0"/>
    <w:multiLevelType w:val="hybridMultilevel"/>
    <w:tmpl w:val="140C89DA"/>
    <w:lvl w:ilvl="0" w:tplc="1FD0BE4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5F41F7"/>
    <w:multiLevelType w:val="hybridMultilevel"/>
    <w:tmpl w:val="A76A1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79B0E25"/>
    <w:multiLevelType w:val="hybridMultilevel"/>
    <w:tmpl w:val="ABD8ED70"/>
    <w:lvl w:ilvl="0" w:tplc="9AB46BF2">
      <w:start w:val="1"/>
      <w:numFmt w:val="bullet"/>
      <w:lvlText w:val="●"/>
      <w:lvlJc w:val="left"/>
      <w:pPr>
        <w:ind w:left="720" w:hanging="360"/>
      </w:pPr>
    </w:lvl>
    <w:lvl w:ilvl="1" w:tplc="971C8E80">
      <w:start w:val="1"/>
      <w:numFmt w:val="bullet"/>
      <w:lvlText w:val="○"/>
      <w:lvlJc w:val="left"/>
      <w:pPr>
        <w:ind w:left="1440" w:hanging="360"/>
      </w:pPr>
    </w:lvl>
    <w:lvl w:ilvl="2" w:tplc="3AA41A12">
      <w:start w:val="1"/>
      <w:numFmt w:val="bullet"/>
      <w:lvlText w:val="■"/>
      <w:lvlJc w:val="left"/>
      <w:pPr>
        <w:ind w:left="2160" w:hanging="360"/>
      </w:pPr>
    </w:lvl>
    <w:lvl w:ilvl="3" w:tplc="AF140E8C">
      <w:start w:val="1"/>
      <w:numFmt w:val="bullet"/>
      <w:lvlText w:val="●"/>
      <w:lvlJc w:val="left"/>
      <w:pPr>
        <w:ind w:left="2880" w:hanging="360"/>
      </w:pPr>
    </w:lvl>
    <w:lvl w:ilvl="4" w:tplc="4EC41722">
      <w:start w:val="1"/>
      <w:numFmt w:val="bullet"/>
      <w:lvlText w:val="○"/>
      <w:lvlJc w:val="left"/>
      <w:pPr>
        <w:ind w:left="3600" w:hanging="360"/>
      </w:pPr>
    </w:lvl>
    <w:lvl w:ilvl="5" w:tplc="E1A62144">
      <w:start w:val="1"/>
      <w:numFmt w:val="bullet"/>
      <w:lvlText w:val="■"/>
      <w:lvlJc w:val="left"/>
      <w:pPr>
        <w:ind w:left="4320" w:hanging="360"/>
      </w:pPr>
    </w:lvl>
    <w:lvl w:ilvl="6" w:tplc="A900EAAA">
      <w:start w:val="1"/>
      <w:numFmt w:val="bullet"/>
      <w:lvlText w:val="●"/>
      <w:lvlJc w:val="left"/>
      <w:pPr>
        <w:ind w:left="5040" w:hanging="360"/>
      </w:pPr>
    </w:lvl>
    <w:lvl w:ilvl="7" w:tplc="1FC089FE">
      <w:start w:val="1"/>
      <w:numFmt w:val="bullet"/>
      <w:lvlText w:val="●"/>
      <w:lvlJc w:val="left"/>
      <w:pPr>
        <w:ind w:left="5760" w:hanging="360"/>
      </w:pPr>
    </w:lvl>
    <w:lvl w:ilvl="8" w:tplc="374E2E48">
      <w:start w:val="1"/>
      <w:numFmt w:val="bullet"/>
      <w:lvlText w:val="●"/>
      <w:lvlJc w:val="left"/>
      <w:pPr>
        <w:ind w:left="6480" w:hanging="360"/>
      </w:pPr>
    </w:lvl>
  </w:abstractNum>
  <w:abstractNum w:abstractNumId="3" w15:restartNumberingAfterBreak="0">
    <w:nsid w:val="6F015899"/>
    <w:multiLevelType w:val="multilevel"/>
    <w:tmpl w:val="9D4631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030521185">
    <w:abstractNumId w:val="2"/>
    <w:lvlOverride w:ilvl="0">
      <w:startOverride w:val="1"/>
    </w:lvlOverride>
  </w:num>
  <w:num w:numId="2" w16cid:durableId="448748197">
    <w:abstractNumId w:val="0"/>
  </w:num>
  <w:num w:numId="3" w16cid:durableId="2108890519">
    <w:abstractNumId w:val="3"/>
  </w:num>
  <w:num w:numId="4" w16cid:durableId="1853184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CC9"/>
    <w:rsid w:val="0005303A"/>
    <w:rsid w:val="000802A7"/>
    <w:rsid w:val="00086425"/>
    <w:rsid w:val="000A3CEC"/>
    <w:rsid w:val="000B1633"/>
    <w:rsid w:val="000C34C6"/>
    <w:rsid w:val="000C75E5"/>
    <w:rsid w:val="000D27E1"/>
    <w:rsid w:val="000D3D11"/>
    <w:rsid w:val="000E1477"/>
    <w:rsid w:val="000E3D1F"/>
    <w:rsid w:val="00105F8A"/>
    <w:rsid w:val="001110F8"/>
    <w:rsid w:val="00126945"/>
    <w:rsid w:val="001360C4"/>
    <w:rsid w:val="00153F4D"/>
    <w:rsid w:val="001642D6"/>
    <w:rsid w:val="00196B5A"/>
    <w:rsid w:val="00196FE5"/>
    <w:rsid w:val="001A0FAD"/>
    <w:rsid w:val="001A4985"/>
    <w:rsid w:val="001B1735"/>
    <w:rsid w:val="001C294B"/>
    <w:rsid w:val="001C3A0F"/>
    <w:rsid w:val="001F2617"/>
    <w:rsid w:val="00201DFC"/>
    <w:rsid w:val="00214888"/>
    <w:rsid w:val="002149CF"/>
    <w:rsid w:val="00217330"/>
    <w:rsid w:val="00227FFD"/>
    <w:rsid w:val="00242AF8"/>
    <w:rsid w:val="00253837"/>
    <w:rsid w:val="00256737"/>
    <w:rsid w:val="00282C4F"/>
    <w:rsid w:val="00286B31"/>
    <w:rsid w:val="002B4638"/>
    <w:rsid w:val="002B5D1F"/>
    <w:rsid w:val="002C77E5"/>
    <w:rsid w:val="002D15DA"/>
    <w:rsid w:val="002E287F"/>
    <w:rsid w:val="002E764E"/>
    <w:rsid w:val="002E76F2"/>
    <w:rsid w:val="002F28E3"/>
    <w:rsid w:val="002F295A"/>
    <w:rsid w:val="00300FA4"/>
    <w:rsid w:val="00315244"/>
    <w:rsid w:val="00315F8E"/>
    <w:rsid w:val="00320A3F"/>
    <w:rsid w:val="0032418B"/>
    <w:rsid w:val="003243BC"/>
    <w:rsid w:val="00350788"/>
    <w:rsid w:val="00375194"/>
    <w:rsid w:val="00385CE8"/>
    <w:rsid w:val="00394054"/>
    <w:rsid w:val="003A0F15"/>
    <w:rsid w:val="003B12D2"/>
    <w:rsid w:val="003B4407"/>
    <w:rsid w:val="003C415B"/>
    <w:rsid w:val="003D5767"/>
    <w:rsid w:val="003E2A62"/>
    <w:rsid w:val="003F5B15"/>
    <w:rsid w:val="00400D73"/>
    <w:rsid w:val="004178C1"/>
    <w:rsid w:val="00420A0D"/>
    <w:rsid w:val="00433A1B"/>
    <w:rsid w:val="00440B96"/>
    <w:rsid w:val="00451E8C"/>
    <w:rsid w:val="00471231"/>
    <w:rsid w:val="00476FE1"/>
    <w:rsid w:val="00496250"/>
    <w:rsid w:val="004B1DBA"/>
    <w:rsid w:val="004F517D"/>
    <w:rsid w:val="004F78E5"/>
    <w:rsid w:val="00531BA8"/>
    <w:rsid w:val="005378C4"/>
    <w:rsid w:val="00573CEC"/>
    <w:rsid w:val="005747E3"/>
    <w:rsid w:val="005966FC"/>
    <w:rsid w:val="005A370B"/>
    <w:rsid w:val="005B39C7"/>
    <w:rsid w:val="00621DE4"/>
    <w:rsid w:val="00643C1D"/>
    <w:rsid w:val="006556BF"/>
    <w:rsid w:val="006971DF"/>
    <w:rsid w:val="006A1669"/>
    <w:rsid w:val="006A1F88"/>
    <w:rsid w:val="006B1460"/>
    <w:rsid w:val="006B3E00"/>
    <w:rsid w:val="006B7096"/>
    <w:rsid w:val="006C60B5"/>
    <w:rsid w:val="006C60BE"/>
    <w:rsid w:val="006D1D66"/>
    <w:rsid w:val="006F0FC0"/>
    <w:rsid w:val="00707496"/>
    <w:rsid w:val="00720EDB"/>
    <w:rsid w:val="007358E8"/>
    <w:rsid w:val="007440C9"/>
    <w:rsid w:val="007774A5"/>
    <w:rsid w:val="007778F2"/>
    <w:rsid w:val="00782D1B"/>
    <w:rsid w:val="007A6AD3"/>
    <w:rsid w:val="007A6CA9"/>
    <w:rsid w:val="007B3B2F"/>
    <w:rsid w:val="007D44DD"/>
    <w:rsid w:val="007D5CB3"/>
    <w:rsid w:val="007E3F56"/>
    <w:rsid w:val="007F13FD"/>
    <w:rsid w:val="007F4782"/>
    <w:rsid w:val="00801532"/>
    <w:rsid w:val="0084089C"/>
    <w:rsid w:val="0086353E"/>
    <w:rsid w:val="008804B5"/>
    <w:rsid w:val="00890F0E"/>
    <w:rsid w:val="008962B5"/>
    <w:rsid w:val="008B2095"/>
    <w:rsid w:val="008C0E82"/>
    <w:rsid w:val="008C2D0F"/>
    <w:rsid w:val="008F37B3"/>
    <w:rsid w:val="0092663E"/>
    <w:rsid w:val="00930F06"/>
    <w:rsid w:val="009528E2"/>
    <w:rsid w:val="009624B9"/>
    <w:rsid w:val="00971A05"/>
    <w:rsid w:val="009951F7"/>
    <w:rsid w:val="009A5C2D"/>
    <w:rsid w:val="009C4B16"/>
    <w:rsid w:val="009C69A7"/>
    <w:rsid w:val="009E5B93"/>
    <w:rsid w:val="009F3CA3"/>
    <w:rsid w:val="009F4B02"/>
    <w:rsid w:val="00A30B23"/>
    <w:rsid w:val="00A34198"/>
    <w:rsid w:val="00A3423C"/>
    <w:rsid w:val="00A37CEB"/>
    <w:rsid w:val="00A470E0"/>
    <w:rsid w:val="00A7545E"/>
    <w:rsid w:val="00A86BDF"/>
    <w:rsid w:val="00A87211"/>
    <w:rsid w:val="00A9759F"/>
    <w:rsid w:val="00AA1263"/>
    <w:rsid w:val="00AA198D"/>
    <w:rsid w:val="00AB1425"/>
    <w:rsid w:val="00AB2F68"/>
    <w:rsid w:val="00AD3EE3"/>
    <w:rsid w:val="00AD6C63"/>
    <w:rsid w:val="00AD6CFA"/>
    <w:rsid w:val="00B01D67"/>
    <w:rsid w:val="00B0218C"/>
    <w:rsid w:val="00B142C4"/>
    <w:rsid w:val="00B2063C"/>
    <w:rsid w:val="00B43D6E"/>
    <w:rsid w:val="00B4605B"/>
    <w:rsid w:val="00B5352A"/>
    <w:rsid w:val="00B800CE"/>
    <w:rsid w:val="00B85601"/>
    <w:rsid w:val="00B907C5"/>
    <w:rsid w:val="00BB1DF8"/>
    <w:rsid w:val="00BB7DF7"/>
    <w:rsid w:val="00BC6ED5"/>
    <w:rsid w:val="00BD2C6C"/>
    <w:rsid w:val="00BD7887"/>
    <w:rsid w:val="00BE2BC0"/>
    <w:rsid w:val="00C040CE"/>
    <w:rsid w:val="00C312F5"/>
    <w:rsid w:val="00C3679C"/>
    <w:rsid w:val="00C37AD9"/>
    <w:rsid w:val="00C41306"/>
    <w:rsid w:val="00C603CD"/>
    <w:rsid w:val="00C629E2"/>
    <w:rsid w:val="00C66FE3"/>
    <w:rsid w:val="00C708F4"/>
    <w:rsid w:val="00C7231D"/>
    <w:rsid w:val="00C8517C"/>
    <w:rsid w:val="00CA2D02"/>
    <w:rsid w:val="00CA4AEC"/>
    <w:rsid w:val="00CB2BDF"/>
    <w:rsid w:val="00CC5873"/>
    <w:rsid w:val="00CF18E0"/>
    <w:rsid w:val="00D25D7C"/>
    <w:rsid w:val="00D31EC9"/>
    <w:rsid w:val="00D32FB3"/>
    <w:rsid w:val="00D42DAF"/>
    <w:rsid w:val="00D54F31"/>
    <w:rsid w:val="00D56856"/>
    <w:rsid w:val="00D602F6"/>
    <w:rsid w:val="00D65B94"/>
    <w:rsid w:val="00D67789"/>
    <w:rsid w:val="00D82457"/>
    <w:rsid w:val="00D85E60"/>
    <w:rsid w:val="00D87F0D"/>
    <w:rsid w:val="00DA45F4"/>
    <w:rsid w:val="00DC27BC"/>
    <w:rsid w:val="00DC7929"/>
    <w:rsid w:val="00DD77A2"/>
    <w:rsid w:val="00DE5273"/>
    <w:rsid w:val="00E034F1"/>
    <w:rsid w:val="00E14CB8"/>
    <w:rsid w:val="00E169FA"/>
    <w:rsid w:val="00E1728D"/>
    <w:rsid w:val="00E2590D"/>
    <w:rsid w:val="00E32CC9"/>
    <w:rsid w:val="00E726D6"/>
    <w:rsid w:val="00E84823"/>
    <w:rsid w:val="00EA2830"/>
    <w:rsid w:val="00EC3529"/>
    <w:rsid w:val="00EC62E4"/>
    <w:rsid w:val="00EC7D76"/>
    <w:rsid w:val="00ED02B2"/>
    <w:rsid w:val="00EF66BB"/>
    <w:rsid w:val="00F1460F"/>
    <w:rsid w:val="00F1573E"/>
    <w:rsid w:val="00F37C80"/>
    <w:rsid w:val="00F53BA1"/>
    <w:rsid w:val="00F623DE"/>
    <w:rsid w:val="00F63476"/>
    <w:rsid w:val="00F80727"/>
    <w:rsid w:val="00F927D0"/>
    <w:rsid w:val="00F96ED5"/>
    <w:rsid w:val="00FA38EF"/>
    <w:rsid w:val="00FB0EDC"/>
    <w:rsid w:val="00FC0534"/>
    <w:rsid w:val="00FC70E4"/>
    <w:rsid w:val="00FD3E24"/>
    <w:rsid w:val="00FD51FC"/>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9BCC4"/>
  <w15:docId w15:val="{E9D505BF-17D9-4750-A0E2-6ECA578BA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273"/>
    <w:pPr>
      <w:spacing w:line="480" w:lineRule="auto"/>
      <w:jc w:val="both"/>
    </w:pPr>
  </w:style>
  <w:style w:type="paragraph" w:styleId="Heading1">
    <w:name w:val="heading 1"/>
    <w:autoRedefine/>
    <w:uiPriority w:val="9"/>
    <w:qFormat/>
    <w:rsid w:val="00FC0534"/>
    <w:pPr>
      <w:numPr>
        <w:numId w:val="3"/>
      </w:numPr>
      <w:spacing w:before="240" w:after="120"/>
      <w:jc w:val="center"/>
      <w:outlineLvl w:val="0"/>
    </w:pPr>
    <w:rPr>
      <w:bCs/>
      <w:caps/>
    </w:rPr>
  </w:style>
  <w:style w:type="paragraph" w:styleId="Heading2">
    <w:name w:val="heading 2"/>
    <w:autoRedefine/>
    <w:uiPriority w:val="9"/>
    <w:unhideWhenUsed/>
    <w:qFormat/>
    <w:rsid w:val="00CF18E0"/>
    <w:pPr>
      <w:numPr>
        <w:ilvl w:val="1"/>
        <w:numId w:val="3"/>
      </w:numPr>
      <w:spacing w:before="240" w:after="120"/>
      <w:jc w:val="center"/>
      <w:outlineLvl w:val="1"/>
    </w:pPr>
    <w:rPr>
      <w:bCs/>
    </w:rPr>
  </w:style>
  <w:style w:type="paragraph" w:styleId="Heading3">
    <w:name w:val="heading 3"/>
    <w:autoRedefine/>
    <w:uiPriority w:val="9"/>
    <w:unhideWhenUsed/>
    <w:qFormat/>
    <w:rsid w:val="00CF18E0"/>
    <w:pPr>
      <w:numPr>
        <w:ilvl w:val="2"/>
        <w:numId w:val="3"/>
      </w:numPr>
      <w:spacing w:before="120" w:line="480" w:lineRule="auto"/>
      <w:ind w:left="0" w:firstLine="0"/>
      <w:jc w:val="both"/>
      <w:outlineLvl w:val="2"/>
    </w:pPr>
    <w:rPr>
      <w:bCs/>
      <w:iCs/>
    </w:rPr>
  </w:style>
  <w:style w:type="paragraph" w:styleId="Heading4">
    <w:name w:val="heading 4"/>
    <w:uiPriority w:val="9"/>
    <w:semiHidden/>
    <w:unhideWhenUsed/>
    <w:qFormat/>
    <w:pPr>
      <w:numPr>
        <w:ilvl w:val="3"/>
        <w:numId w:val="3"/>
      </w:numPr>
      <w:outlineLvl w:val="3"/>
    </w:pPr>
    <w:rPr>
      <w:i/>
      <w:iCs/>
      <w:color w:val="2E74B5"/>
    </w:rPr>
  </w:style>
  <w:style w:type="paragraph" w:styleId="Heading5">
    <w:name w:val="heading 5"/>
    <w:uiPriority w:val="9"/>
    <w:semiHidden/>
    <w:unhideWhenUsed/>
    <w:qFormat/>
    <w:pPr>
      <w:numPr>
        <w:ilvl w:val="4"/>
        <w:numId w:val="3"/>
      </w:numPr>
      <w:outlineLvl w:val="4"/>
    </w:pPr>
    <w:rPr>
      <w:color w:val="2E74B5"/>
    </w:rPr>
  </w:style>
  <w:style w:type="paragraph" w:styleId="Heading6">
    <w:name w:val="heading 6"/>
    <w:uiPriority w:val="9"/>
    <w:semiHidden/>
    <w:unhideWhenUsed/>
    <w:qFormat/>
    <w:pPr>
      <w:numPr>
        <w:ilvl w:val="5"/>
        <w:numId w:val="3"/>
      </w:numPr>
      <w:outlineLvl w:val="5"/>
    </w:pPr>
    <w:rPr>
      <w:color w:val="1F4D78"/>
    </w:rPr>
  </w:style>
  <w:style w:type="paragraph" w:styleId="Heading7">
    <w:name w:val="heading 7"/>
    <w:basedOn w:val="Normal"/>
    <w:next w:val="Normal"/>
    <w:link w:val="Heading7Char"/>
    <w:uiPriority w:val="9"/>
    <w:semiHidden/>
    <w:unhideWhenUsed/>
    <w:qFormat/>
    <w:rsid w:val="00A3423C"/>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3423C"/>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423C"/>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0D27E1"/>
    <w:pPr>
      <w:tabs>
        <w:tab w:val="center" w:pos="4680"/>
        <w:tab w:val="right" w:pos="9360"/>
      </w:tabs>
    </w:pPr>
  </w:style>
  <w:style w:type="character" w:customStyle="1" w:styleId="HeaderChar">
    <w:name w:val="Header Char"/>
    <w:basedOn w:val="DefaultParagraphFont"/>
    <w:link w:val="Header"/>
    <w:uiPriority w:val="99"/>
    <w:rsid w:val="000D27E1"/>
  </w:style>
  <w:style w:type="paragraph" w:styleId="Footer">
    <w:name w:val="footer"/>
    <w:basedOn w:val="Normal"/>
    <w:link w:val="FooterChar"/>
    <w:uiPriority w:val="99"/>
    <w:unhideWhenUsed/>
    <w:rsid w:val="000D27E1"/>
    <w:pPr>
      <w:tabs>
        <w:tab w:val="center" w:pos="4680"/>
        <w:tab w:val="right" w:pos="9360"/>
      </w:tabs>
    </w:pPr>
  </w:style>
  <w:style w:type="character" w:customStyle="1" w:styleId="FooterChar">
    <w:name w:val="Footer Char"/>
    <w:basedOn w:val="DefaultParagraphFont"/>
    <w:link w:val="Footer"/>
    <w:uiPriority w:val="99"/>
    <w:rsid w:val="000D27E1"/>
  </w:style>
  <w:style w:type="character" w:customStyle="1" w:styleId="Heading7Char">
    <w:name w:val="Heading 7 Char"/>
    <w:basedOn w:val="DefaultParagraphFont"/>
    <w:link w:val="Heading7"/>
    <w:uiPriority w:val="9"/>
    <w:semiHidden/>
    <w:rsid w:val="00A3423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3423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3423C"/>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201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57/s41307-022-00279-0"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0D19E-1C18-4777-A190-9F3A7B916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9154</Words>
  <Characters>52179</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CA Dr. Saliya</cp:lastModifiedBy>
  <cp:revision>2</cp:revision>
  <dcterms:created xsi:type="dcterms:W3CDTF">2026-06-28T15:22:00Z</dcterms:created>
  <dcterms:modified xsi:type="dcterms:W3CDTF">2026-06-28T15:22:00Z</dcterms:modified>
</cp:coreProperties>
</file>