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CF4" w:rsidRP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Prosthetic Patriarchy and Cyborg Femininity: Gendered Body Politics in Mahesh Dattani’s </w:t>
      </w:r>
      <w:r w:rsidRPr="001C0CF4">
        <w:rPr>
          <w:rFonts w:ascii="Times New Roman" w:hAnsi="Times New Roman" w:cs="Times New Roman"/>
          <w:b/>
          <w:bCs/>
          <w:i/>
          <w:iCs/>
          <w:sz w:val="24"/>
          <w:szCs w:val="24"/>
        </w:rPr>
        <w:t>Tara</w:t>
      </w:r>
      <w:r w:rsidRPr="001C0CF4">
        <w:rPr>
          <w:rFonts w:ascii="Times New Roman" w:hAnsi="Times New Roman" w:cs="Times New Roman"/>
          <w:b/>
          <w:bCs/>
          <w:sz w:val="24"/>
          <w:szCs w:val="24"/>
        </w:rPr>
        <w:t> and </w:t>
      </w:r>
      <w:r w:rsidRPr="001C0CF4">
        <w:rPr>
          <w:rFonts w:ascii="Times New Roman" w:hAnsi="Times New Roman" w:cs="Times New Roman"/>
          <w:b/>
          <w:bCs/>
          <w:i/>
          <w:iCs/>
          <w:sz w:val="24"/>
          <w:szCs w:val="24"/>
        </w:rPr>
        <w:t>Ghost in the Shell</w:t>
      </w:r>
    </w:p>
    <w:p w:rsidR="001C0CF4" w:rsidRP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Abstract</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This article examines how gender, disability, and technology intersect in Mahesh Dattani’s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and the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franchise, especially the 1995 anime and the 2017 live-action film. It argues that both texts represent the female body as a site of technological intervention that appears to enhance life but often reproduces patriarchal control. In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the prosthetic leg becomes the material sign of a gendered surgical injustice in which the female body is sacrificed for the male child; in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Major Motoko Kusanagi’s cybernetic body appears autonomous but remains shaped by state, corporate, and visual regimes of power. Reading these texts together, this article develops the idea of </w:t>
      </w:r>
      <w:r w:rsidRPr="001C0CF4">
        <w:rPr>
          <w:rFonts w:ascii="Times New Roman" w:hAnsi="Times New Roman" w:cs="Times New Roman"/>
          <w:b/>
          <w:bCs/>
          <w:sz w:val="24"/>
          <w:szCs w:val="24"/>
        </w:rPr>
        <w:t>prosthetic patriarchy</w:t>
      </w:r>
      <w:r w:rsidRPr="001C0CF4">
        <w:rPr>
          <w:rFonts w:ascii="Times New Roman" w:hAnsi="Times New Roman" w:cs="Times New Roman"/>
          <w:sz w:val="24"/>
          <w:szCs w:val="24"/>
        </w:rPr>
        <w:t>: the use of medical or cybernetic modification to preserve gender hierarchy rather than dismantle it.</w:t>
      </w:r>
    </w:p>
    <w:p w:rsidR="001C0CF4" w:rsidRP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Introduction</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Posthuman discourse often celebrates the modified body as a symbol of freedom, enhancement, and transcendence. Yet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and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suggest a more troubling reality: technology can become a vehicle for social inequality when it is controlled by patriarchal institutions. Dattani’s play exposes how medical intervention may encode family preference, while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shows how cybernetic enhancement may turn the female body into a commodified and surveilled weapon. The comparison is fruitful because it crosses genre boundaries: one is a realist Indian drama about family and disability, the other a cyberpunk narrative about identity and artificial embodiment.</w:t>
      </w:r>
      <w:r w:rsidR="00016913" w:rsidRPr="00016913">
        <w:t xml:space="preserve"> </w:t>
      </w:r>
      <w:r w:rsidR="00016913" w:rsidRPr="00016913">
        <w:rPr>
          <w:rFonts w:ascii="Times New Roman" w:hAnsi="Times New Roman" w:cs="Times New Roman"/>
          <w:sz w:val="24"/>
          <w:szCs w:val="24"/>
        </w:rPr>
        <w:t xml:space="preserve">This ambivalence resonates with Donna Haraway’s influential formulation of the cyborg as a hybrid figure that collapses boundaries between human and machine, organism and technology. However, while Haraway imagines the cyborg as a potentially emancipatory entity that resists fixed identities and hierarchical binaries, </w:t>
      </w:r>
      <w:r w:rsidR="00016913" w:rsidRPr="00016913">
        <w:rPr>
          <w:rFonts w:ascii="Times New Roman" w:hAnsi="Times New Roman" w:cs="Times New Roman"/>
          <w:i/>
          <w:iCs/>
          <w:sz w:val="24"/>
          <w:szCs w:val="24"/>
        </w:rPr>
        <w:t>Tara</w:t>
      </w:r>
      <w:r w:rsidR="00016913" w:rsidRPr="00016913">
        <w:rPr>
          <w:rFonts w:ascii="Times New Roman" w:hAnsi="Times New Roman" w:cs="Times New Roman"/>
          <w:sz w:val="24"/>
          <w:szCs w:val="24"/>
        </w:rPr>
        <w:t xml:space="preserve"> and </w:t>
      </w:r>
      <w:r w:rsidR="00016913" w:rsidRPr="00016913">
        <w:rPr>
          <w:rFonts w:ascii="Times New Roman" w:hAnsi="Times New Roman" w:cs="Times New Roman"/>
          <w:i/>
          <w:iCs/>
          <w:sz w:val="24"/>
          <w:szCs w:val="24"/>
        </w:rPr>
        <w:t>Ghost in the Shell</w:t>
      </w:r>
      <w:r w:rsidR="00016913" w:rsidRPr="00016913">
        <w:rPr>
          <w:rFonts w:ascii="Times New Roman" w:hAnsi="Times New Roman" w:cs="Times New Roman"/>
          <w:sz w:val="24"/>
          <w:szCs w:val="24"/>
        </w:rPr>
        <w:t xml:space="preserve"> reveal how such hybridity can be appropriated by existing structures of power, limiting its liberatory</w:t>
      </w:r>
      <w:bookmarkStart w:id="0" w:name="_GoBack"/>
      <w:bookmarkEnd w:id="0"/>
      <w:r w:rsidR="00016913" w:rsidRPr="00016913">
        <w:rPr>
          <w:rFonts w:ascii="Times New Roman" w:hAnsi="Times New Roman" w:cs="Times New Roman"/>
          <w:sz w:val="24"/>
          <w:szCs w:val="24"/>
        </w:rPr>
        <w:t xml:space="preserve"> potential (Haraway 149–50).</w:t>
      </w:r>
    </w:p>
    <w:p w:rsidR="001C0CF4" w:rsidRP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Why these texts</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These texts belong together because both dramatize bodily alte</w:t>
      </w:r>
      <w:r w:rsidR="00FA0511">
        <w:rPr>
          <w:rFonts w:ascii="Times New Roman" w:hAnsi="Times New Roman" w:cs="Times New Roman"/>
          <w:sz w:val="24"/>
          <w:szCs w:val="24"/>
        </w:rPr>
        <w:t>ration under unequal power. The play</w:t>
      </w:r>
      <w:r w:rsidRPr="001C0CF4">
        <w:rPr>
          <w:rFonts w:ascii="Times New Roman" w:hAnsi="Times New Roman" w:cs="Times New Roman"/>
          <w:sz w:val="24"/>
          <w:szCs w:val="24"/>
        </w:rPr>
        <w:t> </w:t>
      </w:r>
      <w:r w:rsidR="00FA0511" w:rsidRPr="001C0CF4">
        <w:rPr>
          <w:rFonts w:ascii="Times New Roman" w:hAnsi="Times New Roman" w:cs="Times New Roman"/>
          <w:i/>
          <w:iCs/>
          <w:sz w:val="24"/>
          <w:szCs w:val="24"/>
        </w:rPr>
        <w:t>Tara</w:t>
      </w:r>
      <w:r w:rsidR="00FA0511">
        <w:rPr>
          <w:rFonts w:ascii="Times New Roman" w:hAnsi="Times New Roman" w:cs="Times New Roman"/>
          <w:sz w:val="24"/>
          <w:szCs w:val="24"/>
        </w:rPr>
        <w:t> </w:t>
      </w:r>
      <w:r w:rsidR="00FA0511" w:rsidRPr="001C0CF4">
        <w:rPr>
          <w:rFonts w:ascii="Times New Roman" w:hAnsi="Times New Roman" w:cs="Times New Roman"/>
          <w:sz w:val="24"/>
          <w:szCs w:val="24"/>
        </w:rPr>
        <w:t>centres</w:t>
      </w:r>
      <w:r w:rsidRPr="001C0CF4">
        <w:rPr>
          <w:rFonts w:ascii="Times New Roman" w:hAnsi="Times New Roman" w:cs="Times New Roman"/>
          <w:sz w:val="24"/>
          <w:szCs w:val="24"/>
        </w:rPr>
        <w:t xml:space="preserve"> on a girl child whose bodily wholeness is denied in </w:t>
      </w:r>
      <w:r w:rsidR="00FA0511" w:rsidRPr="001C0CF4">
        <w:rPr>
          <w:rFonts w:ascii="Times New Roman" w:hAnsi="Times New Roman" w:cs="Times New Roman"/>
          <w:sz w:val="24"/>
          <w:szCs w:val="24"/>
        </w:rPr>
        <w:t>favour</w:t>
      </w:r>
      <w:r w:rsidRPr="001C0CF4">
        <w:rPr>
          <w:rFonts w:ascii="Times New Roman" w:hAnsi="Times New Roman" w:cs="Times New Roman"/>
          <w:sz w:val="24"/>
          <w:szCs w:val="24"/>
        </w:rPr>
        <w:t xml:space="preserve"> of her brother, making gender discrimination the key social issue of the drama. The 2017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film, by contrast, begins with a future of cybernetic augmentation and a corporation that develops artificial shells for human brains, but the plot reveals that Major’s body and memories are manipulated by the system that created her. The comparison is therefore not accidental: both works ask who benefits when a woman’s body is remade.</w:t>
      </w:r>
    </w:p>
    <w:p w:rsidR="001C0CF4" w:rsidRP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Tara: disability as gendered injury</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In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xml:space="preserve">, the central event is the surgical separation of conjoined twins, where the family and doctor decide that the male twin should receive the functioning part of the shared limb even though medical logic shows that Tara’s body had the better claim. The play presents this not as a private family mistake but as a symptom of a wider patriarchal preference for the male </w:t>
      </w:r>
      <w:r w:rsidRPr="001C0CF4">
        <w:rPr>
          <w:rFonts w:ascii="Times New Roman" w:hAnsi="Times New Roman" w:cs="Times New Roman"/>
          <w:sz w:val="24"/>
          <w:szCs w:val="24"/>
        </w:rPr>
        <w:lastRenderedPageBreak/>
        <w:t>child. The tragedy lies in the fact that Tara’s disability is socially produced, not simply natural.</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The play also makes the body symbolic: Tara’s prosthetic leg is not a triumphant technological supplement but a reminder of loss,</w:t>
      </w:r>
      <w:r w:rsidR="00FA0511">
        <w:rPr>
          <w:rFonts w:ascii="Times New Roman" w:hAnsi="Times New Roman" w:cs="Times New Roman"/>
          <w:sz w:val="24"/>
          <w:szCs w:val="24"/>
        </w:rPr>
        <w:t xml:space="preserve"> sacrifice, and unequal value. The play explores the predicament of a girl child and the </w:t>
      </w:r>
      <w:r w:rsidRPr="001C0CF4">
        <w:rPr>
          <w:rFonts w:ascii="Times New Roman" w:hAnsi="Times New Roman" w:cs="Times New Roman"/>
          <w:sz w:val="24"/>
          <w:szCs w:val="24"/>
        </w:rPr>
        <w:t>deeply entrenche</w:t>
      </w:r>
      <w:r w:rsidR="00FA0511">
        <w:rPr>
          <w:rFonts w:ascii="Times New Roman" w:hAnsi="Times New Roman" w:cs="Times New Roman"/>
          <w:sz w:val="24"/>
          <w:szCs w:val="24"/>
        </w:rPr>
        <w:t>d socio-cultural discrimination</w:t>
      </w:r>
      <w:r w:rsidRPr="001C0CF4">
        <w:rPr>
          <w:rFonts w:ascii="Times New Roman" w:hAnsi="Times New Roman" w:cs="Times New Roman"/>
          <w:sz w:val="24"/>
          <w:szCs w:val="24"/>
        </w:rPr>
        <w:t xml:space="preserve"> that burdens her existence. Tara’s intelligence, wit, and strength sharpen the irony, because the girl who is physically diminished often appears morally and intellectually stronger than the people who “save” her brother.</w:t>
      </w:r>
    </w:p>
    <w:p w:rsidR="001C0CF4" w:rsidRP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Ghost in the Shell: enhanced but owned</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The 2017 film begins with the premise that the body can be rebuilt after disaster. Major is told that her damaged body has been replaced and that she now serves as a counter-terrorism operative, but the film gradually reveals that her identity is not self-authored. The plot summary shows that Hanka Robotics has created the shell, selected the subject, and embedded her in a system that also controls memory and function. The result is a cyborg body that looks empowered while remaining institutionally possessed.</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The 1995 anime goes further into philosophical territory, but it too links the cyborg body to systems of force and control. The film’s plot follows Major as she pursues a hacker called the Puppet Master and eventually merges with a new form of life, which complicates the idea of stable identity and bodily ownership. This makes the franchise especially useful for comparison with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because both texts show that bodily “repair” does not necessarily equal freedom.</w:t>
      </w:r>
    </w:p>
    <w:p w:rsidR="001C0CF4" w:rsidRP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Prosthetic patriarchy</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The phrase </w:t>
      </w:r>
      <w:r w:rsidRPr="001C0CF4">
        <w:rPr>
          <w:rFonts w:ascii="Times New Roman" w:hAnsi="Times New Roman" w:cs="Times New Roman"/>
          <w:b/>
          <w:bCs/>
          <w:sz w:val="24"/>
          <w:szCs w:val="24"/>
        </w:rPr>
        <w:t>prosthetic patriarchy</w:t>
      </w:r>
      <w:r w:rsidRPr="001C0CF4">
        <w:rPr>
          <w:rFonts w:ascii="Times New Roman" w:hAnsi="Times New Roman" w:cs="Times New Roman"/>
          <w:sz w:val="24"/>
          <w:szCs w:val="24"/>
        </w:rPr>
        <w:t> can name the pattern in which technology is used to manage women rather than liberate them. In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the prosthetic leg becomes the visible trace of a discriminatory decision made inside a medical family system. In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the shell becomes a more advanced version of the same logic: the woman’s body is rebuilt, but the rebuilding serves external power. In both texts, technology extends the body while also disciplining it.</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This concept also helps bridge disability studies and feminist film theory.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shows disability as an outcome of gendered violence, while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shows enhancement as a form of managed femininity. The point is not that technology is inherently oppressive, but that technology becomes oppressive when it is designed within patriarchal structures.</w:t>
      </w:r>
      <w:r w:rsidR="00016913" w:rsidRPr="00016913">
        <w:t xml:space="preserve"> </w:t>
      </w:r>
      <w:r w:rsidR="00016913" w:rsidRPr="00016913">
        <w:rPr>
          <w:rFonts w:ascii="Times New Roman" w:hAnsi="Times New Roman" w:cs="Times New Roman"/>
          <w:sz w:val="24"/>
          <w:szCs w:val="24"/>
        </w:rPr>
        <w:t>Moreover, this dynamic reflects a broader posthuman anxiety about the instability of the body as a coherent and self-owned entity. The cyborg figure exposes the illusion of bodily integrity by foregrounding fragmentation, replacement, and external control, thereby challenging liberal humanist assumptions about autonomy while also demonstrating how such fragmentation can be exploited within patriarchal and technocratic frameworks (Chaudhuri).</w:t>
      </w:r>
    </w:p>
    <w:p w:rsid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Body, gaze, and control</w:t>
      </w:r>
    </w:p>
    <w:p w:rsidR="00FA0511" w:rsidRPr="00FA0511" w:rsidRDefault="00FA0511" w:rsidP="001C0CF4">
      <w:pPr>
        <w:rPr>
          <w:rFonts w:ascii="Times New Roman" w:hAnsi="Times New Roman" w:cs="Times New Roman"/>
          <w:bCs/>
          <w:sz w:val="24"/>
          <w:szCs w:val="24"/>
        </w:rPr>
      </w:pPr>
      <w:r w:rsidRPr="00FA0511">
        <w:rPr>
          <w:rFonts w:ascii="Times New Roman" w:hAnsi="Times New Roman" w:cs="Times New Roman"/>
          <w:bCs/>
          <w:sz w:val="24"/>
          <w:szCs w:val="24"/>
        </w:rPr>
        <w:t xml:space="preserve">Major’s body is repeatedly framed through a visual regime that sexualizes her while simultaneously rendering her a technological object, as the camera’s slow movement and medium long-shot expose her breasts and buttocks and make her body legible through the logic of the male gaze, while her tight invisible suit further accentuates her body shape and </w:t>
      </w:r>
      <w:r w:rsidRPr="00FA0511">
        <w:rPr>
          <w:rFonts w:ascii="Times New Roman" w:hAnsi="Times New Roman" w:cs="Times New Roman"/>
          <w:bCs/>
          <w:sz w:val="24"/>
          <w:szCs w:val="24"/>
        </w:rPr>
        <w:lastRenderedPageBreak/>
        <w:t>differentiates her from Batou and Kuze, whose bodies are never eroticized in the same way (Cahyo and Suryaningtyas 32-33). Read alongside Mahesh Dattani’s </w:t>
      </w:r>
      <w:r w:rsidRPr="00FA0511">
        <w:rPr>
          <w:rFonts w:ascii="Times New Roman" w:hAnsi="Times New Roman" w:cs="Times New Roman"/>
          <w:bCs/>
          <w:i/>
          <w:iCs/>
          <w:sz w:val="24"/>
          <w:szCs w:val="24"/>
        </w:rPr>
        <w:t>Tara</w:t>
      </w:r>
      <w:r w:rsidRPr="00FA0511">
        <w:rPr>
          <w:rFonts w:ascii="Times New Roman" w:hAnsi="Times New Roman" w:cs="Times New Roman"/>
          <w:bCs/>
          <w:sz w:val="24"/>
          <w:szCs w:val="24"/>
        </w:rPr>
        <w:t>, this treatment reveals a similar pattern of bodily control, since Tara’s body too is shaped by patriarchal decisions that reduce the female body to a site of sacrifice, injury, and social value (“Mahesh Dattani: Tara”). The film also presents Major as an object of institutional control, because her cyborg body is exploited as a weapon and her existence is shaped by Hanka’s corporate and military authority, placing her within structures of male mastery, much like Tara becomes the victim of a system that uses medicine and family authority to privilege the male child over the female one (Cahyo and Suryaningtyas 35-36; “Mahesh Dattani: Tara”). At the same time, neither character is reduced to passive objecthood: Major refuses to dance and declares, “I was not built to dance,” asserting her identity as a fighter, while Tara’s presence in Dattani’s play resists victimhood through her intellectual sharpness and emotional force (Cahyo and Suryaningtyas 33-34; “Mahesh Dattani: Tara”). Major’s later consent scene further marks a shift in power, since she gives her consent before Aramaki acts, showing that she has become a subject with voice and authority rather than merely an object of command (Cahyo and Suryaningtyas 34).</w:t>
      </w:r>
    </w:p>
    <w:p w:rsidR="001C0CF4" w:rsidRP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Memory and selfhood</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A productive connection between the two texts lies in memory and identity. In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the play is framed through Chandan’s retrospective attempt to reconstruct his sister’s life and confess the family’s betrayal. The play’s own structure suggests that memory is an ethical act, not just a narrative device. In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Major’s search for her true past similarly turns memory into the central site of identity struggle.</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This matters because both women are denied full control over their origin stories. Tara’s body is altered by a family decision hidden behind medical authority, while Major’s origin is obscured by corporate fabrication. The female subject must therefore recover herself from systems that first defined her. That is why the comparison works so well in a posthuman frame: both texts ask whether selfhood survives when the body is technologically rewritten.</w:t>
      </w:r>
      <w:r w:rsidR="00016913" w:rsidRPr="00016913">
        <w:t xml:space="preserve"> </w:t>
      </w:r>
      <w:r w:rsidR="00016913" w:rsidRPr="00016913">
        <w:rPr>
          <w:rFonts w:ascii="Times New Roman" w:hAnsi="Times New Roman" w:cs="Times New Roman"/>
          <w:sz w:val="24"/>
          <w:szCs w:val="24"/>
        </w:rPr>
        <w:t xml:space="preserve">In this sense, memory itself becomes a prosthetic extension—constructed, edited, and sometimes implanted—raising ethical questions about authorship and authenticity. The instability of memory in </w:t>
      </w:r>
      <w:r w:rsidR="00016913" w:rsidRPr="00016913">
        <w:rPr>
          <w:rFonts w:ascii="Times New Roman" w:hAnsi="Times New Roman" w:cs="Times New Roman"/>
          <w:i/>
          <w:iCs/>
          <w:sz w:val="24"/>
          <w:szCs w:val="24"/>
        </w:rPr>
        <w:t>Ghost in the Shell</w:t>
      </w:r>
      <w:r w:rsidR="00016913" w:rsidRPr="00016913">
        <w:rPr>
          <w:rFonts w:ascii="Times New Roman" w:hAnsi="Times New Roman" w:cs="Times New Roman"/>
          <w:sz w:val="24"/>
          <w:szCs w:val="24"/>
        </w:rPr>
        <w:t xml:space="preserve"> underscores how identity in a cybernetic age is less an inherent essence than a manufactured narrative, often controlled by institutional powers rather than the individual subject (Chaudhuri).</w:t>
      </w:r>
    </w:p>
    <w:p w:rsidR="001C0CF4" w:rsidRP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Relevance of the comparison</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The comparative frame is strong because it reveals continuity across apparently different worlds.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is grounded in domestic realism and Indian patriarchy, whereas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operates in cyberpunk futurity and corporate militarism. Yet both expose the same logic: women’s bodies are treated as sites for managing male desire, inheritance, power, and control. The comparison therefore broadens the scope of feminist critique by showing that technological modernity does not end patriarchy; it often modernizes it.</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 xml:space="preserve">It also makes the article more current. Debates about bioethics, disability, enhancement, and AI now make Dattani’s play unexpectedly contemporary. The question is no longer only whether women can enter technology, but who designs technological systems and what </w:t>
      </w:r>
      <w:r w:rsidRPr="001C0CF4">
        <w:rPr>
          <w:rFonts w:ascii="Times New Roman" w:hAnsi="Times New Roman" w:cs="Times New Roman"/>
          <w:sz w:val="24"/>
          <w:szCs w:val="24"/>
        </w:rPr>
        <w:lastRenderedPageBreak/>
        <w:t>values those systems reproduce. In that sense,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and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remain urgent texts for gender and posthuman studies.</w:t>
      </w:r>
    </w:p>
    <w:p w:rsidR="001C0CF4" w:rsidRP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Conclusion</w:t>
      </w:r>
    </w:p>
    <w:p w:rsidR="00016913"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Taken together,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and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show that the technologically altered female body is not automatically empowered. It may instead become the most visible site of patriarchal decision-making, whether through surgery, prosthesis, cybernetics, or corporate design. Tara’s broken wholeness and Major’s manufactured shell are different forms of the same social contradiction.</w:t>
      </w:r>
      <w:r w:rsidR="00016913" w:rsidRPr="00016913">
        <w:t xml:space="preserve"> </w:t>
      </w:r>
      <w:r w:rsidR="00016913" w:rsidRPr="00016913">
        <w:rPr>
          <w:rFonts w:ascii="Times New Roman" w:hAnsi="Times New Roman" w:cs="Times New Roman"/>
          <w:sz w:val="24"/>
          <w:szCs w:val="24"/>
        </w:rPr>
        <w:t>From a Harawayan perspective, these texts expose the limits of cyborg liberation when technological embodiment is controlled by unequal social systems. The cyborg may hold the promise of breaking boundaries, but without structural change, it risks becoming another instrument through which gendered hierarchies are reproduced rather than erased (Haraway 154).</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The value of the comparison lies in showing that patriarchy survives by adapting its tools. In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it uses medicine and family authority; in </w:t>
      </w: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it uses augmentation and surveillance. The concept of prosthetic patriarchy captures this continuity and makes the article more conceptually original.</w:t>
      </w:r>
    </w:p>
    <w:p w:rsidR="001C0CF4" w:rsidRDefault="001C0CF4" w:rsidP="001C0CF4">
      <w:pPr>
        <w:rPr>
          <w:rFonts w:ascii="Times New Roman" w:hAnsi="Times New Roman" w:cs="Times New Roman"/>
          <w:b/>
          <w:bCs/>
          <w:sz w:val="24"/>
          <w:szCs w:val="24"/>
        </w:rPr>
      </w:pPr>
      <w:r w:rsidRPr="001C0CF4">
        <w:rPr>
          <w:rFonts w:ascii="Times New Roman" w:hAnsi="Times New Roman" w:cs="Times New Roman"/>
          <w:b/>
          <w:bCs/>
          <w:sz w:val="24"/>
          <w:szCs w:val="24"/>
        </w:rPr>
        <w:t>MLA Works Cited</w:t>
      </w:r>
    </w:p>
    <w:p w:rsidR="00016913" w:rsidRDefault="00BE37E3" w:rsidP="001C0CF4">
      <w:pPr>
        <w:rPr>
          <w:rStyle w:val="Hyperlink"/>
          <w:rFonts w:ascii="Times New Roman" w:hAnsi="Times New Roman" w:cs="Times New Roman"/>
          <w:bCs/>
          <w:sz w:val="24"/>
          <w:szCs w:val="24"/>
        </w:rPr>
      </w:pPr>
      <w:r w:rsidRPr="00BE37E3">
        <w:rPr>
          <w:rFonts w:ascii="Times New Roman" w:hAnsi="Times New Roman" w:cs="Times New Roman"/>
          <w:bCs/>
          <w:sz w:val="24"/>
          <w:szCs w:val="24"/>
        </w:rPr>
        <w:t>Cahyo, Pujo Sakti Nur, and Riyan Evrilia Suryaningtyas. “Woman and Technology: A Study on Gender Portrayal of a Female Cyborg in </w:t>
      </w:r>
      <w:r w:rsidRPr="00BE37E3">
        <w:rPr>
          <w:rFonts w:ascii="Times New Roman" w:hAnsi="Times New Roman" w:cs="Times New Roman"/>
          <w:bCs/>
          <w:i/>
          <w:iCs/>
          <w:sz w:val="24"/>
          <w:szCs w:val="24"/>
        </w:rPr>
        <w:t>Ghost in the Shell</w:t>
      </w:r>
      <w:r w:rsidRPr="00BE37E3">
        <w:rPr>
          <w:rFonts w:ascii="Times New Roman" w:hAnsi="Times New Roman" w:cs="Times New Roman"/>
          <w:bCs/>
          <w:sz w:val="24"/>
          <w:szCs w:val="24"/>
        </w:rPr>
        <w:t> (2017) Movie.” </w:t>
      </w:r>
      <w:r w:rsidRPr="00BE37E3">
        <w:rPr>
          <w:rFonts w:ascii="Times New Roman" w:hAnsi="Times New Roman" w:cs="Times New Roman"/>
          <w:bCs/>
          <w:i/>
          <w:iCs/>
          <w:sz w:val="24"/>
          <w:szCs w:val="24"/>
        </w:rPr>
        <w:t>Lire Journal (Journal of Linguistics and Literature)</w:t>
      </w:r>
      <w:r w:rsidRPr="00BE37E3">
        <w:rPr>
          <w:rFonts w:ascii="Times New Roman" w:hAnsi="Times New Roman" w:cs="Times New Roman"/>
          <w:bCs/>
          <w:sz w:val="24"/>
          <w:szCs w:val="24"/>
        </w:rPr>
        <w:t>, vol. 4, no. 1, Mar. 2020, pp. 2</w:t>
      </w:r>
      <w:r>
        <w:rPr>
          <w:rFonts w:ascii="Times New Roman" w:hAnsi="Times New Roman" w:cs="Times New Roman"/>
          <w:bCs/>
          <w:sz w:val="24"/>
          <w:szCs w:val="24"/>
        </w:rPr>
        <w:t xml:space="preserve">6–39. </w:t>
      </w:r>
      <w:hyperlink r:id="rId6" w:history="1">
        <w:r w:rsidRPr="00BE37E3">
          <w:rPr>
            <w:rStyle w:val="Hyperlink"/>
            <w:rFonts w:ascii="Times New Roman" w:hAnsi="Times New Roman" w:cs="Times New Roman"/>
            <w:bCs/>
            <w:sz w:val="24"/>
            <w:szCs w:val="24"/>
          </w:rPr>
          <w:t>https://doi.org/10.33019/lire.v3i2.65</w:t>
        </w:r>
      </w:hyperlink>
    </w:p>
    <w:p w:rsidR="00016913" w:rsidRPr="00BE37E3" w:rsidRDefault="00016913" w:rsidP="001C0CF4">
      <w:pPr>
        <w:rPr>
          <w:rFonts w:ascii="Times New Roman" w:hAnsi="Times New Roman" w:cs="Times New Roman"/>
          <w:bCs/>
          <w:sz w:val="24"/>
          <w:szCs w:val="24"/>
        </w:rPr>
      </w:pPr>
      <w:r w:rsidRPr="00016913">
        <w:rPr>
          <w:rFonts w:ascii="Times New Roman" w:hAnsi="Times New Roman" w:cs="Times New Roman"/>
          <w:bCs/>
          <w:sz w:val="24"/>
          <w:szCs w:val="24"/>
        </w:rPr>
        <w:t xml:space="preserve">Chaudhuri, Shohini. “The Ghost in the Shell: Between Cyborg and Ghost.” </w:t>
      </w:r>
      <w:r w:rsidRPr="00016913">
        <w:rPr>
          <w:rFonts w:ascii="Times New Roman" w:hAnsi="Times New Roman" w:cs="Times New Roman"/>
          <w:bCs/>
          <w:i/>
          <w:iCs/>
          <w:sz w:val="24"/>
          <w:szCs w:val="24"/>
        </w:rPr>
        <w:t>Contemporary Cinema</w:t>
      </w:r>
      <w:r w:rsidRPr="00016913">
        <w:rPr>
          <w:rFonts w:ascii="Times New Roman" w:hAnsi="Times New Roman" w:cs="Times New Roman"/>
          <w:bCs/>
          <w:sz w:val="24"/>
          <w:szCs w:val="24"/>
        </w:rPr>
        <w:t>, vo</w:t>
      </w:r>
      <w:r>
        <w:rPr>
          <w:rFonts w:ascii="Times New Roman" w:hAnsi="Times New Roman" w:cs="Times New Roman"/>
          <w:bCs/>
          <w:sz w:val="24"/>
          <w:szCs w:val="24"/>
        </w:rPr>
        <w:t xml:space="preserve">l. 4, no. 2, 2012, pp. 115–130. </w:t>
      </w:r>
      <w:r w:rsidRPr="00016913">
        <w:rPr>
          <w:rFonts w:ascii="Times New Roman" w:hAnsi="Times New Roman" w:cs="Times New Roman"/>
          <w:bCs/>
          <w:sz w:val="24"/>
          <w:szCs w:val="24"/>
        </w:rPr>
        <w:t>Edinburgh University Press,</w:t>
      </w:r>
      <w:r w:rsidRPr="00016913">
        <w:rPr>
          <w:rFonts w:ascii="Times New Roman" w:hAnsi="Times New Roman" w:cs="Times New Roman"/>
          <w:bCs/>
          <w:sz w:val="24"/>
          <w:szCs w:val="24"/>
        </w:rPr>
        <w:br/>
      </w:r>
      <w:hyperlink r:id="rId7" w:tgtFrame="_new" w:history="1">
        <w:r w:rsidRPr="00016913">
          <w:rPr>
            <w:rStyle w:val="Hyperlink"/>
            <w:rFonts w:ascii="Times New Roman" w:hAnsi="Times New Roman" w:cs="Times New Roman"/>
            <w:bCs/>
            <w:sz w:val="24"/>
            <w:szCs w:val="24"/>
          </w:rPr>
          <w:t>https://www.euppublishing.com/doi/full/10.3366/ccs.2012.0069</w:t>
        </w:r>
      </w:hyperlink>
      <w:r w:rsidRPr="00016913">
        <w:rPr>
          <w:rFonts w:ascii="Times New Roman" w:hAnsi="Times New Roman" w:cs="Times New Roman"/>
          <w:bCs/>
          <w:sz w:val="24"/>
          <w:szCs w:val="24"/>
        </w:rPr>
        <w:br/>
        <w:t>Accessed 8 Apr. 2026.</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Dattani, Mahesh. </w:t>
      </w:r>
      <w:r w:rsidRPr="001C0CF4">
        <w:rPr>
          <w:rFonts w:ascii="Times New Roman" w:hAnsi="Times New Roman" w:cs="Times New Roman"/>
          <w:i/>
          <w:iCs/>
          <w:sz w:val="24"/>
          <w:szCs w:val="24"/>
        </w:rPr>
        <w:t>Tara</w:t>
      </w:r>
      <w:r w:rsidRPr="001C0CF4">
        <w:rPr>
          <w:rFonts w:ascii="Times New Roman" w:hAnsi="Times New Roman" w:cs="Times New Roman"/>
          <w:sz w:val="24"/>
          <w:szCs w:val="24"/>
        </w:rPr>
        <w:t>. Penguin Books India, 2000.</w:t>
      </w:r>
    </w:p>
    <w:p w:rsid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“Mahesh Dattani: Tara.” </w:t>
      </w:r>
      <w:r w:rsidRPr="001C0CF4">
        <w:rPr>
          <w:rFonts w:ascii="Times New Roman" w:hAnsi="Times New Roman" w:cs="Times New Roman"/>
          <w:i/>
          <w:iCs/>
          <w:sz w:val="24"/>
          <w:szCs w:val="24"/>
        </w:rPr>
        <w:t>Comparative Indian Drama</w:t>
      </w:r>
      <w:r w:rsidRPr="001C0CF4">
        <w:rPr>
          <w:rFonts w:ascii="Times New Roman" w:hAnsi="Times New Roman" w:cs="Times New Roman"/>
          <w:sz w:val="24"/>
          <w:szCs w:val="24"/>
        </w:rPr>
        <w:t xml:space="preserve">, eGyanKosh / INFLIBNET, </w:t>
      </w:r>
      <w:hyperlink r:id="rId8" w:history="1">
        <w:r w:rsidRPr="00736E3F">
          <w:rPr>
            <w:rStyle w:val="Hyperlink"/>
            <w:rFonts w:ascii="Times New Roman" w:hAnsi="Times New Roman" w:cs="Times New Roman"/>
            <w:sz w:val="24"/>
            <w:szCs w:val="24"/>
          </w:rPr>
          <w:t>https://ebooks.inflibnet.ac.in/engp09/chapter/mahesh-dattani-tara/</w:t>
        </w:r>
      </w:hyperlink>
      <w:r w:rsidRPr="001C0CF4">
        <w:rPr>
          <w:rFonts w:ascii="Times New Roman" w:hAnsi="Times New Roman" w:cs="Times New Roman"/>
          <w:sz w:val="24"/>
          <w:szCs w:val="24"/>
        </w:rPr>
        <w:t>.</w:t>
      </w:r>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 xml:space="preserve"> Accessed 8 Apr. 2026.</w:t>
      </w:r>
    </w:p>
    <w:p w:rsidR="001C0CF4" w:rsidRDefault="001C0CF4" w:rsidP="001C0CF4">
      <w:pPr>
        <w:rPr>
          <w:rFonts w:ascii="Times New Roman" w:hAnsi="Times New Roman" w:cs="Times New Roman"/>
          <w:sz w:val="24"/>
          <w:szCs w:val="24"/>
        </w:rPr>
      </w:pP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xml:space="preserve">. Directed by Mamoru Oshii, Production I.G., 1995. IMDb, </w:t>
      </w:r>
      <w:hyperlink r:id="rId9" w:history="1">
        <w:r w:rsidRPr="00736E3F">
          <w:rPr>
            <w:rStyle w:val="Hyperlink"/>
            <w:rFonts w:ascii="Times New Roman" w:hAnsi="Times New Roman" w:cs="Times New Roman"/>
            <w:sz w:val="24"/>
            <w:szCs w:val="24"/>
          </w:rPr>
          <w:t>https://www.imdb.com/title/tt0113568/</w:t>
        </w:r>
      </w:hyperlink>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 xml:space="preserve"> Accessed 8 Apr. 2026.</w:t>
      </w:r>
    </w:p>
    <w:p w:rsidR="001C0CF4" w:rsidRDefault="001C0CF4" w:rsidP="001C0CF4">
      <w:pPr>
        <w:rPr>
          <w:rFonts w:ascii="Times New Roman" w:hAnsi="Times New Roman" w:cs="Times New Roman"/>
          <w:sz w:val="24"/>
          <w:szCs w:val="24"/>
        </w:rPr>
      </w:pPr>
      <w:r w:rsidRPr="001C0CF4">
        <w:rPr>
          <w:rFonts w:ascii="Times New Roman" w:hAnsi="Times New Roman" w:cs="Times New Roman"/>
          <w:i/>
          <w:iCs/>
          <w:sz w:val="24"/>
          <w:szCs w:val="24"/>
        </w:rPr>
        <w:t>Ghost in the Shell</w:t>
      </w:r>
      <w:r w:rsidRPr="001C0CF4">
        <w:rPr>
          <w:rFonts w:ascii="Times New Roman" w:hAnsi="Times New Roman" w:cs="Times New Roman"/>
          <w:sz w:val="24"/>
          <w:szCs w:val="24"/>
        </w:rPr>
        <w:t>. Directed by Rupert Sanders, Param</w:t>
      </w:r>
      <w:r>
        <w:rPr>
          <w:rFonts w:ascii="Times New Roman" w:hAnsi="Times New Roman" w:cs="Times New Roman"/>
          <w:sz w:val="24"/>
          <w:szCs w:val="24"/>
        </w:rPr>
        <w:t xml:space="preserve">ount Pictures, 2017. IMDb, </w:t>
      </w:r>
      <w:hyperlink r:id="rId10" w:history="1">
        <w:r w:rsidRPr="00736E3F">
          <w:rPr>
            <w:rStyle w:val="Hyperlink"/>
            <w:rFonts w:ascii="Times New Roman" w:hAnsi="Times New Roman" w:cs="Times New Roman"/>
            <w:sz w:val="24"/>
            <w:szCs w:val="24"/>
          </w:rPr>
          <w:t>https://www.imdb.com/title/tt1219827</w:t>
        </w:r>
      </w:hyperlink>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Accessed 8 Apr. 2026.</w:t>
      </w:r>
    </w:p>
    <w:p w:rsidR="00016913" w:rsidRPr="001C0CF4" w:rsidRDefault="00016913" w:rsidP="001C0CF4">
      <w:pPr>
        <w:rPr>
          <w:rFonts w:ascii="Times New Roman" w:hAnsi="Times New Roman" w:cs="Times New Roman"/>
          <w:sz w:val="24"/>
          <w:szCs w:val="24"/>
        </w:rPr>
      </w:pPr>
      <w:r w:rsidRPr="00016913">
        <w:rPr>
          <w:rFonts w:ascii="Times New Roman" w:hAnsi="Times New Roman" w:cs="Times New Roman"/>
          <w:sz w:val="24"/>
          <w:szCs w:val="24"/>
        </w:rPr>
        <w:t xml:space="preserve">Haraway, Donna J. “A Cyborg Manifesto: Science, Technology, and Socialist-Feminism in the Late Twentieth Century.” </w:t>
      </w:r>
      <w:r w:rsidRPr="00016913">
        <w:rPr>
          <w:rFonts w:ascii="Times New Roman" w:hAnsi="Times New Roman" w:cs="Times New Roman"/>
          <w:i/>
          <w:iCs/>
          <w:sz w:val="24"/>
          <w:szCs w:val="24"/>
        </w:rPr>
        <w:t>Simians, Cyborgs, and Women: The Reinvention of Nature</w:t>
      </w:r>
      <w:r w:rsidRPr="00016913">
        <w:rPr>
          <w:rFonts w:ascii="Times New Roman" w:hAnsi="Times New Roman" w:cs="Times New Roman"/>
          <w:sz w:val="24"/>
          <w:szCs w:val="24"/>
        </w:rPr>
        <w:t>, Routledge, 1991, pp. 149–181.</w:t>
      </w:r>
    </w:p>
    <w:p w:rsid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lastRenderedPageBreak/>
        <w:t>“The Companion. ‘Ghost in the Shell: Cyberpunk and Female Body Autonomy.’” </w:t>
      </w:r>
      <w:r w:rsidRPr="001C0CF4">
        <w:rPr>
          <w:rFonts w:ascii="Times New Roman" w:hAnsi="Times New Roman" w:cs="Times New Roman"/>
          <w:i/>
          <w:iCs/>
          <w:sz w:val="24"/>
          <w:szCs w:val="24"/>
        </w:rPr>
        <w:t>The Companion</w:t>
      </w:r>
      <w:r w:rsidRPr="001C0CF4">
        <w:rPr>
          <w:rFonts w:ascii="Times New Roman" w:hAnsi="Times New Roman" w:cs="Times New Roman"/>
          <w:sz w:val="24"/>
          <w:szCs w:val="24"/>
        </w:rPr>
        <w:t xml:space="preserve">, 2023, </w:t>
      </w:r>
      <w:hyperlink r:id="rId11" w:history="1">
        <w:r w:rsidRPr="00736E3F">
          <w:rPr>
            <w:rStyle w:val="Hyperlink"/>
            <w:rFonts w:ascii="Times New Roman" w:hAnsi="Times New Roman" w:cs="Times New Roman"/>
            <w:sz w:val="24"/>
            <w:szCs w:val="24"/>
          </w:rPr>
          <w:t>https://www.thecompanion.app/ghost-in-the-shell-cyberpunk-and-female-body-autonomy/</w:t>
        </w:r>
      </w:hyperlink>
    </w:p>
    <w:p w:rsidR="001C0CF4" w:rsidRPr="001C0CF4" w:rsidRDefault="001C0CF4" w:rsidP="001C0CF4">
      <w:pPr>
        <w:rPr>
          <w:rFonts w:ascii="Times New Roman" w:hAnsi="Times New Roman" w:cs="Times New Roman"/>
          <w:sz w:val="24"/>
          <w:szCs w:val="24"/>
        </w:rPr>
      </w:pPr>
      <w:r w:rsidRPr="001C0CF4">
        <w:rPr>
          <w:rFonts w:ascii="Times New Roman" w:hAnsi="Times New Roman" w:cs="Times New Roman"/>
          <w:sz w:val="24"/>
          <w:szCs w:val="24"/>
        </w:rPr>
        <w:t>. Accessed 25 Oct. 2023.</w:t>
      </w:r>
    </w:p>
    <w:p w:rsidR="00A94F56" w:rsidRDefault="00A94F56">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C0CF4" w:rsidRDefault="001C0CF4">
      <w:pPr>
        <w:rPr>
          <w:rFonts w:ascii="Times New Roman" w:hAnsi="Times New Roman" w:cs="Times New Roman"/>
          <w:sz w:val="24"/>
          <w:szCs w:val="24"/>
        </w:rPr>
      </w:pPr>
    </w:p>
    <w:p w:rsidR="0013550B" w:rsidRPr="0013550B" w:rsidRDefault="0013550B" w:rsidP="0013550B">
      <w:pPr>
        <w:rPr>
          <w:rFonts w:ascii="Times New Roman" w:hAnsi="Times New Roman" w:cs="Times New Roman"/>
          <w:sz w:val="24"/>
          <w:szCs w:val="24"/>
        </w:rPr>
      </w:pPr>
    </w:p>
    <w:sectPr w:rsidR="0013550B" w:rsidRPr="001355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09F" w:rsidRDefault="0097709F" w:rsidP="00FA0511">
      <w:pPr>
        <w:spacing w:after="0" w:line="240" w:lineRule="auto"/>
      </w:pPr>
      <w:r>
        <w:separator/>
      </w:r>
    </w:p>
  </w:endnote>
  <w:endnote w:type="continuationSeparator" w:id="0">
    <w:p w:rsidR="0097709F" w:rsidRDefault="0097709F" w:rsidP="00FA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09F" w:rsidRDefault="0097709F" w:rsidP="00FA0511">
      <w:pPr>
        <w:spacing w:after="0" w:line="240" w:lineRule="auto"/>
      </w:pPr>
      <w:r>
        <w:separator/>
      </w:r>
    </w:p>
  </w:footnote>
  <w:footnote w:type="continuationSeparator" w:id="0">
    <w:p w:rsidR="0097709F" w:rsidRDefault="0097709F" w:rsidP="00FA05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F4"/>
    <w:rsid w:val="00016913"/>
    <w:rsid w:val="00077A37"/>
    <w:rsid w:val="0013550B"/>
    <w:rsid w:val="001C0CF4"/>
    <w:rsid w:val="006D47A8"/>
    <w:rsid w:val="00950125"/>
    <w:rsid w:val="0097709F"/>
    <w:rsid w:val="00A5088F"/>
    <w:rsid w:val="00A94F56"/>
    <w:rsid w:val="00BE37E3"/>
    <w:rsid w:val="00FA05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C6DB"/>
  <w15:chartTrackingRefBased/>
  <w15:docId w15:val="{A17EDB8E-D8EA-4774-A171-5A793452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CF4"/>
    <w:rPr>
      <w:color w:val="0563C1" w:themeColor="hyperlink"/>
      <w:u w:val="single"/>
    </w:rPr>
  </w:style>
  <w:style w:type="paragraph" w:styleId="Header">
    <w:name w:val="header"/>
    <w:basedOn w:val="Normal"/>
    <w:link w:val="HeaderChar"/>
    <w:uiPriority w:val="99"/>
    <w:unhideWhenUsed/>
    <w:rsid w:val="00FA0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511"/>
  </w:style>
  <w:style w:type="paragraph" w:styleId="Footer">
    <w:name w:val="footer"/>
    <w:basedOn w:val="Normal"/>
    <w:link w:val="FooterChar"/>
    <w:uiPriority w:val="99"/>
    <w:unhideWhenUsed/>
    <w:rsid w:val="00FA0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3927">
      <w:bodyDiv w:val="1"/>
      <w:marLeft w:val="0"/>
      <w:marRight w:val="0"/>
      <w:marTop w:val="0"/>
      <w:marBottom w:val="0"/>
      <w:divBdr>
        <w:top w:val="none" w:sz="0" w:space="0" w:color="auto"/>
        <w:left w:val="none" w:sz="0" w:space="0" w:color="auto"/>
        <w:bottom w:val="none" w:sz="0" w:space="0" w:color="auto"/>
        <w:right w:val="none" w:sz="0" w:space="0" w:color="auto"/>
      </w:divBdr>
    </w:div>
    <w:div w:id="588471027">
      <w:bodyDiv w:val="1"/>
      <w:marLeft w:val="0"/>
      <w:marRight w:val="0"/>
      <w:marTop w:val="0"/>
      <w:marBottom w:val="0"/>
      <w:divBdr>
        <w:top w:val="none" w:sz="0" w:space="0" w:color="auto"/>
        <w:left w:val="none" w:sz="0" w:space="0" w:color="auto"/>
        <w:bottom w:val="none" w:sz="0" w:space="0" w:color="auto"/>
        <w:right w:val="none" w:sz="0" w:space="0" w:color="auto"/>
      </w:divBdr>
    </w:div>
    <w:div w:id="1472138621">
      <w:bodyDiv w:val="1"/>
      <w:marLeft w:val="0"/>
      <w:marRight w:val="0"/>
      <w:marTop w:val="0"/>
      <w:marBottom w:val="0"/>
      <w:divBdr>
        <w:top w:val="none" w:sz="0" w:space="0" w:color="auto"/>
        <w:left w:val="none" w:sz="0" w:space="0" w:color="auto"/>
        <w:bottom w:val="none" w:sz="0" w:space="0" w:color="auto"/>
        <w:right w:val="none" w:sz="0" w:space="0" w:color="auto"/>
      </w:divBdr>
    </w:div>
    <w:div w:id="15811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s.inflibnet.ac.in/engp09/chapter/mahesh-dattani-tar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uppublishing.com/doi/full/10.3366/ccs.2012.006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019/lire.v3i2.65" TargetMode="External"/><Relationship Id="rId11" Type="http://schemas.openxmlformats.org/officeDocument/2006/relationships/hyperlink" Target="https://www.thecompanion.app/ghost-in-the-shell-cyberpunk-and-female-body-autonomy/" TargetMode="External"/><Relationship Id="rId5" Type="http://schemas.openxmlformats.org/officeDocument/2006/relationships/endnotes" Target="endnotes.xml"/><Relationship Id="rId10" Type="http://schemas.openxmlformats.org/officeDocument/2006/relationships/hyperlink" Target="https://www.imdb.com/title/tt1219827" TargetMode="External"/><Relationship Id="rId4" Type="http://schemas.openxmlformats.org/officeDocument/2006/relationships/footnotes" Target="footnotes.xml"/><Relationship Id="rId9" Type="http://schemas.openxmlformats.org/officeDocument/2006/relationships/hyperlink" Target="https://www.imdb.com/title/tt0113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EIILM</dc:creator>
  <cp:keywords/>
  <dc:description/>
  <cp:lastModifiedBy>EIILM</cp:lastModifiedBy>
  <cp:revision>5</cp:revision>
  <dcterms:created xsi:type="dcterms:W3CDTF">2026-04-08T04:54:00Z</dcterms:created>
  <dcterms:modified xsi:type="dcterms:W3CDTF">2026-04-08T05:15:00Z</dcterms:modified>
</cp:coreProperties>
</file>