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DDBED" w14:textId="77777777" w:rsidR="00B32AD7" w:rsidRPr="00C46BF3" w:rsidRDefault="00B32AD7" w:rsidP="00DD44A8">
      <w:pPr>
        <w:jc w:val="center"/>
        <w:rPr>
          <w:rFonts w:ascii="Times New Roman" w:hAnsi="Times New Roman" w:cs="Times New Roman"/>
          <w:b/>
          <w:bCs/>
          <w:sz w:val="52"/>
          <w:szCs w:val="52"/>
          <w:lang w:val="en-IN"/>
        </w:rPr>
      </w:pPr>
    </w:p>
    <w:p w14:paraId="3679C0E6" w14:textId="77777777" w:rsidR="00BF75FE" w:rsidRPr="006437D5" w:rsidRDefault="004238E3" w:rsidP="00BF75FE">
      <w:pPr>
        <w:jc w:val="center"/>
        <w:rPr>
          <w:rFonts w:ascii="Times New Roman" w:hAnsi="Times New Roman" w:cs="Times New Roman"/>
          <w:b/>
          <w:bCs/>
          <w:sz w:val="96"/>
          <w:szCs w:val="96"/>
          <w:lang w:val="en-IN"/>
        </w:rPr>
      </w:pPr>
      <w:r w:rsidRPr="006437D5">
        <w:rPr>
          <w:rFonts w:ascii="Times New Roman" w:hAnsi="Times New Roman" w:cs="Times New Roman"/>
          <w:b/>
          <w:bCs/>
          <w:sz w:val="96"/>
          <w:szCs w:val="96"/>
          <w:lang w:val="en-IN"/>
        </w:rPr>
        <w:t>GENDER AND LAND RIGHTS IN INDIA: HISTORICAL ROOTS, CONTEMPORARY REALITIES, AND COMPARATIVE PERSPECTIVES</w:t>
      </w:r>
    </w:p>
    <w:p w14:paraId="68962DC7" w14:textId="77777777" w:rsidR="00BF75FE" w:rsidRDefault="00BF75FE" w:rsidP="00BF75FE">
      <w:pPr>
        <w:jc w:val="center"/>
        <w:rPr>
          <w:rFonts w:ascii="Times New Roman" w:hAnsi="Times New Roman" w:cs="Times New Roman"/>
          <w:b/>
          <w:bCs/>
          <w:sz w:val="48"/>
          <w:szCs w:val="48"/>
          <w:lang w:val="en-IN"/>
        </w:rPr>
      </w:pPr>
    </w:p>
    <w:p w14:paraId="6C63B7B1" w14:textId="3F54681B" w:rsidR="00DD44A8" w:rsidRPr="00BF75FE" w:rsidRDefault="00DD44A8" w:rsidP="00BF75FE">
      <w:pPr>
        <w:rPr>
          <w:rFonts w:ascii="Times New Roman" w:hAnsi="Times New Roman" w:cs="Times New Roman"/>
          <w:b/>
          <w:bCs/>
          <w:sz w:val="48"/>
          <w:szCs w:val="48"/>
          <w:lang w:val="en-IN"/>
        </w:rPr>
      </w:pPr>
      <w:r w:rsidRPr="00C46BF3">
        <w:rPr>
          <w:rFonts w:ascii="Times New Roman" w:hAnsi="Times New Roman" w:cs="Times New Roman"/>
          <w:b/>
          <w:bCs/>
          <w:sz w:val="52"/>
          <w:szCs w:val="52"/>
        </w:rPr>
        <w:br w:type="page"/>
      </w:r>
    </w:p>
    <w:sdt>
      <w:sdtPr>
        <w:rPr>
          <w:rFonts w:ascii="Times New Roman" w:eastAsia="Arial" w:hAnsi="Times New Roman" w:cs="Times New Roman"/>
          <w:color w:val="auto"/>
          <w:sz w:val="22"/>
          <w:szCs w:val="22"/>
          <w:lang w:val="en-GB" w:eastAsia="en-IN"/>
        </w:rPr>
        <w:id w:val="-1421481511"/>
        <w:docPartObj>
          <w:docPartGallery w:val="Table of Contents"/>
          <w:docPartUnique/>
        </w:docPartObj>
      </w:sdtPr>
      <w:sdtEndPr>
        <w:rPr>
          <w:b/>
          <w:bCs/>
          <w:noProof/>
        </w:rPr>
      </w:sdtEndPr>
      <w:sdtContent>
        <w:p w14:paraId="34043639" w14:textId="77777777" w:rsidR="00BF75FE" w:rsidRDefault="00BF75FE" w:rsidP="00BF75FE">
          <w:pPr>
            <w:pStyle w:val="TOCHeading"/>
            <w:jc w:val="center"/>
            <w:rPr>
              <w:rFonts w:ascii="Times New Roman" w:eastAsia="Arial" w:hAnsi="Times New Roman" w:cs="Times New Roman"/>
              <w:color w:val="auto"/>
              <w:sz w:val="22"/>
              <w:szCs w:val="22"/>
              <w:lang w:val="en-GB" w:eastAsia="en-IN"/>
            </w:rPr>
          </w:pPr>
        </w:p>
        <w:p w14:paraId="047833E2" w14:textId="0633DC0E" w:rsidR="00DD44A8" w:rsidRPr="00C46BF3" w:rsidRDefault="00DD44A8" w:rsidP="00BF75FE">
          <w:pPr>
            <w:pStyle w:val="TOCHeading"/>
            <w:jc w:val="center"/>
            <w:rPr>
              <w:rFonts w:ascii="Times New Roman" w:hAnsi="Times New Roman" w:cs="Times New Roman"/>
              <w:b/>
              <w:color w:val="000000" w:themeColor="text1"/>
              <w:sz w:val="56"/>
              <w:szCs w:val="56"/>
            </w:rPr>
          </w:pPr>
          <w:r w:rsidRPr="00C46BF3">
            <w:rPr>
              <w:rFonts w:ascii="Times New Roman" w:hAnsi="Times New Roman" w:cs="Times New Roman"/>
              <w:b/>
              <w:color w:val="000000" w:themeColor="text1"/>
              <w:sz w:val="56"/>
              <w:szCs w:val="56"/>
            </w:rPr>
            <w:t>Contents</w:t>
          </w:r>
        </w:p>
        <w:p w14:paraId="336331B8" w14:textId="77777777" w:rsidR="008B6555" w:rsidRDefault="00DD44A8">
          <w:pPr>
            <w:pStyle w:val="TOC1"/>
            <w:sectPr w:rsidR="008B6555" w:rsidSect="00DD44A8">
              <w:headerReference w:type="default" r:id="rId8"/>
              <w:footerReference w:type="default" r:id="rId9"/>
              <w:pgSz w:w="11909" w:h="16834"/>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space="720"/>
            </w:sectPr>
          </w:pPr>
          <w:r w:rsidRPr="00C46BF3">
            <w:fldChar w:fldCharType="begin"/>
          </w:r>
          <w:r w:rsidRPr="00C46BF3">
            <w:instrText xml:space="preserve"> TOC \o "1-3" \h \z \u </w:instrText>
          </w:r>
          <w:r w:rsidRPr="00C46BF3">
            <w:fldChar w:fldCharType="separate"/>
          </w:r>
        </w:p>
        <w:p w14:paraId="783FE8F8" w14:textId="0B8D6FBF" w:rsidR="003D5B7D" w:rsidRPr="00C46BF3" w:rsidRDefault="003D5B7D">
          <w:pPr>
            <w:pStyle w:val="TOC1"/>
            <w:rPr>
              <w:rFonts w:eastAsiaTheme="minorEastAsia"/>
              <w:color w:val="auto"/>
              <w:kern w:val="2"/>
              <w:sz w:val="24"/>
              <w:szCs w:val="24"/>
              <w:lang w:val="en-IN"/>
              <w14:ligatures w14:val="standardContextual"/>
            </w:rPr>
          </w:pPr>
          <w:hyperlink w:anchor="_Toc214986978" w:history="1">
            <w:r w:rsidRPr="00C46BF3">
              <w:rPr>
                <w:rStyle w:val="Hyperlink"/>
                <w:b/>
                <w:bCs/>
              </w:rPr>
              <w:t>Abstract</w:t>
            </w:r>
            <w:r w:rsidRPr="00C46BF3">
              <w:rPr>
                <w:webHidden/>
              </w:rPr>
              <w:tab/>
            </w:r>
            <w:r w:rsidRPr="00C46BF3">
              <w:rPr>
                <w:webHidden/>
              </w:rPr>
              <w:fldChar w:fldCharType="begin"/>
            </w:r>
            <w:r w:rsidRPr="00C46BF3">
              <w:rPr>
                <w:webHidden/>
              </w:rPr>
              <w:instrText xml:space="preserve"> PAGEREF _Toc214986978 \h </w:instrText>
            </w:r>
            <w:r w:rsidRPr="00C46BF3">
              <w:rPr>
                <w:webHidden/>
              </w:rPr>
            </w:r>
            <w:r w:rsidRPr="00C46BF3">
              <w:rPr>
                <w:webHidden/>
              </w:rPr>
              <w:fldChar w:fldCharType="separate"/>
            </w:r>
            <w:r w:rsidRPr="00C46BF3">
              <w:rPr>
                <w:webHidden/>
              </w:rPr>
              <w:t>3</w:t>
            </w:r>
            <w:r w:rsidRPr="00C46BF3">
              <w:rPr>
                <w:webHidden/>
              </w:rPr>
              <w:fldChar w:fldCharType="end"/>
            </w:r>
          </w:hyperlink>
        </w:p>
        <w:p w14:paraId="7F772F44" w14:textId="77777777" w:rsidR="008B6555" w:rsidRDefault="008B6555">
          <w:pPr>
            <w:pStyle w:val="TOC1"/>
            <w:sectPr w:rsidR="008B6555" w:rsidSect="008B6555">
              <w:type w:val="continuous"/>
              <w:pgSz w:w="11909" w:h="16834"/>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space="720"/>
            </w:sectPr>
          </w:pPr>
        </w:p>
        <w:p w14:paraId="46D95A52" w14:textId="68A3E93B" w:rsidR="003D5B7D" w:rsidRPr="00C46BF3" w:rsidRDefault="003D5B7D">
          <w:pPr>
            <w:pStyle w:val="TOC1"/>
            <w:rPr>
              <w:rFonts w:eastAsiaTheme="minorEastAsia"/>
              <w:color w:val="auto"/>
              <w:kern w:val="2"/>
              <w:sz w:val="24"/>
              <w:szCs w:val="24"/>
              <w:lang w:val="en-IN"/>
              <w14:ligatures w14:val="standardContextual"/>
            </w:rPr>
          </w:pPr>
          <w:hyperlink w:anchor="_Toc214986979" w:history="1">
            <w:r w:rsidRPr="00C46BF3">
              <w:rPr>
                <w:rStyle w:val="Hyperlink"/>
                <w:b/>
                <w:bCs/>
              </w:rPr>
              <w:t>INTRODUCTION</w:t>
            </w:r>
            <w:r w:rsidRPr="00C46BF3">
              <w:rPr>
                <w:webHidden/>
              </w:rPr>
              <w:tab/>
            </w:r>
            <w:r w:rsidRPr="00C46BF3">
              <w:rPr>
                <w:webHidden/>
              </w:rPr>
              <w:fldChar w:fldCharType="begin"/>
            </w:r>
            <w:r w:rsidRPr="00C46BF3">
              <w:rPr>
                <w:webHidden/>
              </w:rPr>
              <w:instrText xml:space="preserve"> PAGEREF _Toc214986979 \h </w:instrText>
            </w:r>
            <w:r w:rsidRPr="00C46BF3">
              <w:rPr>
                <w:webHidden/>
              </w:rPr>
            </w:r>
            <w:r w:rsidRPr="00C46BF3">
              <w:rPr>
                <w:webHidden/>
              </w:rPr>
              <w:fldChar w:fldCharType="separate"/>
            </w:r>
            <w:r w:rsidRPr="00C46BF3">
              <w:rPr>
                <w:webHidden/>
              </w:rPr>
              <w:t>4</w:t>
            </w:r>
            <w:r w:rsidRPr="00C46BF3">
              <w:rPr>
                <w:webHidden/>
              </w:rPr>
              <w:fldChar w:fldCharType="end"/>
            </w:r>
          </w:hyperlink>
        </w:p>
        <w:p w14:paraId="1B6AC8BE" w14:textId="31EC13F1" w:rsidR="003D5B7D" w:rsidRPr="00C46BF3" w:rsidRDefault="003D5B7D">
          <w:pPr>
            <w:pStyle w:val="TOC1"/>
            <w:rPr>
              <w:rFonts w:eastAsiaTheme="minorEastAsia"/>
              <w:color w:val="auto"/>
              <w:kern w:val="2"/>
              <w:sz w:val="24"/>
              <w:szCs w:val="24"/>
              <w:lang w:val="en-IN"/>
              <w14:ligatures w14:val="standardContextual"/>
            </w:rPr>
          </w:pPr>
          <w:hyperlink w:anchor="_Toc214986980" w:history="1">
            <w:r w:rsidRPr="00C46BF3">
              <w:rPr>
                <w:rStyle w:val="Hyperlink"/>
                <w:b/>
                <w:bCs/>
              </w:rPr>
              <w:t>HISTORICAL CONTEXT OF GENDER AND LAND RIGHTS IN INDIA</w:t>
            </w:r>
            <w:r w:rsidRPr="00C46BF3">
              <w:rPr>
                <w:webHidden/>
              </w:rPr>
              <w:tab/>
            </w:r>
            <w:r w:rsidRPr="00C46BF3">
              <w:rPr>
                <w:webHidden/>
              </w:rPr>
              <w:fldChar w:fldCharType="begin"/>
            </w:r>
            <w:r w:rsidRPr="00C46BF3">
              <w:rPr>
                <w:webHidden/>
              </w:rPr>
              <w:instrText xml:space="preserve"> PAGEREF _Toc214986980 \h </w:instrText>
            </w:r>
            <w:r w:rsidRPr="00C46BF3">
              <w:rPr>
                <w:webHidden/>
              </w:rPr>
            </w:r>
            <w:r w:rsidRPr="00C46BF3">
              <w:rPr>
                <w:webHidden/>
              </w:rPr>
              <w:fldChar w:fldCharType="separate"/>
            </w:r>
            <w:r w:rsidRPr="00C46BF3">
              <w:rPr>
                <w:webHidden/>
              </w:rPr>
              <w:t>5</w:t>
            </w:r>
            <w:r w:rsidRPr="00C46BF3">
              <w:rPr>
                <w:webHidden/>
              </w:rPr>
              <w:fldChar w:fldCharType="end"/>
            </w:r>
          </w:hyperlink>
        </w:p>
        <w:p w14:paraId="6AA3E967" w14:textId="671D1497"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1" w:history="1">
            <w:r w:rsidRPr="00C46BF3">
              <w:rPr>
                <w:rStyle w:val="Hyperlink"/>
                <w:rFonts w:ascii="Times New Roman" w:hAnsi="Times New Roman" w:cs="Times New Roman"/>
                <w:b/>
                <w:bCs/>
                <w:noProof/>
              </w:rPr>
              <w:t>Ancient and Early-Medieval India</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_Toc214986981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5</w:t>
            </w:r>
            <w:r w:rsidRPr="00C46BF3">
              <w:rPr>
                <w:rFonts w:ascii="Times New Roman" w:hAnsi="Times New Roman" w:cs="Times New Roman"/>
                <w:noProof/>
                <w:webHidden/>
              </w:rPr>
              <w:fldChar w:fldCharType="end"/>
            </w:r>
          </w:hyperlink>
        </w:p>
        <w:p w14:paraId="2D3E0017" w14:textId="1515C076"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2" w:history="1">
            <w:r w:rsidRPr="00C46BF3">
              <w:rPr>
                <w:rStyle w:val="Hyperlink"/>
                <w:rFonts w:ascii="Times New Roman" w:hAnsi="Times New Roman" w:cs="Times New Roman"/>
                <w:b/>
                <w:bCs/>
                <w:noProof/>
              </w:rPr>
              <w:t>Colonial Period and Land Revenue Systems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_Toc214986982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5</w:t>
            </w:r>
            <w:r w:rsidRPr="00C46BF3">
              <w:rPr>
                <w:rFonts w:ascii="Times New Roman" w:hAnsi="Times New Roman" w:cs="Times New Roman"/>
                <w:noProof/>
                <w:webHidden/>
              </w:rPr>
              <w:fldChar w:fldCharType="end"/>
            </w:r>
          </w:hyperlink>
        </w:p>
        <w:p w14:paraId="3E964CDF" w14:textId="532A6B29"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3" w:history="1">
            <w:r w:rsidRPr="00C46BF3">
              <w:rPr>
                <w:rStyle w:val="Hyperlink"/>
                <w:rFonts w:ascii="Times New Roman" w:hAnsi="Times New Roman" w:cs="Times New Roman"/>
                <w:b/>
                <w:bCs/>
                <w:noProof/>
              </w:rPr>
              <w:t>Post-Independence Land Reforms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_Toc214986983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5</w:t>
            </w:r>
            <w:r w:rsidRPr="00C46BF3">
              <w:rPr>
                <w:rFonts w:ascii="Times New Roman" w:hAnsi="Times New Roman" w:cs="Times New Roman"/>
                <w:noProof/>
                <w:webHidden/>
              </w:rPr>
              <w:fldChar w:fldCharType="end"/>
            </w:r>
          </w:hyperlink>
        </w:p>
        <w:p w14:paraId="270FCAAC" w14:textId="3463CEBB"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4" w:history="1">
            <w:r w:rsidRPr="00C46BF3">
              <w:rPr>
                <w:rStyle w:val="Hyperlink"/>
                <w:rFonts w:ascii="Times New Roman" w:hAnsi="Times New Roman" w:cs="Times New Roman"/>
                <w:b/>
                <w:bCs/>
                <w:noProof/>
              </w:rPr>
              <w:t>Legal Developments Affecting Women</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_Toc214986984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6</w:t>
            </w:r>
            <w:r w:rsidRPr="00C46BF3">
              <w:rPr>
                <w:rFonts w:ascii="Times New Roman" w:hAnsi="Times New Roman" w:cs="Times New Roman"/>
                <w:noProof/>
                <w:webHidden/>
              </w:rPr>
              <w:fldChar w:fldCharType="end"/>
            </w:r>
          </w:hyperlink>
        </w:p>
        <w:p w14:paraId="23DF0326" w14:textId="0A4EA41C"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5" w:history="1">
            <w:r w:rsidRPr="00C46BF3">
              <w:rPr>
                <w:rStyle w:val="Hyperlink"/>
                <w:rFonts w:ascii="Times New Roman" w:hAnsi="Times New Roman" w:cs="Times New Roman"/>
                <w:b/>
                <w:bCs/>
                <w:noProof/>
              </w:rPr>
              <w:t>Summary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_Toc214986985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6</w:t>
            </w:r>
            <w:r w:rsidRPr="00C46BF3">
              <w:rPr>
                <w:rFonts w:ascii="Times New Roman" w:hAnsi="Times New Roman" w:cs="Times New Roman"/>
                <w:noProof/>
                <w:webHidden/>
              </w:rPr>
              <w:fldChar w:fldCharType="end"/>
            </w:r>
          </w:hyperlink>
        </w:p>
        <w:p w14:paraId="3D889A67" w14:textId="75E89DA9" w:rsidR="003D5B7D" w:rsidRPr="00C46BF3" w:rsidRDefault="003D5B7D">
          <w:pPr>
            <w:pStyle w:val="TOC1"/>
            <w:rPr>
              <w:rFonts w:eastAsiaTheme="minorEastAsia"/>
              <w:color w:val="auto"/>
              <w:kern w:val="2"/>
              <w:sz w:val="24"/>
              <w:szCs w:val="24"/>
              <w:lang w:val="en-IN"/>
              <w14:ligatures w14:val="standardContextual"/>
            </w:rPr>
          </w:pPr>
          <w:hyperlink w:anchor="_Toc214986986" w:history="1">
            <w:r w:rsidRPr="00C46BF3">
              <w:rPr>
                <w:rStyle w:val="Hyperlink"/>
                <w:b/>
                <w:bCs/>
              </w:rPr>
              <w:t>THEORETICAL FRAMEWORKS</w:t>
            </w:r>
            <w:r w:rsidRPr="00C46BF3">
              <w:rPr>
                <w:webHidden/>
              </w:rPr>
              <w:tab/>
            </w:r>
            <w:r w:rsidRPr="00C46BF3">
              <w:rPr>
                <w:webHidden/>
              </w:rPr>
              <w:fldChar w:fldCharType="begin"/>
            </w:r>
            <w:r w:rsidRPr="00C46BF3">
              <w:rPr>
                <w:webHidden/>
              </w:rPr>
              <w:instrText xml:space="preserve"> PAGEREF _Toc214986986 \h </w:instrText>
            </w:r>
            <w:r w:rsidRPr="00C46BF3">
              <w:rPr>
                <w:webHidden/>
              </w:rPr>
            </w:r>
            <w:r w:rsidRPr="00C46BF3">
              <w:rPr>
                <w:webHidden/>
              </w:rPr>
              <w:fldChar w:fldCharType="separate"/>
            </w:r>
            <w:r w:rsidRPr="00C46BF3">
              <w:rPr>
                <w:webHidden/>
              </w:rPr>
              <w:t>6</w:t>
            </w:r>
            <w:r w:rsidRPr="00C46BF3">
              <w:rPr>
                <w:webHidden/>
              </w:rPr>
              <w:fldChar w:fldCharType="end"/>
            </w:r>
          </w:hyperlink>
        </w:p>
        <w:p w14:paraId="3C9833D7" w14:textId="1C63DA8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7" w:history="1">
            <w:r w:rsidRPr="00C46BF3">
              <w:rPr>
                <w:rStyle w:val="Hyperlink"/>
                <w:rFonts w:ascii="Times New Roman" w:hAnsi="Times New Roman" w:cs="Times New Roman"/>
                <w:b/>
                <w:bCs/>
                <w:noProof/>
              </w:rPr>
              <w:t>Feminist Political Economy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_Toc214986987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6</w:t>
            </w:r>
            <w:r w:rsidRPr="00C46BF3">
              <w:rPr>
                <w:rFonts w:ascii="Times New Roman" w:hAnsi="Times New Roman" w:cs="Times New Roman"/>
                <w:noProof/>
                <w:webHidden/>
              </w:rPr>
              <w:fldChar w:fldCharType="end"/>
            </w:r>
          </w:hyperlink>
        </w:p>
        <w:p w14:paraId="36099174" w14:textId="777496B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8" w:history="1">
            <w:r w:rsidRPr="00C46BF3">
              <w:rPr>
                <w:rStyle w:val="Hyperlink"/>
                <w:rFonts w:ascii="Times New Roman" w:hAnsi="Times New Roman" w:cs="Times New Roman"/>
                <w:b/>
                <w:bCs/>
                <w:noProof/>
              </w:rPr>
              <w:t>Intersectionality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_Toc214986988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7</w:t>
            </w:r>
            <w:r w:rsidRPr="00C46BF3">
              <w:rPr>
                <w:rFonts w:ascii="Times New Roman" w:hAnsi="Times New Roman" w:cs="Times New Roman"/>
                <w:noProof/>
                <w:webHidden/>
              </w:rPr>
              <w:fldChar w:fldCharType="end"/>
            </w:r>
          </w:hyperlink>
        </w:p>
        <w:p w14:paraId="281DDA85" w14:textId="325C2C22"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89" w:history="1">
            <w:r w:rsidRPr="00C46BF3">
              <w:rPr>
                <w:rStyle w:val="Hyperlink"/>
                <w:rFonts w:ascii="Times New Roman" w:hAnsi="Times New Roman" w:cs="Times New Roman"/>
                <w:b/>
                <w:bCs/>
                <w:noProof/>
              </w:rPr>
              <w:t>Human Rights and Legal Frameworks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_Toc214986989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7</w:t>
            </w:r>
            <w:r w:rsidRPr="00C46BF3">
              <w:rPr>
                <w:rFonts w:ascii="Times New Roman" w:hAnsi="Times New Roman" w:cs="Times New Roman"/>
                <w:noProof/>
                <w:webHidden/>
              </w:rPr>
              <w:fldChar w:fldCharType="end"/>
            </w:r>
          </w:hyperlink>
        </w:p>
        <w:p w14:paraId="1C54EFD1" w14:textId="05DB39EA"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0" w:history="1">
            <w:r w:rsidRPr="00C46BF3">
              <w:rPr>
                <w:rStyle w:val="Hyperlink"/>
                <w:rFonts w:ascii="Times New Roman" w:hAnsi="Times New Roman" w:cs="Times New Roman"/>
                <w:b/>
                <w:bCs/>
                <w:noProof/>
              </w:rPr>
              <w:t>Commons and Collective Property Theory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_Toc214986990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7</w:t>
            </w:r>
            <w:r w:rsidRPr="00C46BF3">
              <w:rPr>
                <w:rFonts w:ascii="Times New Roman" w:hAnsi="Times New Roman" w:cs="Times New Roman"/>
                <w:noProof/>
                <w:webHidden/>
              </w:rPr>
              <w:fldChar w:fldCharType="end"/>
            </w:r>
          </w:hyperlink>
        </w:p>
        <w:p w14:paraId="0180F40E" w14:textId="0DE5A348"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1" w:history="1">
            <w:r w:rsidRPr="00C46BF3">
              <w:rPr>
                <w:rStyle w:val="Hyperlink"/>
                <w:rFonts w:ascii="Times New Roman" w:hAnsi="Times New Roman" w:cs="Times New Roman"/>
                <w:b/>
                <w:bCs/>
                <w:noProof/>
              </w:rPr>
              <w:t>Summary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_Toc214986991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7</w:t>
            </w:r>
            <w:r w:rsidRPr="00C46BF3">
              <w:rPr>
                <w:rFonts w:ascii="Times New Roman" w:hAnsi="Times New Roman" w:cs="Times New Roman"/>
                <w:noProof/>
                <w:webHidden/>
              </w:rPr>
              <w:fldChar w:fldCharType="end"/>
            </w:r>
          </w:hyperlink>
        </w:p>
        <w:p w14:paraId="4B1F695E" w14:textId="7D10B157" w:rsidR="003D5B7D" w:rsidRPr="00C46BF3" w:rsidRDefault="003D5B7D">
          <w:pPr>
            <w:pStyle w:val="TOC1"/>
            <w:rPr>
              <w:rFonts w:eastAsiaTheme="minorEastAsia"/>
              <w:color w:val="auto"/>
              <w:kern w:val="2"/>
              <w:sz w:val="24"/>
              <w:szCs w:val="24"/>
              <w:lang w:val="en-IN"/>
              <w14:ligatures w14:val="standardContextual"/>
            </w:rPr>
          </w:pPr>
          <w:hyperlink w:anchor="_Toc214986992" w:history="1">
            <w:r w:rsidRPr="00C46BF3">
              <w:rPr>
                <w:rStyle w:val="Hyperlink"/>
                <w:b/>
                <w:bCs/>
              </w:rPr>
              <w:t>LEGAL FRAMEWORK IN INDIA</w:t>
            </w:r>
            <w:r w:rsidRPr="00C46BF3">
              <w:rPr>
                <w:webHidden/>
              </w:rPr>
              <w:tab/>
            </w:r>
            <w:r w:rsidRPr="00C46BF3">
              <w:rPr>
                <w:webHidden/>
              </w:rPr>
              <w:fldChar w:fldCharType="begin"/>
            </w:r>
            <w:r w:rsidRPr="00C46BF3">
              <w:rPr>
                <w:webHidden/>
              </w:rPr>
              <w:instrText xml:space="preserve"> PAGEREF _Toc214986992 \h </w:instrText>
            </w:r>
            <w:r w:rsidRPr="00C46BF3">
              <w:rPr>
                <w:webHidden/>
              </w:rPr>
            </w:r>
            <w:r w:rsidRPr="00C46BF3">
              <w:rPr>
                <w:webHidden/>
              </w:rPr>
              <w:fldChar w:fldCharType="separate"/>
            </w:r>
            <w:r w:rsidRPr="00C46BF3">
              <w:rPr>
                <w:webHidden/>
              </w:rPr>
              <w:t>8</w:t>
            </w:r>
            <w:r w:rsidRPr="00C46BF3">
              <w:rPr>
                <w:webHidden/>
              </w:rPr>
              <w:fldChar w:fldCharType="end"/>
            </w:r>
          </w:hyperlink>
        </w:p>
        <w:p w14:paraId="0F1A2267" w14:textId="665FE21E"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3" w:history="1">
            <w:r w:rsidRPr="00C46BF3">
              <w:rPr>
                <w:rStyle w:val="Hyperlink"/>
                <w:rFonts w:ascii="Times New Roman" w:hAnsi="Times New Roman" w:cs="Times New Roman"/>
                <w:b/>
                <w:bCs/>
                <w:noProof/>
              </w:rPr>
              <w:t>Constitutional Provisions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_Toc214986993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8</w:t>
            </w:r>
            <w:r w:rsidRPr="00C46BF3">
              <w:rPr>
                <w:rFonts w:ascii="Times New Roman" w:hAnsi="Times New Roman" w:cs="Times New Roman"/>
                <w:noProof/>
                <w:webHidden/>
              </w:rPr>
              <w:fldChar w:fldCharType="end"/>
            </w:r>
          </w:hyperlink>
        </w:p>
        <w:p w14:paraId="78A693E5" w14:textId="4F07130B"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4" w:history="1">
            <w:r w:rsidRPr="00C46BF3">
              <w:rPr>
                <w:rStyle w:val="Hyperlink"/>
                <w:rFonts w:ascii="Times New Roman" w:hAnsi="Times New Roman" w:cs="Times New Roman"/>
                <w:b/>
                <w:bCs/>
                <w:noProof/>
              </w:rPr>
              <w:t>Personal Laws and Inheritance</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_Toc214986994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8</w:t>
            </w:r>
            <w:r w:rsidRPr="00C46BF3">
              <w:rPr>
                <w:rFonts w:ascii="Times New Roman" w:hAnsi="Times New Roman" w:cs="Times New Roman"/>
                <w:noProof/>
                <w:webHidden/>
              </w:rPr>
              <w:fldChar w:fldCharType="end"/>
            </w:r>
          </w:hyperlink>
        </w:p>
        <w:p w14:paraId="2984A729" w14:textId="0ABA3C14"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5" w:history="1">
            <w:r w:rsidRPr="00C46BF3">
              <w:rPr>
                <w:rStyle w:val="Hyperlink"/>
                <w:rFonts w:ascii="Times New Roman" w:hAnsi="Times New Roman" w:cs="Times New Roman"/>
                <w:b/>
                <w:bCs/>
                <w:noProof/>
              </w:rPr>
              <w:t>Land Reform Legislation</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_Toc214986995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8</w:t>
            </w:r>
            <w:r w:rsidRPr="00C46BF3">
              <w:rPr>
                <w:rFonts w:ascii="Times New Roman" w:hAnsi="Times New Roman" w:cs="Times New Roman"/>
                <w:noProof/>
                <w:webHidden/>
              </w:rPr>
              <w:fldChar w:fldCharType="end"/>
            </w:r>
          </w:hyperlink>
        </w:p>
        <w:p w14:paraId="610DAA2E" w14:textId="74521F3C"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6" w:history="1">
            <w:r w:rsidRPr="00C46BF3">
              <w:rPr>
                <w:rStyle w:val="Hyperlink"/>
                <w:rFonts w:ascii="Times New Roman" w:hAnsi="Times New Roman" w:cs="Times New Roman"/>
                <w:b/>
                <w:bCs/>
                <w:noProof/>
              </w:rPr>
              <w:t>Forest Rights and Community Land</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_Toc214986996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9</w:t>
            </w:r>
            <w:r w:rsidRPr="00C46BF3">
              <w:rPr>
                <w:rFonts w:ascii="Times New Roman" w:hAnsi="Times New Roman" w:cs="Times New Roman"/>
                <w:noProof/>
                <w:webHidden/>
              </w:rPr>
              <w:fldChar w:fldCharType="end"/>
            </w:r>
          </w:hyperlink>
        </w:p>
        <w:p w14:paraId="6446A231" w14:textId="492770AF"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7" w:history="1">
            <w:r w:rsidRPr="00C46BF3">
              <w:rPr>
                <w:rStyle w:val="Hyperlink"/>
                <w:rFonts w:ascii="Times New Roman" w:hAnsi="Times New Roman" w:cs="Times New Roman"/>
                <w:b/>
                <w:bCs/>
                <w:noProof/>
              </w:rPr>
              <w:t>Land Acquisition and Compensation</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_Toc214986997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9</w:t>
            </w:r>
            <w:r w:rsidRPr="00C46BF3">
              <w:rPr>
                <w:rFonts w:ascii="Times New Roman" w:hAnsi="Times New Roman" w:cs="Times New Roman"/>
                <w:noProof/>
                <w:webHidden/>
              </w:rPr>
              <w:fldChar w:fldCharType="end"/>
            </w:r>
          </w:hyperlink>
        </w:p>
        <w:p w14:paraId="04C918D5" w14:textId="64291B4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6998" w:history="1">
            <w:r w:rsidRPr="00C46BF3">
              <w:rPr>
                <w:rStyle w:val="Hyperlink"/>
                <w:rFonts w:ascii="Times New Roman" w:hAnsi="Times New Roman" w:cs="Times New Roman"/>
                <w:b/>
                <w:bCs/>
                <w:noProof/>
              </w:rPr>
              <w:t>Implementation Challenges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_Toc214986998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9</w:t>
            </w:r>
            <w:r w:rsidRPr="00C46BF3">
              <w:rPr>
                <w:rFonts w:ascii="Times New Roman" w:hAnsi="Times New Roman" w:cs="Times New Roman"/>
                <w:noProof/>
                <w:webHidden/>
              </w:rPr>
              <w:fldChar w:fldCharType="end"/>
            </w:r>
          </w:hyperlink>
        </w:p>
        <w:p w14:paraId="31CA4D7D" w14:textId="0A66659D" w:rsidR="003D5B7D" w:rsidRPr="00C46BF3" w:rsidRDefault="003D5B7D">
          <w:pPr>
            <w:pStyle w:val="TOC1"/>
            <w:rPr>
              <w:rFonts w:eastAsiaTheme="minorEastAsia"/>
              <w:color w:val="auto"/>
              <w:kern w:val="2"/>
              <w:sz w:val="24"/>
              <w:szCs w:val="24"/>
              <w:lang w:val="en-IN"/>
              <w14:ligatures w14:val="standardContextual"/>
            </w:rPr>
          </w:pPr>
          <w:hyperlink w:anchor="_Toc214986999" w:history="1">
            <w:r w:rsidRPr="00C46BF3">
              <w:rPr>
                <w:rStyle w:val="Hyperlink"/>
                <w:b/>
                <w:bCs/>
              </w:rPr>
              <w:t>GENDERED REALITIES OF LAND OWNERSHIP IN INDIA</w:t>
            </w:r>
            <w:r w:rsidRPr="00C46BF3">
              <w:rPr>
                <w:webHidden/>
              </w:rPr>
              <w:tab/>
            </w:r>
            <w:r w:rsidRPr="00C46BF3">
              <w:rPr>
                <w:webHidden/>
              </w:rPr>
              <w:fldChar w:fldCharType="begin"/>
            </w:r>
            <w:r w:rsidRPr="00C46BF3">
              <w:rPr>
                <w:webHidden/>
              </w:rPr>
              <w:instrText xml:space="preserve"> PAGEREF _Toc214986999 \h </w:instrText>
            </w:r>
            <w:r w:rsidRPr="00C46BF3">
              <w:rPr>
                <w:webHidden/>
              </w:rPr>
            </w:r>
            <w:r w:rsidRPr="00C46BF3">
              <w:rPr>
                <w:webHidden/>
              </w:rPr>
              <w:fldChar w:fldCharType="separate"/>
            </w:r>
            <w:r w:rsidRPr="00C46BF3">
              <w:rPr>
                <w:webHidden/>
              </w:rPr>
              <w:t>9</w:t>
            </w:r>
            <w:r w:rsidRPr="00C46BF3">
              <w:rPr>
                <w:webHidden/>
              </w:rPr>
              <w:fldChar w:fldCharType="end"/>
            </w:r>
          </w:hyperlink>
        </w:p>
        <w:p w14:paraId="390B9166" w14:textId="77D2DBA0"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0" w:history="1">
            <w:r w:rsidRPr="00C46BF3">
              <w:rPr>
                <w:rStyle w:val="Hyperlink"/>
                <w:rFonts w:ascii="Times New Roman" w:hAnsi="Times New Roman" w:cs="Times New Roman"/>
                <w:b/>
                <w:bCs/>
                <w:noProof/>
              </w:rPr>
              <w:t>Patterns of Ownership</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_Toc214987000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10</w:t>
            </w:r>
            <w:r w:rsidRPr="00C46BF3">
              <w:rPr>
                <w:rFonts w:ascii="Times New Roman" w:hAnsi="Times New Roman" w:cs="Times New Roman"/>
                <w:noProof/>
                <w:webHidden/>
              </w:rPr>
              <w:fldChar w:fldCharType="end"/>
            </w:r>
          </w:hyperlink>
        </w:p>
        <w:p w14:paraId="0BD5B97E" w14:textId="1AF800A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1" w:history="1">
            <w:r w:rsidRPr="00C46BF3">
              <w:rPr>
                <w:rStyle w:val="Hyperlink"/>
                <w:rFonts w:ascii="Times New Roman" w:hAnsi="Times New Roman" w:cs="Times New Roman"/>
                <w:b/>
                <w:bCs/>
                <w:noProof/>
              </w:rPr>
              <w:t>Socio-Cultural Barriers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_Toc214987001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10</w:t>
            </w:r>
            <w:r w:rsidRPr="00C46BF3">
              <w:rPr>
                <w:rFonts w:ascii="Times New Roman" w:hAnsi="Times New Roman" w:cs="Times New Roman"/>
                <w:noProof/>
                <w:webHidden/>
              </w:rPr>
              <w:fldChar w:fldCharType="end"/>
            </w:r>
          </w:hyperlink>
        </w:p>
        <w:p w14:paraId="2139DC89" w14:textId="4DE2CDC7"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2" w:history="1">
            <w:r w:rsidRPr="00C46BF3">
              <w:rPr>
                <w:rStyle w:val="Hyperlink"/>
                <w:rFonts w:ascii="Times New Roman" w:hAnsi="Times New Roman" w:cs="Times New Roman"/>
                <w:b/>
                <w:bCs/>
                <w:noProof/>
              </w:rPr>
              <w:t>Intersectional Disadvantages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_Toc214987002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10</w:t>
            </w:r>
            <w:r w:rsidRPr="00C46BF3">
              <w:rPr>
                <w:rFonts w:ascii="Times New Roman" w:hAnsi="Times New Roman" w:cs="Times New Roman"/>
                <w:noProof/>
                <w:webHidden/>
              </w:rPr>
              <w:fldChar w:fldCharType="end"/>
            </w:r>
          </w:hyperlink>
        </w:p>
        <w:p w14:paraId="43CE2B5E" w14:textId="5E1871E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3" w:history="1">
            <w:r w:rsidRPr="00C46BF3">
              <w:rPr>
                <w:rStyle w:val="Hyperlink"/>
                <w:rFonts w:ascii="Times New Roman" w:hAnsi="Times New Roman" w:cs="Times New Roman"/>
                <w:b/>
                <w:bCs/>
                <w:noProof/>
              </w:rPr>
              <w:t>Economic and Social Implications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_Toc214987003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10</w:t>
            </w:r>
            <w:r w:rsidRPr="00C46BF3">
              <w:rPr>
                <w:rFonts w:ascii="Times New Roman" w:hAnsi="Times New Roman" w:cs="Times New Roman"/>
                <w:noProof/>
                <w:webHidden/>
              </w:rPr>
              <w:fldChar w:fldCharType="end"/>
            </w:r>
          </w:hyperlink>
        </w:p>
        <w:p w14:paraId="57628672" w14:textId="3BF325BF"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4" w:history="1">
            <w:r w:rsidRPr="00C46BF3">
              <w:rPr>
                <w:rStyle w:val="Hyperlink"/>
                <w:rFonts w:ascii="Times New Roman" w:hAnsi="Times New Roman" w:cs="Times New Roman"/>
                <w:b/>
                <w:bCs/>
                <w:noProof/>
              </w:rPr>
              <w:t>Case Examples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_Toc214987004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10</w:t>
            </w:r>
            <w:r w:rsidRPr="00C46BF3">
              <w:rPr>
                <w:rFonts w:ascii="Times New Roman" w:hAnsi="Times New Roman" w:cs="Times New Roman"/>
                <w:noProof/>
                <w:webHidden/>
              </w:rPr>
              <w:fldChar w:fldCharType="end"/>
            </w:r>
          </w:hyperlink>
        </w:p>
        <w:p w14:paraId="79CCA052" w14:textId="4D252978"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5" w:history="1">
            <w:r w:rsidRPr="00C46BF3">
              <w:rPr>
                <w:rStyle w:val="Hyperlink"/>
                <w:rFonts w:ascii="Times New Roman" w:hAnsi="Times New Roman" w:cs="Times New Roman"/>
                <w:b/>
                <w:bCs/>
                <w:noProof/>
              </w:rPr>
              <w:t>Summary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_Toc214987005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11</w:t>
            </w:r>
            <w:r w:rsidRPr="00C46BF3">
              <w:rPr>
                <w:rFonts w:ascii="Times New Roman" w:hAnsi="Times New Roman" w:cs="Times New Roman"/>
                <w:noProof/>
                <w:webHidden/>
              </w:rPr>
              <w:fldChar w:fldCharType="end"/>
            </w:r>
          </w:hyperlink>
        </w:p>
        <w:p w14:paraId="3A2F72FC" w14:textId="2440E4E4" w:rsidR="003D5B7D" w:rsidRPr="00C46BF3" w:rsidRDefault="003D5B7D">
          <w:pPr>
            <w:pStyle w:val="TOC1"/>
            <w:rPr>
              <w:rFonts w:eastAsiaTheme="minorEastAsia"/>
              <w:color w:val="auto"/>
              <w:kern w:val="2"/>
              <w:sz w:val="24"/>
              <w:szCs w:val="24"/>
              <w:lang w:val="en-IN"/>
              <w14:ligatures w14:val="standardContextual"/>
            </w:rPr>
          </w:pPr>
          <w:hyperlink w:anchor="_Toc214987006" w:history="1">
            <w:r w:rsidRPr="00C46BF3">
              <w:rPr>
                <w:rStyle w:val="Hyperlink"/>
                <w:b/>
                <w:bCs/>
              </w:rPr>
              <w:t>COMPARATIVE PERSPECTIVES ON WOMEN’S LAND RIGHTS</w:t>
            </w:r>
            <w:r w:rsidRPr="00C46BF3">
              <w:rPr>
                <w:webHidden/>
              </w:rPr>
              <w:tab/>
            </w:r>
            <w:r w:rsidRPr="00C46BF3">
              <w:rPr>
                <w:webHidden/>
              </w:rPr>
              <w:fldChar w:fldCharType="begin"/>
            </w:r>
            <w:r w:rsidRPr="00C46BF3">
              <w:rPr>
                <w:webHidden/>
              </w:rPr>
              <w:instrText xml:space="preserve"> PAGEREF _Toc214987006 \h </w:instrText>
            </w:r>
            <w:r w:rsidRPr="00C46BF3">
              <w:rPr>
                <w:webHidden/>
              </w:rPr>
            </w:r>
            <w:r w:rsidRPr="00C46BF3">
              <w:rPr>
                <w:webHidden/>
              </w:rPr>
              <w:fldChar w:fldCharType="separate"/>
            </w:r>
            <w:r w:rsidRPr="00C46BF3">
              <w:rPr>
                <w:webHidden/>
              </w:rPr>
              <w:t>11</w:t>
            </w:r>
            <w:r w:rsidRPr="00C46BF3">
              <w:rPr>
                <w:webHidden/>
              </w:rPr>
              <w:fldChar w:fldCharType="end"/>
            </w:r>
          </w:hyperlink>
        </w:p>
        <w:p w14:paraId="495AF780" w14:textId="6E28CBAC"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7" w:history="1">
            <w:r w:rsidRPr="00C46BF3">
              <w:rPr>
                <w:rStyle w:val="Hyperlink"/>
                <w:rFonts w:ascii="Times New Roman" w:hAnsi="Times New Roman" w:cs="Times New Roman"/>
                <w:b/>
                <w:bCs/>
                <w:noProof/>
              </w:rPr>
              <w:t>Nepal</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_Toc214987007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11</w:t>
            </w:r>
            <w:r w:rsidRPr="00C46BF3">
              <w:rPr>
                <w:rFonts w:ascii="Times New Roman" w:hAnsi="Times New Roman" w:cs="Times New Roman"/>
                <w:noProof/>
                <w:webHidden/>
              </w:rPr>
              <w:fldChar w:fldCharType="end"/>
            </w:r>
          </w:hyperlink>
        </w:p>
        <w:p w14:paraId="41D5CE0E" w14:textId="4B4AF9E4"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8" w:history="1">
            <w:r w:rsidRPr="00C46BF3">
              <w:rPr>
                <w:rStyle w:val="Hyperlink"/>
                <w:rFonts w:ascii="Times New Roman" w:hAnsi="Times New Roman" w:cs="Times New Roman"/>
                <w:b/>
                <w:bCs/>
                <w:noProof/>
              </w:rPr>
              <w:t>Rwanda</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_Toc214987008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11</w:t>
            </w:r>
            <w:r w:rsidRPr="00C46BF3">
              <w:rPr>
                <w:rFonts w:ascii="Times New Roman" w:hAnsi="Times New Roman" w:cs="Times New Roman"/>
                <w:noProof/>
                <w:webHidden/>
              </w:rPr>
              <w:fldChar w:fldCharType="end"/>
            </w:r>
          </w:hyperlink>
        </w:p>
        <w:p w14:paraId="424EBFC9" w14:textId="33BF0FB8"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09" w:history="1">
            <w:r w:rsidRPr="00C46BF3">
              <w:rPr>
                <w:rStyle w:val="Hyperlink"/>
                <w:rFonts w:ascii="Times New Roman" w:hAnsi="Times New Roman" w:cs="Times New Roman"/>
                <w:b/>
                <w:bCs/>
                <w:noProof/>
              </w:rPr>
              <w:t>Bangladesh</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_Toc214987009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11</w:t>
            </w:r>
            <w:r w:rsidRPr="00C46BF3">
              <w:rPr>
                <w:rFonts w:ascii="Times New Roman" w:hAnsi="Times New Roman" w:cs="Times New Roman"/>
                <w:noProof/>
                <w:webHidden/>
              </w:rPr>
              <w:fldChar w:fldCharType="end"/>
            </w:r>
          </w:hyperlink>
        </w:p>
        <w:p w14:paraId="62204D8C" w14:textId="558195F3"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0" w:history="1">
            <w:r w:rsidRPr="00C46BF3">
              <w:rPr>
                <w:rStyle w:val="Hyperlink"/>
                <w:rFonts w:ascii="Times New Roman" w:hAnsi="Times New Roman" w:cs="Times New Roman"/>
                <w:b/>
                <w:bCs/>
                <w:noProof/>
              </w:rPr>
              <w:t>Lessons for India</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_Toc214987010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12</w:t>
            </w:r>
            <w:r w:rsidRPr="00C46BF3">
              <w:rPr>
                <w:rFonts w:ascii="Times New Roman" w:hAnsi="Times New Roman" w:cs="Times New Roman"/>
                <w:noProof/>
                <w:webHidden/>
              </w:rPr>
              <w:fldChar w:fldCharType="end"/>
            </w:r>
          </w:hyperlink>
        </w:p>
        <w:p w14:paraId="0C4BD14C" w14:textId="449D23C5" w:rsidR="003D5B7D" w:rsidRPr="00C46BF3" w:rsidRDefault="003D5B7D">
          <w:pPr>
            <w:pStyle w:val="TOC1"/>
            <w:rPr>
              <w:rFonts w:eastAsiaTheme="minorEastAsia"/>
              <w:color w:val="auto"/>
              <w:kern w:val="2"/>
              <w:sz w:val="24"/>
              <w:szCs w:val="24"/>
              <w:lang w:val="en-IN"/>
              <w14:ligatures w14:val="standardContextual"/>
            </w:rPr>
          </w:pPr>
          <w:hyperlink w:anchor="_Toc214987011" w:history="1">
            <w:r w:rsidRPr="00C46BF3">
              <w:rPr>
                <w:rStyle w:val="Hyperlink"/>
                <w:b/>
                <w:bCs/>
              </w:rPr>
              <w:t>POLICY CRITIQUE AND RECOMMENDATIONS</w:t>
            </w:r>
            <w:r w:rsidRPr="00C46BF3">
              <w:rPr>
                <w:webHidden/>
              </w:rPr>
              <w:tab/>
            </w:r>
            <w:r w:rsidRPr="00C46BF3">
              <w:rPr>
                <w:webHidden/>
              </w:rPr>
              <w:fldChar w:fldCharType="begin"/>
            </w:r>
            <w:r w:rsidRPr="00C46BF3">
              <w:rPr>
                <w:webHidden/>
              </w:rPr>
              <w:instrText xml:space="preserve"> PAGEREF _Toc214987011 \h </w:instrText>
            </w:r>
            <w:r w:rsidRPr="00C46BF3">
              <w:rPr>
                <w:webHidden/>
              </w:rPr>
            </w:r>
            <w:r w:rsidRPr="00C46BF3">
              <w:rPr>
                <w:webHidden/>
              </w:rPr>
              <w:fldChar w:fldCharType="separate"/>
            </w:r>
            <w:r w:rsidRPr="00C46BF3">
              <w:rPr>
                <w:webHidden/>
              </w:rPr>
              <w:t>12</w:t>
            </w:r>
            <w:r w:rsidRPr="00C46BF3">
              <w:rPr>
                <w:webHidden/>
              </w:rPr>
              <w:fldChar w:fldCharType="end"/>
            </w:r>
          </w:hyperlink>
        </w:p>
        <w:p w14:paraId="53A9177E" w14:textId="41C151BD"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2" w:history="1">
            <w:r w:rsidRPr="00C46BF3">
              <w:rPr>
                <w:rStyle w:val="Hyperlink"/>
                <w:rFonts w:ascii="Times New Roman" w:hAnsi="Times New Roman" w:cs="Times New Roman"/>
                <w:b/>
                <w:bCs/>
                <w:noProof/>
              </w:rPr>
              <w:t>Policy Critique</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_Toc214987012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12</w:t>
            </w:r>
            <w:r w:rsidRPr="00C46BF3">
              <w:rPr>
                <w:rFonts w:ascii="Times New Roman" w:hAnsi="Times New Roman" w:cs="Times New Roman"/>
                <w:noProof/>
                <w:webHidden/>
              </w:rPr>
              <w:fldChar w:fldCharType="end"/>
            </w:r>
          </w:hyperlink>
        </w:p>
        <w:p w14:paraId="18F7102C" w14:textId="5F4F285E"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3" w:history="1">
            <w:r w:rsidRPr="00C46BF3">
              <w:rPr>
                <w:rStyle w:val="Hyperlink"/>
                <w:rFonts w:ascii="Times New Roman" w:hAnsi="Times New Roman" w:cs="Times New Roman"/>
                <w:b/>
                <w:bCs/>
                <w:noProof/>
              </w:rPr>
              <w:t>Recommendations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_Toc214987013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13</w:t>
            </w:r>
            <w:r w:rsidRPr="00C46BF3">
              <w:rPr>
                <w:rFonts w:ascii="Times New Roman" w:hAnsi="Times New Roman" w:cs="Times New Roman"/>
                <w:noProof/>
                <w:webHidden/>
              </w:rPr>
              <w:fldChar w:fldCharType="end"/>
            </w:r>
          </w:hyperlink>
        </w:p>
        <w:p w14:paraId="593421D4" w14:textId="132C3F2D"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4" w:history="1">
            <w:r w:rsidRPr="00C46BF3">
              <w:rPr>
                <w:rStyle w:val="Hyperlink"/>
                <w:rFonts w:ascii="Times New Roman" w:hAnsi="Times New Roman" w:cs="Times New Roman"/>
                <w:b/>
                <w:bCs/>
                <w:noProof/>
              </w:rPr>
              <w:t>Summary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_Toc214987014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13</w:t>
            </w:r>
            <w:r w:rsidRPr="00C46BF3">
              <w:rPr>
                <w:rFonts w:ascii="Times New Roman" w:hAnsi="Times New Roman" w:cs="Times New Roman"/>
                <w:noProof/>
                <w:webHidden/>
              </w:rPr>
              <w:fldChar w:fldCharType="end"/>
            </w:r>
          </w:hyperlink>
        </w:p>
        <w:p w14:paraId="4002A48C" w14:textId="1067D01E" w:rsidR="003D5B7D" w:rsidRPr="00C46BF3" w:rsidRDefault="003D5B7D">
          <w:pPr>
            <w:pStyle w:val="TOC1"/>
            <w:rPr>
              <w:rFonts w:eastAsiaTheme="minorEastAsia"/>
              <w:color w:val="auto"/>
              <w:kern w:val="2"/>
              <w:sz w:val="24"/>
              <w:szCs w:val="24"/>
              <w:lang w:val="en-IN"/>
              <w14:ligatures w14:val="standardContextual"/>
            </w:rPr>
          </w:pPr>
          <w:hyperlink w:anchor="_Toc214987015" w:history="1">
            <w:r w:rsidRPr="00C46BF3">
              <w:rPr>
                <w:rStyle w:val="Hyperlink"/>
                <w:b/>
                <w:bCs/>
              </w:rPr>
              <w:t>CASE STUDIES: WOMEN’S LAND RIGHTS IN INDIA</w:t>
            </w:r>
            <w:r w:rsidRPr="00C46BF3">
              <w:rPr>
                <w:webHidden/>
              </w:rPr>
              <w:tab/>
            </w:r>
            <w:r w:rsidRPr="00C46BF3">
              <w:rPr>
                <w:webHidden/>
              </w:rPr>
              <w:fldChar w:fldCharType="begin"/>
            </w:r>
            <w:r w:rsidRPr="00C46BF3">
              <w:rPr>
                <w:webHidden/>
              </w:rPr>
              <w:instrText xml:space="preserve"> PAGEREF _Toc214987015 \h </w:instrText>
            </w:r>
            <w:r w:rsidRPr="00C46BF3">
              <w:rPr>
                <w:webHidden/>
              </w:rPr>
            </w:r>
            <w:r w:rsidRPr="00C46BF3">
              <w:rPr>
                <w:webHidden/>
              </w:rPr>
              <w:fldChar w:fldCharType="separate"/>
            </w:r>
            <w:r w:rsidRPr="00C46BF3">
              <w:rPr>
                <w:webHidden/>
              </w:rPr>
              <w:t>14</w:t>
            </w:r>
            <w:r w:rsidRPr="00C46BF3">
              <w:rPr>
                <w:webHidden/>
              </w:rPr>
              <w:fldChar w:fldCharType="end"/>
            </w:r>
          </w:hyperlink>
        </w:p>
        <w:p w14:paraId="406F633B" w14:textId="3354747F"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6" w:history="1">
            <w:r w:rsidRPr="00C46BF3">
              <w:rPr>
                <w:rStyle w:val="Hyperlink"/>
                <w:rFonts w:ascii="Times New Roman" w:hAnsi="Times New Roman" w:cs="Times New Roman"/>
                <w:b/>
                <w:bCs/>
                <w:noProof/>
              </w:rPr>
              <w:t>Andhra Pradesh: Joint Land Titling Initiative</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_Toc214987016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14</w:t>
            </w:r>
            <w:r w:rsidRPr="00C46BF3">
              <w:rPr>
                <w:rFonts w:ascii="Times New Roman" w:hAnsi="Times New Roman" w:cs="Times New Roman"/>
                <w:noProof/>
                <w:webHidden/>
              </w:rPr>
              <w:fldChar w:fldCharType="end"/>
            </w:r>
          </w:hyperlink>
        </w:p>
        <w:p w14:paraId="0C3E9625" w14:textId="63B89E2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7" w:history="1">
            <w:r w:rsidRPr="00C46BF3">
              <w:rPr>
                <w:rStyle w:val="Hyperlink"/>
                <w:rFonts w:ascii="Times New Roman" w:hAnsi="Times New Roman" w:cs="Times New Roman"/>
                <w:b/>
                <w:bCs/>
                <w:noProof/>
              </w:rPr>
              <w:t>Odisha: Forest Rights Act Implementation</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_Toc214987017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14</w:t>
            </w:r>
            <w:r w:rsidRPr="00C46BF3">
              <w:rPr>
                <w:rFonts w:ascii="Times New Roman" w:hAnsi="Times New Roman" w:cs="Times New Roman"/>
                <w:noProof/>
                <w:webHidden/>
              </w:rPr>
              <w:fldChar w:fldCharType="end"/>
            </w:r>
          </w:hyperlink>
        </w:p>
        <w:p w14:paraId="5812B666" w14:textId="2B49622F"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8" w:history="1">
            <w:r w:rsidRPr="00C46BF3">
              <w:rPr>
                <w:rStyle w:val="Hyperlink"/>
                <w:rFonts w:ascii="Times New Roman" w:hAnsi="Times New Roman" w:cs="Times New Roman"/>
                <w:b/>
                <w:bCs/>
                <w:noProof/>
              </w:rPr>
              <w:t>Kerala: Land Redistribution and Women’s Empowerment</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_Toc214987018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14</w:t>
            </w:r>
            <w:r w:rsidRPr="00C46BF3">
              <w:rPr>
                <w:rFonts w:ascii="Times New Roman" w:hAnsi="Times New Roman" w:cs="Times New Roman"/>
                <w:noProof/>
                <w:webHidden/>
              </w:rPr>
              <w:fldChar w:fldCharType="end"/>
            </w:r>
          </w:hyperlink>
        </w:p>
        <w:p w14:paraId="60EC404B" w14:textId="2CDDACD2"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19" w:history="1">
            <w:r w:rsidRPr="00C46BF3">
              <w:rPr>
                <w:rStyle w:val="Hyperlink"/>
                <w:rFonts w:ascii="Times New Roman" w:hAnsi="Times New Roman" w:cs="Times New Roman"/>
                <w:b/>
                <w:bCs/>
                <w:noProof/>
              </w:rPr>
              <w:t>West Bengal: Challenges in Inheritance Enforcement</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_Toc214987019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14</w:t>
            </w:r>
            <w:r w:rsidRPr="00C46BF3">
              <w:rPr>
                <w:rFonts w:ascii="Times New Roman" w:hAnsi="Times New Roman" w:cs="Times New Roman"/>
                <w:noProof/>
                <w:webHidden/>
              </w:rPr>
              <w:fldChar w:fldCharType="end"/>
            </w:r>
          </w:hyperlink>
        </w:p>
        <w:p w14:paraId="626B63E5" w14:textId="41127FAF"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20" w:history="1">
            <w:r w:rsidRPr="00C46BF3">
              <w:rPr>
                <w:rStyle w:val="Hyperlink"/>
                <w:rFonts w:ascii="Times New Roman" w:hAnsi="Times New Roman" w:cs="Times New Roman"/>
                <w:b/>
                <w:bCs/>
                <w:noProof/>
              </w:rPr>
              <w:t>Lessons from Case Studies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_Toc214987020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15</w:t>
            </w:r>
            <w:r w:rsidRPr="00C46BF3">
              <w:rPr>
                <w:rFonts w:ascii="Times New Roman" w:hAnsi="Times New Roman" w:cs="Times New Roman"/>
                <w:noProof/>
                <w:webHidden/>
              </w:rPr>
              <w:fldChar w:fldCharType="end"/>
            </w:r>
          </w:hyperlink>
        </w:p>
        <w:p w14:paraId="4CE4428D" w14:textId="42F0EEA2" w:rsidR="003D5B7D" w:rsidRPr="00C46BF3" w:rsidRDefault="003D5B7D">
          <w:pPr>
            <w:pStyle w:val="TOC1"/>
            <w:rPr>
              <w:rFonts w:eastAsiaTheme="minorEastAsia"/>
              <w:color w:val="auto"/>
              <w:kern w:val="2"/>
              <w:sz w:val="24"/>
              <w:szCs w:val="24"/>
              <w:lang w:val="en-IN"/>
              <w14:ligatures w14:val="standardContextual"/>
            </w:rPr>
          </w:pPr>
          <w:hyperlink w:anchor="_Toc214987021" w:history="1">
            <w:r w:rsidRPr="00C46BF3">
              <w:rPr>
                <w:rStyle w:val="Hyperlink"/>
                <w:b/>
                <w:bCs/>
              </w:rPr>
              <w:t>CHALLENGES AND BARRIERS TO WOMEN’S LAND OWNERSHIP IN INDIA</w:t>
            </w:r>
            <w:r w:rsidRPr="00C46BF3">
              <w:rPr>
                <w:webHidden/>
              </w:rPr>
              <w:tab/>
            </w:r>
            <w:r w:rsidRPr="00C46BF3">
              <w:rPr>
                <w:webHidden/>
              </w:rPr>
              <w:fldChar w:fldCharType="begin"/>
            </w:r>
            <w:r w:rsidRPr="00C46BF3">
              <w:rPr>
                <w:webHidden/>
              </w:rPr>
              <w:instrText xml:space="preserve"> PAGEREF _Toc214987021 \h </w:instrText>
            </w:r>
            <w:r w:rsidRPr="00C46BF3">
              <w:rPr>
                <w:webHidden/>
              </w:rPr>
            </w:r>
            <w:r w:rsidRPr="00C46BF3">
              <w:rPr>
                <w:webHidden/>
              </w:rPr>
              <w:fldChar w:fldCharType="separate"/>
            </w:r>
            <w:r w:rsidRPr="00C46BF3">
              <w:rPr>
                <w:webHidden/>
              </w:rPr>
              <w:t>15</w:t>
            </w:r>
            <w:r w:rsidRPr="00C46BF3">
              <w:rPr>
                <w:webHidden/>
              </w:rPr>
              <w:fldChar w:fldCharType="end"/>
            </w:r>
          </w:hyperlink>
        </w:p>
        <w:p w14:paraId="6BD9E673" w14:textId="791CEECD"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22" w:history="1">
            <w:r w:rsidRPr="00C46BF3">
              <w:rPr>
                <w:rStyle w:val="Hyperlink"/>
                <w:rFonts w:ascii="Times New Roman" w:hAnsi="Times New Roman" w:cs="Times New Roman"/>
                <w:b/>
                <w:bCs/>
                <w:noProof/>
              </w:rPr>
              <w:t>Patriarchal Social Norms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_Toc214987022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15</w:t>
            </w:r>
            <w:r w:rsidRPr="00C46BF3">
              <w:rPr>
                <w:rFonts w:ascii="Times New Roman" w:hAnsi="Times New Roman" w:cs="Times New Roman"/>
                <w:noProof/>
                <w:webHidden/>
              </w:rPr>
              <w:fldChar w:fldCharType="end"/>
            </w:r>
          </w:hyperlink>
        </w:p>
        <w:p w14:paraId="216AB1B5" w14:textId="7A8C4E33"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23" w:history="1">
            <w:r w:rsidRPr="00C46BF3">
              <w:rPr>
                <w:rStyle w:val="Hyperlink"/>
                <w:rFonts w:ascii="Times New Roman" w:hAnsi="Times New Roman" w:cs="Times New Roman"/>
                <w:b/>
                <w:bCs/>
                <w:noProof/>
              </w:rPr>
              <w:t>Legal and Administrative Hurdles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_Toc214987023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15</w:t>
            </w:r>
            <w:r w:rsidRPr="00C46BF3">
              <w:rPr>
                <w:rFonts w:ascii="Times New Roman" w:hAnsi="Times New Roman" w:cs="Times New Roman"/>
                <w:noProof/>
                <w:webHidden/>
              </w:rPr>
              <w:fldChar w:fldCharType="end"/>
            </w:r>
          </w:hyperlink>
        </w:p>
        <w:p w14:paraId="15301DD6" w14:textId="7E86AEB8" w:rsidR="003D5B7D" w:rsidRPr="00C46BF3" w:rsidRDefault="003D5B7D" w:rsidP="00AD695A">
          <w:pPr>
            <w:pStyle w:val="TOC3"/>
            <w:rPr>
              <w:rFonts w:ascii="Times New Roman" w:eastAsiaTheme="minorEastAsia" w:hAnsi="Times New Roman" w:cs="Times New Roman"/>
              <w:noProof/>
              <w:kern w:val="2"/>
              <w:sz w:val="24"/>
              <w:szCs w:val="24"/>
              <w:lang w:val="en-IN"/>
              <w14:ligatures w14:val="standardContextual"/>
            </w:rPr>
          </w:pPr>
          <w:hyperlink w:anchor="_Toc214987024" w:history="1">
            <w:r w:rsidRPr="00C46BF3">
              <w:rPr>
                <w:rStyle w:val="Hyperlink"/>
                <w:rFonts w:ascii="Times New Roman" w:hAnsi="Times New Roman" w:cs="Times New Roman"/>
                <w:b/>
                <w:bCs/>
                <w:noProof/>
              </w:rPr>
              <w:t>Economic and Financial Constraints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_Toc214987024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15</w:t>
            </w:r>
            <w:r w:rsidRPr="00C46BF3">
              <w:rPr>
                <w:rFonts w:ascii="Times New Roman" w:hAnsi="Times New Roman" w:cs="Times New Roman"/>
                <w:noProof/>
                <w:webHidden/>
              </w:rPr>
              <w:fldChar w:fldCharType="end"/>
            </w:r>
          </w:hyperlink>
        </w:p>
        <w:p w14:paraId="71F54D3E" w14:textId="15CA2F02" w:rsidR="003D5B7D" w:rsidRPr="00C46BF3" w:rsidRDefault="003D5B7D" w:rsidP="00AD695A">
          <w:pPr>
            <w:pStyle w:val="TOC3"/>
            <w:rPr>
              <w:rFonts w:ascii="Times New Roman" w:eastAsiaTheme="minorEastAsia" w:hAnsi="Times New Roman" w:cs="Times New Roman"/>
              <w:noProof/>
              <w:kern w:val="2"/>
              <w:sz w:val="24"/>
              <w:szCs w:val="24"/>
              <w:lang w:val="en-IN"/>
              <w14:ligatures w14:val="standardContextual"/>
            </w:rPr>
          </w:pPr>
          <w:hyperlink w:anchor="_Toc214987025" w:history="1">
            <w:r w:rsidRPr="00C46BF3">
              <w:rPr>
                <w:rStyle w:val="Hyperlink"/>
                <w:rFonts w:ascii="Times New Roman" w:hAnsi="Times New Roman" w:cs="Times New Roman"/>
                <w:b/>
                <w:bCs/>
                <w:noProof/>
              </w:rPr>
              <w:t>Intersectional Disadvantages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_Toc214987025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16</w:t>
            </w:r>
            <w:r w:rsidRPr="00C46BF3">
              <w:rPr>
                <w:rFonts w:ascii="Times New Roman" w:hAnsi="Times New Roman" w:cs="Times New Roman"/>
                <w:noProof/>
                <w:webHidden/>
              </w:rPr>
              <w:fldChar w:fldCharType="end"/>
            </w:r>
          </w:hyperlink>
        </w:p>
        <w:p w14:paraId="6AA12DB2" w14:textId="4E8D2012" w:rsidR="003D5B7D" w:rsidRPr="00C46BF3" w:rsidRDefault="003D5B7D" w:rsidP="00AD695A">
          <w:pPr>
            <w:pStyle w:val="TOC3"/>
            <w:rPr>
              <w:rFonts w:ascii="Times New Roman" w:eastAsiaTheme="minorEastAsia" w:hAnsi="Times New Roman" w:cs="Times New Roman"/>
              <w:noProof/>
              <w:kern w:val="2"/>
              <w:sz w:val="24"/>
              <w:szCs w:val="24"/>
              <w:lang w:val="en-IN"/>
              <w14:ligatures w14:val="standardContextual"/>
            </w:rPr>
          </w:pPr>
          <w:hyperlink w:anchor="_Toc214987026" w:history="1">
            <w:r w:rsidRPr="00C46BF3">
              <w:rPr>
                <w:rStyle w:val="Hyperlink"/>
                <w:rFonts w:ascii="Times New Roman" w:hAnsi="Times New Roman" w:cs="Times New Roman"/>
                <w:b/>
                <w:bCs/>
                <w:noProof/>
              </w:rPr>
              <w:t>Cultural and Customary Conflicts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_Toc214987026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16</w:t>
            </w:r>
            <w:r w:rsidRPr="00C46BF3">
              <w:rPr>
                <w:rFonts w:ascii="Times New Roman" w:hAnsi="Times New Roman" w:cs="Times New Roman"/>
                <w:noProof/>
                <w:webHidden/>
              </w:rPr>
              <w:fldChar w:fldCharType="end"/>
            </w:r>
          </w:hyperlink>
        </w:p>
        <w:p w14:paraId="4462EE57" w14:textId="7C78B116" w:rsidR="003D5B7D" w:rsidRPr="00C46BF3" w:rsidRDefault="003D5B7D" w:rsidP="00AD695A">
          <w:pPr>
            <w:pStyle w:val="TOC3"/>
            <w:rPr>
              <w:rFonts w:ascii="Times New Roman" w:eastAsiaTheme="minorEastAsia" w:hAnsi="Times New Roman" w:cs="Times New Roman"/>
              <w:noProof/>
              <w:kern w:val="2"/>
              <w:sz w:val="24"/>
              <w:szCs w:val="24"/>
              <w:lang w:val="en-IN"/>
              <w14:ligatures w14:val="standardContextual"/>
            </w:rPr>
          </w:pPr>
          <w:hyperlink w:anchor="_Toc214987027" w:history="1">
            <w:r w:rsidRPr="00C46BF3">
              <w:rPr>
                <w:rStyle w:val="Hyperlink"/>
                <w:rFonts w:ascii="Times New Roman" w:hAnsi="Times New Roman" w:cs="Times New Roman"/>
                <w:b/>
                <w:bCs/>
                <w:noProof/>
              </w:rPr>
              <w:t>Awareness and Education Gaps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_Toc214987027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16</w:t>
            </w:r>
            <w:r w:rsidRPr="00C46BF3">
              <w:rPr>
                <w:rFonts w:ascii="Times New Roman" w:hAnsi="Times New Roman" w:cs="Times New Roman"/>
                <w:noProof/>
                <w:webHidden/>
              </w:rPr>
              <w:fldChar w:fldCharType="end"/>
            </w:r>
          </w:hyperlink>
        </w:p>
        <w:p w14:paraId="225E4FEE" w14:textId="409AFAC5"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28" w:history="1">
            <w:r w:rsidRPr="00C46BF3">
              <w:rPr>
                <w:rStyle w:val="Hyperlink"/>
                <w:rFonts w:ascii="Times New Roman" w:hAnsi="Times New Roman" w:cs="Times New Roman"/>
                <w:b/>
                <w:bCs/>
                <w:noProof/>
              </w:rPr>
              <w:t>Summary</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_Toc214987028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16</w:t>
            </w:r>
            <w:r w:rsidRPr="00C46BF3">
              <w:rPr>
                <w:rFonts w:ascii="Times New Roman" w:hAnsi="Times New Roman" w:cs="Times New Roman"/>
                <w:noProof/>
                <w:webHidden/>
              </w:rPr>
              <w:fldChar w:fldCharType="end"/>
            </w:r>
          </w:hyperlink>
        </w:p>
        <w:p w14:paraId="172D2C83" w14:textId="7BBC62B6" w:rsidR="003D5B7D" w:rsidRPr="00C46BF3" w:rsidRDefault="003A5280">
          <w:pPr>
            <w:pStyle w:val="TOC1"/>
            <w:rPr>
              <w:rFonts w:eastAsiaTheme="minorEastAsia"/>
              <w:color w:val="auto"/>
              <w:kern w:val="2"/>
              <w:sz w:val="24"/>
              <w:szCs w:val="24"/>
              <w:lang w:val="en-IN"/>
              <w14:ligatures w14:val="standardContextual"/>
            </w:rPr>
          </w:pPr>
          <w:hyperlink w:anchor="_Toc214987029" w:history="1">
            <w:r w:rsidRPr="00C46BF3">
              <w:rPr>
                <w:rStyle w:val="Hyperlink"/>
                <w:b/>
                <w:bCs/>
              </w:rPr>
              <w:t>CONCLUSION</w:t>
            </w:r>
            <w:r w:rsidRPr="00C46BF3">
              <w:rPr>
                <w:webHidden/>
              </w:rPr>
              <w:tab/>
            </w:r>
            <w:r w:rsidR="003D5B7D" w:rsidRPr="00C46BF3">
              <w:rPr>
                <w:webHidden/>
              </w:rPr>
              <w:fldChar w:fldCharType="begin"/>
            </w:r>
            <w:r w:rsidR="003D5B7D" w:rsidRPr="00C46BF3">
              <w:rPr>
                <w:webHidden/>
              </w:rPr>
              <w:instrText xml:space="preserve"> PAGEREF _Toc214987029 \h </w:instrText>
            </w:r>
            <w:r w:rsidR="003D5B7D" w:rsidRPr="00C46BF3">
              <w:rPr>
                <w:webHidden/>
              </w:rPr>
            </w:r>
            <w:r w:rsidR="003D5B7D" w:rsidRPr="00C46BF3">
              <w:rPr>
                <w:webHidden/>
              </w:rPr>
              <w:fldChar w:fldCharType="separate"/>
            </w:r>
            <w:r w:rsidRPr="00C46BF3">
              <w:rPr>
                <w:webHidden/>
              </w:rPr>
              <w:t>16</w:t>
            </w:r>
            <w:r w:rsidR="003D5B7D" w:rsidRPr="00C46BF3">
              <w:rPr>
                <w:webHidden/>
              </w:rPr>
              <w:fldChar w:fldCharType="end"/>
            </w:r>
          </w:hyperlink>
        </w:p>
        <w:p w14:paraId="3B116945" w14:textId="70CCD4A3" w:rsidR="003D5B7D" w:rsidRPr="00C46BF3" w:rsidRDefault="003D5B7D">
          <w:pPr>
            <w:pStyle w:val="TOC1"/>
            <w:rPr>
              <w:rFonts w:eastAsiaTheme="minorEastAsia"/>
              <w:color w:val="auto"/>
              <w:kern w:val="2"/>
              <w:sz w:val="24"/>
              <w:szCs w:val="24"/>
              <w:lang w:val="en-IN"/>
              <w14:ligatures w14:val="standardContextual"/>
            </w:rPr>
          </w:pPr>
          <w:hyperlink w:anchor="_Toc214987030" w:history="1">
            <w:r w:rsidRPr="00C46BF3">
              <w:rPr>
                <w:rStyle w:val="Hyperlink"/>
                <w:b/>
                <w:bCs/>
              </w:rPr>
              <w:t>REFERENCES</w:t>
            </w:r>
            <w:r w:rsidRPr="00C46BF3">
              <w:rPr>
                <w:webHidden/>
              </w:rPr>
              <w:tab/>
            </w:r>
            <w:r w:rsidRPr="00C46BF3">
              <w:rPr>
                <w:webHidden/>
              </w:rPr>
              <w:fldChar w:fldCharType="begin"/>
            </w:r>
            <w:r w:rsidRPr="00C46BF3">
              <w:rPr>
                <w:webHidden/>
              </w:rPr>
              <w:instrText xml:space="preserve"> PAGEREF _Toc214987030 \h </w:instrText>
            </w:r>
            <w:r w:rsidRPr="00C46BF3">
              <w:rPr>
                <w:webHidden/>
              </w:rPr>
            </w:r>
            <w:r w:rsidRPr="00C46BF3">
              <w:rPr>
                <w:webHidden/>
              </w:rPr>
              <w:fldChar w:fldCharType="separate"/>
            </w:r>
            <w:r w:rsidRPr="00C46BF3">
              <w:rPr>
                <w:webHidden/>
              </w:rPr>
              <w:t>17</w:t>
            </w:r>
            <w:r w:rsidRPr="00C46BF3">
              <w:rPr>
                <w:webHidden/>
              </w:rPr>
              <w:fldChar w:fldCharType="end"/>
            </w:r>
          </w:hyperlink>
        </w:p>
        <w:p w14:paraId="26004114" w14:textId="7B0909E3"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31" w:history="1">
            <w:r w:rsidRPr="00C46BF3">
              <w:rPr>
                <w:rStyle w:val="Hyperlink"/>
                <w:rFonts w:ascii="Times New Roman" w:hAnsi="Times New Roman" w:cs="Times New Roman"/>
                <w:b/>
                <w:bCs/>
                <w:noProof/>
                <w:lang w:val="en-IN"/>
              </w:rPr>
              <w:t>Books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_Toc214987031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17</w:t>
            </w:r>
            <w:r w:rsidRPr="00C46BF3">
              <w:rPr>
                <w:rFonts w:ascii="Times New Roman" w:hAnsi="Times New Roman" w:cs="Times New Roman"/>
                <w:noProof/>
                <w:webHidden/>
              </w:rPr>
              <w:fldChar w:fldCharType="end"/>
            </w:r>
          </w:hyperlink>
        </w:p>
        <w:p w14:paraId="72CD5AE7" w14:textId="73986AF8"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32" w:history="1">
            <w:r w:rsidRPr="00C46BF3">
              <w:rPr>
                <w:rStyle w:val="Hyperlink"/>
                <w:rFonts w:ascii="Times New Roman" w:hAnsi="Times New Roman" w:cs="Times New Roman"/>
                <w:b/>
                <w:bCs/>
                <w:noProof/>
                <w:lang w:val="en-IN"/>
              </w:rPr>
              <w:t>Journal Articles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_Toc214987032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17</w:t>
            </w:r>
            <w:r w:rsidRPr="00C46BF3">
              <w:rPr>
                <w:rFonts w:ascii="Times New Roman" w:hAnsi="Times New Roman" w:cs="Times New Roman"/>
                <w:noProof/>
                <w:webHidden/>
              </w:rPr>
              <w:fldChar w:fldCharType="end"/>
            </w:r>
          </w:hyperlink>
        </w:p>
        <w:p w14:paraId="4B254A6D" w14:textId="496180A2"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33" w:history="1">
            <w:r w:rsidRPr="00C46BF3">
              <w:rPr>
                <w:rStyle w:val="Hyperlink"/>
                <w:rFonts w:ascii="Times New Roman" w:hAnsi="Times New Roman" w:cs="Times New Roman"/>
                <w:b/>
                <w:bCs/>
                <w:noProof/>
                <w:lang w:val="en-IN"/>
              </w:rPr>
              <w:t>Reports &amp; Government Documents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_Toc214987033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18</w:t>
            </w:r>
            <w:r w:rsidRPr="00C46BF3">
              <w:rPr>
                <w:rFonts w:ascii="Times New Roman" w:hAnsi="Times New Roman" w:cs="Times New Roman"/>
                <w:noProof/>
                <w:webHidden/>
              </w:rPr>
              <w:fldChar w:fldCharType="end"/>
            </w:r>
          </w:hyperlink>
        </w:p>
        <w:p w14:paraId="70A510D6" w14:textId="16AA72DC"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34" w:history="1">
            <w:r w:rsidRPr="00C46BF3">
              <w:rPr>
                <w:rStyle w:val="Hyperlink"/>
                <w:rFonts w:ascii="Times New Roman" w:hAnsi="Times New Roman" w:cs="Times New Roman"/>
                <w:b/>
                <w:bCs/>
                <w:noProof/>
                <w:lang w:val="en-IN"/>
              </w:rPr>
              <w:t>News / Media Sources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_Toc214987034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18</w:t>
            </w:r>
            <w:r w:rsidRPr="00C46BF3">
              <w:rPr>
                <w:rFonts w:ascii="Times New Roman" w:hAnsi="Times New Roman" w:cs="Times New Roman"/>
                <w:noProof/>
                <w:webHidden/>
              </w:rPr>
              <w:fldChar w:fldCharType="end"/>
            </w:r>
          </w:hyperlink>
        </w:p>
        <w:p w14:paraId="0783C866" w14:textId="72FB9140" w:rsidR="003D5B7D" w:rsidRPr="00C46BF3" w:rsidRDefault="003D5B7D" w:rsidP="00AD695A">
          <w:pPr>
            <w:pStyle w:val="TOC2"/>
            <w:rPr>
              <w:rFonts w:ascii="Times New Roman" w:eastAsiaTheme="minorEastAsia" w:hAnsi="Times New Roman" w:cs="Times New Roman"/>
              <w:noProof/>
              <w:kern w:val="2"/>
              <w:sz w:val="24"/>
              <w:szCs w:val="24"/>
              <w:lang w:val="en-IN"/>
              <w14:ligatures w14:val="standardContextual"/>
            </w:rPr>
          </w:pPr>
          <w:hyperlink w:anchor="_Toc214987035" w:history="1">
            <w:r w:rsidRPr="00C46BF3">
              <w:rPr>
                <w:rStyle w:val="Hyperlink"/>
                <w:rFonts w:ascii="Times New Roman" w:hAnsi="Times New Roman" w:cs="Times New Roman"/>
                <w:b/>
                <w:bCs/>
                <w:noProof/>
                <w:lang w:val="en-IN"/>
              </w:rPr>
              <w:t>Classic or Theoretical Works</w:t>
            </w:r>
            <w:r w:rsidRPr="00C46BF3">
              <w:rPr>
                <w:rFonts w:ascii="Times New Roman" w:hAnsi="Times New Roman" w:cs="Times New Roman"/>
                <w:noProof/>
                <w:webHidden/>
              </w:rPr>
              <w:tab/>
            </w:r>
            <w:r w:rsidRPr="00C46BF3">
              <w:rPr>
                <w:rFonts w:ascii="Times New Roman" w:hAnsi="Times New Roman" w:cs="Times New Roman"/>
                <w:noProof/>
                <w:webHidden/>
              </w:rPr>
              <w:fldChar w:fldCharType="begin"/>
            </w:r>
            <w:r w:rsidRPr="00C46BF3">
              <w:rPr>
                <w:rFonts w:ascii="Times New Roman" w:hAnsi="Times New Roman" w:cs="Times New Roman"/>
                <w:noProof/>
                <w:webHidden/>
              </w:rPr>
              <w:instrText xml:space="preserve"> PAGEREF _Toc214987035 \h </w:instrText>
            </w:r>
            <w:r w:rsidRPr="00C46BF3">
              <w:rPr>
                <w:rFonts w:ascii="Times New Roman" w:hAnsi="Times New Roman" w:cs="Times New Roman"/>
                <w:noProof/>
                <w:webHidden/>
              </w:rPr>
            </w:r>
            <w:r w:rsidRPr="00C46BF3">
              <w:rPr>
                <w:rFonts w:ascii="Times New Roman" w:hAnsi="Times New Roman" w:cs="Times New Roman"/>
                <w:noProof/>
                <w:webHidden/>
              </w:rPr>
              <w:fldChar w:fldCharType="separate"/>
            </w:r>
            <w:r w:rsidRPr="00C46BF3">
              <w:rPr>
                <w:rFonts w:ascii="Times New Roman" w:hAnsi="Times New Roman" w:cs="Times New Roman"/>
                <w:noProof/>
                <w:webHidden/>
              </w:rPr>
              <w:t>19</w:t>
            </w:r>
            <w:r w:rsidRPr="00C46BF3">
              <w:rPr>
                <w:rFonts w:ascii="Times New Roman" w:hAnsi="Times New Roman" w:cs="Times New Roman"/>
                <w:noProof/>
                <w:webHidden/>
              </w:rPr>
              <w:fldChar w:fldCharType="end"/>
            </w:r>
          </w:hyperlink>
        </w:p>
        <w:p w14:paraId="126B1EA6" w14:textId="510269E6" w:rsidR="00AD695A" w:rsidRPr="00C46BF3" w:rsidRDefault="00DD44A8">
          <w:pPr>
            <w:rPr>
              <w:rFonts w:ascii="Times New Roman" w:hAnsi="Times New Roman" w:cs="Times New Roman"/>
              <w:b/>
              <w:bCs/>
              <w:noProof/>
            </w:rPr>
          </w:pPr>
          <w:r w:rsidRPr="00C46BF3">
            <w:rPr>
              <w:rFonts w:ascii="Times New Roman" w:hAnsi="Times New Roman" w:cs="Times New Roman"/>
              <w:b/>
              <w:bCs/>
              <w:noProof/>
              <w:color w:val="000000" w:themeColor="text1"/>
            </w:rPr>
            <w:fldChar w:fldCharType="end"/>
          </w:r>
        </w:p>
      </w:sdtContent>
    </w:sdt>
    <w:p w14:paraId="38756F29" w14:textId="6D5EA60E" w:rsidR="00DD44A8" w:rsidRPr="00C46BF3" w:rsidRDefault="00AD695A">
      <w:pPr>
        <w:rPr>
          <w:rFonts w:ascii="Times New Roman" w:hAnsi="Times New Roman" w:cs="Times New Roman"/>
          <w:b/>
          <w:bCs/>
          <w:noProof/>
        </w:rPr>
      </w:pPr>
      <w:r w:rsidRPr="00C46BF3">
        <w:rPr>
          <w:rFonts w:ascii="Times New Roman" w:hAnsi="Times New Roman" w:cs="Times New Roman"/>
          <w:b/>
          <w:bCs/>
          <w:noProof/>
        </w:rPr>
        <w:br w:type="page"/>
      </w:r>
    </w:p>
    <w:p w14:paraId="26A0011B" w14:textId="77777777" w:rsidR="00EB208E" w:rsidRDefault="00EB208E" w:rsidP="00363CC7">
      <w:pPr>
        <w:pStyle w:val="Heading1"/>
        <w:jc w:val="both"/>
        <w:rPr>
          <w:rFonts w:ascii="Times New Roman" w:hAnsi="Times New Roman" w:cs="Times New Roman"/>
          <w:b/>
          <w:bCs/>
        </w:rPr>
        <w:sectPr w:rsidR="00EB208E" w:rsidSect="008B6555">
          <w:type w:val="continuous"/>
          <w:pgSz w:w="11909" w:h="16834"/>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space="720"/>
        </w:sectPr>
      </w:pPr>
      <w:bookmarkStart w:id="0" w:name="_Toc214986978"/>
    </w:p>
    <w:p w14:paraId="00000004" w14:textId="618786D3" w:rsidR="00E86BA5" w:rsidRPr="00C46BF3" w:rsidRDefault="006079A8" w:rsidP="00363CC7">
      <w:pPr>
        <w:pStyle w:val="Heading1"/>
        <w:jc w:val="both"/>
        <w:rPr>
          <w:rFonts w:ascii="Times New Roman" w:hAnsi="Times New Roman" w:cs="Times New Roman"/>
          <w:b/>
          <w:bCs/>
        </w:rPr>
      </w:pPr>
      <w:r w:rsidRPr="00C46BF3">
        <w:rPr>
          <w:rFonts w:ascii="Times New Roman" w:hAnsi="Times New Roman" w:cs="Times New Roman"/>
          <w:b/>
          <w:bCs/>
        </w:rPr>
        <w:t>ABSTRACT</w:t>
      </w:r>
      <w:bookmarkEnd w:id="0"/>
      <w:r w:rsidRPr="00C46BF3">
        <w:rPr>
          <w:rFonts w:ascii="Times New Roman" w:hAnsi="Times New Roman" w:cs="Times New Roman"/>
          <w:b/>
          <w:bCs/>
        </w:rPr>
        <w:t xml:space="preserve"> </w:t>
      </w:r>
    </w:p>
    <w:p w14:paraId="00000007" w14:textId="06F2A5CB" w:rsidR="00E86BA5" w:rsidRPr="00C46BF3" w:rsidRDefault="0043217E" w:rsidP="00363CC7">
      <w:pPr>
        <w:jc w:val="both"/>
        <w:rPr>
          <w:rFonts w:ascii="Times New Roman" w:hAnsi="Times New Roman" w:cs="Times New Roman"/>
        </w:rPr>
      </w:pPr>
      <w:r w:rsidRPr="00C46BF3">
        <w:rPr>
          <w:rFonts w:ascii="Times New Roman" w:hAnsi="Times New Roman" w:cs="Times New Roman"/>
        </w:rPr>
        <w:t xml:space="preserve">               Land is a critical economic and social resource that shapes livelihoods, social status, and political power. In India, women’s access to and control over land has historically been constrained by patriarchal norms, caste hierarchies, and legal barriers (Agarwal, </w:t>
      </w:r>
      <w:r w:rsidRPr="00C46BF3">
        <w:rPr>
          <w:rFonts w:ascii="Times New Roman" w:hAnsi="Times New Roman" w:cs="Times New Roman"/>
          <w:color w:val="EE0000"/>
        </w:rPr>
        <w:t>2024</w:t>
      </w:r>
      <w:r w:rsidRPr="00C46BF3">
        <w:rPr>
          <w:rFonts w:ascii="Times New Roman" w:hAnsi="Times New Roman" w:cs="Times New Roman"/>
        </w:rPr>
        <w:t xml:space="preserve">; </w:t>
      </w:r>
      <w:r w:rsidRPr="00C46BF3">
        <w:rPr>
          <w:rFonts w:ascii="Times New Roman" w:hAnsi="Times New Roman" w:cs="Times New Roman"/>
        </w:rPr>
        <w:t xml:space="preserve">Singh &amp; Bhatnagar, </w:t>
      </w:r>
      <w:r w:rsidRPr="00C46BF3">
        <w:rPr>
          <w:rFonts w:ascii="Times New Roman" w:hAnsi="Times New Roman" w:cs="Times New Roman"/>
          <w:color w:val="EE0000"/>
        </w:rPr>
        <w:t>2024</w:t>
      </w:r>
      <w:r w:rsidRPr="00C46BF3">
        <w:rPr>
          <w:rFonts w:ascii="Times New Roman" w:hAnsi="Times New Roman" w:cs="Times New Roman"/>
        </w:rPr>
        <w:t xml:space="preserve">). Despite reforms such as the </w:t>
      </w:r>
      <w:r w:rsidRPr="00C46BF3">
        <w:rPr>
          <w:rFonts w:ascii="Times New Roman" w:hAnsi="Times New Roman" w:cs="Times New Roman"/>
          <w:b/>
          <w:bCs/>
          <w:i/>
          <w:iCs/>
        </w:rPr>
        <w:t>Hindu Succession (Amendment) Act, 2005</w:t>
      </w:r>
      <w:r w:rsidRPr="00C46BF3">
        <w:rPr>
          <w:rFonts w:ascii="Times New Roman" w:hAnsi="Times New Roman" w:cs="Times New Roman"/>
        </w:rPr>
        <w:t xml:space="preserve">, and the </w:t>
      </w:r>
      <w:r w:rsidRPr="00C46BF3">
        <w:rPr>
          <w:rFonts w:ascii="Times New Roman" w:hAnsi="Times New Roman" w:cs="Times New Roman"/>
          <w:b/>
          <w:bCs/>
          <w:i/>
          <w:iCs/>
        </w:rPr>
        <w:t>Forest Rights Act, 2006,</w:t>
      </w:r>
      <w:r w:rsidRPr="00C46BF3">
        <w:rPr>
          <w:rFonts w:ascii="Times New Roman" w:hAnsi="Times New Roman" w:cs="Times New Roman"/>
        </w:rPr>
        <w:t xml:space="preserve"> women continue to face significant disadvantages in ownership, inheritance, and decision-making over land (Government of India, </w:t>
      </w:r>
      <w:r w:rsidRPr="00C46BF3">
        <w:rPr>
          <w:rFonts w:ascii="Times New Roman" w:hAnsi="Times New Roman" w:cs="Times New Roman"/>
          <w:color w:val="EE0000"/>
        </w:rPr>
        <w:t>2021</w:t>
      </w:r>
      <w:r w:rsidRPr="00C46BF3">
        <w:rPr>
          <w:rFonts w:ascii="Times New Roman" w:hAnsi="Times New Roman" w:cs="Times New Roman"/>
        </w:rPr>
        <w:t xml:space="preserve">; Ministry of Tribal Affairs, </w:t>
      </w:r>
      <w:r w:rsidRPr="00C46BF3">
        <w:rPr>
          <w:rFonts w:ascii="Times New Roman" w:hAnsi="Times New Roman" w:cs="Times New Roman"/>
          <w:color w:val="EE0000"/>
        </w:rPr>
        <w:t>2022</w:t>
      </w:r>
      <w:r w:rsidRPr="00C46BF3">
        <w:rPr>
          <w:rFonts w:ascii="Times New Roman" w:hAnsi="Times New Roman" w:cs="Times New Roman"/>
        </w:rPr>
        <w:t>).</w:t>
      </w:r>
    </w:p>
    <w:p w14:paraId="00000009" w14:textId="03D30A9B" w:rsidR="00E86BA5" w:rsidRPr="00C46BF3" w:rsidRDefault="00C46BF3" w:rsidP="00363CC7">
      <w:pPr>
        <w:jc w:val="both"/>
        <w:rPr>
          <w:rFonts w:ascii="Times New Roman" w:hAnsi="Times New Roman" w:cs="Times New Roman"/>
        </w:rPr>
      </w:pPr>
      <w:r w:rsidRPr="00C46BF3">
        <w:rPr>
          <w:rFonts w:ascii="Times New Roman" w:hAnsi="Times New Roman" w:cs="Times New Roman"/>
        </w:rPr>
        <w:t xml:space="preserve">This paper examines the gendered dimensions of land rights in India by combining theoretical </w:t>
      </w:r>
      <w:r w:rsidRPr="00C46BF3">
        <w:rPr>
          <w:rFonts w:ascii="Times New Roman" w:hAnsi="Times New Roman" w:cs="Times New Roman"/>
        </w:rPr>
        <w:lastRenderedPageBreak/>
        <w:t xml:space="preserve">perspectives from feminist political economy and intersectionality with empirical evidence from government surveys, case studies, and comparative examples from countries such as </w:t>
      </w:r>
      <w:r w:rsidRPr="00C46BF3">
        <w:rPr>
          <w:rFonts w:ascii="Times New Roman" w:hAnsi="Times New Roman" w:cs="Times New Roman"/>
          <w:i/>
          <w:iCs/>
        </w:rPr>
        <w:t>Nepal, Rwanda, and Bangladesh</w:t>
      </w:r>
      <w:r w:rsidRPr="00C46BF3">
        <w:rPr>
          <w:rFonts w:ascii="Times New Roman" w:hAnsi="Times New Roman" w:cs="Times New Roman"/>
        </w:rPr>
        <w:t xml:space="preserve"> (Deepak, Somnath, &amp; Saxena, </w:t>
      </w:r>
      <w:r w:rsidRPr="00C46BF3">
        <w:rPr>
          <w:rFonts w:ascii="Times New Roman" w:hAnsi="Times New Roman" w:cs="Times New Roman"/>
          <w:color w:val="EE0000"/>
        </w:rPr>
        <w:t>2023</w:t>
      </w:r>
      <w:r w:rsidRPr="00C46BF3">
        <w:rPr>
          <w:rFonts w:ascii="Times New Roman" w:hAnsi="Times New Roman" w:cs="Times New Roman"/>
        </w:rPr>
        <w:t xml:space="preserve">; Rao &amp; Ramachandran, </w:t>
      </w:r>
      <w:r w:rsidRPr="00C46BF3">
        <w:rPr>
          <w:rFonts w:ascii="Times New Roman" w:hAnsi="Times New Roman" w:cs="Times New Roman"/>
          <w:color w:val="EE0000"/>
        </w:rPr>
        <w:t>2023</w:t>
      </w:r>
      <w:r w:rsidRPr="00C46BF3">
        <w:rPr>
          <w:rFonts w:ascii="Times New Roman" w:hAnsi="Times New Roman" w:cs="Times New Roman"/>
        </w:rPr>
        <w:t xml:space="preserve">). The analysis shows that legal reforms alone have been insufficient to achieve substantive equality, as social norms, bureaucratic hurdles, and customary practices continue to limit women’s land claims (UN Women, </w:t>
      </w:r>
      <w:r w:rsidRPr="00C46BF3">
        <w:rPr>
          <w:rFonts w:ascii="Times New Roman" w:hAnsi="Times New Roman" w:cs="Times New Roman"/>
          <w:color w:val="EE0000"/>
        </w:rPr>
        <w:t>2022</w:t>
      </w:r>
      <w:r w:rsidRPr="00C46BF3">
        <w:rPr>
          <w:rFonts w:ascii="Times New Roman" w:hAnsi="Times New Roman" w:cs="Times New Roman"/>
        </w:rPr>
        <w:t xml:space="preserve">). Case studies illustrate how these challenges disproportionately affect women from marginalized caste, tribal, and socio-economic backgrounds (Singh &amp; Bhatnagar, </w:t>
      </w:r>
      <w:r w:rsidRPr="00C46BF3">
        <w:rPr>
          <w:rFonts w:ascii="Times New Roman" w:hAnsi="Times New Roman" w:cs="Times New Roman"/>
          <w:color w:val="EE0000"/>
        </w:rPr>
        <w:t>2024</w:t>
      </w:r>
      <w:r w:rsidRPr="00C46BF3">
        <w:rPr>
          <w:rFonts w:ascii="Times New Roman" w:hAnsi="Times New Roman" w:cs="Times New Roman"/>
        </w:rPr>
        <w:t>).</w:t>
      </w:r>
    </w:p>
    <w:p w14:paraId="0000000A" w14:textId="77777777" w:rsidR="00E86BA5" w:rsidRPr="00C46BF3" w:rsidRDefault="00C46BF3" w:rsidP="00363CC7">
      <w:pPr>
        <w:jc w:val="both"/>
        <w:rPr>
          <w:rFonts w:ascii="Times New Roman" w:hAnsi="Times New Roman" w:cs="Times New Roman"/>
        </w:rPr>
      </w:pPr>
      <w:r w:rsidRPr="00C46BF3">
        <w:rPr>
          <w:rFonts w:ascii="Times New Roman" w:hAnsi="Times New Roman" w:cs="Times New Roman"/>
        </w:rPr>
        <w:t xml:space="preserve">The paper concludes by proposing policy measures to improve gender equity in land rights, including joint land titling, gender-disaggregated land records, community-based governance, legal awareness programs, and reforms aligning customary practices with constitutional principles (Agarwal, </w:t>
      </w:r>
      <w:r w:rsidRPr="00C46BF3">
        <w:rPr>
          <w:rFonts w:ascii="Times New Roman" w:hAnsi="Times New Roman" w:cs="Times New Roman"/>
          <w:color w:val="EE0000"/>
        </w:rPr>
        <w:t>2024</w:t>
      </w:r>
      <w:r w:rsidRPr="00C46BF3">
        <w:rPr>
          <w:rFonts w:ascii="Times New Roman" w:hAnsi="Times New Roman" w:cs="Times New Roman"/>
        </w:rPr>
        <w:t xml:space="preserve">; Deepak et al., </w:t>
      </w:r>
      <w:r w:rsidRPr="00C46BF3">
        <w:rPr>
          <w:rFonts w:ascii="Times New Roman" w:hAnsi="Times New Roman" w:cs="Times New Roman"/>
          <w:color w:val="EE0000"/>
        </w:rPr>
        <w:t>2023</w:t>
      </w:r>
      <w:r w:rsidRPr="00C46BF3">
        <w:rPr>
          <w:rFonts w:ascii="Times New Roman" w:hAnsi="Times New Roman" w:cs="Times New Roman"/>
        </w:rPr>
        <w:t>). Secure land rights for women are essential not only for gender justice but also for sustainable development, food security, and social empowerment.</w:t>
      </w:r>
    </w:p>
    <w:p w14:paraId="0000000C" w14:textId="77AA2DD5" w:rsidR="00E86BA5" w:rsidRPr="00C46BF3" w:rsidRDefault="00DD44A8" w:rsidP="0043217E">
      <w:pPr>
        <w:pStyle w:val="Heading1"/>
        <w:rPr>
          <w:rFonts w:ascii="Times New Roman" w:hAnsi="Times New Roman" w:cs="Times New Roman"/>
          <w:b/>
          <w:bCs/>
        </w:rPr>
      </w:pPr>
      <w:bookmarkStart w:id="1" w:name="_Toc214986979"/>
      <w:r w:rsidRPr="00C46BF3">
        <w:rPr>
          <w:rFonts w:ascii="Times New Roman" w:hAnsi="Times New Roman" w:cs="Times New Roman"/>
          <w:b/>
          <w:bCs/>
        </w:rPr>
        <w:t>INTRODUCTION</w:t>
      </w:r>
      <w:bookmarkEnd w:id="1"/>
    </w:p>
    <w:p w14:paraId="0000000F" w14:textId="1E289404" w:rsidR="00E86BA5" w:rsidRPr="00C46BF3" w:rsidRDefault="0043217E"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 Land is not just an economic asset; it is deeply entwined with social status, political power, and gender relations. In India, land ownership and control remain highly gendered: even though women contribute significantly to agriculture and rural livelihoods, their formal ownership of land is disproportionately low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This disparity matters — secure land rights underpin economic security, access to credit, and social bargaining power, yet women frequently face legal, bureaucratic, and cultural obstacles in claiming and exercising these rights.</w:t>
      </w:r>
    </w:p>
    <w:p w14:paraId="00000011" w14:textId="497E03CC"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Legal reforms in India have attempted to redress gender inequality in land rights, most notably through the </w:t>
      </w:r>
      <w:r w:rsidRPr="00C46BF3">
        <w:rPr>
          <w:rFonts w:ascii="Times New Roman" w:hAnsi="Times New Roman" w:cs="Times New Roman"/>
          <w:b/>
          <w:bCs/>
          <w:i/>
          <w:iCs/>
          <w:sz w:val="24"/>
          <w:szCs w:val="24"/>
        </w:rPr>
        <w:t>Hindu Succession (Amendment) Act, 2005</w:t>
      </w:r>
      <w:r w:rsidRPr="00C46BF3">
        <w:rPr>
          <w:rFonts w:ascii="Times New Roman" w:hAnsi="Times New Roman" w:cs="Times New Roman"/>
          <w:sz w:val="24"/>
          <w:szCs w:val="24"/>
        </w:rPr>
        <w:t xml:space="preserve">, which granted daughters coparcenary rights, and the </w:t>
      </w:r>
      <w:r w:rsidRPr="00C46BF3">
        <w:rPr>
          <w:rFonts w:ascii="Times New Roman" w:hAnsi="Times New Roman" w:cs="Times New Roman"/>
          <w:b/>
          <w:bCs/>
          <w:i/>
          <w:iCs/>
          <w:sz w:val="24"/>
          <w:szCs w:val="24"/>
        </w:rPr>
        <w:t>Forest Rights Act, 2006</w:t>
      </w:r>
      <w:r w:rsidRPr="00C46BF3">
        <w:rPr>
          <w:rFonts w:ascii="Times New Roman" w:hAnsi="Times New Roman" w:cs="Times New Roman"/>
          <w:sz w:val="24"/>
          <w:szCs w:val="24"/>
        </w:rPr>
        <w:t xml:space="preserve">, which recognized community claims to forest land. However, reforms on paper have not always translated into real gains for women. Empirical research using digital land records reveals that even titled women often hold smaller plots, or share ownership rather than having individual titles (Deepak et al.,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Meanwhile, court case‑law suggests that many women struggle to enforce their inheritance rights: judicial outcomes vary significantly across regions, and litigation itself can be slow and burdensome (World Development,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00000013" w14:textId="187C1616"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At the same time, survey data on women’s property ownership raises questions about measurement and reporting. For example, analyses of the </w:t>
      </w:r>
      <w:r w:rsidRPr="00C46BF3">
        <w:rPr>
          <w:rFonts w:ascii="Times New Roman" w:hAnsi="Times New Roman" w:cs="Times New Roman"/>
          <w:b/>
          <w:bCs/>
          <w:sz w:val="24"/>
          <w:szCs w:val="24"/>
        </w:rPr>
        <w:t>NFHS‑5 (2019–21)</w:t>
      </w:r>
      <w:r w:rsidRPr="00C46BF3">
        <w:rPr>
          <w:rFonts w:ascii="Times New Roman" w:hAnsi="Times New Roman" w:cs="Times New Roman"/>
          <w:sz w:val="24"/>
          <w:szCs w:val="24"/>
        </w:rPr>
        <w:t xml:space="preserve"> suggest a relatively high percentage of women reporting asset ownership, but critiques argue that alternate data sources like the </w:t>
      </w:r>
      <w:r w:rsidRPr="00C46BF3">
        <w:rPr>
          <w:rFonts w:ascii="Times New Roman" w:hAnsi="Times New Roman" w:cs="Times New Roman"/>
          <w:i/>
          <w:iCs/>
          <w:sz w:val="24"/>
          <w:szCs w:val="24"/>
        </w:rPr>
        <w:t>All-India Debt &amp; Investment Survey (AIDIS)</w:t>
      </w:r>
      <w:r w:rsidRPr="00C46BF3">
        <w:rPr>
          <w:rFonts w:ascii="Times New Roman" w:hAnsi="Times New Roman" w:cs="Times New Roman"/>
          <w:sz w:val="24"/>
          <w:szCs w:val="24"/>
        </w:rPr>
        <w:t xml:space="preserve"> paint a far less optimistic picture of women’s land ownership (Ansary &amp; Ramya,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xml:space="preserve">; Business Standard,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These discrepancies point not only to data challenges but also to deeper issues of who controls data, how claims are recorded, and what “ownership” really means in practice.</w:t>
      </w:r>
    </w:p>
    <w:p w14:paraId="00000015" w14:textId="6B170E7F"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Culturally, entrenched patriarchy and societal norms continue to impede women’s meaningful access to land. Despite formal legal rights, many women do not claim inheritance due to family pressures, lack of awareness, or fear of social ostracism. Further, customary laws and traditional practices in tribal and rural areas often override formal legal entitlements, making legal reforms less </w:t>
      </w:r>
      <w:r w:rsidRPr="00C46BF3">
        <w:rPr>
          <w:rFonts w:ascii="Times New Roman" w:hAnsi="Times New Roman" w:cs="Times New Roman"/>
          <w:sz w:val="24"/>
          <w:szCs w:val="24"/>
        </w:rPr>
        <w:lastRenderedPageBreak/>
        <w:t xml:space="preserve">effective than expected (Sepaha &amp; Sepaha,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00000017" w14:textId="063EBB15"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This paper seeks to address a central research question: Why have legal reforms in India failed to deliver substantive land justice for women? To do this, it draws on multiple lenses: feminist political economy, intersectionality, and legal sociology. Through empirical evidence, policy analysis, and comparative study, the paper explores not only how women’s land rights are regulated by law, but also how norms and institutions shape actual outcomes. Case studies from </w:t>
      </w:r>
      <w:r w:rsidRPr="00C46BF3">
        <w:rPr>
          <w:rFonts w:ascii="Times New Roman" w:hAnsi="Times New Roman" w:cs="Times New Roman"/>
          <w:i/>
          <w:iCs/>
          <w:sz w:val="24"/>
          <w:szCs w:val="24"/>
        </w:rPr>
        <w:t>India</w:t>
      </w:r>
      <w:r w:rsidRPr="00C46BF3">
        <w:rPr>
          <w:rFonts w:ascii="Times New Roman" w:hAnsi="Times New Roman" w:cs="Times New Roman"/>
          <w:sz w:val="24"/>
          <w:szCs w:val="24"/>
        </w:rPr>
        <w:t>—and lessons from comparable contexts—will illustrate persistent challenges and pathways for reform. In doing so, the paper aims to propose actionable policy interventions such as joint titling, gender‑disaggregated land records, legal empowerment programs, and greater alignment between customary practices and constitutional rights.</w:t>
      </w:r>
    </w:p>
    <w:p w14:paraId="0000001A" w14:textId="00EC3BD5" w:rsidR="00E86BA5" w:rsidRPr="00C46BF3" w:rsidRDefault="00DD44A8" w:rsidP="0043217E">
      <w:pPr>
        <w:pStyle w:val="Heading1"/>
        <w:rPr>
          <w:rFonts w:ascii="Times New Roman" w:hAnsi="Times New Roman" w:cs="Times New Roman"/>
          <w:b/>
          <w:bCs/>
        </w:rPr>
      </w:pPr>
      <w:bookmarkStart w:id="2" w:name="_Toc214986980"/>
      <w:r w:rsidRPr="00C46BF3">
        <w:rPr>
          <w:rFonts w:ascii="Times New Roman" w:hAnsi="Times New Roman" w:cs="Times New Roman"/>
          <w:b/>
          <w:bCs/>
        </w:rPr>
        <w:t>HISTORICAL CONTEXT OF GENDER AND LAND RIGHTS IN INDIA</w:t>
      </w:r>
      <w:bookmarkEnd w:id="2"/>
    </w:p>
    <w:p w14:paraId="4E533982" w14:textId="77777777" w:rsidR="00E47767" w:rsidRPr="00C46BF3" w:rsidRDefault="00C46BF3" w:rsidP="00E47767">
      <w:pPr>
        <w:jc w:val="both"/>
        <w:rPr>
          <w:rFonts w:ascii="Times New Roman" w:hAnsi="Times New Roman" w:cs="Times New Roman"/>
          <w:sz w:val="24"/>
          <w:szCs w:val="24"/>
        </w:rPr>
      </w:pPr>
      <w:r w:rsidRPr="00C46BF3">
        <w:rPr>
          <w:rFonts w:ascii="Times New Roman" w:hAnsi="Times New Roman" w:cs="Times New Roman"/>
          <w:sz w:val="24"/>
          <w:szCs w:val="24"/>
        </w:rPr>
        <w:t xml:space="preserve">Understanding contemporary inequalities in land ownership requires a historical perspective. Land in </w:t>
      </w:r>
      <w:r w:rsidRPr="00C46BF3">
        <w:rPr>
          <w:rFonts w:ascii="Times New Roman" w:hAnsi="Times New Roman" w:cs="Times New Roman"/>
          <w:i/>
          <w:iCs/>
          <w:sz w:val="24"/>
          <w:szCs w:val="24"/>
        </w:rPr>
        <w:t xml:space="preserve">India </w:t>
      </w:r>
      <w:r w:rsidRPr="00C46BF3">
        <w:rPr>
          <w:rFonts w:ascii="Times New Roman" w:hAnsi="Times New Roman" w:cs="Times New Roman"/>
          <w:sz w:val="24"/>
          <w:szCs w:val="24"/>
        </w:rPr>
        <w:t>has always been more than a mere economic asset; it has symbolized social status, power, and family legacy. Women’s access to land has historically been constrained by patriarchal family structures, religious laws, and caste hierarchies. These historical legacies continue to influence land ownership patterns today.</w:t>
      </w:r>
    </w:p>
    <w:p w14:paraId="00000021" w14:textId="376C3C54" w:rsidR="00E86BA5" w:rsidRPr="00C46BF3" w:rsidRDefault="00C46BF3" w:rsidP="00F61A9D">
      <w:pPr>
        <w:pStyle w:val="Heading2"/>
        <w:rPr>
          <w:rFonts w:ascii="Times New Roman" w:hAnsi="Times New Roman" w:cs="Times New Roman"/>
          <w:b/>
          <w:bCs/>
        </w:rPr>
      </w:pPr>
      <w:bookmarkStart w:id="3" w:name="_Toc214986981"/>
      <w:r w:rsidRPr="00C46BF3">
        <w:rPr>
          <w:rFonts w:ascii="Times New Roman" w:hAnsi="Times New Roman" w:cs="Times New Roman"/>
          <w:b/>
          <w:bCs/>
        </w:rPr>
        <w:t>Ancient and Early-Medieval India</w:t>
      </w:r>
      <w:bookmarkEnd w:id="3"/>
    </w:p>
    <w:p w14:paraId="00000023" w14:textId="1FFA2873"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In </w:t>
      </w:r>
      <w:r w:rsidR="008E2851" w:rsidRPr="00C46BF3">
        <w:rPr>
          <w:rFonts w:ascii="Times New Roman" w:hAnsi="Times New Roman" w:cs="Times New Roman"/>
          <w:sz w:val="24"/>
          <w:szCs w:val="24"/>
        </w:rPr>
        <w:t>A</w:t>
      </w:r>
      <w:r w:rsidRPr="00C46BF3">
        <w:rPr>
          <w:rFonts w:ascii="Times New Roman" w:hAnsi="Times New Roman" w:cs="Times New Roman"/>
          <w:i/>
          <w:iCs/>
          <w:sz w:val="24"/>
          <w:szCs w:val="24"/>
        </w:rPr>
        <w:t>ncient India</w:t>
      </w:r>
      <w:r w:rsidRPr="00C46BF3">
        <w:rPr>
          <w:rFonts w:ascii="Times New Roman" w:hAnsi="Times New Roman" w:cs="Times New Roman"/>
          <w:sz w:val="24"/>
          <w:szCs w:val="24"/>
        </w:rPr>
        <w:t xml:space="preserve">, property relations were shaped by patrilineal norms. Hindu law texts such as the </w:t>
      </w:r>
      <w:r w:rsidRPr="00C46BF3">
        <w:rPr>
          <w:rFonts w:ascii="Times New Roman" w:hAnsi="Times New Roman" w:cs="Times New Roman"/>
          <w:i/>
          <w:iCs/>
          <w:sz w:val="24"/>
          <w:szCs w:val="24"/>
        </w:rPr>
        <w:t xml:space="preserve">Dharmashastras </w:t>
      </w:r>
      <w:r w:rsidRPr="00C46BF3">
        <w:rPr>
          <w:rFonts w:ascii="Times New Roman" w:hAnsi="Times New Roman" w:cs="Times New Roman"/>
          <w:sz w:val="24"/>
          <w:szCs w:val="24"/>
        </w:rPr>
        <w:t xml:space="preserve">emphasized male inheritance, although women sometimes had access to land as gifts from fathers or husbands (Agarwal,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xml:space="preserve">). Early inscriptions indicate that widows could receive land grants in some cases, but these were exceptions rather than the rule. The emphasis on patrilineal inheritance meant that land was primarily controlled by men, and women’s rights were mediated through male relatives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00000028" w14:textId="6F59A22A" w:rsidR="00E86BA5" w:rsidRPr="00C46BF3" w:rsidRDefault="00C46BF3" w:rsidP="00E47767">
      <w:pPr>
        <w:pStyle w:val="Heading2"/>
        <w:rPr>
          <w:rFonts w:ascii="Times New Roman" w:hAnsi="Times New Roman" w:cs="Times New Roman"/>
          <w:b/>
          <w:bCs/>
        </w:rPr>
      </w:pPr>
      <w:bookmarkStart w:id="4" w:name="_Toc214986982"/>
      <w:r w:rsidRPr="00C46BF3">
        <w:rPr>
          <w:rFonts w:ascii="Times New Roman" w:hAnsi="Times New Roman" w:cs="Times New Roman"/>
          <w:b/>
          <w:bCs/>
        </w:rPr>
        <w:t>Colonial Period and Land Revenue Systems</w:t>
      </w:r>
      <w:bookmarkEnd w:id="4"/>
    </w:p>
    <w:p w14:paraId="0000002A"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colonial period radically altered land ownership structures. The Zamindari, Ryotwari, and Mahalwari systems imposed new forms of land taxation and property registration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These systems codified male landownership and often excluded women from formal records. Women’s claims were typically informal and unrecorded, making them vulnerable to dispossession. The colonial state prioritized revenue extraction over social equity, which reinforced existing patriarchal and caste hierarchies in landholding.</w:t>
      </w:r>
    </w:p>
    <w:p w14:paraId="0000002F" w14:textId="36EF95F4" w:rsidR="00E86BA5" w:rsidRPr="00C46BF3" w:rsidRDefault="00C46BF3" w:rsidP="00E47767">
      <w:pPr>
        <w:pStyle w:val="Heading2"/>
        <w:rPr>
          <w:rFonts w:ascii="Times New Roman" w:hAnsi="Times New Roman" w:cs="Times New Roman"/>
          <w:b/>
          <w:bCs/>
        </w:rPr>
      </w:pPr>
      <w:bookmarkStart w:id="5" w:name="_Toc214986983"/>
      <w:r w:rsidRPr="00C46BF3">
        <w:rPr>
          <w:rFonts w:ascii="Times New Roman" w:hAnsi="Times New Roman" w:cs="Times New Roman"/>
          <w:b/>
          <w:bCs/>
        </w:rPr>
        <w:t>Post-Independence Land Reforms</w:t>
      </w:r>
      <w:bookmarkEnd w:id="5"/>
    </w:p>
    <w:p w14:paraId="00000032" w14:textId="7B4F32B4"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After independence, India attempted to address historical inequalities through land reform initiatives. Ceiling laws, tenancy reforms, and redistribution programs were </w:t>
      </w:r>
      <w:r w:rsidRPr="00C46BF3">
        <w:rPr>
          <w:rFonts w:ascii="Times New Roman" w:hAnsi="Times New Roman" w:cs="Times New Roman"/>
          <w:sz w:val="24"/>
          <w:szCs w:val="24"/>
        </w:rPr>
        <w:lastRenderedPageBreak/>
        <w:t xml:space="preserve">introduced to limit large estates and provide land to landless households. However, these reforms often failed to account for gender. Even when land was redistributed, it was typically allocated to male heads of households, leaving women with limited access and control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33"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In some tribal and northeastern regions, customary laws governed land use. While these systems often allowed women some participatory rights, formal legal recognition was limited. Consequently, the post-independence era improved land access in general but did not significantly transform women’s rights to ownership and inheritance.</w:t>
      </w:r>
    </w:p>
    <w:p w14:paraId="00000038" w14:textId="4E296556" w:rsidR="00E86BA5" w:rsidRPr="00C46BF3" w:rsidRDefault="00C46BF3" w:rsidP="00E47767">
      <w:pPr>
        <w:pStyle w:val="Heading2"/>
        <w:rPr>
          <w:rFonts w:ascii="Times New Roman" w:hAnsi="Times New Roman" w:cs="Times New Roman"/>
          <w:b/>
          <w:bCs/>
        </w:rPr>
      </w:pPr>
      <w:bookmarkStart w:id="6" w:name="_Toc214986984"/>
      <w:r w:rsidRPr="00C46BF3">
        <w:rPr>
          <w:rFonts w:ascii="Times New Roman" w:hAnsi="Times New Roman" w:cs="Times New Roman"/>
          <w:b/>
          <w:bCs/>
        </w:rPr>
        <w:t>Legal Developments Affecting Women</w:t>
      </w:r>
      <w:bookmarkEnd w:id="6"/>
    </w:p>
    <w:p w14:paraId="0000003F" w14:textId="5AF6693C" w:rsidR="00E86BA5" w:rsidRPr="00C46BF3" w:rsidRDefault="00C46BF3" w:rsidP="00197DA1">
      <w:pPr>
        <w:jc w:val="both"/>
        <w:rPr>
          <w:rFonts w:ascii="Times New Roman" w:hAnsi="Times New Roman" w:cs="Times New Roman"/>
          <w:sz w:val="24"/>
          <w:szCs w:val="24"/>
        </w:rPr>
      </w:pPr>
      <w:r w:rsidRPr="00C46BF3">
        <w:rPr>
          <w:rFonts w:ascii="Times New Roman" w:hAnsi="Times New Roman" w:cs="Times New Roman"/>
          <w:sz w:val="24"/>
          <w:szCs w:val="24"/>
        </w:rPr>
        <w:t>The historical marginalization of women in land ownership continued until the late 20th century. Landmark legal reforms, such as the Hindu Succession (Amendment) Act, 2005, sought to rectify gender inequities by granting daughters equal coparcenary rights in ancestral property (Government of India, 2021). Similarly, the Forest Rights Act, 2006, recognized community land rights, including claims by tribal women (Ministry of Tribal Affairs, 2022). These legal milestones marked a shift from historical exclusion, but their effectiveness has been limited by entrenched social norms, bureaucratic barriers, and incomplete implementation.</w:t>
      </w:r>
    </w:p>
    <w:p w14:paraId="60D02A4B" w14:textId="77777777" w:rsidR="00197DA1" w:rsidRPr="00C46BF3" w:rsidRDefault="00197DA1" w:rsidP="00197DA1">
      <w:pPr>
        <w:jc w:val="both"/>
        <w:rPr>
          <w:rFonts w:ascii="Times New Roman" w:hAnsi="Times New Roman" w:cs="Times New Roman"/>
          <w:sz w:val="24"/>
          <w:szCs w:val="24"/>
        </w:rPr>
      </w:pPr>
    </w:p>
    <w:p w14:paraId="00000042" w14:textId="3191BCF9"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historical context shows a continuity of patriarchal and caste-based restrictions on women’s land rights. From ancient inheritance norms to colonial land systems and post-independence reforms, women </w:t>
      </w:r>
      <w:r w:rsidRPr="00C46BF3">
        <w:rPr>
          <w:rFonts w:ascii="Times New Roman" w:hAnsi="Times New Roman" w:cs="Times New Roman"/>
          <w:sz w:val="24"/>
          <w:szCs w:val="24"/>
        </w:rPr>
        <w:t>have often been excluded from formal ownership, leaving them dependent on male relatives. Understanding this history is essential to analyzing present-day challenges and designing effective policies that can deliver substantive gender equity in land rights.</w:t>
      </w:r>
    </w:p>
    <w:p w14:paraId="00000045" w14:textId="2361274C" w:rsidR="00E86BA5" w:rsidRPr="00C46BF3" w:rsidRDefault="00DD44A8" w:rsidP="00DD44A8">
      <w:pPr>
        <w:pStyle w:val="Heading1"/>
        <w:rPr>
          <w:rFonts w:ascii="Times New Roman" w:hAnsi="Times New Roman" w:cs="Times New Roman"/>
          <w:b/>
          <w:bCs/>
        </w:rPr>
      </w:pPr>
      <w:bookmarkStart w:id="7" w:name="_Toc214986986"/>
      <w:r w:rsidRPr="00C46BF3">
        <w:rPr>
          <w:rFonts w:ascii="Times New Roman" w:hAnsi="Times New Roman" w:cs="Times New Roman"/>
          <w:b/>
          <w:bCs/>
        </w:rPr>
        <w:t>THEORETICAL FRAMEWORKS</w:t>
      </w:r>
      <w:bookmarkEnd w:id="7"/>
    </w:p>
    <w:p w14:paraId="00000047" w14:textId="01FE368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To </w:t>
      </w:r>
      <w:r w:rsidR="00F61A9D" w:rsidRPr="00C46BF3">
        <w:rPr>
          <w:rFonts w:ascii="Times New Roman" w:hAnsi="Times New Roman" w:cs="Times New Roman"/>
          <w:sz w:val="24"/>
          <w:szCs w:val="24"/>
        </w:rPr>
        <w:t>analyse</w:t>
      </w:r>
      <w:r w:rsidRPr="00C46BF3">
        <w:rPr>
          <w:rFonts w:ascii="Times New Roman" w:hAnsi="Times New Roman" w:cs="Times New Roman"/>
          <w:sz w:val="24"/>
          <w:szCs w:val="24"/>
        </w:rPr>
        <w:t xml:space="preserve"> gendered land rights in India, it is essential to adopt theoretical perspectives that go beyond legal statutes and formal ownership. Three complementary frameworks—feminist political economy, intersectionality, and human rights—help explain the structural and socio-cultural barriers women face in accessing, owning, and controlling land.</w:t>
      </w:r>
    </w:p>
    <w:p w14:paraId="0000004D" w14:textId="6BEF2F45" w:rsidR="00E86BA5" w:rsidRPr="00C46BF3" w:rsidRDefault="00C46BF3" w:rsidP="00E47767">
      <w:pPr>
        <w:pStyle w:val="Heading2"/>
        <w:rPr>
          <w:rFonts w:ascii="Times New Roman" w:hAnsi="Times New Roman" w:cs="Times New Roman"/>
          <w:b/>
          <w:bCs/>
        </w:rPr>
      </w:pPr>
      <w:bookmarkStart w:id="8" w:name="_Toc214986987"/>
      <w:r w:rsidRPr="00C46BF3">
        <w:rPr>
          <w:rFonts w:ascii="Times New Roman" w:hAnsi="Times New Roman" w:cs="Times New Roman"/>
          <w:b/>
          <w:bCs/>
        </w:rPr>
        <w:t>Feminist Political Economy</w:t>
      </w:r>
      <w:bookmarkEnd w:id="8"/>
    </w:p>
    <w:p w14:paraId="0000004E"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Feminist political economy emphasizes that property relations are shaped by both economic structures and social power hierarchies. Land is not merely a productive asset; it is central to bargaining power within households and communities (Agarwal,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xml:space="preserve">). Women’s limited land ownership is therefore not only an economic issue but also a reflection of patriarchy embedded in family and social norms. Scholars argue that control over land, rather than mere possession, is key to empowerment: women may be listed as owners on paper but lack actual decision-making authority over land use, sale, or mortgage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53" w14:textId="3FF4A6D6" w:rsidR="00E86BA5" w:rsidRPr="00C46BF3" w:rsidRDefault="00C46BF3" w:rsidP="00E47767">
      <w:pPr>
        <w:pStyle w:val="Heading2"/>
        <w:rPr>
          <w:rFonts w:ascii="Times New Roman" w:hAnsi="Times New Roman" w:cs="Times New Roman"/>
          <w:b/>
          <w:bCs/>
        </w:rPr>
      </w:pPr>
      <w:bookmarkStart w:id="9" w:name="_Toc214986988"/>
      <w:r w:rsidRPr="00C46BF3">
        <w:rPr>
          <w:rFonts w:ascii="Times New Roman" w:hAnsi="Times New Roman" w:cs="Times New Roman"/>
          <w:b/>
          <w:bCs/>
        </w:rPr>
        <w:lastRenderedPageBreak/>
        <w:t>Intersectionality</w:t>
      </w:r>
      <w:bookmarkEnd w:id="9"/>
    </w:p>
    <w:p w14:paraId="00000055"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Intersectionality, first conceptualized by Crenshaw (</w:t>
      </w:r>
      <w:r w:rsidRPr="00C46BF3">
        <w:rPr>
          <w:rFonts w:ascii="Times New Roman" w:hAnsi="Times New Roman" w:cs="Times New Roman"/>
          <w:color w:val="EE0000"/>
          <w:sz w:val="24"/>
          <w:szCs w:val="24"/>
        </w:rPr>
        <w:t>1989</w:t>
      </w:r>
      <w:r w:rsidRPr="00C46BF3">
        <w:rPr>
          <w:rFonts w:ascii="Times New Roman" w:hAnsi="Times New Roman" w:cs="Times New Roman"/>
          <w:sz w:val="24"/>
          <w:szCs w:val="24"/>
        </w:rPr>
        <w:t xml:space="preserve">), highlights how overlapping social identities—such as gender, caste, class, and tribal status—compound disadvantage. In India, Dalit and Adivasi women experience multiple layers of marginalization: they are often landless or hold marginal plots, face discrimination in accessing legal remedies, and encounter social sanctions if they assert their rights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Intersectional analysis is crucial because legal reforms that apply uniformly may not reach the most marginalized women without targeted interventions.</w:t>
      </w:r>
    </w:p>
    <w:p w14:paraId="0000005A" w14:textId="2407AC16" w:rsidR="00E86BA5" w:rsidRPr="00C46BF3" w:rsidRDefault="00C46BF3" w:rsidP="00E47767">
      <w:pPr>
        <w:pStyle w:val="Heading2"/>
        <w:rPr>
          <w:rFonts w:ascii="Times New Roman" w:hAnsi="Times New Roman" w:cs="Times New Roman"/>
          <w:b/>
          <w:bCs/>
        </w:rPr>
      </w:pPr>
      <w:bookmarkStart w:id="10" w:name="_Toc214986989"/>
      <w:r w:rsidRPr="00C46BF3">
        <w:rPr>
          <w:rFonts w:ascii="Times New Roman" w:hAnsi="Times New Roman" w:cs="Times New Roman"/>
          <w:b/>
          <w:bCs/>
        </w:rPr>
        <w:t>Human Rights and Legal Frameworks</w:t>
      </w:r>
      <w:bookmarkEnd w:id="10"/>
    </w:p>
    <w:p w14:paraId="0000005C"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human rights approach situates land ownership within a broader framework of equality, dignity, and economic rights. International instruments such as CEDAW (Convention on the Elimination of All Forms of Discrimination Against Women) obligate states to ensure equal access to property and inheritance rights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Domestic laws, including the Hindu Succession (Amendment) Act, 2005, and the Forest Rights Act, 2006, reflect these obligations but require effective implementation. A human rights lens emphasizes that formal recognition of rights alone is insufficient; the state must facilitate women’s practical access and enforce mechanisms to overcome social and institutional barriers.</w:t>
      </w:r>
    </w:p>
    <w:p w14:paraId="00000061" w14:textId="320A3957" w:rsidR="00E86BA5" w:rsidRPr="00C46BF3" w:rsidRDefault="00C46BF3" w:rsidP="00E47767">
      <w:pPr>
        <w:pStyle w:val="Heading2"/>
        <w:rPr>
          <w:rFonts w:ascii="Times New Roman" w:hAnsi="Times New Roman" w:cs="Times New Roman"/>
          <w:b/>
          <w:bCs/>
        </w:rPr>
      </w:pPr>
      <w:bookmarkStart w:id="11" w:name="_Toc214986990"/>
      <w:r w:rsidRPr="00C46BF3">
        <w:rPr>
          <w:rFonts w:ascii="Times New Roman" w:hAnsi="Times New Roman" w:cs="Times New Roman"/>
          <w:b/>
          <w:bCs/>
        </w:rPr>
        <w:t>Commons and Collective Property Theory</w:t>
      </w:r>
      <w:bookmarkEnd w:id="11"/>
    </w:p>
    <w:p w14:paraId="00000068" w14:textId="2586EBEC" w:rsidR="00E86BA5" w:rsidRPr="00C46BF3" w:rsidRDefault="00C46BF3" w:rsidP="001F36E1">
      <w:pPr>
        <w:jc w:val="both"/>
        <w:rPr>
          <w:rFonts w:ascii="Times New Roman" w:hAnsi="Times New Roman" w:cs="Times New Roman"/>
          <w:sz w:val="24"/>
          <w:szCs w:val="24"/>
        </w:rPr>
      </w:pPr>
      <w:r w:rsidRPr="00C46BF3">
        <w:rPr>
          <w:rFonts w:ascii="Times New Roman" w:hAnsi="Times New Roman" w:cs="Times New Roman"/>
          <w:sz w:val="24"/>
          <w:szCs w:val="24"/>
        </w:rPr>
        <w:t>Some scholars, notably Elinor Ostrom (</w:t>
      </w:r>
      <w:r w:rsidRPr="00C46BF3">
        <w:rPr>
          <w:rFonts w:ascii="Times New Roman" w:hAnsi="Times New Roman" w:cs="Times New Roman"/>
          <w:color w:val="EE0000"/>
          <w:sz w:val="24"/>
          <w:szCs w:val="24"/>
        </w:rPr>
        <w:t>1990</w:t>
      </w:r>
      <w:r w:rsidRPr="00C46BF3">
        <w:rPr>
          <w:rFonts w:ascii="Times New Roman" w:hAnsi="Times New Roman" w:cs="Times New Roman"/>
          <w:sz w:val="24"/>
          <w:szCs w:val="24"/>
        </w:rPr>
        <w:t xml:space="preserve">), argue that collective property systems and community governance can provide more equitable access to resources than individualized ownership alone. In tribal and agrarian contexts, women often participate in community-managed lands for agriculture, forestry, or water access. Recognizing and strengthening such collective rights, alongside formal legal titles, can enhance women’s real control over resources, particularly in regions where customary norms dominate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ACB5C40" w14:textId="77777777" w:rsidR="001F36E1" w:rsidRPr="00C46BF3" w:rsidRDefault="001F36E1" w:rsidP="001F36E1">
      <w:pPr>
        <w:jc w:val="both"/>
        <w:rPr>
          <w:rFonts w:ascii="Times New Roman" w:hAnsi="Times New Roman" w:cs="Times New Roman"/>
          <w:sz w:val="24"/>
          <w:szCs w:val="24"/>
        </w:rPr>
      </w:pPr>
    </w:p>
    <w:p w14:paraId="0000006A"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These theoretical frameworks together offer a multidimensional understanding of women’s land rights in India. Feminist political economy explains structural power imbalances; intersectionality identifies the compounded disadvantages faced by marginalized women; human rights perspectives frame land ownership as a matter of legal and social justice; and commons theory highlights the potential of collective approaches. Applying these lenses allows for a deeper analysis of both legal reforms and social practices, and informs policy solutions that aim for substantive equality rather than formal recognition alone.</w:t>
      </w:r>
    </w:p>
    <w:p w14:paraId="0000006F" w14:textId="07E39AF8" w:rsidR="00E86BA5" w:rsidRPr="00C46BF3" w:rsidRDefault="00DD44A8" w:rsidP="00F61A9D">
      <w:pPr>
        <w:pStyle w:val="Heading1"/>
        <w:jc w:val="both"/>
        <w:rPr>
          <w:rFonts w:ascii="Times New Roman" w:hAnsi="Times New Roman" w:cs="Times New Roman"/>
        </w:rPr>
      </w:pPr>
      <w:bookmarkStart w:id="12" w:name="_Toc214986992"/>
      <w:r w:rsidRPr="00C46BF3">
        <w:rPr>
          <w:rFonts w:ascii="Times New Roman" w:hAnsi="Times New Roman" w:cs="Times New Roman"/>
          <w:b/>
          <w:bCs/>
        </w:rPr>
        <w:t>LEGAL FRAMEWORK IN INDIA</w:t>
      </w:r>
      <w:bookmarkEnd w:id="12"/>
    </w:p>
    <w:p w14:paraId="00000070"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A comprehensive understanding of women’s land rights in India requires examining the formal legal structures that </w:t>
      </w:r>
      <w:r w:rsidRPr="00C46BF3">
        <w:rPr>
          <w:rFonts w:ascii="Times New Roman" w:hAnsi="Times New Roman" w:cs="Times New Roman"/>
          <w:sz w:val="24"/>
          <w:szCs w:val="24"/>
        </w:rPr>
        <w:lastRenderedPageBreak/>
        <w:t>govern property ownership, inheritance, and access to land. While India has made significant legislative efforts to ensure gender equality, implementation gaps and social barriers continue to hinder women’s effective ownership and control of land.</w:t>
      </w:r>
    </w:p>
    <w:p w14:paraId="00000075" w14:textId="1CF31371" w:rsidR="00E86BA5" w:rsidRPr="00C46BF3" w:rsidRDefault="00C46BF3" w:rsidP="00E47767">
      <w:pPr>
        <w:pStyle w:val="Heading2"/>
        <w:rPr>
          <w:rFonts w:ascii="Times New Roman" w:hAnsi="Times New Roman" w:cs="Times New Roman"/>
          <w:b/>
          <w:bCs/>
        </w:rPr>
      </w:pPr>
      <w:bookmarkStart w:id="13" w:name="_Toc214986993"/>
      <w:r w:rsidRPr="00C46BF3">
        <w:rPr>
          <w:rFonts w:ascii="Times New Roman" w:hAnsi="Times New Roman" w:cs="Times New Roman"/>
          <w:b/>
          <w:bCs/>
        </w:rPr>
        <w:t>Constitutional Provisions</w:t>
      </w:r>
      <w:bookmarkEnd w:id="13"/>
    </w:p>
    <w:p w14:paraId="00000077"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Indian Constitution provides the foundation for gender equality in land ownership. </w:t>
      </w:r>
      <w:r w:rsidRPr="00C46BF3">
        <w:rPr>
          <w:rFonts w:ascii="Times New Roman" w:hAnsi="Times New Roman" w:cs="Times New Roman"/>
          <w:b/>
          <w:bCs/>
          <w:sz w:val="24"/>
          <w:szCs w:val="24"/>
        </w:rPr>
        <w:t>Article 14</w:t>
      </w:r>
      <w:r w:rsidRPr="00C46BF3">
        <w:rPr>
          <w:rFonts w:ascii="Times New Roman" w:hAnsi="Times New Roman" w:cs="Times New Roman"/>
          <w:sz w:val="24"/>
          <w:szCs w:val="24"/>
        </w:rPr>
        <w:t xml:space="preserve"> guarantees equality before the law; </w:t>
      </w:r>
      <w:r w:rsidRPr="00C46BF3">
        <w:rPr>
          <w:rFonts w:ascii="Times New Roman" w:hAnsi="Times New Roman" w:cs="Times New Roman"/>
          <w:b/>
          <w:bCs/>
          <w:sz w:val="24"/>
          <w:szCs w:val="24"/>
        </w:rPr>
        <w:t>Article 15</w:t>
      </w:r>
      <w:r w:rsidRPr="00C46BF3">
        <w:rPr>
          <w:rFonts w:ascii="Times New Roman" w:hAnsi="Times New Roman" w:cs="Times New Roman"/>
          <w:sz w:val="24"/>
          <w:szCs w:val="24"/>
        </w:rPr>
        <w:t xml:space="preserve"> prohibits discrimination based on sex; </w:t>
      </w:r>
      <w:r w:rsidRPr="00C46BF3">
        <w:rPr>
          <w:rFonts w:ascii="Times New Roman" w:hAnsi="Times New Roman" w:cs="Times New Roman"/>
          <w:b/>
          <w:bCs/>
          <w:sz w:val="24"/>
          <w:szCs w:val="24"/>
        </w:rPr>
        <w:t>Article 21</w:t>
      </w:r>
      <w:r w:rsidRPr="00C46BF3">
        <w:rPr>
          <w:rFonts w:ascii="Times New Roman" w:hAnsi="Times New Roman" w:cs="Times New Roman"/>
          <w:sz w:val="24"/>
          <w:szCs w:val="24"/>
        </w:rPr>
        <w:t xml:space="preserve"> recognizes the right to life and personal liberty; and </w:t>
      </w:r>
      <w:r w:rsidRPr="00C46BF3">
        <w:rPr>
          <w:rFonts w:ascii="Times New Roman" w:hAnsi="Times New Roman" w:cs="Times New Roman"/>
          <w:b/>
          <w:bCs/>
          <w:sz w:val="24"/>
          <w:szCs w:val="24"/>
        </w:rPr>
        <w:t>Article 39(b) and 39(c</w:t>
      </w:r>
      <w:r w:rsidRPr="00C46BF3">
        <w:rPr>
          <w:rFonts w:ascii="Times New Roman" w:hAnsi="Times New Roman" w:cs="Times New Roman"/>
          <w:sz w:val="24"/>
          <w:szCs w:val="24"/>
        </w:rPr>
        <w:t xml:space="preserve">) direct the state to ensure equitable distribution of material resources and ownership of property (Government of India, </w:t>
      </w:r>
      <w:r w:rsidRPr="00C46BF3">
        <w:rPr>
          <w:rFonts w:ascii="Times New Roman" w:hAnsi="Times New Roman" w:cs="Times New Roman"/>
          <w:color w:val="EE0000"/>
          <w:sz w:val="24"/>
          <w:szCs w:val="24"/>
        </w:rPr>
        <w:t>2021</w:t>
      </w:r>
      <w:r w:rsidRPr="00C46BF3">
        <w:rPr>
          <w:rFonts w:ascii="Times New Roman" w:hAnsi="Times New Roman" w:cs="Times New Roman"/>
          <w:sz w:val="24"/>
          <w:szCs w:val="24"/>
        </w:rPr>
        <w:t>). While these provisions create a strong constitutional mandate, they do not automatically translate into practical land ownership for women, due to persistent social and institutional barriers.</w:t>
      </w:r>
    </w:p>
    <w:p w14:paraId="0000007C" w14:textId="7E1C70F1" w:rsidR="00E86BA5" w:rsidRPr="00C46BF3" w:rsidRDefault="00C46BF3" w:rsidP="00E47767">
      <w:pPr>
        <w:pStyle w:val="Heading2"/>
        <w:rPr>
          <w:rFonts w:ascii="Times New Roman" w:hAnsi="Times New Roman" w:cs="Times New Roman"/>
          <w:b/>
          <w:bCs/>
        </w:rPr>
      </w:pPr>
      <w:bookmarkStart w:id="14" w:name="_Toc214986994"/>
      <w:r w:rsidRPr="00C46BF3">
        <w:rPr>
          <w:rFonts w:ascii="Times New Roman" w:hAnsi="Times New Roman" w:cs="Times New Roman"/>
          <w:b/>
          <w:bCs/>
        </w:rPr>
        <w:t>Personal Laws and Inheritance</w:t>
      </w:r>
      <w:bookmarkEnd w:id="14"/>
    </w:p>
    <w:p w14:paraId="0000007F" w14:textId="1A19EDBD" w:rsidR="00E86BA5" w:rsidRPr="00C46BF3" w:rsidRDefault="00E47767" w:rsidP="00363CC7">
      <w:pPr>
        <w:jc w:val="both"/>
        <w:rPr>
          <w:rFonts w:ascii="Times New Roman" w:hAnsi="Times New Roman" w:cs="Times New Roman"/>
          <w:sz w:val="24"/>
          <w:szCs w:val="24"/>
        </w:rPr>
      </w:pPr>
      <w:r w:rsidRPr="00C46BF3">
        <w:rPr>
          <w:rFonts w:ascii="Times New Roman" w:hAnsi="Times New Roman" w:cs="Times New Roman"/>
          <w:sz w:val="24"/>
          <w:szCs w:val="24"/>
        </w:rPr>
        <w:t>Inheritance rights for women are governed by religious personal laws:</w:t>
      </w:r>
    </w:p>
    <w:p w14:paraId="3F34DF72" w14:textId="77777777" w:rsidR="00E47767" w:rsidRPr="00C46BF3" w:rsidRDefault="00C46BF3" w:rsidP="00E47767">
      <w:pPr>
        <w:pStyle w:val="ListParagraph"/>
        <w:numPr>
          <w:ilvl w:val="0"/>
          <w:numId w:val="1"/>
        </w:numPr>
        <w:jc w:val="both"/>
        <w:rPr>
          <w:rFonts w:ascii="Times New Roman" w:hAnsi="Times New Roman" w:cs="Times New Roman"/>
          <w:sz w:val="24"/>
          <w:szCs w:val="24"/>
        </w:rPr>
      </w:pPr>
      <w:r w:rsidRPr="00C46BF3">
        <w:rPr>
          <w:rFonts w:ascii="Times New Roman" w:hAnsi="Times New Roman" w:cs="Times New Roman"/>
          <w:sz w:val="24"/>
          <w:szCs w:val="24"/>
        </w:rPr>
        <w:t xml:space="preserve">Hindu Succession Act (1956, amended 2005) grants daughters equal coparcenary rights in ancestral property and ensures inheritance rights for widows (Government of India, </w:t>
      </w:r>
      <w:r w:rsidRPr="00C46BF3">
        <w:rPr>
          <w:rFonts w:ascii="Times New Roman" w:hAnsi="Times New Roman" w:cs="Times New Roman"/>
          <w:color w:val="EE0000"/>
          <w:sz w:val="24"/>
          <w:szCs w:val="24"/>
        </w:rPr>
        <w:t>2021</w:t>
      </w:r>
      <w:r w:rsidRPr="00C46BF3">
        <w:rPr>
          <w:rFonts w:ascii="Times New Roman" w:hAnsi="Times New Roman" w:cs="Times New Roman"/>
          <w:sz w:val="24"/>
          <w:szCs w:val="24"/>
        </w:rPr>
        <w:t>).</w:t>
      </w:r>
    </w:p>
    <w:p w14:paraId="00000082" w14:textId="4CF71D89" w:rsidR="00E86BA5" w:rsidRPr="00C46BF3" w:rsidRDefault="00C46BF3" w:rsidP="00E47767">
      <w:pPr>
        <w:pStyle w:val="ListParagraph"/>
        <w:numPr>
          <w:ilvl w:val="0"/>
          <w:numId w:val="1"/>
        </w:numPr>
        <w:jc w:val="both"/>
        <w:rPr>
          <w:rFonts w:ascii="Times New Roman" w:hAnsi="Times New Roman" w:cs="Times New Roman"/>
          <w:sz w:val="24"/>
          <w:szCs w:val="24"/>
        </w:rPr>
      </w:pPr>
      <w:r w:rsidRPr="00C46BF3">
        <w:rPr>
          <w:rFonts w:ascii="Times New Roman" w:hAnsi="Times New Roman" w:cs="Times New Roman"/>
          <w:sz w:val="24"/>
          <w:szCs w:val="24"/>
        </w:rPr>
        <w:t xml:space="preserve">Muslim personal law follows Sharia principles of inheritance, where daughters receive half the share of sons. Recent debates have focused on ensuring equitable inheritance through reforms and judicial interpretations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081F7DDB" w14:textId="77777777" w:rsidR="00E010F2" w:rsidRPr="00C46BF3" w:rsidRDefault="00C46BF3" w:rsidP="00363CC7">
      <w:pPr>
        <w:pStyle w:val="ListParagraph"/>
        <w:numPr>
          <w:ilvl w:val="0"/>
          <w:numId w:val="1"/>
        </w:numPr>
        <w:jc w:val="both"/>
        <w:rPr>
          <w:rFonts w:ascii="Times New Roman" w:hAnsi="Times New Roman" w:cs="Times New Roman"/>
          <w:sz w:val="24"/>
          <w:szCs w:val="24"/>
        </w:rPr>
      </w:pPr>
      <w:r w:rsidRPr="00C46BF3">
        <w:rPr>
          <w:rFonts w:ascii="Times New Roman" w:hAnsi="Times New Roman" w:cs="Times New Roman"/>
          <w:sz w:val="24"/>
          <w:szCs w:val="24"/>
        </w:rPr>
        <w:t>Christian and Parsi laws also provide varying degrees of inheritance rights, though enforcement remains inconsistent.</w:t>
      </w:r>
    </w:p>
    <w:p w14:paraId="00000087" w14:textId="3A6D2489" w:rsidR="00E86BA5" w:rsidRPr="00C46BF3" w:rsidRDefault="00C46BF3" w:rsidP="00E010F2">
      <w:pPr>
        <w:jc w:val="both"/>
        <w:rPr>
          <w:rFonts w:ascii="Times New Roman" w:hAnsi="Times New Roman" w:cs="Times New Roman"/>
          <w:sz w:val="24"/>
          <w:szCs w:val="24"/>
        </w:rPr>
      </w:pPr>
      <w:r w:rsidRPr="00C46BF3">
        <w:rPr>
          <w:rFonts w:ascii="Times New Roman" w:hAnsi="Times New Roman" w:cs="Times New Roman"/>
          <w:sz w:val="24"/>
          <w:szCs w:val="24"/>
        </w:rPr>
        <w:t xml:space="preserve">Despite these statutory provisions, many women are unaware of their rights, and societal norms often prevent them from asserting claims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8C" w14:textId="7C086389" w:rsidR="00E86BA5" w:rsidRPr="00C46BF3" w:rsidRDefault="00C46BF3" w:rsidP="00E010F2">
      <w:pPr>
        <w:pStyle w:val="Heading2"/>
        <w:rPr>
          <w:rFonts w:ascii="Times New Roman" w:hAnsi="Times New Roman" w:cs="Times New Roman"/>
          <w:b/>
          <w:bCs/>
        </w:rPr>
      </w:pPr>
      <w:bookmarkStart w:id="15" w:name="_Toc214986995"/>
      <w:r w:rsidRPr="00C46BF3">
        <w:rPr>
          <w:rFonts w:ascii="Times New Roman" w:hAnsi="Times New Roman" w:cs="Times New Roman"/>
          <w:b/>
          <w:bCs/>
        </w:rPr>
        <w:t>Land Reform Legislation</w:t>
      </w:r>
      <w:bookmarkEnd w:id="15"/>
    </w:p>
    <w:p w14:paraId="0000008F" w14:textId="71B1CDAE"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Post-independence India enacted several land reforms to redistribute land and limit concentration in large estates:</w:t>
      </w:r>
    </w:p>
    <w:p w14:paraId="00000091" w14:textId="129986E5" w:rsidR="00E86BA5" w:rsidRPr="00C46BF3" w:rsidRDefault="00C46BF3" w:rsidP="00363CC7">
      <w:pPr>
        <w:pStyle w:val="ListParagraph"/>
        <w:numPr>
          <w:ilvl w:val="0"/>
          <w:numId w:val="2"/>
        </w:numPr>
        <w:jc w:val="both"/>
        <w:rPr>
          <w:rFonts w:ascii="Times New Roman" w:hAnsi="Times New Roman" w:cs="Times New Roman"/>
          <w:sz w:val="24"/>
          <w:szCs w:val="24"/>
        </w:rPr>
      </w:pPr>
      <w:r w:rsidRPr="00C46BF3">
        <w:rPr>
          <w:rFonts w:ascii="Times New Roman" w:hAnsi="Times New Roman" w:cs="Times New Roman"/>
          <w:sz w:val="24"/>
          <w:szCs w:val="24"/>
        </w:rPr>
        <w:t>Land Ceiling Acts restricted maximum land holdings but often allocated redistributed land to male household heads.</w:t>
      </w:r>
    </w:p>
    <w:p w14:paraId="00000092" w14:textId="77777777" w:rsidR="00E86BA5" w:rsidRPr="00C46BF3" w:rsidRDefault="00C46BF3" w:rsidP="00E010F2">
      <w:pPr>
        <w:pStyle w:val="ListParagraph"/>
        <w:numPr>
          <w:ilvl w:val="0"/>
          <w:numId w:val="2"/>
        </w:numPr>
        <w:jc w:val="both"/>
        <w:rPr>
          <w:rFonts w:ascii="Times New Roman" w:hAnsi="Times New Roman" w:cs="Times New Roman"/>
          <w:sz w:val="24"/>
          <w:szCs w:val="24"/>
        </w:rPr>
      </w:pPr>
      <w:r w:rsidRPr="00C46BF3">
        <w:rPr>
          <w:rFonts w:ascii="Times New Roman" w:hAnsi="Times New Roman" w:cs="Times New Roman"/>
          <w:sz w:val="24"/>
          <w:szCs w:val="24"/>
        </w:rPr>
        <w:t>Tenancy Acts regulated tenancy rights but rarely formalized female tenants’ claims.</w:t>
      </w:r>
    </w:p>
    <w:p w14:paraId="00000094" w14:textId="77777777" w:rsidR="00E86BA5" w:rsidRPr="00C46BF3" w:rsidRDefault="00C46BF3" w:rsidP="00E010F2">
      <w:pPr>
        <w:pStyle w:val="ListParagraph"/>
        <w:numPr>
          <w:ilvl w:val="0"/>
          <w:numId w:val="2"/>
        </w:numPr>
        <w:jc w:val="both"/>
        <w:rPr>
          <w:rFonts w:ascii="Times New Roman" w:hAnsi="Times New Roman" w:cs="Times New Roman"/>
          <w:sz w:val="24"/>
          <w:szCs w:val="24"/>
        </w:rPr>
      </w:pPr>
      <w:r w:rsidRPr="00C46BF3">
        <w:rPr>
          <w:rFonts w:ascii="Times New Roman" w:hAnsi="Times New Roman" w:cs="Times New Roman"/>
          <w:sz w:val="24"/>
          <w:szCs w:val="24"/>
        </w:rPr>
        <w:t xml:space="preserve">Agricultural tenancy and redistribution schemes provided access to land in principle, but women’s direct benefit was limited due to legal recognition being in men’s names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9A" w14:textId="0776B168" w:rsidR="00E86BA5" w:rsidRPr="00C46BF3" w:rsidRDefault="00C46BF3" w:rsidP="00E010F2">
      <w:pPr>
        <w:pStyle w:val="Heading2"/>
        <w:rPr>
          <w:rFonts w:ascii="Times New Roman" w:hAnsi="Times New Roman" w:cs="Times New Roman"/>
          <w:b/>
          <w:bCs/>
        </w:rPr>
      </w:pPr>
      <w:bookmarkStart w:id="16" w:name="_Toc214986996"/>
      <w:r w:rsidRPr="00C46BF3">
        <w:rPr>
          <w:rFonts w:ascii="Times New Roman" w:hAnsi="Times New Roman" w:cs="Times New Roman"/>
          <w:b/>
          <w:bCs/>
        </w:rPr>
        <w:t>Forest Rights and Community Land</w:t>
      </w:r>
      <w:bookmarkEnd w:id="16"/>
    </w:p>
    <w:p w14:paraId="0000009C"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Forest Rights Act, 2006 recognized the rights of tribal and forest-dwelling communities over ancestral land and forest resources. Importantly, the Act acknowledges the claims of women within households and communities, aiming to enhance their participation in decision-making (Ministry of Tribal Affairs,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xml:space="preserve">). However, local power dynamics, patriarchal Gram Sabha practices, and </w:t>
      </w:r>
      <w:r w:rsidRPr="00C46BF3">
        <w:rPr>
          <w:rFonts w:ascii="Times New Roman" w:hAnsi="Times New Roman" w:cs="Times New Roman"/>
          <w:sz w:val="24"/>
          <w:szCs w:val="24"/>
        </w:rPr>
        <w:lastRenderedPageBreak/>
        <w:t>bureaucratic delays often undermine women’s ability to secure formal rights.</w:t>
      </w:r>
    </w:p>
    <w:p w14:paraId="000000A1" w14:textId="6DBE442F" w:rsidR="00E86BA5" w:rsidRPr="00C46BF3" w:rsidRDefault="00C46BF3" w:rsidP="00E010F2">
      <w:pPr>
        <w:pStyle w:val="Heading2"/>
        <w:rPr>
          <w:rFonts w:ascii="Times New Roman" w:hAnsi="Times New Roman" w:cs="Times New Roman"/>
          <w:b/>
          <w:bCs/>
        </w:rPr>
      </w:pPr>
      <w:bookmarkStart w:id="17" w:name="_Toc214986997"/>
      <w:r w:rsidRPr="00C46BF3">
        <w:rPr>
          <w:rFonts w:ascii="Times New Roman" w:hAnsi="Times New Roman" w:cs="Times New Roman"/>
          <w:b/>
          <w:bCs/>
        </w:rPr>
        <w:t>Land Acquisition and Compensation</w:t>
      </w:r>
      <w:bookmarkEnd w:id="17"/>
    </w:p>
    <w:p w14:paraId="000000A3"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Land Acquisition, Rehabilitation, and Resettlement Act, 2013 regulates government acquisition of land for public purposes. While the Act includes provisions for compensation and rehabilitation, women are often excluded from formal entitlements if land titles are registered in male family members’ names. Scholars have argued that explicitly recognizing women in compensation and resettlement processes is critical for gender equity (Agarwal,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000000A8" w14:textId="17190778" w:rsidR="00E86BA5" w:rsidRPr="00C46BF3" w:rsidRDefault="00C46BF3" w:rsidP="00E010F2">
      <w:pPr>
        <w:pStyle w:val="Heading2"/>
        <w:rPr>
          <w:rFonts w:ascii="Times New Roman" w:hAnsi="Times New Roman" w:cs="Times New Roman"/>
          <w:b/>
          <w:bCs/>
        </w:rPr>
      </w:pPr>
      <w:bookmarkStart w:id="18" w:name="_Toc214986998"/>
      <w:r w:rsidRPr="00C46BF3">
        <w:rPr>
          <w:rFonts w:ascii="Times New Roman" w:hAnsi="Times New Roman" w:cs="Times New Roman"/>
          <w:b/>
          <w:bCs/>
        </w:rPr>
        <w:t>Implementation Challenges</w:t>
      </w:r>
      <w:bookmarkEnd w:id="18"/>
    </w:p>
    <w:p w14:paraId="000000AB" w14:textId="6A04F5BA"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Across these legal frameworks, key challenges persist:</w:t>
      </w:r>
    </w:p>
    <w:p w14:paraId="000000AC" w14:textId="3F980F9C" w:rsidR="00E86BA5" w:rsidRPr="00C46BF3" w:rsidRDefault="00C46BF3" w:rsidP="00E010F2">
      <w:pPr>
        <w:pStyle w:val="ListParagraph"/>
        <w:numPr>
          <w:ilvl w:val="0"/>
          <w:numId w:val="3"/>
        </w:numPr>
        <w:jc w:val="both"/>
        <w:rPr>
          <w:rFonts w:ascii="Times New Roman" w:hAnsi="Times New Roman" w:cs="Times New Roman"/>
          <w:sz w:val="24"/>
          <w:szCs w:val="24"/>
        </w:rPr>
      </w:pPr>
      <w:r w:rsidRPr="00C46BF3">
        <w:rPr>
          <w:rFonts w:ascii="Times New Roman" w:hAnsi="Times New Roman" w:cs="Times New Roman"/>
          <w:b/>
          <w:bCs/>
          <w:sz w:val="24"/>
          <w:szCs w:val="24"/>
        </w:rPr>
        <w:t>Awareness Gaps</w:t>
      </w:r>
      <w:r w:rsidRPr="00C46BF3">
        <w:rPr>
          <w:rFonts w:ascii="Times New Roman" w:hAnsi="Times New Roman" w:cs="Times New Roman"/>
          <w:sz w:val="24"/>
          <w:szCs w:val="24"/>
        </w:rPr>
        <w:t>: Many women are unaware of their statutory rights.</w:t>
      </w:r>
    </w:p>
    <w:p w14:paraId="000000AF" w14:textId="34EE23C8" w:rsidR="00E86BA5" w:rsidRPr="00C46BF3" w:rsidRDefault="00C46BF3" w:rsidP="00E010F2">
      <w:pPr>
        <w:pStyle w:val="ListParagraph"/>
        <w:numPr>
          <w:ilvl w:val="0"/>
          <w:numId w:val="3"/>
        </w:numPr>
        <w:jc w:val="both"/>
        <w:rPr>
          <w:rFonts w:ascii="Times New Roman" w:hAnsi="Times New Roman" w:cs="Times New Roman"/>
          <w:sz w:val="24"/>
          <w:szCs w:val="24"/>
        </w:rPr>
      </w:pPr>
      <w:r w:rsidRPr="00C46BF3">
        <w:rPr>
          <w:rFonts w:ascii="Times New Roman" w:hAnsi="Times New Roman" w:cs="Times New Roman"/>
          <w:b/>
          <w:bCs/>
          <w:sz w:val="24"/>
          <w:szCs w:val="24"/>
        </w:rPr>
        <w:t>Bureaucratic Barriers</w:t>
      </w:r>
      <w:r w:rsidRPr="00C46BF3">
        <w:rPr>
          <w:rFonts w:ascii="Times New Roman" w:hAnsi="Times New Roman" w:cs="Times New Roman"/>
          <w:sz w:val="24"/>
          <w:szCs w:val="24"/>
        </w:rPr>
        <w:t>: Land record systems often favor male registrants.</w:t>
      </w:r>
    </w:p>
    <w:p w14:paraId="000000B4" w14:textId="43403005" w:rsidR="00E86BA5" w:rsidRPr="00C46BF3" w:rsidRDefault="00C46BF3" w:rsidP="00363CC7">
      <w:pPr>
        <w:pStyle w:val="ListParagraph"/>
        <w:numPr>
          <w:ilvl w:val="0"/>
          <w:numId w:val="3"/>
        </w:numPr>
        <w:jc w:val="both"/>
        <w:rPr>
          <w:rFonts w:ascii="Times New Roman" w:hAnsi="Times New Roman" w:cs="Times New Roman"/>
          <w:sz w:val="24"/>
          <w:szCs w:val="24"/>
        </w:rPr>
      </w:pPr>
      <w:r w:rsidRPr="00C46BF3">
        <w:rPr>
          <w:rFonts w:ascii="Times New Roman" w:hAnsi="Times New Roman" w:cs="Times New Roman"/>
          <w:b/>
          <w:bCs/>
          <w:sz w:val="24"/>
          <w:szCs w:val="24"/>
        </w:rPr>
        <w:t>Customary Overrides</w:t>
      </w:r>
      <w:r w:rsidRPr="00C46BF3">
        <w:rPr>
          <w:rFonts w:ascii="Times New Roman" w:hAnsi="Times New Roman" w:cs="Times New Roman"/>
          <w:sz w:val="24"/>
          <w:szCs w:val="24"/>
        </w:rPr>
        <w:t>: Local customs and informal practices frequently override formal legal entitlements.</w:t>
      </w:r>
    </w:p>
    <w:p w14:paraId="38BCAA40" w14:textId="77777777" w:rsidR="00E010F2" w:rsidRPr="00C46BF3" w:rsidRDefault="00C46BF3" w:rsidP="00363CC7">
      <w:pPr>
        <w:pStyle w:val="ListParagraph"/>
        <w:numPr>
          <w:ilvl w:val="0"/>
          <w:numId w:val="3"/>
        </w:numPr>
        <w:jc w:val="both"/>
        <w:rPr>
          <w:rFonts w:ascii="Times New Roman" w:hAnsi="Times New Roman" w:cs="Times New Roman"/>
          <w:sz w:val="24"/>
          <w:szCs w:val="24"/>
        </w:rPr>
      </w:pPr>
      <w:r w:rsidRPr="00C46BF3">
        <w:rPr>
          <w:rFonts w:ascii="Times New Roman" w:hAnsi="Times New Roman" w:cs="Times New Roman"/>
          <w:b/>
          <w:bCs/>
          <w:sz w:val="24"/>
          <w:szCs w:val="24"/>
        </w:rPr>
        <w:t>Fragmented Enforcement</w:t>
      </w:r>
      <w:r w:rsidRPr="00C46BF3">
        <w:rPr>
          <w:rFonts w:ascii="Times New Roman" w:hAnsi="Times New Roman" w:cs="Times New Roman"/>
          <w:sz w:val="24"/>
          <w:szCs w:val="24"/>
        </w:rPr>
        <w:t xml:space="preserve">: Different laws operate simultaneously, creating confusion and loopholes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xml:space="preserve">; Deepak et al.,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B9" w14:textId="34EE659B" w:rsidR="00E86BA5" w:rsidRPr="00C46BF3" w:rsidRDefault="00C46BF3" w:rsidP="00E010F2">
      <w:pPr>
        <w:jc w:val="both"/>
        <w:rPr>
          <w:rFonts w:ascii="Times New Roman" w:hAnsi="Times New Roman" w:cs="Times New Roman"/>
          <w:sz w:val="24"/>
          <w:szCs w:val="24"/>
        </w:rPr>
      </w:pPr>
      <w:r w:rsidRPr="00C46BF3">
        <w:rPr>
          <w:rFonts w:ascii="Times New Roman" w:hAnsi="Times New Roman" w:cs="Times New Roman"/>
          <w:sz w:val="24"/>
          <w:szCs w:val="24"/>
        </w:rPr>
        <w:t>Legal recognition alone, therefore, is insufficient; effective governance, enforcement, and social reform are necessary to translate legal equality into substantive land ownership for women.</w:t>
      </w:r>
    </w:p>
    <w:p w14:paraId="000000BD" w14:textId="7E3298A1" w:rsidR="00E86BA5" w:rsidRPr="00C46BF3" w:rsidRDefault="00DD44A8" w:rsidP="00DD44A8">
      <w:pPr>
        <w:pStyle w:val="Heading1"/>
        <w:rPr>
          <w:rFonts w:ascii="Times New Roman" w:hAnsi="Times New Roman" w:cs="Times New Roman"/>
          <w:b/>
          <w:bCs/>
        </w:rPr>
      </w:pPr>
      <w:bookmarkStart w:id="19" w:name="_Toc214986999"/>
      <w:r w:rsidRPr="00C46BF3">
        <w:rPr>
          <w:rFonts w:ascii="Times New Roman" w:hAnsi="Times New Roman" w:cs="Times New Roman"/>
          <w:b/>
          <w:bCs/>
        </w:rPr>
        <w:t>GENDERED REALITIES OF LAND OWNERSHIP IN INDIA</w:t>
      </w:r>
      <w:bookmarkEnd w:id="19"/>
    </w:p>
    <w:p w14:paraId="000000BF" w14:textId="14242938" w:rsidR="00E86BA5" w:rsidRPr="00C46BF3" w:rsidRDefault="00DD44A8" w:rsidP="00DD44A8">
      <w:pPr>
        <w:rPr>
          <w:rFonts w:ascii="Times New Roman" w:hAnsi="Times New Roman" w:cs="Times New Roman"/>
          <w:sz w:val="24"/>
          <w:szCs w:val="24"/>
        </w:rPr>
      </w:pPr>
      <w:r w:rsidRPr="00C46BF3">
        <w:rPr>
          <w:rFonts w:ascii="Times New Roman" w:hAnsi="Times New Roman" w:cs="Times New Roman"/>
          <w:sz w:val="24"/>
          <w:szCs w:val="24"/>
        </w:rPr>
        <w:t>DESPITE constitutional guarantees and legislative reforms, women in India continue to experience significant disadvantages in land ownership and control. This section examines the current patterns, socio-cultural barriers, and structural inequities that prevent women from fully exercising their land rights.</w:t>
      </w:r>
    </w:p>
    <w:p w14:paraId="000000C4" w14:textId="678854A8" w:rsidR="00E86BA5" w:rsidRPr="00C46BF3" w:rsidRDefault="00C46BF3" w:rsidP="00E010F2">
      <w:pPr>
        <w:pStyle w:val="Heading2"/>
        <w:rPr>
          <w:rFonts w:ascii="Times New Roman" w:hAnsi="Times New Roman" w:cs="Times New Roman"/>
          <w:b/>
          <w:bCs/>
        </w:rPr>
      </w:pPr>
      <w:bookmarkStart w:id="20" w:name="_Toc214987000"/>
      <w:r w:rsidRPr="00C46BF3">
        <w:rPr>
          <w:rFonts w:ascii="Times New Roman" w:hAnsi="Times New Roman" w:cs="Times New Roman"/>
          <w:b/>
          <w:bCs/>
        </w:rPr>
        <w:t>Patterns of Ownership</w:t>
      </w:r>
      <w:bookmarkEnd w:id="20"/>
    </w:p>
    <w:p w14:paraId="000000C6"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According to the National Family Health Survey (NFHS-5, </w:t>
      </w:r>
      <w:r w:rsidRPr="00C46BF3">
        <w:rPr>
          <w:rFonts w:ascii="Times New Roman" w:hAnsi="Times New Roman" w:cs="Times New Roman"/>
          <w:color w:val="EE0000"/>
          <w:sz w:val="24"/>
          <w:szCs w:val="24"/>
        </w:rPr>
        <w:t>2019–21</w:t>
      </w:r>
      <w:r w:rsidRPr="00C46BF3">
        <w:rPr>
          <w:rFonts w:ascii="Times New Roman" w:hAnsi="Times New Roman" w:cs="Times New Roman"/>
          <w:sz w:val="24"/>
          <w:szCs w:val="24"/>
        </w:rPr>
        <w:t xml:space="preserve">), less than 15% of women in India report owning land or property in their name (Government of India, </w:t>
      </w:r>
      <w:r w:rsidRPr="00C46BF3">
        <w:rPr>
          <w:rFonts w:ascii="Times New Roman" w:hAnsi="Times New Roman" w:cs="Times New Roman"/>
          <w:color w:val="EE0000"/>
          <w:sz w:val="24"/>
          <w:szCs w:val="24"/>
        </w:rPr>
        <w:t>2021</w:t>
      </w:r>
      <w:r w:rsidRPr="00C46BF3">
        <w:rPr>
          <w:rFonts w:ascii="Times New Roman" w:hAnsi="Times New Roman" w:cs="Times New Roman"/>
          <w:sz w:val="24"/>
          <w:szCs w:val="24"/>
        </w:rPr>
        <w:t xml:space="preserve">). Even when women hold titles, ownership is often joint with male family members, limiting their autonomy over decision-making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Data from the Agricultural Census </w:t>
      </w:r>
      <w:r w:rsidRPr="00C46BF3">
        <w:rPr>
          <w:rFonts w:ascii="Times New Roman" w:hAnsi="Times New Roman" w:cs="Times New Roman"/>
          <w:color w:val="EE0000"/>
          <w:sz w:val="24"/>
          <w:szCs w:val="24"/>
        </w:rPr>
        <w:t xml:space="preserve">2020–21 </w:t>
      </w:r>
      <w:r w:rsidRPr="00C46BF3">
        <w:rPr>
          <w:rFonts w:ascii="Times New Roman" w:hAnsi="Times New Roman" w:cs="Times New Roman"/>
          <w:sz w:val="24"/>
          <w:szCs w:val="24"/>
        </w:rPr>
        <w:t xml:space="preserve">indicates that only 13.3% of operational land holdings are managed by women, highlighting the gendered disparity in agricultural control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CB" w14:textId="6A0F0372" w:rsidR="00E86BA5" w:rsidRPr="00C46BF3" w:rsidRDefault="00C46BF3" w:rsidP="00E010F2">
      <w:pPr>
        <w:pStyle w:val="Heading2"/>
        <w:rPr>
          <w:rFonts w:ascii="Times New Roman" w:hAnsi="Times New Roman" w:cs="Times New Roman"/>
          <w:b/>
          <w:bCs/>
        </w:rPr>
      </w:pPr>
      <w:bookmarkStart w:id="21" w:name="_Toc214987001"/>
      <w:r w:rsidRPr="00C46BF3">
        <w:rPr>
          <w:rFonts w:ascii="Times New Roman" w:hAnsi="Times New Roman" w:cs="Times New Roman"/>
          <w:b/>
          <w:bCs/>
        </w:rPr>
        <w:t>Socio-Cultural Barriers</w:t>
      </w:r>
      <w:bookmarkEnd w:id="21"/>
    </w:p>
    <w:p w14:paraId="000000CD"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Cultural norms and patriarchal practices play a central role in restricting women’s access to land. In many communities, land is viewed as a male inheritance, and women are expected to receive economic support through dowries or male relatives instead of direct ownership (Agarwal,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xml:space="preserve">). Social pressures, fear of family disputes, and lack of awareness further discourage women </w:t>
      </w:r>
      <w:r w:rsidRPr="00C46BF3">
        <w:rPr>
          <w:rFonts w:ascii="Times New Roman" w:hAnsi="Times New Roman" w:cs="Times New Roman"/>
          <w:sz w:val="24"/>
          <w:szCs w:val="24"/>
        </w:rPr>
        <w:lastRenderedPageBreak/>
        <w:t xml:space="preserve">from claiming their legal rights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000000D2" w14:textId="6E265B7A" w:rsidR="00E86BA5" w:rsidRPr="00C46BF3" w:rsidRDefault="00C46BF3" w:rsidP="00E010F2">
      <w:pPr>
        <w:pStyle w:val="Heading2"/>
        <w:rPr>
          <w:rFonts w:ascii="Times New Roman" w:hAnsi="Times New Roman" w:cs="Times New Roman"/>
          <w:b/>
          <w:bCs/>
        </w:rPr>
      </w:pPr>
      <w:bookmarkStart w:id="22" w:name="_Toc214987002"/>
      <w:r w:rsidRPr="00C46BF3">
        <w:rPr>
          <w:rFonts w:ascii="Times New Roman" w:hAnsi="Times New Roman" w:cs="Times New Roman"/>
          <w:b/>
          <w:bCs/>
        </w:rPr>
        <w:t>Intersectional Disadvantages</w:t>
      </w:r>
      <w:bookmarkEnd w:id="22"/>
    </w:p>
    <w:p w14:paraId="000000D4"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Women from marginalized groups—including Dalits, Adivasis, and economically disadvantaged castes—face compounded barriers. They are less likely to have formal documentation, face discrimination in local governance bodies, and often have limited access to credit or legal recourse (Deepak et al.,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For instance, tribal women may rely on customary land systems that grant usage rights but not formal ownership, leaving them vulnerable to displacement or land grabs (Ministry of Tribal Affairs,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000000D9" w14:textId="7D564A8A" w:rsidR="00E86BA5" w:rsidRPr="00C46BF3" w:rsidRDefault="00C46BF3" w:rsidP="00E010F2">
      <w:pPr>
        <w:pStyle w:val="Heading2"/>
        <w:rPr>
          <w:rFonts w:ascii="Times New Roman" w:hAnsi="Times New Roman" w:cs="Times New Roman"/>
          <w:b/>
          <w:bCs/>
        </w:rPr>
      </w:pPr>
      <w:bookmarkStart w:id="23" w:name="_Toc214987003"/>
      <w:r w:rsidRPr="00C46BF3">
        <w:rPr>
          <w:rFonts w:ascii="Times New Roman" w:hAnsi="Times New Roman" w:cs="Times New Roman"/>
          <w:b/>
          <w:bCs/>
        </w:rPr>
        <w:t>Economic and Social Implications</w:t>
      </w:r>
      <w:bookmarkEnd w:id="23"/>
    </w:p>
    <w:p w14:paraId="000000DB" w14:textId="1637DE4C"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Limited land ownership has far-reaching implications. Women without secure land rights have reduced access to credit, lower bargaining power within households, and greater vulnerability during family crises or widowhood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Research also shows a correlation between women’s land ownership and improved household nutrition, children’s education, and</w:t>
      </w:r>
      <w:r w:rsidR="00E010F2" w:rsidRPr="00C46BF3">
        <w:rPr>
          <w:rFonts w:ascii="Times New Roman" w:hAnsi="Times New Roman" w:cs="Times New Roman"/>
          <w:sz w:val="24"/>
          <w:szCs w:val="24"/>
        </w:rPr>
        <w:t xml:space="preserve"> </w:t>
      </w:r>
      <w:r w:rsidRPr="00C46BF3">
        <w:rPr>
          <w:rFonts w:ascii="Times New Roman" w:hAnsi="Times New Roman" w:cs="Times New Roman"/>
          <w:sz w:val="24"/>
          <w:szCs w:val="24"/>
        </w:rPr>
        <w:t xml:space="preserve">economic resilience, emphasizing that inequities in land control have broader developmental consequences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E0" w14:textId="31294B11" w:rsidR="00E86BA5" w:rsidRPr="00C46BF3" w:rsidRDefault="00C46BF3" w:rsidP="00E010F2">
      <w:pPr>
        <w:pStyle w:val="Heading2"/>
        <w:rPr>
          <w:rFonts w:ascii="Times New Roman" w:hAnsi="Times New Roman" w:cs="Times New Roman"/>
          <w:b/>
          <w:bCs/>
        </w:rPr>
      </w:pPr>
      <w:bookmarkStart w:id="24" w:name="_Toc214987004"/>
      <w:r w:rsidRPr="00C46BF3">
        <w:rPr>
          <w:rFonts w:ascii="Times New Roman" w:hAnsi="Times New Roman" w:cs="Times New Roman"/>
          <w:b/>
          <w:bCs/>
        </w:rPr>
        <w:t>Case Examples</w:t>
      </w:r>
      <w:bookmarkEnd w:id="24"/>
    </w:p>
    <w:p w14:paraId="000000E2" w14:textId="46E99BD9" w:rsidR="00E86BA5" w:rsidRPr="00C46BF3" w:rsidRDefault="00C46BF3" w:rsidP="00E010F2">
      <w:pPr>
        <w:pStyle w:val="ListParagraph"/>
        <w:numPr>
          <w:ilvl w:val="0"/>
          <w:numId w:val="4"/>
        </w:numPr>
        <w:jc w:val="both"/>
        <w:rPr>
          <w:rFonts w:ascii="Times New Roman" w:hAnsi="Times New Roman" w:cs="Times New Roman"/>
          <w:sz w:val="24"/>
          <w:szCs w:val="24"/>
        </w:rPr>
      </w:pPr>
      <w:r w:rsidRPr="00C46BF3">
        <w:rPr>
          <w:rFonts w:ascii="Times New Roman" w:hAnsi="Times New Roman" w:cs="Times New Roman"/>
          <w:b/>
          <w:bCs/>
          <w:sz w:val="24"/>
          <w:szCs w:val="24"/>
        </w:rPr>
        <w:t>Joint Titling Programs</w:t>
      </w:r>
      <w:r w:rsidRPr="00C46BF3">
        <w:rPr>
          <w:rFonts w:ascii="Times New Roman" w:hAnsi="Times New Roman" w:cs="Times New Roman"/>
          <w:sz w:val="24"/>
          <w:szCs w:val="24"/>
        </w:rPr>
        <w:t xml:space="preserve">: Some states have initiated programs where land is registered jointly in the names of husbands and wives. Evidence suggests that joint titling increases women’s bargaining power and participation in </w:t>
      </w:r>
      <w:r w:rsidRPr="00C46BF3">
        <w:rPr>
          <w:rFonts w:ascii="Times New Roman" w:hAnsi="Times New Roman" w:cs="Times New Roman"/>
          <w:sz w:val="24"/>
          <w:szCs w:val="24"/>
        </w:rPr>
        <w:t xml:space="preserve">land-related decisions (Deepak et al.,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0EC" w14:textId="059D57A8" w:rsidR="00E86BA5" w:rsidRPr="00C46BF3" w:rsidRDefault="00C46BF3" w:rsidP="00E010F2">
      <w:pPr>
        <w:pStyle w:val="ListParagraph"/>
        <w:numPr>
          <w:ilvl w:val="0"/>
          <w:numId w:val="4"/>
        </w:numPr>
        <w:jc w:val="both"/>
        <w:rPr>
          <w:rFonts w:ascii="Times New Roman" w:hAnsi="Times New Roman" w:cs="Times New Roman"/>
          <w:sz w:val="24"/>
          <w:szCs w:val="24"/>
        </w:rPr>
      </w:pPr>
      <w:r w:rsidRPr="00C46BF3">
        <w:rPr>
          <w:rFonts w:ascii="Times New Roman" w:hAnsi="Times New Roman" w:cs="Times New Roman"/>
          <w:b/>
          <w:bCs/>
          <w:sz w:val="24"/>
          <w:szCs w:val="24"/>
        </w:rPr>
        <w:t>Tribal Land Claims</w:t>
      </w:r>
      <w:r w:rsidRPr="00C46BF3">
        <w:rPr>
          <w:rFonts w:ascii="Times New Roman" w:hAnsi="Times New Roman" w:cs="Times New Roman"/>
          <w:sz w:val="24"/>
          <w:szCs w:val="24"/>
        </w:rPr>
        <w:t xml:space="preserve">: In Odisha and Chhattisgarh, tribal women exercising Forest Rights Act entitlements have reported improved autonomy and access to forest resources, but the success varies depending on local governance and social acceptance (Ministry of Tribal Affairs,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129933E2" w14:textId="77777777" w:rsidR="00B660E0" w:rsidRPr="00C46BF3" w:rsidRDefault="00B660E0" w:rsidP="00B660E0">
      <w:pPr>
        <w:pStyle w:val="ListParagraph"/>
        <w:ind w:left="360"/>
        <w:jc w:val="both"/>
        <w:rPr>
          <w:rFonts w:ascii="Times New Roman" w:hAnsi="Times New Roman" w:cs="Times New Roman"/>
          <w:sz w:val="24"/>
          <w:szCs w:val="24"/>
        </w:rPr>
      </w:pPr>
    </w:p>
    <w:p w14:paraId="000000EE"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The gendered realities of land ownership in India reveal a persistent gap between legal provisions and actual practice. While women are legally entitled to inherit and own land, social norms, bureaucratic hurdles, and intersectional disadvantages limit their real control and benefits. Addressing these disparities requires not only reforms in law but also proactive implementation, awareness campaigns, and inclusive governance mechanisms.</w:t>
      </w:r>
    </w:p>
    <w:p w14:paraId="000000F5" w14:textId="391DDF47" w:rsidR="00E86BA5" w:rsidRPr="00C46BF3" w:rsidRDefault="00DD44A8" w:rsidP="00DD44A8">
      <w:pPr>
        <w:pStyle w:val="Heading1"/>
        <w:rPr>
          <w:rFonts w:ascii="Times New Roman" w:hAnsi="Times New Roman" w:cs="Times New Roman"/>
          <w:b/>
          <w:bCs/>
        </w:rPr>
      </w:pPr>
      <w:bookmarkStart w:id="25" w:name="_Toc214987006"/>
      <w:r w:rsidRPr="00C46BF3">
        <w:rPr>
          <w:rFonts w:ascii="Times New Roman" w:hAnsi="Times New Roman" w:cs="Times New Roman"/>
          <w:b/>
          <w:bCs/>
        </w:rPr>
        <w:t>COMPARATIVE PERSPECTIVES ON WOMEN’S LAND RIGHTS</w:t>
      </w:r>
      <w:bookmarkEnd w:id="25"/>
    </w:p>
    <w:p w14:paraId="000000F7"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Studying women’s land rights in other countries provides valuable insights into strategies that can enhance gender equity in India. Comparative analysis reveals that while challenges are globally similar—patriarchy, legal gaps, and social norms—different policy approaches can significantly improve women’s access and control over land.</w:t>
      </w:r>
    </w:p>
    <w:p w14:paraId="000000FC" w14:textId="3B78BAEF" w:rsidR="00E86BA5" w:rsidRPr="00C46BF3" w:rsidRDefault="00C46BF3" w:rsidP="0043217E">
      <w:pPr>
        <w:pStyle w:val="Heading2"/>
        <w:rPr>
          <w:rFonts w:ascii="Times New Roman" w:hAnsi="Times New Roman" w:cs="Times New Roman"/>
          <w:b/>
          <w:bCs/>
        </w:rPr>
      </w:pPr>
      <w:bookmarkStart w:id="26" w:name="_Toc214987007"/>
      <w:r w:rsidRPr="00C46BF3">
        <w:rPr>
          <w:rFonts w:ascii="Times New Roman" w:hAnsi="Times New Roman" w:cs="Times New Roman"/>
          <w:b/>
          <w:bCs/>
        </w:rPr>
        <w:lastRenderedPageBreak/>
        <w:t>Nepal</w:t>
      </w:r>
      <w:bookmarkEnd w:id="26"/>
    </w:p>
    <w:p w14:paraId="000000FE"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i/>
          <w:iCs/>
          <w:sz w:val="24"/>
          <w:szCs w:val="24"/>
        </w:rPr>
        <w:t>Nepa</w:t>
      </w:r>
      <w:r w:rsidRPr="00C46BF3">
        <w:rPr>
          <w:rFonts w:ascii="Times New Roman" w:hAnsi="Times New Roman" w:cs="Times New Roman"/>
          <w:sz w:val="24"/>
          <w:szCs w:val="24"/>
        </w:rPr>
        <w:t xml:space="preserve">l has made significant strides in gender-equitable land reform. </w:t>
      </w:r>
      <w:r w:rsidRPr="00C46BF3">
        <w:rPr>
          <w:rFonts w:ascii="Times New Roman" w:hAnsi="Times New Roman" w:cs="Times New Roman"/>
          <w:b/>
          <w:bCs/>
          <w:sz w:val="24"/>
          <w:szCs w:val="24"/>
        </w:rPr>
        <w:t>The Land Act</w:t>
      </w:r>
      <w:r w:rsidRPr="00C46BF3">
        <w:rPr>
          <w:rFonts w:ascii="Times New Roman" w:hAnsi="Times New Roman" w:cs="Times New Roman"/>
          <w:sz w:val="24"/>
          <w:szCs w:val="24"/>
        </w:rPr>
        <w:t xml:space="preserve"> (</w:t>
      </w:r>
      <w:r w:rsidRPr="00C46BF3">
        <w:rPr>
          <w:rFonts w:ascii="Times New Roman" w:hAnsi="Times New Roman" w:cs="Times New Roman"/>
          <w:color w:val="EE0000"/>
          <w:sz w:val="24"/>
          <w:szCs w:val="24"/>
        </w:rPr>
        <w:t>1964</w:t>
      </w:r>
      <w:r w:rsidRPr="00C46BF3">
        <w:rPr>
          <w:rFonts w:ascii="Times New Roman" w:hAnsi="Times New Roman" w:cs="Times New Roman"/>
          <w:sz w:val="24"/>
          <w:szCs w:val="24"/>
        </w:rPr>
        <w:t xml:space="preserve">, revised in </w:t>
      </w:r>
      <w:r w:rsidRPr="00C46BF3">
        <w:rPr>
          <w:rFonts w:ascii="Times New Roman" w:hAnsi="Times New Roman" w:cs="Times New Roman"/>
          <w:color w:val="EE0000"/>
          <w:sz w:val="24"/>
          <w:szCs w:val="24"/>
        </w:rPr>
        <w:t>2019</w:t>
      </w:r>
      <w:r w:rsidRPr="00C46BF3">
        <w:rPr>
          <w:rFonts w:ascii="Times New Roman" w:hAnsi="Times New Roman" w:cs="Times New Roman"/>
          <w:sz w:val="24"/>
          <w:szCs w:val="24"/>
        </w:rPr>
        <w:t xml:space="preserve">) and subsequent policies ensure joint land registration in the names of both spouses, especially in urban and peri-urban areas (Acharya &amp; Thapa,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Studies show that joint titling has increased women’s participation in agricultural decision-making and reduced domestic disputes over land. However, enforcement remains inconsistent in rural areas where customary practices dominate, particularly in hill and mountainous regions.</w:t>
      </w:r>
    </w:p>
    <w:p w14:paraId="00000104" w14:textId="71948B0C" w:rsidR="00E86BA5" w:rsidRPr="00C46BF3" w:rsidRDefault="00C46BF3" w:rsidP="0043217E">
      <w:pPr>
        <w:pStyle w:val="Heading2"/>
        <w:rPr>
          <w:rFonts w:ascii="Times New Roman" w:hAnsi="Times New Roman" w:cs="Times New Roman"/>
          <w:b/>
          <w:bCs/>
        </w:rPr>
      </w:pPr>
      <w:bookmarkStart w:id="27" w:name="_Toc214987008"/>
      <w:r w:rsidRPr="00C46BF3">
        <w:rPr>
          <w:rFonts w:ascii="Times New Roman" w:hAnsi="Times New Roman" w:cs="Times New Roman"/>
          <w:b/>
          <w:bCs/>
        </w:rPr>
        <w:t>Rwanda</w:t>
      </w:r>
      <w:bookmarkEnd w:id="27"/>
    </w:p>
    <w:p w14:paraId="00000105"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i/>
          <w:iCs/>
          <w:sz w:val="24"/>
          <w:szCs w:val="24"/>
        </w:rPr>
        <w:t>Rwanda</w:t>
      </w:r>
      <w:r w:rsidRPr="00C46BF3">
        <w:rPr>
          <w:rFonts w:ascii="Times New Roman" w:hAnsi="Times New Roman" w:cs="Times New Roman"/>
          <w:sz w:val="24"/>
          <w:szCs w:val="24"/>
        </w:rPr>
        <w:t xml:space="preserve"> provides a notable example of legal reforms promoting women’s land rights. Following the 1994 genocide, land distribution reforms emphasized gender equality, and the Rwandan Land Law of 2005 mandated joint land ownership for married couples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Today, women in Rwanda own approximately 48% of land parcels, and joint titling has improved women’s economic independence and social status. Key lessons include strong legal enforcement and integration of land rights into broader development programs.</w:t>
      </w:r>
    </w:p>
    <w:p w14:paraId="0000010B" w14:textId="2097FC38" w:rsidR="00E86BA5" w:rsidRPr="00C46BF3" w:rsidRDefault="00C46BF3" w:rsidP="0043217E">
      <w:pPr>
        <w:pStyle w:val="Heading2"/>
        <w:rPr>
          <w:rFonts w:ascii="Times New Roman" w:hAnsi="Times New Roman" w:cs="Times New Roman"/>
          <w:b/>
          <w:bCs/>
        </w:rPr>
      </w:pPr>
      <w:bookmarkStart w:id="28" w:name="_Toc214987009"/>
      <w:r w:rsidRPr="00C46BF3">
        <w:rPr>
          <w:rFonts w:ascii="Times New Roman" w:hAnsi="Times New Roman" w:cs="Times New Roman"/>
          <w:b/>
          <w:bCs/>
        </w:rPr>
        <w:t>Bangladesh</w:t>
      </w:r>
      <w:bookmarkEnd w:id="28"/>
    </w:p>
    <w:p w14:paraId="0000010C"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In </w:t>
      </w:r>
      <w:r w:rsidRPr="00C46BF3">
        <w:rPr>
          <w:rFonts w:ascii="Times New Roman" w:hAnsi="Times New Roman" w:cs="Times New Roman"/>
          <w:i/>
          <w:iCs/>
          <w:sz w:val="24"/>
          <w:szCs w:val="24"/>
        </w:rPr>
        <w:t>Bangladesh</w:t>
      </w:r>
      <w:r w:rsidRPr="00C46BF3">
        <w:rPr>
          <w:rFonts w:ascii="Times New Roman" w:hAnsi="Times New Roman" w:cs="Times New Roman"/>
          <w:sz w:val="24"/>
          <w:szCs w:val="24"/>
        </w:rPr>
        <w:t xml:space="preserve">, women’s land ownership has historically been limited due to patriarchal inheritance practices and high population density. Recent government initiatives, such as the Women’s Empowerment through Asset Transfer Program, provide land titles and microfinance support to women-headed </w:t>
      </w:r>
      <w:r w:rsidRPr="00C46BF3">
        <w:rPr>
          <w:rFonts w:ascii="Times New Roman" w:hAnsi="Times New Roman" w:cs="Times New Roman"/>
          <w:sz w:val="24"/>
          <w:szCs w:val="24"/>
        </w:rPr>
        <w:t xml:space="preserve">households (Khan,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Studies indicate that combining legal ownership with financial empowerment enhances women’s agency, decision-making, and household welfare. Nonetheless, cultural resistance in rural communities continues to hinder uptake.</w:t>
      </w:r>
    </w:p>
    <w:p w14:paraId="00000111" w14:textId="35109381" w:rsidR="00E86BA5" w:rsidRPr="00C46BF3" w:rsidRDefault="00C46BF3" w:rsidP="0043217E">
      <w:pPr>
        <w:pStyle w:val="Heading2"/>
        <w:rPr>
          <w:rFonts w:ascii="Times New Roman" w:hAnsi="Times New Roman" w:cs="Times New Roman"/>
          <w:b/>
          <w:bCs/>
        </w:rPr>
      </w:pPr>
      <w:bookmarkStart w:id="29" w:name="_Toc214987010"/>
      <w:r w:rsidRPr="00C46BF3">
        <w:rPr>
          <w:rFonts w:ascii="Times New Roman" w:hAnsi="Times New Roman" w:cs="Times New Roman"/>
          <w:b/>
          <w:bCs/>
        </w:rPr>
        <w:t>Lessons for India</w:t>
      </w:r>
      <w:bookmarkEnd w:id="29"/>
    </w:p>
    <w:p w14:paraId="00000113"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Comparative analysis suggests several strategies that could strengthen women’s land rights in India:</w:t>
      </w:r>
    </w:p>
    <w:p w14:paraId="00000115" w14:textId="5E6F6AF2" w:rsidR="00E86BA5" w:rsidRPr="00C46BF3" w:rsidRDefault="00C46BF3" w:rsidP="0043217E">
      <w:pPr>
        <w:pStyle w:val="ListParagraph"/>
        <w:numPr>
          <w:ilvl w:val="0"/>
          <w:numId w:val="5"/>
        </w:numPr>
        <w:jc w:val="both"/>
        <w:rPr>
          <w:rFonts w:ascii="Times New Roman" w:hAnsi="Times New Roman" w:cs="Times New Roman"/>
          <w:sz w:val="24"/>
          <w:szCs w:val="24"/>
        </w:rPr>
      </w:pPr>
      <w:r w:rsidRPr="00C46BF3">
        <w:rPr>
          <w:rFonts w:ascii="Times New Roman" w:hAnsi="Times New Roman" w:cs="Times New Roman"/>
          <w:b/>
          <w:bCs/>
          <w:sz w:val="24"/>
          <w:szCs w:val="24"/>
        </w:rPr>
        <w:t>Joint Land Titling</w:t>
      </w:r>
      <w:r w:rsidRPr="00C46BF3">
        <w:rPr>
          <w:rFonts w:ascii="Times New Roman" w:hAnsi="Times New Roman" w:cs="Times New Roman"/>
          <w:sz w:val="24"/>
          <w:szCs w:val="24"/>
        </w:rPr>
        <w:t xml:space="preserve">: Registering land in both spouses’ names increases women’s bargaining power and legal security (Acharya &amp; Thapa,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00000118" w14:textId="5A541A31" w:rsidR="00E86BA5" w:rsidRPr="00C46BF3" w:rsidRDefault="00C46BF3" w:rsidP="0043217E">
      <w:pPr>
        <w:pStyle w:val="ListParagraph"/>
        <w:numPr>
          <w:ilvl w:val="0"/>
          <w:numId w:val="5"/>
        </w:numPr>
        <w:jc w:val="both"/>
        <w:rPr>
          <w:rFonts w:ascii="Times New Roman" w:hAnsi="Times New Roman" w:cs="Times New Roman"/>
          <w:sz w:val="24"/>
          <w:szCs w:val="24"/>
        </w:rPr>
      </w:pPr>
      <w:r w:rsidRPr="00C46BF3">
        <w:rPr>
          <w:rFonts w:ascii="Times New Roman" w:hAnsi="Times New Roman" w:cs="Times New Roman"/>
          <w:b/>
          <w:bCs/>
          <w:sz w:val="24"/>
          <w:szCs w:val="24"/>
        </w:rPr>
        <w:t>Integration with Development Programs</w:t>
      </w:r>
      <w:r w:rsidRPr="00C46BF3">
        <w:rPr>
          <w:rFonts w:ascii="Times New Roman" w:hAnsi="Times New Roman" w:cs="Times New Roman"/>
          <w:sz w:val="24"/>
          <w:szCs w:val="24"/>
        </w:rPr>
        <w:t xml:space="preserve">: Linking land ownership to credit, housing, and agricultural support improves economic outcomes for women (Khan,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11B" w14:textId="4DAED7F1" w:rsidR="00E86BA5" w:rsidRPr="00C46BF3" w:rsidRDefault="00C46BF3" w:rsidP="0043217E">
      <w:pPr>
        <w:pStyle w:val="ListParagraph"/>
        <w:numPr>
          <w:ilvl w:val="0"/>
          <w:numId w:val="5"/>
        </w:numPr>
        <w:jc w:val="both"/>
        <w:rPr>
          <w:rFonts w:ascii="Times New Roman" w:hAnsi="Times New Roman" w:cs="Times New Roman"/>
          <w:sz w:val="24"/>
          <w:szCs w:val="24"/>
        </w:rPr>
      </w:pPr>
      <w:r w:rsidRPr="00C46BF3">
        <w:rPr>
          <w:rFonts w:ascii="Times New Roman" w:hAnsi="Times New Roman" w:cs="Times New Roman"/>
          <w:b/>
          <w:bCs/>
          <w:sz w:val="24"/>
          <w:szCs w:val="24"/>
        </w:rPr>
        <w:t>Community Engagement</w:t>
      </w:r>
      <w:r w:rsidRPr="00C46BF3">
        <w:rPr>
          <w:rFonts w:ascii="Times New Roman" w:hAnsi="Times New Roman" w:cs="Times New Roman"/>
          <w:sz w:val="24"/>
          <w:szCs w:val="24"/>
        </w:rPr>
        <w:t>: Awareness campaigns and local governance reforms help overcome socio-cultural barriers to claiming land rights.</w:t>
      </w:r>
    </w:p>
    <w:p w14:paraId="0000011E" w14:textId="2A9F94D6" w:rsidR="00E86BA5" w:rsidRPr="00C46BF3" w:rsidRDefault="00C46BF3" w:rsidP="0043217E">
      <w:pPr>
        <w:pStyle w:val="ListParagraph"/>
        <w:numPr>
          <w:ilvl w:val="0"/>
          <w:numId w:val="5"/>
        </w:numPr>
        <w:jc w:val="both"/>
        <w:rPr>
          <w:rFonts w:ascii="Times New Roman" w:hAnsi="Times New Roman" w:cs="Times New Roman"/>
          <w:sz w:val="24"/>
          <w:szCs w:val="24"/>
        </w:rPr>
      </w:pPr>
      <w:r w:rsidRPr="00C46BF3">
        <w:rPr>
          <w:rFonts w:ascii="Times New Roman" w:hAnsi="Times New Roman" w:cs="Times New Roman"/>
          <w:b/>
          <w:bCs/>
          <w:sz w:val="24"/>
          <w:szCs w:val="24"/>
        </w:rPr>
        <w:t>Legal Enforcement and Monitoring</w:t>
      </w:r>
      <w:r w:rsidRPr="00C46BF3">
        <w:rPr>
          <w:rFonts w:ascii="Times New Roman" w:hAnsi="Times New Roman" w:cs="Times New Roman"/>
          <w:sz w:val="24"/>
          <w:szCs w:val="24"/>
        </w:rPr>
        <w:t xml:space="preserve">: Strong monitoring mechanisms ensure that statutory rights are translated into real ownership and control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00000122"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By adapting these lessons, India could address not only formal legal gaps but also social and institutional constraints, creating a more inclusive and equitable land governance system for women.</w:t>
      </w:r>
    </w:p>
    <w:p w14:paraId="00000126" w14:textId="17446F8B" w:rsidR="00E86BA5" w:rsidRPr="00C46BF3" w:rsidRDefault="00DD44A8" w:rsidP="00DD44A8">
      <w:pPr>
        <w:pStyle w:val="Heading1"/>
        <w:rPr>
          <w:rFonts w:ascii="Times New Roman" w:hAnsi="Times New Roman" w:cs="Times New Roman"/>
          <w:b/>
          <w:bCs/>
        </w:rPr>
      </w:pPr>
      <w:bookmarkStart w:id="30" w:name="_Toc214987011"/>
      <w:r w:rsidRPr="00C46BF3">
        <w:rPr>
          <w:rFonts w:ascii="Times New Roman" w:hAnsi="Times New Roman" w:cs="Times New Roman"/>
          <w:b/>
          <w:bCs/>
        </w:rPr>
        <w:lastRenderedPageBreak/>
        <w:t>POLICY CRITIQUE AND RECOMMENDATIONS</w:t>
      </w:r>
      <w:bookmarkEnd w:id="30"/>
    </w:p>
    <w:p w14:paraId="00000128"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Despite progressive legislation in India, gender inequities in land ownership persist. This section critically examines current policies, identifies gaps, and proposes actionable recommendations to enhance women’s land rights.</w:t>
      </w:r>
    </w:p>
    <w:p w14:paraId="0000012D" w14:textId="20A61461" w:rsidR="00E86BA5" w:rsidRPr="00C46BF3" w:rsidRDefault="00C46BF3" w:rsidP="0043217E">
      <w:pPr>
        <w:pStyle w:val="Heading2"/>
        <w:rPr>
          <w:rFonts w:ascii="Times New Roman" w:hAnsi="Times New Roman" w:cs="Times New Roman"/>
          <w:b/>
          <w:bCs/>
        </w:rPr>
      </w:pPr>
      <w:bookmarkStart w:id="31" w:name="_Toc214987012"/>
      <w:r w:rsidRPr="00C46BF3">
        <w:rPr>
          <w:rFonts w:ascii="Times New Roman" w:hAnsi="Times New Roman" w:cs="Times New Roman"/>
          <w:b/>
          <w:bCs/>
        </w:rPr>
        <w:t>Policy Critique</w:t>
      </w:r>
      <w:bookmarkEnd w:id="31"/>
    </w:p>
    <w:p w14:paraId="0000012F" w14:textId="04F63B9B" w:rsidR="00E86BA5" w:rsidRPr="00C46BF3" w:rsidRDefault="00C46BF3" w:rsidP="003D5B7D">
      <w:pPr>
        <w:pStyle w:val="ListParagraph"/>
        <w:numPr>
          <w:ilvl w:val="0"/>
          <w:numId w:val="17"/>
        </w:numPr>
        <w:rPr>
          <w:rFonts w:ascii="Times New Roman" w:hAnsi="Times New Roman" w:cs="Times New Roman"/>
          <w:b/>
          <w:bCs/>
          <w:sz w:val="28"/>
          <w:szCs w:val="28"/>
        </w:rPr>
      </w:pPr>
      <w:r w:rsidRPr="00C46BF3">
        <w:rPr>
          <w:rFonts w:ascii="Times New Roman" w:hAnsi="Times New Roman" w:cs="Times New Roman"/>
          <w:b/>
          <w:bCs/>
          <w:sz w:val="28"/>
          <w:szCs w:val="28"/>
        </w:rPr>
        <w:t>Implementation Gaps</w:t>
      </w:r>
    </w:p>
    <w:p w14:paraId="00000131" w14:textId="2828BEBE" w:rsidR="00E86BA5" w:rsidRPr="00C46BF3" w:rsidRDefault="00C46BF3" w:rsidP="00363CC7">
      <w:pPr>
        <w:jc w:val="both"/>
        <w:rPr>
          <w:rFonts w:ascii="Times New Roman" w:hAnsi="Times New Roman" w:cs="Times New Roman"/>
          <w:b/>
          <w:bCs/>
          <w:sz w:val="24"/>
          <w:szCs w:val="24"/>
        </w:rPr>
      </w:pPr>
      <w:r w:rsidRPr="00C46BF3">
        <w:rPr>
          <w:rFonts w:ascii="Times New Roman" w:hAnsi="Times New Roman" w:cs="Times New Roman"/>
          <w:sz w:val="24"/>
          <w:szCs w:val="24"/>
        </w:rPr>
        <w:t xml:space="preserve">While the Hindu Succession (Amendment) Act, </w:t>
      </w:r>
      <w:r w:rsidRPr="00C46BF3">
        <w:rPr>
          <w:rFonts w:ascii="Times New Roman" w:hAnsi="Times New Roman" w:cs="Times New Roman"/>
          <w:b/>
          <w:bCs/>
          <w:sz w:val="24"/>
          <w:szCs w:val="24"/>
        </w:rPr>
        <w:t>2005</w:t>
      </w:r>
      <w:r w:rsidRPr="00C46BF3">
        <w:rPr>
          <w:rFonts w:ascii="Times New Roman" w:hAnsi="Times New Roman" w:cs="Times New Roman"/>
          <w:sz w:val="24"/>
          <w:szCs w:val="24"/>
        </w:rPr>
        <w:t xml:space="preserve"> grants </w:t>
      </w:r>
      <w:proofErr w:type="gramStart"/>
      <w:r w:rsidRPr="00C46BF3">
        <w:rPr>
          <w:rFonts w:ascii="Times New Roman" w:hAnsi="Times New Roman" w:cs="Times New Roman"/>
          <w:sz w:val="24"/>
          <w:szCs w:val="24"/>
        </w:rPr>
        <w:t>daughters</w:t>
      </w:r>
      <w:proofErr w:type="gramEnd"/>
      <w:r w:rsidRPr="00C46BF3">
        <w:rPr>
          <w:rFonts w:ascii="Times New Roman" w:hAnsi="Times New Roman" w:cs="Times New Roman"/>
          <w:sz w:val="24"/>
          <w:szCs w:val="24"/>
        </w:rPr>
        <w:t xml:space="preserve"> equal coparcenary rights, implementation remains uneven. Studies show that in many states, land records still favor male heirs, and women face bureaucratic hurdles when claiming inheritance (Deepak, Somnath, &amp; Saxena</w:t>
      </w:r>
      <w:r w:rsidRPr="00C46BF3">
        <w:rPr>
          <w:rFonts w:ascii="Times New Roman" w:hAnsi="Times New Roman" w:cs="Times New Roman"/>
          <w:color w:val="EE0000"/>
          <w:sz w:val="24"/>
          <w:szCs w:val="24"/>
        </w:rPr>
        <w:t>, 2023</w:t>
      </w:r>
      <w:r w:rsidRPr="00C46BF3">
        <w:rPr>
          <w:rFonts w:ascii="Times New Roman" w:hAnsi="Times New Roman" w:cs="Times New Roman"/>
          <w:sz w:val="24"/>
          <w:szCs w:val="24"/>
        </w:rPr>
        <w:t xml:space="preserve">). Similarly, the Forest Rights Act, 2006, recognizes tribal women’s claims, but Gram Sabha practices often marginalize women, limiting their decision-making power (Ministry of Tribal Affairs,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00000133" w14:textId="4CFC1373" w:rsidR="00E86BA5" w:rsidRPr="00C46BF3" w:rsidRDefault="00C46BF3" w:rsidP="003D5B7D">
      <w:pPr>
        <w:pStyle w:val="ListParagraph"/>
        <w:numPr>
          <w:ilvl w:val="0"/>
          <w:numId w:val="17"/>
        </w:numPr>
        <w:rPr>
          <w:rFonts w:ascii="Times New Roman" w:hAnsi="Times New Roman" w:cs="Times New Roman"/>
          <w:b/>
          <w:bCs/>
          <w:sz w:val="28"/>
          <w:szCs w:val="28"/>
        </w:rPr>
      </w:pPr>
      <w:r w:rsidRPr="00C46BF3">
        <w:rPr>
          <w:rFonts w:ascii="Times New Roman" w:hAnsi="Times New Roman" w:cs="Times New Roman"/>
          <w:b/>
          <w:bCs/>
          <w:sz w:val="28"/>
          <w:szCs w:val="28"/>
        </w:rPr>
        <w:t>Socio-Cultural Barriers</w:t>
      </w:r>
    </w:p>
    <w:p w14:paraId="00000135"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Social norms continue to restrict women’s land rights. In rural areas, even legally entitled women often refrain from claiming property due to fear of family disputes or social ostracism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Legal reforms alone cannot overcome deeply embedded patriarchal attitudes that treat land as a male inheritance.</w:t>
      </w:r>
    </w:p>
    <w:p w14:paraId="00000137" w14:textId="0EAE964B" w:rsidR="00E86BA5" w:rsidRPr="00C46BF3" w:rsidRDefault="00C46BF3" w:rsidP="003D5B7D">
      <w:pPr>
        <w:pStyle w:val="ListParagraph"/>
        <w:numPr>
          <w:ilvl w:val="0"/>
          <w:numId w:val="17"/>
        </w:numPr>
        <w:rPr>
          <w:rFonts w:ascii="Times New Roman" w:hAnsi="Times New Roman" w:cs="Times New Roman"/>
          <w:b/>
          <w:bCs/>
          <w:sz w:val="28"/>
          <w:szCs w:val="28"/>
        </w:rPr>
      </w:pPr>
      <w:r w:rsidRPr="00C46BF3">
        <w:rPr>
          <w:rFonts w:ascii="Times New Roman" w:hAnsi="Times New Roman" w:cs="Times New Roman"/>
          <w:b/>
          <w:bCs/>
          <w:sz w:val="28"/>
          <w:szCs w:val="28"/>
        </w:rPr>
        <w:t>Lack of Awareness and Access</w:t>
      </w:r>
    </w:p>
    <w:p w14:paraId="00000139"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Many women are unaware of their rights or the procedures required to claim land. This </w:t>
      </w:r>
      <w:r w:rsidRPr="00C46BF3">
        <w:rPr>
          <w:rFonts w:ascii="Times New Roman" w:hAnsi="Times New Roman" w:cs="Times New Roman"/>
          <w:sz w:val="24"/>
          <w:szCs w:val="24"/>
        </w:rPr>
        <w:t xml:space="preserve">lack of awareness is compounded by low literacy rates, bureaucratic complexity, and insufficient legal aid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Consequently, legal entitlements do not always result in substantive ownership or control.</w:t>
      </w:r>
    </w:p>
    <w:p w14:paraId="0000013B" w14:textId="5A384B23" w:rsidR="00E86BA5" w:rsidRPr="00C46BF3" w:rsidRDefault="00C46BF3" w:rsidP="003D5B7D">
      <w:pPr>
        <w:rPr>
          <w:rFonts w:ascii="Times New Roman" w:hAnsi="Times New Roman" w:cs="Times New Roman"/>
          <w:b/>
          <w:bCs/>
          <w:sz w:val="28"/>
          <w:szCs w:val="28"/>
        </w:rPr>
      </w:pPr>
      <w:r w:rsidRPr="00C46BF3">
        <w:rPr>
          <w:rFonts w:ascii="Times New Roman" w:hAnsi="Times New Roman" w:cs="Times New Roman"/>
          <w:b/>
          <w:bCs/>
          <w:sz w:val="28"/>
          <w:szCs w:val="28"/>
        </w:rPr>
        <w:t>Fragmented Policy Approach</w:t>
      </w:r>
    </w:p>
    <w:p w14:paraId="0000013D"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Multiple laws, schemes, and administrative bodies govern land in India, often operating in isolation. This fragmentation leads to confusion, inefficiency, and duplication, hindering effective gender-inclusive land governance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00000142" w14:textId="2F348DCF" w:rsidR="00E86BA5" w:rsidRPr="00C46BF3" w:rsidRDefault="00C46BF3" w:rsidP="00DD44A8">
      <w:pPr>
        <w:pStyle w:val="Heading2"/>
        <w:rPr>
          <w:rFonts w:ascii="Times New Roman" w:hAnsi="Times New Roman" w:cs="Times New Roman"/>
          <w:b/>
          <w:bCs/>
        </w:rPr>
      </w:pPr>
      <w:bookmarkStart w:id="32" w:name="_Toc214987013"/>
      <w:r w:rsidRPr="00C46BF3">
        <w:rPr>
          <w:rFonts w:ascii="Times New Roman" w:hAnsi="Times New Roman" w:cs="Times New Roman"/>
          <w:b/>
          <w:bCs/>
        </w:rPr>
        <w:t>Recommendations</w:t>
      </w:r>
      <w:bookmarkEnd w:id="32"/>
    </w:p>
    <w:p w14:paraId="00000144" w14:textId="65C6A22B" w:rsidR="00E86BA5" w:rsidRPr="00C46BF3" w:rsidRDefault="00C46BF3" w:rsidP="003D5B7D">
      <w:pPr>
        <w:pStyle w:val="ListParagraph"/>
        <w:numPr>
          <w:ilvl w:val="0"/>
          <w:numId w:val="16"/>
        </w:numPr>
        <w:rPr>
          <w:rFonts w:ascii="Times New Roman" w:hAnsi="Times New Roman" w:cs="Times New Roman"/>
          <w:b/>
          <w:bCs/>
          <w:sz w:val="28"/>
          <w:szCs w:val="28"/>
        </w:rPr>
      </w:pPr>
      <w:r w:rsidRPr="00C46BF3">
        <w:rPr>
          <w:rFonts w:ascii="Times New Roman" w:hAnsi="Times New Roman" w:cs="Times New Roman"/>
          <w:b/>
          <w:bCs/>
          <w:sz w:val="28"/>
          <w:szCs w:val="28"/>
        </w:rPr>
        <w:t>Joint Land Titling</w:t>
      </w:r>
    </w:p>
    <w:p w14:paraId="00000146"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Land should be registered in the names of both spouses wherever possible. Evidence from India and other countries demonstrates that joint titling increases women’s bargaining power and decision-making authority (Acharya &amp; Thapa,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68A52FAF" w14:textId="77777777" w:rsidR="003D5B7D" w:rsidRPr="00C46BF3" w:rsidRDefault="003D5B7D" w:rsidP="00363CC7">
      <w:pPr>
        <w:jc w:val="both"/>
        <w:rPr>
          <w:rFonts w:ascii="Times New Roman" w:hAnsi="Times New Roman" w:cs="Times New Roman"/>
          <w:sz w:val="24"/>
          <w:szCs w:val="24"/>
        </w:rPr>
      </w:pPr>
    </w:p>
    <w:p w14:paraId="00000148" w14:textId="29A954BE" w:rsidR="00E86BA5" w:rsidRPr="00C46BF3" w:rsidRDefault="00C46BF3" w:rsidP="003D5B7D">
      <w:pPr>
        <w:pStyle w:val="ListParagraph"/>
        <w:numPr>
          <w:ilvl w:val="0"/>
          <w:numId w:val="15"/>
        </w:numPr>
        <w:rPr>
          <w:rFonts w:ascii="Times New Roman" w:hAnsi="Times New Roman" w:cs="Times New Roman"/>
          <w:b/>
          <w:bCs/>
          <w:sz w:val="28"/>
          <w:szCs w:val="28"/>
        </w:rPr>
      </w:pPr>
      <w:r w:rsidRPr="00C46BF3">
        <w:rPr>
          <w:rFonts w:ascii="Times New Roman" w:hAnsi="Times New Roman" w:cs="Times New Roman"/>
          <w:b/>
          <w:bCs/>
          <w:sz w:val="28"/>
          <w:szCs w:val="28"/>
        </w:rPr>
        <w:t>Gender-Disaggregated Land Records</w:t>
      </w:r>
    </w:p>
    <w:p w14:paraId="0000014A"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Digital land registries should maintain gender-disaggregated records to monitor women’s ownership and facilitate targeted interventions. States like Andhra Pradesh and Karnataka have piloted such initiatives with positive outcomes (Deepak et al.,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766E00AE" w14:textId="77777777" w:rsidR="003D5B7D" w:rsidRPr="00C46BF3" w:rsidRDefault="003D5B7D" w:rsidP="00363CC7">
      <w:pPr>
        <w:jc w:val="both"/>
        <w:rPr>
          <w:rFonts w:ascii="Times New Roman" w:hAnsi="Times New Roman" w:cs="Times New Roman"/>
          <w:sz w:val="24"/>
          <w:szCs w:val="24"/>
        </w:rPr>
      </w:pPr>
    </w:p>
    <w:p w14:paraId="0000014C" w14:textId="4A138B49" w:rsidR="00E86BA5" w:rsidRPr="00C46BF3" w:rsidRDefault="00C46BF3" w:rsidP="003D5B7D">
      <w:pPr>
        <w:pStyle w:val="ListParagraph"/>
        <w:numPr>
          <w:ilvl w:val="0"/>
          <w:numId w:val="15"/>
        </w:numPr>
        <w:rPr>
          <w:rFonts w:ascii="Times New Roman" w:hAnsi="Times New Roman" w:cs="Times New Roman"/>
          <w:b/>
          <w:bCs/>
          <w:sz w:val="28"/>
          <w:szCs w:val="28"/>
        </w:rPr>
      </w:pPr>
      <w:r w:rsidRPr="00C46BF3">
        <w:rPr>
          <w:rFonts w:ascii="Times New Roman" w:hAnsi="Times New Roman" w:cs="Times New Roman"/>
          <w:b/>
          <w:bCs/>
          <w:sz w:val="28"/>
          <w:szCs w:val="28"/>
        </w:rPr>
        <w:t>Legal Awareness and Capacity Building</w:t>
      </w:r>
    </w:p>
    <w:p w14:paraId="0000014E"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Government and NGO programs should focus on legal literacy campaigns, particularly in rural and tribal areas, to inform women of their inheritance and ownership rights. Mobile applications and </w:t>
      </w:r>
      <w:r w:rsidRPr="00C46BF3">
        <w:rPr>
          <w:rFonts w:ascii="Times New Roman" w:hAnsi="Times New Roman" w:cs="Times New Roman"/>
          <w:sz w:val="24"/>
          <w:szCs w:val="24"/>
        </w:rPr>
        <w:lastRenderedPageBreak/>
        <w:t xml:space="preserve">local workshops can help bridge awareness gaps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w:t>
      </w:r>
    </w:p>
    <w:p w14:paraId="5BD8500B" w14:textId="77777777" w:rsidR="003D5B7D" w:rsidRPr="00C46BF3" w:rsidRDefault="003D5B7D" w:rsidP="00363CC7">
      <w:pPr>
        <w:jc w:val="both"/>
        <w:rPr>
          <w:rFonts w:ascii="Times New Roman" w:hAnsi="Times New Roman" w:cs="Times New Roman"/>
          <w:sz w:val="24"/>
          <w:szCs w:val="24"/>
        </w:rPr>
      </w:pPr>
    </w:p>
    <w:p w14:paraId="00000150" w14:textId="607A54F1" w:rsidR="00E86BA5" w:rsidRPr="00C46BF3" w:rsidRDefault="00C46BF3" w:rsidP="003D5B7D">
      <w:pPr>
        <w:pStyle w:val="ListParagraph"/>
        <w:numPr>
          <w:ilvl w:val="0"/>
          <w:numId w:val="15"/>
        </w:numPr>
        <w:rPr>
          <w:rFonts w:ascii="Times New Roman" w:hAnsi="Times New Roman" w:cs="Times New Roman"/>
          <w:b/>
          <w:bCs/>
          <w:sz w:val="28"/>
          <w:szCs w:val="28"/>
        </w:rPr>
      </w:pPr>
      <w:r w:rsidRPr="00C46BF3">
        <w:rPr>
          <w:rFonts w:ascii="Times New Roman" w:hAnsi="Times New Roman" w:cs="Times New Roman"/>
          <w:b/>
          <w:bCs/>
          <w:sz w:val="28"/>
          <w:szCs w:val="28"/>
        </w:rPr>
        <w:t>Alignment with Customary Practices</w:t>
      </w:r>
    </w:p>
    <w:p w14:paraId="00000153" w14:textId="36967515"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Policy should recognize local customary practices while ensuring they comply with constitutional principles of gender equality. Community-based governance models can help mediate conflicts and enhance women’s participation in land decisions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3057866D" w14:textId="77777777" w:rsidR="003D5B7D" w:rsidRPr="00C46BF3" w:rsidRDefault="003D5B7D" w:rsidP="00363CC7">
      <w:pPr>
        <w:jc w:val="both"/>
        <w:rPr>
          <w:rFonts w:ascii="Times New Roman" w:hAnsi="Times New Roman" w:cs="Times New Roman"/>
          <w:sz w:val="24"/>
          <w:szCs w:val="24"/>
        </w:rPr>
      </w:pPr>
    </w:p>
    <w:p w14:paraId="00000155" w14:textId="1F050329" w:rsidR="00E86BA5" w:rsidRPr="00C46BF3" w:rsidRDefault="00C46BF3" w:rsidP="00CF6D8E">
      <w:pPr>
        <w:pStyle w:val="ListParagraph"/>
        <w:numPr>
          <w:ilvl w:val="0"/>
          <w:numId w:val="15"/>
        </w:numPr>
        <w:rPr>
          <w:rFonts w:ascii="Times New Roman" w:hAnsi="Times New Roman" w:cs="Times New Roman"/>
          <w:b/>
          <w:bCs/>
          <w:sz w:val="28"/>
          <w:szCs w:val="28"/>
        </w:rPr>
      </w:pPr>
      <w:r w:rsidRPr="00C46BF3">
        <w:rPr>
          <w:rFonts w:ascii="Times New Roman" w:hAnsi="Times New Roman" w:cs="Times New Roman"/>
          <w:b/>
          <w:bCs/>
          <w:sz w:val="28"/>
          <w:szCs w:val="28"/>
        </w:rPr>
        <w:t>Integration with Economic Empowerment Programs</w:t>
      </w:r>
    </w:p>
    <w:p w14:paraId="0000015B" w14:textId="493E85B3" w:rsidR="00E86BA5" w:rsidRPr="00C46BF3" w:rsidRDefault="00C46BF3" w:rsidP="003D7C8D">
      <w:pPr>
        <w:jc w:val="both"/>
        <w:rPr>
          <w:rFonts w:ascii="Times New Roman" w:hAnsi="Times New Roman" w:cs="Times New Roman"/>
          <w:sz w:val="24"/>
          <w:szCs w:val="24"/>
        </w:rPr>
      </w:pPr>
      <w:r w:rsidRPr="00C46BF3">
        <w:rPr>
          <w:rFonts w:ascii="Times New Roman" w:hAnsi="Times New Roman" w:cs="Times New Roman"/>
          <w:sz w:val="24"/>
          <w:szCs w:val="24"/>
        </w:rPr>
        <w:t xml:space="preserve">Land ownership should be linked to access to credit, agricultural inputs, and livelihood programs. Evidence suggests that combining property rights with economic empowerment increases women’s agency and social status (Khan,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w:t>
      </w:r>
    </w:p>
    <w:p w14:paraId="41C01B50" w14:textId="77777777" w:rsidR="003D7C8D" w:rsidRPr="00C46BF3" w:rsidRDefault="003D7C8D" w:rsidP="003D7C8D">
      <w:pPr>
        <w:jc w:val="both"/>
        <w:rPr>
          <w:rFonts w:ascii="Times New Roman" w:hAnsi="Times New Roman" w:cs="Times New Roman"/>
          <w:sz w:val="24"/>
          <w:szCs w:val="24"/>
        </w:rPr>
      </w:pPr>
    </w:p>
    <w:p w14:paraId="0000015D"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Current policies provide a foundation for gender-equitable land rights in India but are limited by poor implementation, social norms, and fragmented governance. Effective reform requires a holistic approach combining legal enforcement, awareness campaigns, community engagement, and economic empowerment. Implementing these measures can ensure that women’s land rights translate into substantive social, economic, and political gains.</w:t>
      </w:r>
    </w:p>
    <w:p w14:paraId="00000160" w14:textId="0BD2D3EC" w:rsidR="00E86BA5" w:rsidRPr="00C46BF3" w:rsidRDefault="00DD44A8" w:rsidP="00DD44A8">
      <w:pPr>
        <w:pStyle w:val="Heading1"/>
        <w:rPr>
          <w:rFonts w:ascii="Times New Roman" w:hAnsi="Times New Roman" w:cs="Times New Roman"/>
          <w:b/>
          <w:bCs/>
        </w:rPr>
      </w:pPr>
      <w:bookmarkStart w:id="33" w:name="_Toc214987015"/>
      <w:r w:rsidRPr="00C46BF3">
        <w:rPr>
          <w:rFonts w:ascii="Times New Roman" w:hAnsi="Times New Roman" w:cs="Times New Roman"/>
          <w:b/>
          <w:bCs/>
        </w:rPr>
        <w:t>CASE STUDIES: WOMEN’S LAND RIGHTS IN INDIA</w:t>
      </w:r>
      <w:bookmarkEnd w:id="33"/>
    </w:p>
    <w:p w14:paraId="00000161"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To understand the real-world challenges and successes in women’s land ownership, </w:t>
      </w:r>
      <w:r w:rsidRPr="00C46BF3">
        <w:rPr>
          <w:rFonts w:ascii="Times New Roman" w:hAnsi="Times New Roman" w:cs="Times New Roman"/>
          <w:sz w:val="24"/>
          <w:szCs w:val="24"/>
        </w:rPr>
        <w:t>this section examines specific case studies from different Indian states and tribal regions. These examples illustrate the intersection of law, policy, and socio-cultural factors.</w:t>
      </w:r>
    </w:p>
    <w:p w14:paraId="00000166" w14:textId="66A295C5" w:rsidR="00E86BA5" w:rsidRPr="00C46BF3" w:rsidRDefault="00C46BF3" w:rsidP="00DD44A8">
      <w:pPr>
        <w:pStyle w:val="Heading2"/>
        <w:rPr>
          <w:rFonts w:ascii="Times New Roman" w:hAnsi="Times New Roman" w:cs="Times New Roman"/>
          <w:b/>
          <w:bCs/>
        </w:rPr>
      </w:pPr>
      <w:bookmarkStart w:id="34" w:name="_Toc214987016"/>
      <w:r w:rsidRPr="00C46BF3">
        <w:rPr>
          <w:rFonts w:ascii="Times New Roman" w:hAnsi="Times New Roman" w:cs="Times New Roman"/>
          <w:b/>
          <w:bCs/>
        </w:rPr>
        <w:t>Andhra Pradesh: Joint Land Titling Initiative</w:t>
      </w:r>
      <w:bookmarkEnd w:id="34"/>
    </w:p>
    <w:p w14:paraId="00000168"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The state of </w:t>
      </w:r>
      <w:r w:rsidRPr="00C46BF3">
        <w:rPr>
          <w:rFonts w:ascii="Times New Roman" w:hAnsi="Times New Roman" w:cs="Times New Roman"/>
          <w:i/>
          <w:iCs/>
          <w:sz w:val="24"/>
          <w:szCs w:val="24"/>
        </w:rPr>
        <w:t>Andhra Pradesh</w:t>
      </w:r>
      <w:r w:rsidRPr="00C46BF3">
        <w:rPr>
          <w:rFonts w:ascii="Times New Roman" w:hAnsi="Times New Roman" w:cs="Times New Roman"/>
          <w:sz w:val="24"/>
          <w:szCs w:val="24"/>
        </w:rPr>
        <w:t xml:space="preserve"> introduced a joint land titling program in rural areas, registering land in the names of both spouses. Evaluations reveal that women holding joint titles have increased participation in land-related decision-making, higher access to credit, and stronger social recognition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However, challenges persist in villages where local elites or traditional councils resist joint ownership, highlighting the importance of community engagement alongside legal reforms.</w:t>
      </w:r>
    </w:p>
    <w:p w14:paraId="0000016D" w14:textId="64E448D6" w:rsidR="00E86BA5" w:rsidRPr="00C46BF3" w:rsidRDefault="00C46BF3" w:rsidP="00DD44A8">
      <w:pPr>
        <w:pStyle w:val="Heading2"/>
        <w:rPr>
          <w:rFonts w:ascii="Times New Roman" w:hAnsi="Times New Roman" w:cs="Times New Roman"/>
          <w:b/>
          <w:bCs/>
        </w:rPr>
      </w:pPr>
      <w:bookmarkStart w:id="35" w:name="_Toc214987017"/>
      <w:r w:rsidRPr="00C46BF3">
        <w:rPr>
          <w:rFonts w:ascii="Times New Roman" w:hAnsi="Times New Roman" w:cs="Times New Roman"/>
          <w:b/>
          <w:bCs/>
        </w:rPr>
        <w:t>Odisha: Forest Rights Act Implementation</w:t>
      </w:r>
      <w:bookmarkEnd w:id="35"/>
    </w:p>
    <w:p w14:paraId="0000016F"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In </w:t>
      </w:r>
      <w:r w:rsidRPr="00C46BF3">
        <w:rPr>
          <w:rFonts w:ascii="Times New Roman" w:hAnsi="Times New Roman" w:cs="Times New Roman"/>
          <w:i/>
          <w:iCs/>
          <w:sz w:val="24"/>
          <w:szCs w:val="24"/>
        </w:rPr>
        <w:t>Odisha,</w:t>
      </w:r>
      <w:r w:rsidRPr="00C46BF3">
        <w:rPr>
          <w:rFonts w:ascii="Times New Roman" w:hAnsi="Times New Roman" w:cs="Times New Roman"/>
          <w:sz w:val="24"/>
          <w:szCs w:val="24"/>
        </w:rPr>
        <w:t xml:space="preserve"> the </w:t>
      </w:r>
      <w:r w:rsidRPr="00C46BF3">
        <w:rPr>
          <w:rFonts w:ascii="Times New Roman" w:hAnsi="Times New Roman" w:cs="Times New Roman"/>
          <w:b/>
          <w:bCs/>
          <w:sz w:val="24"/>
          <w:szCs w:val="24"/>
        </w:rPr>
        <w:t>Forest Rights Act, 2006</w:t>
      </w:r>
      <w:r w:rsidRPr="00C46BF3">
        <w:rPr>
          <w:rFonts w:ascii="Times New Roman" w:hAnsi="Times New Roman" w:cs="Times New Roman"/>
          <w:sz w:val="24"/>
          <w:szCs w:val="24"/>
        </w:rPr>
        <w:t xml:space="preserve">, has been implemented in several tribal districts to recognize community and individual land claims. Tribal women who have secured legal titles report greater autonomy over forest resources, improved access to livelihoods, and enhanced participation in local governance (Ministry of Tribal Affairs,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Yet, bureaucratic delays and patriarchal norms within Gram Sabhas often limit the full realization of these rights, especially for widows or unmarried women.</w:t>
      </w:r>
    </w:p>
    <w:p w14:paraId="00000175" w14:textId="526CA8F1" w:rsidR="00E86BA5" w:rsidRPr="00C46BF3" w:rsidRDefault="00C46BF3" w:rsidP="00DD44A8">
      <w:pPr>
        <w:pStyle w:val="Heading2"/>
        <w:rPr>
          <w:rFonts w:ascii="Times New Roman" w:hAnsi="Times New Roman" w:cs="Times New Roman"/>
          <w:b/>
          <w:bCs/>
        </w:rPr>
      </w:pPr>
      <w:bookmarkStart w:id="36" w:name="_Toc214987018"/>
      <w:r w:rsidRPr="00C46BF3">
        <w:rPr>
          <w:rFonts w:ascii="Times New Roman" w:hAnsi="Times New Roman" w:cs="Times New Roman"/>
          <w:b/>
          <w:bCs/>
        </w:rPr>
        <w:lastRenderedPageBreak/>
        <w:t>Kerala: Land Redistribution and Women’s Empowerment</w:t>
      </w:r>
      <w:bookmarkEnd w:id="36"/>
    </w:p>
    <w:p w14:paraId="00000176"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Kerala’s historical land reform programs redistributed land to landless households, including women-headed families. Studies indicate that women beneficiaries gained greater economic security, ability to access agricultural loans, and improved decision-making in household and community affairs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Kerala’s experience underscores that combining land redistribution with supportive services—such as literacy programs and microfinance—enhances women’s empowerment.</w:t>
      </w:r>
    </w:p>
    <w:p w14:paraId="0000017B" w14:textId="2DE5777B" w:rsidR="00E86BA5" w:rsidRPr="00C46BF3" w:rsidRDefault="00C46BF3" w:rsidP="00DD44A8">
      <w:pPr>
        <w:pStyle w:val="Heading2"/>
        <w:rPr>
          <w:rFonts w:ascii="Times New Roman" w:hAnsi="Times New Roman" w:cs="Times New Roman"/>
        </w:rPr>
      </w:pPr>
      <w:bookmarkStart w:id="37" w:name="_Toc214987019"/>
      <w:r w:rsidRPr="00C46BF3">
        <w:rPr>
          <w:rFonts w:ascii="Times New Roman" w:hAnsi="Times New Roman" w:cs="Times New Roman"/>
          <w:b/>
          <w:bCs/>
        </w:rPr>
        <w:t>West Bengal: Challenges in Inheritance Enforcement</w:t>
      </w:r>
      <w:bookmarkEnd w:id="37"/>
    </w:p>
    <w:p w14:paraId="0000017D"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In </w:t>
      </w:r>
      <w:r w:rsidRPr="00C46BF3">
        <w:rPr>
          <w:rFonts w:ascii="Times New Roman" w:hAnsi="Times New Roman" w:cs="Times New Roman"/>
          <w:i/>
          <w:iCs/>
          <w:sz w:val="24"/>
          <w:szCs w:val="24"/>
        </w:rPr>
        <w:t>West Bengal</w:t>
      </w:r>
      <w:r w:rsidRPr="00C46BF3">
        <w:rPr>
          <w:rFonts w:ascii="Times New Roman" w:hAnsi="Times New Roman" w:cs="Times New Roman"/>
          <w:sz w:val="24"/>
          <w:szCs w:val="24"/>
        </w:rPr>
        <w:t xml:space="preserve">, daughters often face challenges claiming inheritance due to social pressures and family disputes, despite the legal provisions of the </w:t>
      </w:r>
      <w:r w:rsidRPr="00C46BF3">
        <w:rPr>
          <w:rFonts w:ascii="Times New Roman" w:hAnsi="Times New Roman" w:cs="Times New Roman"/>
          <w:b/>
          <w:bCs/>
          <w:sz w:val="24"/>
          <w:szCs w:val="24"/>
        </w:rPr>
        <w:t>Hindu Succession (Amendment) Act, 2005.</w:t>
      </w:r>
      <w:r w:rsidRPr="00C46BF3">
        <w:rPr>
          <w:rFonts w:ascii="Times New Roman" w:hAnsi="Times New Roman" w:cs="Times New Roman"/>
          <w:sz w:val="24"/>
          <w:szCs w:val="24"/>
        </w:rPr>
        <w:t xml:space="preserve"> Case law shows that women frequently require legal assistance to assert their rights, and delays in court proceedings can undermine timely access to property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This highlights the gap between formal legal entitlements and substantive ownership.</w:t>
      </w:r>
    </w:p>
    <w:p w14:paraId="00000183" w14:textId="67A0E7FE" w:rsidR="00E86BA5" w:rsidRPr="00C46BF3" w:rsidRDefault="00C46BF3" w:rsidP="00FF3341">
      <w:pPr>
        <w:pStyle w:val="Heading2"/>
        <w:rPr>
          <w:rFonts w:ascii="Times New Roman" w:hAnsi="Times New Roman" w:cs="Times New Roman"/>
          <w:b/>
          <w:bCs/>
        </w:rPr>
      </w:pPr>
      <w:bookmarkStart w:id="38" w:name="_Toc214987020"/>
      <w:r w:rsidRPr="00C46BF3">
        <w:rPr>
          <w:rFonts w:ascii="Times New Roman" w:hAnsi="Times New Roman" w:cs="Times New Roman"/>
          <w:b/>
          <w:bCs/>
        </w:rPr>
        <w:t>Lessons from Case Studies</w:t>
      </w:r>
      <w:bookmarkEnd w:id="38"/>
    </w:p>
    <w:p w14:paraId="00000184" w14:textId="1CA09A2B" w:rsidR="00E86BA5" w:rsidRPr="00C46BF3" w:rsidRDefault="00C46BF3" w:rsidP="00FF3341">
      <w:pPr>
        <w:pStyle w:val="ListParagraph"/>
        <w:numPr>
          <w:ilvl w:val="0"/>
          <w:numId w:val="18"/>
        </w:numPr>
        <w:jc w:val="both"/>
        <w:rPr>
          <w:rFonts w:ascii="Times New Roman" w:hAnsi="Times New Roman" w:cs="Times New Roman"/>
          <w:sz w:val="24"/>
          <w:szCs w:val="24"/>
        </w:rPr>
      </w:pPr>
      <w:r w:rsidRPr="00C46BF3">
        <w:rPr>
          <w:rFonts w:ascii="Times New Roman" w:hAnsi="Times New Roman" w:cs="Times New Roman"/>
          <w:sz w:val="24"/>
          <w:szCs w:val="24"/>
        </w:rPr>
        <w:t>Legal Reform Needs Social Support: Laws alone are insufficient; community acceptance, awareness programs, and dispute resolution mechanisms are critical.</w:t>
      </w:r>
    </w:p>
    <w:p w14:paraId="00000187" w14:textId="2B6DA0B9" w:rsidR="00E86BA5" w:rsidRPr="00C46BF3" w:rsidRDefault="00C46BF3" w:rsidP="00FF3341">
      <w:pPr>
        <w:pStyle w:val="ListParagraph"/>
        <w:numPr>
          <w:ilvl w:val="0"/>
          <w:numId w:val="18"/>
        </w:numPr>
        <w:jc w:val="both"/>
        <w:rPr>
          <w:rFonts w:ascii="Times New Roman" w:hAnsi="Times New Roman" w:cs="Times New Roman"/>
          <w:sz w:val="24"/>
          <w:szCs w:val="24"/>
        </w:rPr>
      </w:pPr>
      <w:r w:rsidRPr="00C46BF3">
        <w:rPr>
          <w:rFonts w:ascii="Times New Roman" w:hAnsi="Times New Roman" w:cs="Times New Roman"/>
          <w:sz w:val="24"/>
          <w:szCs w:val="24"/>
        </w:rPr>
        <w:t xml:space="preserve">Joint Titling Works but Faces Resistance: When implemented effectively, joint land titling increases </w:t>
      </w:r>
      <w:r w:rsidRPr="00C46BF3">
        <w:rPr>
          <w:rFonts w:ascii="Times New Roman" w:hAnsi="Times New Roman" w:cs="Times New Roman"/>
          <w:sz w:val="24"/>
          <w:szCs w:val="24"/>
        </w:rPr>
        <w:t>women’s autonomy, but local patriarchal norms can obstruct its success.</w:t>
      </w:r>
    </w:p>
    <w:p w14:paraId="0000018A" w14:textId="28F03D4B" w:rsidR="00E86BA5" w:rsidRPr="00C46BF3" w:rsidRDefault="00C46BF3" w:rsidP="00FF3341">
      <w:pPr>
        <w:pStyle w:val="ListParagraph"/>
        <w:numPr>
          <w:ilvl w:val="0"/>
          <w:numId w:val="18"/>
        </w:numPr>
        <w:jc w:val="both"/>
        <w:rPr>
          <w:rFonts w:ascii="Times New Roman" w:hAnsi="Times New Roman" w:cs="Times New Roman"/>
          <w:sz w:val="24"/>
          <w:szCs w:val="24"/>
        </w:rPr>
      </w:pPr>
      <w:r w:rsidRPr="00C46BF3">
        <w:rPr>
          <w:rFonts w:ascii="Times New Roman" w:hAnsi="Times New Roman" w:cs="Times New Roman"/>
          <w:sz w:val="24"/>
          <w:szCs w:val="24"/>
        </w:rPr>
        <w:t>Integration with Economic and Social Programs Enhances Impact: Combining land rights with credit, education, and livelihood programs produces more meaningful empowerment outcomes.</w:t>
      </w:r>
    </w:p>
    <w:p w14:paraId="5238D360" w14:textId="3A4EFA2B" w:rsidR="00DD44A8" w:rsidRPr="00C46BF3" w:rsidRDefault="00C46BF3" w:rsidP="00FF3341">
      <w:pPr>
        <w:pStyle w:val="ListParagraph"/>
        <w:numPr>
          <w:ilvl w:val="0"/>
          <w:numId w:val="18"/>
        </w:numPr>
        <w:jc w:val="both"/>
        <w:rPr>
          <w:rFonts w:ascii="Times New Roman" w:hAnsi="Times New Roman" w:cs="Times New Roman"/>
          <w:sz w:val="24"/>
          <w:szCs w:val="24"/>
        </w:rPr>
      </w:pPr>
      <w:r w:rsidRPr="00C46BF3">
        <w:rPr>
          <w:rFonts w:ascii="Times New Roman" w:hAnsi="Times New Roman" w:cs="Times New Roman"/>
          <w:sz w:val="24"/>
          <w:szCs w:val="24"/>
        </w:rPr>
        <w:t>Monitoring and Implementation Are Key: Delays, bureaucratic inefficiencies, and lack of gender-disaggregated records continue to limit the effectiveness of reforms.</w:t>
      </w:r>
    </w:p>
    <w:p w14:paraId="00000190" w14:textId="4A1CB659" w:rsidR="00E86BA5" w:rsidRPr="00C46BF3" w:rsidRDefault="00DD44A8" w:rsidP="00DD44A8">
      <w:pPr>
        <w:pStyle w:val="Heading1"/>
        <w:rPr>
          <w:rFonts w:ascii="Times New Roman" w:hAnsi="Times New Roman" w:cs="Times New Roman"/>
          <w:b/>
          <w:bCs/>
        </w:rPr>
      </w:pPr>
      <w:bookmarkStart w:id="39" w:name="_Toc214987021"/>
      <w:r w:rsidRPr="00C46BF3">
        <w:rPr>
          <w:rFonts w:ascii="Times New Roman" w:hAnsi="Times New Roman" w:cs="Times New Roman"/>
          <w:b/>
          <w:bCs/>
        </w:rPr>
        <w:t>CHALLENGES AND BARRIERS TO WOMEN’S LAND OWNERSHIP IN INDIA</w:t>
      </w:r>
      <w:bookmarkEnd w:id="39"/>
    </w:p>
    <w:p w14:paraId="00000192"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Despite legal reforms and policy initiatives, women in India face multiple structural, social, and institutional barriers that limit their ownership and control over land. Understanding these obstacles is crucial for designing effective interventions.</w:t>
      </w:r>
    </w:p>
    <w:p w14:paraId="00000197" w14:textId="517EB7C6" w:rsidR="00E86BA5" w:rsidRPr="00C46BF3" w:rsidRDefault="00C46BF3" w:rsidP="00DD44A8">
      <w:pPr>
        <w:pStyle w:val="Heading2"/>
        <w:rPr>
          <w:rFonts w:ascii="Times New Roman" w:hAnsi="Times New Roman" w:cs="Times New Roman"/>
        </w:rPr>
      </w:pPr>
      <w:bookmarkStart w:id="40" w:name="_Toc214987022"/>
      <w:r w:rsidRPr="00C46BF3">
        <w:rPr>
          <w:rFonts w:ascii="Times New Roman" w:hAnsi="Times New Roman" w:cs="Times New Roman"/>
          <w:b/>
          <w:bCs/>
        </w:rPr>
        <w:t>Patriarchal Social Norms</w:t>
      </w:r>
      <w:bookmarkEnd w:id="40"/>
    </w:p>
    <w:p w14:paraId="00000199"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Patriarchal norms remain the most persistent barrier. Land is traditionally viewed as a male inheritance, and women asserting claims often face resistance from family members and local communities (Agarwal,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Social expectations discourage women from claiming ownership, especially in rural areas, where doing so may trigger familial disputes or social ostracism (Singh &amp; Bhatnagar</w:t>
      </w:r>
      <w:r w:rsidRPr="00C46BF3">
        <w:rPr>
          <w:rFonts w:ascii="Times New Roman" w:hAnsi="Times New Roman" w:cs="Times New Roman"/>
          <w:color w:val="EE0000"/>
          <w:sz w:val="24"/>
          <w:szCs w:val="24"/>
        </w:rPr>
        <w:t>, 2024</w:t>
      </w:r>
      <w:r w:rsidRPr="00C46BF3">
        <w:rPr>
          <w:rFonts w:ascii="Times New Roman" w:hAnsi="Times New Roman" w:cs="Times New Roman"/>
          <w:sz w:val="24"/>
          <w:szCs w:val="24"/>
        </w:rPr>
        <w:t>).</w:t>
      </w:r>
    </w:p>
    <w:p w14:paraId="0000019E" w14:textId="4F3F56A2" w:rsidR="00E86BA5" w:rsidRPr="00C46BF3" w:rsidRDefault="00C46BF3" w:rsidP="00DD44A8">
      <w:pPr>
        <w:pStyle w:val="Heading2"/>
        <w:rPr>
          <w:rFonts w:ascii="Times New Roman" w:hAnsi="Times New Roman" w:cs="Times New Roman"/>
        </w:rPr>
      </w:pPr>
      <w:bookmarkStart w:id="41" w:name="_Toc214987023"/>
      <w:r w:rsidRPr="00C46BF3">
        <w:rPr>
          <w:rFonts w:ascii="Times New Roman" w:hAnsi="Times New Roman" w:cs="Times New Roman"/>
          <w:b/>
          <w:bCs/>
        </w:rPr>
        <w:lastRenderedPageBreak/>
        <w:t>Legal and Administrative Hurdles</w:t>
      </w:r>
      <w:bookmarkEnd w:id="41"/>
    </w:p>
    <w:p w14:paraId="000001A0"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Although laws exist to protect women’s land rights, administrative processes are complex and often biased. Women frequently encounter delays in registration, lack of gender-disaggregated land records, and insufficient legal aid (Deepak, Somnath, &amp; Saxena,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These hurdles discourage women from pursuing formal ownership, even when entitled by law.</w:t>
      </w:r>
    </w:p>
    <w:p w14:paraId="000001A6" w14:textId="46797280" w:rsidR="00E86BA5" w:rsidRPr="00C46BF3" w:rsidRDefault="00C46BF3" w:rsidP="00DD44A8">
      <w:pPr>
        <w:pStyle w:val="Heading3"/>
        <w:rPr>
          <w:rFonts w:ascii="Times New Roman" w:hAnsi="Times New Roman" w:cs="Times New Roman"/>
          <w:b/>
          <w:bCs/>
          <w:sz w:val="32"/>
          <w:szCs w:val="32"/>
        </w:rPr>
      </w:pPr>
      <w:bookmarkStart w:id="42" w:name="_Toc214987024"/>
      <w:r w:rsidRPr="00C46BF3">
        <w:rPr>
          <w:rFonts w:ascii="Times New Roman" w:hAnsi="Times New Roman" w:cs="Times New Roman"/>
          <w:b/>
          <w:bCs/>
        </w:rPr>
        <w:t>Economic and Financial Constraints</w:t>
      </w:r>
      <w:bookmarkEnd w:id="42"/>
    </w:p>
    <w:p w14:paraId="000001A7"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Economic dependency is another major barrier. Women without independent financial resources struggle to pay fees for land registration, legal procedures, or inheritance litigation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 Limited access to credit further constrains their ability to invest in or leverage land for livelihood purposes, perpetuating cycles of economic marginalization.</w:t>
      </w:r>
    </w:p>
    <w:p w14:paraId="000001AC" w14:textId="199CF6DF" w:rsidR="00E86BA5" w:rsidRPr="00C46BF3" w:rsidRDefault="00C46BF3" w:rsidP="00DD44A8">
      <w:pPr>
        <w:pStyle w:val="Heading3"/>
        <w:rPr>
          <w:rFonts w:ascii="Times New Roman" w:hAnsi="Times New Roman" w:cs="Times New Roman"/>
          <w:b/>
          <w:bCs/>
        </w:rPr>
      </w:pPr>
      <w:bookmarkStart w:id="43" w:name="_Toc214987025"/>
      <w:r w:rsidRPr="00C46BF3">
        <w:rPr>
          <w:rFonts w:ascii="Times New Roman" w:hAnsi="Times New Roman" w:cs="Times New Roman"/>
          <w:b/>
          <w:bCs/>
        </w:rPr>
        <w:t>Intersectional Disadvantages</w:t>
      </w:r>
      <w:bookmarkEnd w:id="43"/>
    </w:p>
    <w:p w14:paraId="34BB45E0" w14:textId="77777777" w:rsidR="00DD44A8" w:rsidRPr="00C46BF3" w:rsidRDefault="00C46BF3" w:rsidP="00DD44A8">
      <w:pPr>
        <w:jc w:val="both"/>
        <w:rPr>
          <w:rFonts w:ascii="Times New Roman" w:hAnsi="Times New Roman" w:cs="Times New Roman"/>
          <w:sz w:val="24"/>
          <w:szCs w:val="24"/>
        </w:rPr>
      </w:pPr>
      <w:r w:rsidRPr="00C46BF3">
        <w:rPr>
          <w:rFonts w:ascii="Times New Roman" w:hAnsi="Times New Roman" w:cs="Times New Roman"/>
          <w:sz w:val="24"/>
          <w:szCs w:val="24"/>
        </w:rPr>
        <w:t xml:space="preserve">Women belonging to marginalized castes, tribal groups, or economically disadvantaged households face compounded disadvantages. They are less likely to have formal documentation, are more vulnerable to displacement, and often experience discrimination in local governance processes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Intersectional analysis reveals that reforms benefiting urban or upper-caste women may not reach the most marginalized groups.</w:t>
      </w:r>
    </w:p>
    <w:p w14:paraId="000001B3" w14:textId="29441A8C" w:rsidR="00E86BA5" w:rsidRPr="00C46BF3" w:rsidRDefault="00C46BF3" w:rsidP="00DD44A8">
      <w:pPr>
        <w:pStyle w:val="Heading3"/>
        <w:rPr>
          <w:rFonts w:ascii="Times New Roman" w:hAnsi="Times New Roman" w:cs="Times New Roman"/>
          <w:b/>
          <w:bCs/>
        </w:rPr>
      </w:pPr>
      <w:bookmarkStart w:id="44" w:name="_Toc214987026"/>
      <w:r w:rsidRPr="00C46BF3">
        <w:rPr>
          <w:rFonts w:ascii="Times New Roman" w:hAnsi="Times New Roman" w:cs="Times New Roman"/>
          <w:b/>
          <w:bCs/>
        </w:rPr>
        <w:t>Cultural and Customary Conflicts</w:t>
      </w:r>
      <w:bookmarkEnd w:id="44"/>
    </w:p>
    <w:p w14:paraId="000001B5"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In many regions, customary laws and informal practices override formal legal </w:t>
      </w:r>
      <w:r w:rsidRPr="00C46BF3">
        <w:rPr>
          <w:rFonts w:ascii="Times New Roman" w:hAnsi="Times New Roman" w:cs="Times New Roman"/>
          <w:sz w:val="24"/>
          <w:szCs w:val="24"/>
        </w:rPr>
        <w:t xml:space="preserve">rights. Tribal and rural communities often rely on local norms for land distribution, which may exclude women from ownership or decision-making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These conflicts between formal law and local practice undermine women’s ability to exercise legal entitlements.</w:t>
      </w:r>
    </w:p>
    <w:p w14:paraId="000001BA" w14:textId="4D988D8D" w:rsidR="00E86BA5" w:rsidRPr="00C46BF3" w:rsidRDefault="00C46BF3" w:rsidP="00DD44A8">
      <w:pPr>
        <w:pStyle w:val="Heading3"/>
        <w:rPr>
          <w:rFonts w:ascii="Times New Roman" w:hAnsi="Times New Roman" w:cs="Times New Roman"/>
          <w:b/>
          <w:bCs/>
        </w:rPr>
      </w:pPr>
      <w:bookmarkStart w:id="45" w:name="_Toc214987027"/>
      <w:r w:rsidRPr="00C46BF3">
        <w:rPr>
          <w:rFonts w:ascii="Times New Roman" w:hAnsi="Times New Roman" w:cs="Times New Roman"/>
          <w:b/>
          <w:bCs/>
        </w:rPr>
        <w:t>Awareness and Education Gaps</w:t>
      </w:r>
      <w:bookmarkEnd w:id="45"/>
    </w:p>
    <w:p w14:paraId="000001C2" w14:textId="4B9BA01D" w:rsidR="00E86BA5" w:rsidRPr="00C46BF3" w:rsidRDefault="00C46BF3" w:rsidP="003D7C8D">
      <w:pPr>
        <w:jc w:val="both"/>
        <w:rPr>
          <w:rFonts w:ascii="Times New Roman" w:hAnsi="Times New Roman" w:cs="Times New Roman"/>
          <w:sz w:val="24"/>
          <w:szCs w:val="24"/>
        </w:rPr>
      </w:pPr>
      <w:r w:rsidRPr="00C46BF3">
        <w:rPr>
          <w:rFonts w:ascii="Times New Roman" w:hAnsi="Times New Roman" w:cs="Times New Roman"/>
          <w:sz w:val="24"/>
          <w:szCs w:val="24"/>
        </w:rPr>
        <w:t xml:space="preserve">Low awareness of legal rights and procedural requirements significantly impedes women’s land ownership. Studies show that women are often unaware of amendments to inheritance laws or programs like joint titling, resulting in underutilization of available rights (Deepak et al.,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Education and legal literacy are therefore critical components of effective reform.</w:t>
      </w:r>
    </w:p>
    <w:p w14:paraId="1F25896A" w14:textId="77777777" w:rsidR="003D7C8D" w:rsidRPr="00C46BF3" w:rsidRDefault="003D7C8D" w:rsidP="003D7C8D">
      <w:pPr>
        <w:jc w:val="both"/>
        <w:rPr>
          <w:rFonts w:ascii="Times New Roman" w:hAnsi="Times New Roman" w:cs="Times New Roman"/>
          <w:sz w:val="24"/>
          <w:szCs w:val="24"/>
        </w:rPr>
      </w:pPr>
    </w:p>
    <w:p w14:paraId="000001C3"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Women’s land rights in India are constrained by an interplay of patriarchy, economic dependency, administrative inefficiency, and intersecting social disadvantages. Addressing these barriers requires multi-faceted strategies that combine legal reform, administrative streamlining, community engagement, economic empowerment, and awareness campaigns.</w:t>
      </w:r>
    </w:p>
    <w:p w14:paraId="000001C6" w14:textId="284AA12F" w:rsidR="00E86BA5" w:rsidRPr="00C46BF3" w:rsidRDefault="00C46BF3" w:rsidP="00DD44A8">
      <w:pPr>
        <w:pStyle w:val="Heading1"/>
        <w:rPr>
          <w:rFonts w:ascii="Times New Roman" w:hAnsi="Times New Roman" w:cs="Times New Roman"/>
          <w:b/>
          <w:bCs/>
        </w:rPr>
      </w:pPr>
      <w:bookmarkStart w:id="46" w:name="_Toc214987029"/>
      <w:r w:rsidRPr="00C46BF3">
        <w:rPr>
          <w:rFonts w:ascii="Times New Roman" w:hAnsi="Times New Roman" w:cs="Times New Roman"/>
          <w:b/>
          <w:bCs/>
        </w:rPr>
        <w:t>Conclusion</w:t>
      </w:r>
      <w:bookmarkEnd w:id="46"/>
    </w:p>
    <w:p w14:paraId="000001C8" w14:textId="70E64873" w:rsidR="00E86BA5" w:rsidRPr="00C46BF3" w:rsidRDefault="00CE5D5C"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        </w:t>
      </w:r>
      <w:r w:rsidR="00C46BF3" w:rsidRPr="00C46BF3">
        <w:rPr>
          <w:rFonts w:ascii="Times New Roman" w:hAnsi="Times New Roman" w:cs="Times New Roman"/>
          <w:sz w:val="24"/>
          <w:szCs w:val="24"/>
        </w:rPr>
        <w:t xml:space="preserve">This paper has explored the multifaceted dimensions of women’s land rights in India, integrating historical, legal, socio-cultural, and comparative perspectives. Despite constitutional guarantees and progressive legislation such as the Hindu Succession (Amendment) Act, </w:t>
      </w:r>
      <w:r w:rsidR="00C46BF3" w:rsidRPr="00C46BF3">
        <w:rPr>
          <w:rFonts w:ascii="Times New Roman" w:hAnsi="Times New Roman" w:cs="Times New Roman"/>
          <w:color w:val="EE0000"/>
          <w:sz w:val="24"/>
          <w:szCs w:val="24"/>
        </w:rPr>
        <w:t>2005</w:t>
      </w:r>
      <w:r w:rsidR="00C46BF3" w:rsidRPr="00C46BF3">
        <w:rPr>
          <w:rFonts w:ascii="Times New Roman" w:hAnsi="Times New Roman" w:cs="Times New Roman"/>
          <w:sz w:val="24"/>
          <w:szCs w:val="24"/>
        </w:rPr>
        <w:t xml:space="preserve"> and the Forest Rights Act, </w:t>
      </w:r>
      <w:r w:rsidR="00C46BF3" w:rsidRPr="00C46BF3">
        <w:rPr>
          <w:rFonts w:ascii="Times New Roman" w:hAnsi="Times New Roman" w:cs="Times New Roman"/>
          <w:color w:val="EE0000"/>
          <w:sz w:val="24"/>
          <w:szCs w:val="24"/>
        </w:rPr>
        <w:t>2006</w:t>
      </w:r>
      <w:r w:rsidR="00C46BF3" w:rsidRPr="00C46BF3">
        <w:rPr>
          <w:rFonts w:ascii="Times New Roman" w:hAnsi="Times New Roman" w:cs="Times New Roman"/>
          <w:sz w:val="24"/>
          <w:szCs w:val="24"/>
        </w:rPr>
        <w:t xml:space="preserve">, women’s substantive ownership and control over land remain limited due to </w:t>
      </w:r>
      <w:r w:rsidR="00C46BF3" w:rsidRPr="00C46BF3">
        <w:rPr>
          <w:rFonts w:ascii="Times New Roman" w:hAnsi="Times New Roman" w:cs="Times New Roman"/>
          <w:sz w:val="24"/>
          <w:szCs w:val="24"/>
        </w:rPr>
        <w:lastRenderedPageBreak/>
        <w:t xml:space="preserve">entrenched patriarchal norms, administrative hurdles, and intersecting socio-economic disadvantages (Agarwal, </w:t>
      </w:r>
      <w:r w:rsidR="00C46BF3" w:rsidRPr="00C46BF3">
        <w:rPr>
          <w:rFonts w:ascii="Times New Roman" w:hAnsi="Times New Roman" w:cs="Times New Roman"/>
          <w:color w:val="EE0000"/>
          <w:sz w:val="24"/>
          <w:szCs w:val="24"/>
        </w:rPr>
        <w:t>2024</w:t>
      </w:r>
      <w:r w:rsidR="00C46BF3" w:rsidRPr="00C46BF3">
        <w:rPr>
          <w:rFonts w:ascii="Times New Roman" w:hAnsi="Times New Roman" w:cs="Times New Roman"/>
          <w:sz w:val="24"/>
          <w:szCs w:val="24"/>
        </w:rPr>
        <w:t xml:space="preserve">; Deepak, Somnath, &amp; Saxena, </w:t>
      </w:r>
      <w:r w:rsidR="00C46BF3" w:rsidRPr="00C46BF3">
        <w:rPr>
          <w:rFonts w:ascii="Times New Roman" w:hAnsi="Times New Roman" w:cs="Times New Roman"/>
          <w:color w:val="EE0000"/>
          <w:sz w:val="24"/>
          <w:szCs w:val="24"/>
        </w:rPr>
        <w:t>2023</w:t>
      </w:r>
      <w:r w:rsidR="00C46BF3" w:rsidRPr="00C46BF3">
        <w:rPr>
          <w:rFonts w:ascii="Times New Roman" w:hAnsi="Times New Roman" w:cs="Times New Roman"/>
          <w:sz w:val="24"/>
          <w:szCs w:val="24"/>
        </w:rPr>
        <w:t>).</w:t>
      </w:r>
    </w:p>
    <w:p w14:paraId="000001C9" w14:textId="77777777" w:rsidR="00E86BA5" w:rsidRPr="00C46BF3" w:rsidRDefault="00E86BA5" w:rsidP="00363CC7">
      <w:pPr>
        <w:jc w:val="both"/>
        <w:rPr>
          <w:rFonts w:ascii="Times New Roman" w:hAnsi="Times New Roman" w:cs="Times New Roman"/>
          <w:sz w:val="24"/>
          <w:szCs w:val="24"/>
        </w:rPr>
      </w:pPr>
    </w:p>
    <w:p w14:paraId="000001CA"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Historical analysis demonstrates that land ownership in India has been traditionally male-dominated, and colonial and post-independence land policies often failed to address women’s rights adequately (Rao &amp; Ramachandran,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Theoretical frameworks such as feminist political economy, intersectionality, and human rights reveal that legal entitlements alone are insufficient; real empowerment requires structural and cultural transformation (Singh &amp; Bhatnagar, </w:t>
      </w:r>
      <w:r w:rsidRPr="00C46BF3">
        <w:rPr>
          <w:rFonts w:ascii="Times New Roman" w:hAnsi="Times New Roman" w:cs="Times New Roman"/>
          <w:color w:val="EE0000"/>
          <w:sz w:val="24"/>
          <w:szCs w:val="24"/>
        </w:rPr>
        <w:t>2024</w:t>
      </w:r>
      <w:r w:rsidRPr="00C46BF3">
        <w:rPr>
          <w:rFonts w:ascii="Times New Roman" w:hAnsi="Times New Roman" w:cs="Times New Roman"/>
          <w:sz w:val="24"/>
          <w:szCs w:val="24"/>
        </w:rPr>
        <w:t xml:space="preserve">; UN Women, </w:t>
      </w:r>
      <w:r w:rsidRPr="00C46BF3">
        <w:rPr>
          <w:rFonts w:ascii="Times New Roman" w:hAnsi="Times New Roman" w:cs="Times New Roman"/>
          <w:color w:val="EE0000"/>
          <w:sz w:val="24"/>
          <w:szCs w:val="24"/>
        </w:rPr>
        <w:t>2022</w:t>
      </w:r>
      <w:r w:rsidRPr="00C46BF3">
        <w:rPr>
          <w:rFonts w:ascii="Times New Roman" w:hAnsi="Times New Roman" w:cs="Times New Roman"/>
          <w:sz w:val="24"/>
          <w:szCs w:val="24"/>
        </w:rPr>
        <w:t>).</w:t>
      </w:r>
    </w:p>
    <w:p w14:paraId="000001CB" w14:textId="77777777" w:rsidR="00E86BA5" w:rsidRPr="00C46BF3" w:rsidRDefault="00E86BA5" w:rsidP="00363CC7">
      <w:pPr>
        <w:jc w:val="both"/>
        <w:rPr>
          <w:rFonts w:ascii="Times New Roman" w:hAnsi="Times New Roman" w:cs="Times New Roman"/>
          <w:sz w:val="24"/>
          <w:szCs w:val="24"/>
        </w:rPr>
      </w:pPr>
    </w:p>
    <w:p w14:paraId="000001CC" w14:textId="77777777"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 xml:space="preserve">Case studies from Andhra Pradesh, Odisha, Kerala, and West Bengal illustrate the potential of targeted interventions like joint land titling, community recognition, and integration with livelihood programs. Comparative perspectives from Nepal, Rwanda, and Bangladesh further emphasize the importance of strong legal enforcement, awareness campaigns, and linking land rights with economic empowerment (Acharya &amp; Thapa,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xml:space="preserve">; Khan, </w:t>
      </w:r>
      <w:r w:rsidRPr="00C46BF3">
        <w:rPr>
          <w:rFonts w:ascii="Times New Roman" w:hAnsi="Times New Roman" w:cs="Times New Roman"/>
          <w:color w:val="EE0000"/>
          <w:sz w:val="24"/>
          <w:szCs w:val="24"/>
        </w:rPr>
        <w:t>2023</w:t>
      </w:r>
      <w:r w:rsidRPr="00C46BF3">
        <w:rPr>
          <w:rFonts w:ascii="Times New Roman" w:hAnsi="Times New Roman" w:cs="Times New Roman"/>
          <w:sz w:val="24"/>
          <w:szCs w:val="24"/>
        </w:rPr>
        <w:t>; UN Women</w:t>
      </w:r>
      <w:r w:rsidRPr="00C46BF3">
        <w:rPr>
          <w:rFonts w:ascii="Times New Roman" w:hAnsi="Times New Roman" w:cs="Times New Roman"/>
          <w:color w:val="EE0000"/>
          <w:sz w:val="24"/>
          <w:szCs w:val="24"/>
        </w:rPr>
        <w:t>, 2022</w:t>
      </w:r>
      <w:r w:rsidRPr="00C46BF3">
        <w:rPr>
          <w:rFonts w:ascii="Times New Roman" w:hAnsi="Times New Roman" w:cs="Times New Roman"/>
          <w:sz w:val="24"/>
          <w:szCs w:val="24"/>
        </w:rPr>
        <w:t>).</w:t>
      </w:r>
    </w:p>
    <w:p w14:paraId="000001CD" w14:textId="77777777" w:rsidR="00E86BA5" w:rsidRPr="00C46BF3" w:rsidRDefault="00E86BA5" w:rsidP="00363CC7">
      <w:pPr>
        <w:jc w:val="both"/>
        <w:rPr>
          <w:rFonts w:ascii="Times New Roman" w:hAnsi="Times New Roman" w:cs="Times New Roman"/>
          <w:sz w:val="24"/>
          <w:szCs w:val="24"/>
        </w:rPr>
      </w:pPr>
    </w:p>
    <w:p w14:paraId="000001CF" w14:textId="77439170"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To achieve gender-equitable land ownership in India, policies must address both formal and substantive equality. This includes:</w:t>
      </w:r>
    </w:p>
    <w:p w14:paraId="000001D0" w14:textId="3870D67C" w:rsidR="00E86BA5" w:rsidRPr="00C46BF3" w:rsidRDefault="00C46BF3" w:rsidP="00FF3341">
      <w:pPr>
        <w:pStyle w:val="ListParagraph"/>
        <w:numPr>
          <w:ilvl w:val="0"/>
          <w:numId w:val="19"/>
        </w:numPr>
        <w:jc w:val="both"/>
        <w:rPr>
          <w:rFonts w:ascii="Times New Roman" w:hAnsi="Times New Roman" w:cs="Times New Roman"/>
          <w:sz w:val="24"/>
          <w:szCs w:val="24"/>
        </w:rPr>
      </w:pPr>
      <w:r w:rsidRPr="00C46BF3">
        <w:rPr>
          <w:rFonts w:ascii="Times New Roman" w:hAnsi="Times New Roman" w:cs="Times New Roman"/>
          <w:sz w:val="24"/>
          <w:szCs w:val="24"/>
        </w:rPr>
        <w:t>Ensuring joint registration of land for married couples.</w:t>
      </w:r>
    </w:p>
    <w:p w14:paraId="000001D3" w14:textId="16CB2B43" w:rsidR="00E86BA5" w:rsidRPr="00C46BF3" w:rsidRDefault="00C46BF3" w:rsidP="00FF3341">
      <w:pPr>
        <w:pStyle w:val="ListParagraph"/>
        <w:numPr>
          <w:ilvl w:val="0"/>
          <w:numId w:val="19"/>
        </w:numPr>
        <w:jc w:val="both"/>
        <w:rPr>
          <w:rFonts w:ascii="Times New Roman" w:hAnsi="Times New Roman" w:cs="Times New Roman"/>
          <w:sz w:val="24"/>
          <w:szCs w:val="24"/>
        </w:rPr>
      </w:pPr>
      <w:r w:rsidRPr="00C46BF3">
        <w:rPr>
          <w:rFonts w:ascii="Times New Roman" w:hAnsi="Times New Roman" w:cs="Times New Roman"/>
          <w:sz w:val="24"/>
          <w:szCs w:val="24"/>
        </w:rPr>
        <w:t>Implementing gender-disaggregated land records for better monitoring.</w:t>
      </w:r>
    </w:p>
    <w:p w14:paraId="000001D6" w14:textId="7E0BC876" w:rsidR="00E86BA5" w:rsidRPr="00C46BF3" w:rsidRDefault="00C46BF3" w:rsidP="00FF3341">
      <w:pPr>
        <w:pStyle w:val="ListParagraph"/>
        <w:numPr>
          <w:ilvl w:val="0"/>
          <w:numId w:val="19"/>
        </w:numPr>
        <w:jc w:val="both"/>
        <w:rPr>
          <w:rFonts w:ascii="Times New Roman" w:hAnsi="Times New Roman" w:cs="Times New Roman"/>
          <w:sz w:val="24"/>
          <w:szCs w:val="24"/>
        </w:rPr>
      </w:pPr>
      <w:r w:rsidRPr="00C46BF3">
        <w:rPr>
          <w:rFonts w:ascii="Times New Roman" w:hAnsi="Times New Roman" w:cs="Times New Roman"/>
          <w:sz w:val="24"/>
          <w:szCs w:val="24"/>
        </w:rPr>
        <w:t>Strengthening legal awareness and literacy programs for women.</w:t>
      </w:r>
    </w:p>
    <w:p w14:paraId="000001D9" w14:textId="0E1BBA23" w:rsidR="00E86BA5" w:rsidRPr="00C46BF3" w:rsidRDefault="00C46BF3" w:rsidP="00FF3341">
      <w:pPr>
        <w:pStyle w:val="ListParagraph"/>
        <w:numPr>
          <w:ilvl w:val="0"/>
          <w:numId w:val="19"/>
        </w:numPr>
        <w:jc w:val="both"/>
        <w:rPr>
          <w:rFonts w:ascii="Times New Roman" w:hAnsi="Times New Roman" w:cs="Times New Roman"/>
          <w:sz w:val="24"/>
          <w:szCs w:val="24"/>
        </w:rPr>
      </w:pPr>
      <w:r w:rsidRPr="00C46BF3">
        <w:rPr>
          <w:rFonts w:ascii="Times New Roman" w:hAnsi="Times New Roman" w:cs="Times New Roman"/>
          <w:sz w:val="24"/>
          <w:szCs w:val="24"/>
        </w:rPr>
        <w:t>Integrating land ownership initiatives with economic empowerment schemes.</w:t>
      </w:r>
    </w:p>
    <w:p w14:paraId="000001DC" w14:textId="602F7918" w:rsidR="00E86BA5" w:rsidRPr="00C46BF3" w:rsidRDefault="00C46BF3" w:rsidP="00FF3341">
      <w:pPr>
        <w:pStyle w:val="ListParagraph"/>
        <w:numPr>
          <w:ilvl w:val="0"/>
          <w:numId w:val="19"/>
        </w:numPr>
        <w:jc w:val="both"/>
        <w:rPr>
          <w:rFonts w:ascii="Times New Roman" w:hAnsi="Times New Roman" w:cs="Times New Roman"/>
          <w:sz w:val="24"/>
          <w:szCs w:val="24"/>
        </w:rPr>
      </w:pPr>
      <w:r w:rsidRPr="00C46BF3">
        <w:rPr>
          <w:rFonts w:ascii="Times New Roman" w:hAnsi="Times New Roman" w:cs="Times New Roman"/>
          <w:sz w:val="24"/>
          <w:szCs w:val="24"/>
        </w:rPr>
        <w:t>Reconciling formal law with customary practices to enhance local acceptance.</w:t>
      </w:r>
    </w:p>
    <w:p w14:paraId="71FBC3E6" w14:textId="77777777" w:rsidR="00CE5D5C" w:rsidRPr="00C46BF3" w:rsidRDefault="00CE5D5C" w:rsidP="00CE5D5C">
      <w:pPr>
        <w:pStyle w:val="ListParagraph"/>
        <w:ind w:left="360"/>
        <w:jc w:val="both"/>
        <w:rPr>
          <w:rFonts w:ascii="Times New Roman" w:hAnsi="Times New Roman" w:cs="Times New Roman"/>
          <w:sz w:val="24"/>
          <w:szCs w:val="24"/>
        </w:rPr>
      </w:pPr>
    </w:p>
    <w:p w14:paraId="000001E0" w14:textId="7C63FB00" w:rsidR="00E86BA5" w:rsidRPr="00C46BF3" w:rsidRDefault="00C46BF3" w:rsidP="00363CC7">
      <w:pPr>
        <w:jc w:val="both"/>
        <w:rPr>
          <w:rFonts w:ascii="Times New Roman" w:hAnsi="Times New Roman" w:cs="Times New Roman"/>
          <w:sz w:val="24"/>
          <w:szCs w:val="24"/>
        </w:rPr>
      </w:pPr>
      <w:r w:rsidRPr="00C46BF3">
        <w:rPr>
          <w:rFonts w:ascii="Times New Roman" w:hAnsi="Times New Roman" w:cs="Times New Roman"/>
          <w:sz w:val="24"/>
          <w:szCs w:val="24"/>
        </w:rPr>
        <w:t>In conclusion, bridging the gap between legal recognition and practical control over land for women is critical for promoting social justice, economic security, and inclusive development in India. By adopting multi-dimensional strategies informed by theory, evidence, and international best practices, India can make significant strides toward substantive gender equity in land ownership.</w:t>
      </w:r>
    </w:p>
    <w:p w14:paraId="000001E9" w14:textId="77459DF9" w:rsidR="00E86BA5" w:rsidRPr="00C46BF3" w:rsidRDefault="00DD44A8" w:rsidP="00DD44A8">
      <w:pPr>
        <w:pStyle w:val="Heading1"/>
        <w:rPr>
          <w:rFonts w:ascii="Times New Roman" w:hAnsi="Times New Roman" w:cs="Times New Roman"/>
          <w:b/>
          <w:bCs/>
        </w:rPr>
      </w:pPr>
      <w:bookmarkStart w:id="47" w:name="_Toc214987030"/>
      <w:r w:rsidRPr="00C46BF3">
        <w:rPr>
          <w:rFonts w:ascii="Times New Roman" w:hAnsi="Times New Roman" w:cs="Times New Roman"/>
          <w:b/>
          <w:bCs/>
        </w:rPr>
        <w:t>REFERENCES</w:t>
      </w:r>
      <w:bookmarkEnd w:id="47"/>
      <w:r w:rsidRPr="00C46BF3">
        <w:rPr>
          <w:rFonts w:ascii="Times New Roman" w:hAnsi="Times New Roman" w:cs="Times New Roman"/>
          <w:b/>
          <w:bCs/>
        </w:rPr>
        <w:t xml:space="preserve"> </w:t>
      </w:r>
    </w:p>
    <w:p w14:paraId="7517653C" w14:textId="77777777" w:rsidR="00DD44A8" w:rsidRPr="00C46BF3" w:rsidRDefault="00DD44A8" w:rsidP="00DD44A8">
      <w:pPr>
        <w:pStyle w:val="Heading2"/>
        <w:rPr>
          <w:rFonts w:ascii="Times New Roman" w:hAnsi="Times New Roman" w:cs="Times New Roman"/>
          <w:b/>
          <w:bCs/>
          <w:lang w:val="en-IN"/>
        </w:rPr>
      </w:pPr>
      <w:bookmarkStart w:id="48" w:name="_Toc214987031"/>
      <w:r w:rsidRPr="00C46BF3">
        <w:rPr>
          <w:rFonts w:ascii="Times New Roman" w:hAnsi="Times New Roman" w:cs="Times New Roman"/>
          <w:b/>
          <w:bCs/>
          <w:lang w:val="en-IN"/>
        </w:rPr>
        <w:t>Books</w:t>
      </w:r>
      <w:bookmarkEnd w:id="48"/>
    </w:p>
    <w:p w14:paraId="1D939394" w14:textId="77777777" w:rsidR="00DD44A8" w:rsidRPr="00C46BF3" w:rsidRDefault="00DD44A8" w:rsidP="00DD44A8">
      <w:pPr>
        <w:pStyle w:val="ListParagraph"/>
        <w:numPr>
          <w:ilvl w:val="0"/>
          <w:numId w:val="7"/>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Agarwal, B. (2024). </w:t>
      </w:r>
      <w:r w:rsidRPr="00C46BF3">
        <w:rPr>
          <w:rFonts w:ascii="Times New Roman" w:hAnsi="Times New Roman" w:cs="Times New Roman"/>
          <w:i/>
          <w:iCs/>
          <w:sz w:val="24"/>
          <w:szCs w:val="24"/>
          <w:lang w:val="en-IN"/>
        </w:rPr>
        <w:t>Gender and land rights: Revisiting property relations in South Asia</w:t>
      </w:r>
      <w:r w:rsidRPr="00C46BF3">
        <w:rPr>
          <w:rFonts w:ascii="Times New Roman" w:hAnsi="Times New Roman" w:cs="Times New Roman"/>
          <w:sz w:val="24"/>
          <w:szCs w:val="24"/>
          <w:lang w:val="en-IN"/>
        </w:rPr>
        <w:t>. Oxford University Press.</w:t>
      </w:r>
    </w:p>
    <w:p w14:paraId="41915415" w14:textId="77777777" w:rsidR="00DD44A8" w:rsidRPr="00C46BF3" w:rsidRDefault="00DD44A8" w:rsidP="00DD44A8">
      <w:pPr>
        <w:pStyle w:val="ListParagraph"/>
        <w:numPr>
          <w:ilvl w:val="0"/>
          <w:numId w:val="7"/>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Ostrom, E. (1990). </w:t>
      </w:r>
      <w:r w:rsidRPr="00C46BF3">
        <w:rPr>
          <w:rFonts w:ascii="Times New Roman" w:hAnsi="Times New Roman" w:cs="Times New Roman"/>
          <w:i/>
          <w:iCs/>
          <w:sz w:val="24"/>
          <w:szCs w:val="24"/>
          <w:lang w:val="en-IN"/>
        </w:rPr>
        <w:t>Governing the commons: The evolution of institutions for collective action</w:t>
      </w:r>
      <w:r w:rsidRPr="00C46BF3">
        <w:rPr>
          <w:rFonts w:ascii="Times New Roman" w:hAnsi="Times New Roman" w:cs="Times New Roman"/>
          <w:sz w:val="24"/>
          <w:szCs w:val="24"/>
          <w:lang w:val="en-IN"/>
        </w:rPr>
        <w:t>. Cambridge University Press.</w:t>
      </w:r>
    </w:p>
    <w:p w14:paraId="3EF36647" w14:textId="77777777" w:rsidR="00DD44A8" w:rsidRPr="00C46BF3" w:rsidRDefault="00DD44A8" w:rsidP="00DD44A8">
      <w:pPr>
        <w:pStyle w:val="Heading2"/>
        <w:rPr>
          <w:rFonts w:ascii="Times New Roman" w:hAnsi="Times New Roman" w:cs="Times New Roman"/>
          <w:b/>
          <w:bCs/>
          <w:lang w:val="en-IN"/>
        </w:rPr>
      </w:pPr>
      <w:bookmarkStart w:id="49" w:name="_Toc214987032"/>
      <w:r w:rsidRPr="00C46BF3">
        <w:rPr>
          <w:rFonts w:ascii="Times New Roman" w:hAnsi="Times New Roman" w:cs="Times New Roman"/>
          <w:b/>
          <w:bCs/>
          <w:lang w:val="en-IN"/>
        </w:rPr>
        <w:t>Journal Articles</w:t>
      </w:r>
      <w:bookmarkEnd w:id="49"/>
    </w:p>
    <w:p w14:paraId="1AA794ED"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Acharya, S., &amp; Thapa, P. (2023). Women and joint land ownership in Nepal: Policy impacts and challenges. </w:t>
      </w:r>
      <w:r w:rsidRPr="00C46BF3">
        <w:rPr>
          <w:rFonts w:ascii="Times New Roman" w:hAnsi="Times New Roman" w:cs="Times New Roman"/>
          <w:i/>
          <w:iCs/>
          <w:sz w:val="24"/>
          <w:szCs w:val="24"/>
          <w:lang w:val="en-IN"/>
        </w:rPr>
        <w:t>Journal of South Asian Development, 18</w:t>
      </w:r>
      <w:r w:rsidRPr="00C46BF3">
        <w:rPr>
          <w:rFonts w:ascii="Times New Roman" w:hAnsi="Times New Roman" w:cs="Times New Roman"/>
          <w:sz w:val="24"/>
          <w:szCs w:val="24"/>
          <w:lang w:val="en-IN"/>
        </w:rPr>
        <w:t xml:space="preserve">(1), 45–63. </w:t>
      </w:r>
      <w:hyperlink r:id="rId10" w:tgtFrame="_new" w:history="1">
        <w:r w:rsidRPr="00C46BF3">
          <w:rPr>
            <w:rStyle w:val="Hyperlink"/>
            <w:rFonts w:ascii="Times New Roman" w:hAnsi="Times New Roman" w:cs="Times New Roman"/>
            <w:sz w:val="24"/>
            <w:szCs w:val="24"/>
            <w:lang w:val="en-IN"/>
          </w:rPr>
          <w:t>https://doi.org/10.1177/09731741231101045</w:t>
        </w:r>
      </w:hyperlink>
    </w:p>
    <w:p w14:paraId="2A09077D"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Ansary, A., &amp; Ramya, R. (2024). Property ownership of women in contemporary India: An assessment of NFHS-V report. </w:t>
      </w:r>
      <w:r w:rsidRPr="00C46BF3">
        <w:rPr>
          <w:rFonts w:ascii="Times New Roman" w:hAnsi="Times New Roman" w:cs="Times New Roman"/>
          <w:i/>
          <w:iCs/>
          <w:sz w:val="24"/>
          <w:szCs w:val="24"/>
          <w:lang w:val="en-IN"/>
        </w:rPr>
        <w:t>South India Journal of Social Sciences, 22</w:t>
      </w:r>
      <w:r w:rsidRPr="00C46BF3">
        <w:rPr>
          <w:rFonts w:ascii="Times New Roman" w:hAnsi="Times New Roman" w:cs="Times New Roman"/>
          <w:sz w:val="24"/>
          <w:szCs w:val="24"/>
          <w:lang w:val="en-IN"/>
        </w:rPr>
        <w:t>(3).</w:t>
      </w:r>
    </w:p>
    <w:p w14:paraId="37711383"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lastRenderedPageBreak/>
        <w:t xml:space="preserve">Crenshaw, K. (1989). Demarginalizing the intersection of race and sex: A Black feminist critique of antidiscrimination doctrine, feminist theory, and antiracist politics. </w:t>
      </w:r>
      <w:r w:rsidRPr="00C46BF3">
        <w:rPr>
          <w:rFonts w:ascii="Times New Roman" w:hAnsi="Times New Roman" w:cs="Times New Roman"/>
          <w:i/>
          <w:iCs/>
          <w:sz w:val="24"/>
          <w:szCs w:val="24"/>
          <w:lang w:val="en-IN"/>
        </w:rPr>
        <w:t>University of Chicago Legal Forum, 1989</w:t>
      </w:r>
      <w:r w:rsidRPr="00C46BF3">
        <w:rPr>
          <w:rFonts w:ascii="Times New Roman" w:hAnsi="Times New Roman" w:cs="Times New Roman"/>
          <w:sz w:val="24"/>
          <w:szCs w:val="24"/>
          <w:lang w:val="en-IN"/>
        </w:rPr>
        <w:t>(1), 139–167.</w:t>
      </w:r>
    </w:p>
    <w:p w14:paraId="08065EE9"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Deepak, S., Somnath, S., &amp; Saxena, D. (2023). Women’s land ownership in India: Evidence from digital land records. </w:t>
      </w:r>
      <w:r w:rsidRPr="00C46BF3">
        <w:rPr>
          <w:rFonts w:ascii="Times New Roman" w:hAnsi="Times New Roman" w:cs="Times New Roman"/>
          <w:i/>
          <w:iCs/>
          <w:sz w:val="24"/>
          <w:szCs w:val="24"/>
          <w:lang w:val="en-IN"/>
        </w:rPr>
        <w:t>Land Use Policy, 133</w:t>
      </w:r>
      <w:r w:rsidRPr="00C46BF3">
        <w:rPr>
          <w:rFonts w:ascii="Times New Roman" w:hAnsi="Times New Roman" w:cs="Times New Roman"/>
          <w:sz w:val="24"/>
          <w:szCs w:val="24"/>
          <w:lang w:val="en-IN"/>
        </w:rPr>
        <w:t xml:space="preserve">, 106835. </w:t>
      </w:r>
      <w:hyperlink r:id="rId11" w:tgtFrame="_new" w:history="1">
        <w:r w:rsidRPr="00C46BF3">
          <w:rPr>
            <w:rStyle w:val="Hyperlink"/>
            <w:rFonts w:ascii="Times New Roman" w:hAnsi="Times New Roman" w:cs="Times New Roman"/>
            <w:sz w:val="24"/>
            <w:szCs w:val="24"/>
            <w:lang w:val="en-IN"/>
          </w:rPr>
          <w:t>https://doi.org/10.1016/j.landusepol.2023.106835</w:t>
        </w:r>
      </w:hyperlink>
    </w:p>
    <w:p w14:paraId="7773CDB5"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Khan, R. (2023). Empowering women through land and asset ownership: Lessons from Bangladesh. </w:t>
      </w:r>
      <w:r w:rsidRPr="00C46BF3">
        <w:rPr>
          <w:rFonts w:ascii="Times New Roman" w:hAnsi="Times New Roman" w:cs="Times New Roman"/>
          <w:i/>
          <w:iCs/>
          <w:sz w:val="24"/>
          <w:szCs w:val="24"/>
          <w:lang w:val="en-IN"/>
        </w:rPr>
        <w:t>Asian Journal of Social Sciences, 51</w:t>
      </w:r>
      <w:r w:rsidRPr="00C46BF3">
        <w:rPr>
          <w:rFonts w:ascii="Times New Roman" w:hAnsi="Times New Roman" w:cs="Times New Roman"/>
          <w:sz w:val="24"/>
          <w:szCs w:val="24"/>
          <w:lang w:val="en-IN"/>
        </w:rPr>
        <w:t xml:space="preserve">(2), 88–105. </w:t>
      </w:r>
      <w:hyperlink r:id="rId12" w:tgtFrame="_new" w:history="1">
        <w:r w:rsidRPr="00C46BF3">
          <w:rPr>
            <w:rStyle w:val="Hyperlink"/>
            <w:rFonts w:ascii="Times New Roman" w:hAnsi="Times New Roman" w:cs="Times New Roman"/>
            <w:sz w:val="24"/>
            <w:szCs w:val="24"/>
            <w:lang w:val="en-IN"/>
          </w:rPr>
          <w:t>https://doi.org/10.1080/00666097.2023.1987654</w:t>
        </w:r>
      </w:hyperlink>
    </w:p>
    <w:p w14:paraId="30A79A62"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Rao, N., &amp; Ramachandran, R. (2023). Women, land, and rural governance in India. </w:t>
      </w:r>
      <w:r w:rsidRPr="00C46BF3">
        <w:rPr>
          <w:rFonts w:ascii="Times New Roman" w:hAnsi="Times New Roman" w:cs="Times New Roman"/>
          <w:i/>
          <w:iCs/>
          <w:sz w:val="24"/>
          <w:szCs w:val="24"/>
          <w:lang w:val="en-IN"/>
        </w:rPr>
        <w:t>World Development, 164</w:t>
      </w:r>
      <w:r w:rsidRPr="00C46BF3">
        <w:rPr>
          <w:rFonts w:ascii="Times New Roman" w:hAnsi="Times New Roman" w:cs="Times New Roman"/>
          <w:sz w:val="24"/>
          <w:szCs w:val="24"/>
          <w:lang w:val="en-IN"/>
        </w:rPr>
        <w:t xml:space="preserve">, 106195. </w:t>
      </w:r>
      <w:hyperlink r:id="rId13" w:tgtFrame="_new" w:history="1">
        <w:r w:rsidRPr="00C46BF3">
          <w:rPr>
            <w:rStyle w:val="Hyperlink"/>
            <w:rFonts w:ascii="Times New Roman" w:hAnsi="Times New Roman" w:cs="Times New Roman"/>
            <w:sz w:val="24"/>
            <w:szCs w:val="24"/>
            <w:lang w:val="en-IN"/>
          </w:rPr>
          <w:t>https://doi.org/10.1016/j.worlddev.2022.106195</w:t>
        </w:r>
      </w:hyperlink>
    </w:p>
    <w:p w14:paraId="28DA5E5F"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Sepaha, P., &amp; Sepaha, N. (2024). Paradigm shift of women’s property rights in India: Evolution, challenges, and recommendations. </w:t>
      </w:r>
      <w:r w:rsidRPr="00C46BF3">
        <w:rPr>
          <w:rFonts w:ascii="Times New Roman" w:hAnsi="Times New Roman" w:cs="Times New Roman"/>
          <w:i/>
          <w:iCs/>
          <w:sz w:val="24"/>
          <w:szCs w:val="24"/>
          <w:lang w:val="en-IN"/>
        </w:rPr>
        <w:t>Mimbar Hukum, 36</w:t>
      </w:r>
      <w:r w:rsidRPr="00C46BF3">
        <w:rPr>
          <w:rFonts w:ascii="Times New Roman" w:hAnsi="Times New Roman" w:cs="Times New Roman"/>
          <w:sz w:val="24"/>
          <w:szCs w:val="24"/>
          <w:lang w:val="en-IN"/>
        </w:rPr>
        <w:t xml:space="preserve">(2). </w:t>
      </w:r>
      <w:hyperlink r:id="rId14" w:tgtFrame="_new" w:history="1">
        <w:r w:rsidRPr="00C46BF3">
          <w:rPr>
            <w:rStyle w:val="Hyperlink"/>
            <w:rFonts w:ascii="Times New Roman" w:hAnsi="Times New Roman" w:cs="Times New Roman"/>
            <w:sz w:val="24"/>
            <w:szCs w:val="24"/>
            <w:lang w:val="en-IN"/>
          </w:rPr>
          <w:t>https://doi.org/10.22146/mh.v36i2.8641</w:t>
        </w:r>
      </w:hyperlink>
    </w:p>
    <w:p w14:paraId="5C6321E6"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Singh, J., &amp; Bhatnagar, K. (2024). Customary laws, gender, and land rights in India. </w:t>
      </w:r>
      <w:r w:rsidRPr="00C46BF3">
        <w:rPr>
          <w:rFonts w:ascii="Times New Roman" w:hAnsi="Times New Roman" w:cs="Times New Roman"/>
          <w:i/>
          <w:iCs/>
          <w:sz w:val="24"/>
          <w:szCs w:val="24"/>
          <w:lang w:val="en-IN"/>
        </w:rPr>
        <w:t>International Journal on Minority and Group Rights, 32</w:t>
      </w:r>
      <w:r w:rsidRPr="00C46BF3">
        <w:rPr>
          <w:rFonts w:ascii="Times New Roman" w:hAnsi="Times New Roman" w:cs="Times New Roman"/>
          <w:sz w:val="24"/>
          <w:szCs w:val="24"/>
          <w:lang w:val="en-IN"/>
        </w:rPr>
        <w:t xml:space="preserve">(2), 195–218. </w:t>
      </w:r>
      <w:hyperlink r:id="rId15" w:tgtFrame="_new" w:history="1">
        <w:r w:rsidRPr="00C46BF3">
          <w:rPr>
            <w:rStyle w:val="Hyperlink"/>
            <w:rFonts w:ascii="Times New Roman" w:hAnsi="Times New Roman" w:cs="Times New Roman"/>
            <w:sz w:val="24"/>
            <w:szCs w:val="24"/>
            <w:lang w:val="en-IN"/>
          </w:rPr>
          <w:t>https://doi.org/10.1163/15718115-03202002</w:t>
        </w:r>
      </w:hyperlink>
    </w:p>
    <w:p w14:paraId="62186804"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Singh, V. P. (2024). Safeguarding the property rights of Hindu women in India: Analyses of legislative and judicial efforts. </w:t>
      </w:r>
      <w:r w:rsidRPr="00C46BF3">
        <w:rPr>
          <w:rFonts w:ascii="Times New Roman" w:hAnsi="Times New Roman" w:cs="Times New Roman"/>
          <w:i/>
          <w:iCs/>
          <w:sz w:val="24"/>
          <w:szCs w:val="24"/>
          <w:lang w:val="en-IN"/>
        </w:rPr>
        <w:t>Trusts &amp; Trustees, 30</w:t>
      </w:r>
      <w:r w:rsidRPr="00C46BF3">
        <w:rPr>
          <w:rFonts w:ascii="Times New Roman" w:hAnsi="Times New Roman" w:cs="Times New Roman"/>
          <w:sz w:val="24"/>
          <w:szCs w:val="24"/>
          <w:lang w:val="en-IN"/>
        </w:rPr>
        <w:t xml:space="preserve">(4), 174–180. </w:t>
      </w:r>
      <w:hyperlink r:id="rId16" w:tgtFrame="_new" w:history="1">
        <w:r w:rsidRPr="00C46BF3">
          <w:rPr>
            <w:rStyle w:val="Hyperlink"/>
            <w:rFonts w:ascii="Times New Roman" w:hAnsi="Times New Roman" w:cs="Times New Roman"/>
            <w:sz w:val="24"/>
            <w:szCs w:val="24"/>
            <w:lang w:val="en-IN"/>
          </w:rPr>
          <w:t>https://doi.org/10.1093/tandt/ttae014</w:t>
        </w:r>
      </w:hyperlink>
    </w:p>
    <w:p w14:paraId="5D5B5E22" w14:textId="77777777" w:rsidR="00DD44A8" w:rsidRPr="00C46BF3" w:rsidRDefault="00DD44A8" w:rsidP="00DD44A8">
      <w:pPr>
        <w:pStyle w:val="ListParagraph"/>
        <w:numPr>
          <w:ilvl w:val="0"/>
          <w:numId w:val="8"/>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World Development. (2024). Do courts grant women their inheritance shares? An analysis of case law in India. </w:t>
      </w:r>
      <w:r w:rsidRPr="00C46BF3">
        <w:rPr>
          <w:rFonts w:ascii="Times New Roman" w:hAnsi="Times New Roman" w:cs="Times New Roman"/>
          <w:i/>
          <w:iCs/>
          <w:sz w:val="24"/>
          <w:szCs w:val="24"/>
          <w:lang w:val="en-IN"/>
        </w:rPr>
        <w:t>World Development, 182</w:t>
      </w:r>
      <w:r w:rsidRPr="00C46BF3">
        <w:rPr>
          <w:rFonts w:ascii="Times New Roman" w:hAnsi="Times New Roman" w:cs="Times New Roman"/>
          <w:sz w:val="24"/>
          <w:szCs w:val="24"/>
          <w:lang w:val="en-IN"/>
        </w:rPr>
        <w:t xml:space="preserve">, 106688. </w:t>
      </w:r>
      <w:hyperlink r:id="rId17" w:tgtFrame="_new" w:history="1">
        <w:r w:rsidRPr="00C46BF3">
          <w:rPr>
            <w:rStyle w:val="Hyperlink"/>
            <w:rFonts w:ascii="Times New Roman" w:hAnsi="Times New Roman" w:cs="Times New Roman"/>
            <w:sz w:val="24"/>
            <w:szCs w:val="24"/>
            <w:lang w:val="en-IN"/>
          </w:rPr>
          <w:t>https://doi.org/10.1016/j.worlddev.2024.106688</w:t>
        </w:r>
      </w:hyperlink>
    </w:p>
    <w:p w14:paraId="7F17D0EA" w14:textId="77777777" w:rsidR="00DD44A8" w:rsidRPr="00C46BF3" w:rsidRDefault="00DD44A8" w:rsidP="00DD44A8">
      <w:pPr>
        <w:pStyle w:val="Heading2"/>
        <w:rPr>
          <w:rFonts w:ascii="Times New Roman" w:hAnsi="Times New Roman" w:cs="Times New Roman"/>
          <w:b/>
          <w:bCs/>
          <w:lang w:val="en-IN"/>
        </w:rPr>
      </w:pPr>
      <w:bookmarkStart w:id="50" w:name="_Toc214987033"/>
      <w:r w:rsidRPr="00C46BF3">
        <w:rPr>
          <w:rFonts w:ascii="Times New Roman" w:hAnsi="Times New Roman" w:cs="Times New Roman"/>
          <w:b/>
          <w:bCs/>
          <w:lang w:val="en-IN"/>
        </w:rPr>
        <w:t>Reports &amp; Government Documents</w:t>
      </w:r>
      <w:bookmarkEnd w:id="50"/>
    </w:p>
    <w:p w14:paraId="4FB6AA5A" w14:textId="77777777" w:rsidR="00DD44A8" w:rsidRPr="00C46BF3" w:rsidRDefault="00DD44A8" w:rsidP="00DD44A8">
      <w:pPr>
        <w:pStyle w:val="ListParagraph"/>
        <w:numPr>
          <w:ilvl w:val="0"/>
          <w:numId w:val="9"/>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Government of India. (2021). </w:t>
      </w:r>
      <w:r w:rsidRPr="00C46BF3">
        <w:rPr>
          <w:rFonts w:ascii="Times New Roman" w:hAnsi="Times New Roman" w:cs="Times New Roman"/>
          <w:i/>
          <w:iCs/>
          <w:sz w:val="24"/>
          <w:szCs w:val="24"/>
          <w:lang w:val="en-IN"/>
        </w:rPr>
        <w:t>National Family Health Survey (NFHS-5), 2019–21: India report</w:t>
      </w:r>
      <w:r w:rsidRPr="00C46BF3">
        <w:rPr>
          <w:rFonts w:ascii="Times New Roman" w:hAnsi="Times New Roman" w:cs="Times New Roman"/>
          <w:sz w:val="24"/>
          <w:szCs w:val="24"/>
          <w:lang w:val="en-IN"/>
        </w:rPr>
        <w:t xml:space="preserve">. Ministry of Health and Family Welfare. </w:t>
      </w:r>
      <w:hyperlink r:id="rId18" w:tgtFrame="_new" w:history="1">
        <w:r w:rsidRPr="00C46BF3">
          <w:rPr>
            <w:rStyle w:val="Hyperlink"/>
            <w:rFonts w:ascii="Times New Roman" w:hAnsi="Times New Roman" w:cs="Times New Roman"/>
            <w:sz w:val="24"/>
            <w:szCs w:val="24"/>
            <w:lang w:val="en-IN"/>
          </w:rPr>
          <w:t>https://rchiips.org/nfhs</w:t>
        </w:r>
      </w:hyperlink>
    </w:p>
    <w:p w14:paraId="2DB21696" w14:textId="77777777" w:rsidR="00DD44A8" w:rsidRPr="00C46BF3" w:rsidRDefault="00DD44A8" w:rsidP="00DD44A8">
      <w:pPr>
        <w:pStyle w:val="ListParagraph"/>
        <w:numPr>
          <w:ilvl w:val="0"/>
          <w:numId w:val="9"/>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Government of India. (2021). </w:t>
      </w:r>
      <w:r w:rsidRPr="00C46BF3">
        <w:rPr>
          <w:rFonts w:ascii="Times New Roman" w:hAnsi="Times New Roman" w:cs="Times New Roman"/>
          <w:i/>
          <w:iCs/>
          <w:sz w:val="24"/>
          <w:szCs w:val="24"/>
          <w:lang w:val="en-IN"/>
        </w:rPr>
        <w:t>Hindu Succession (Amendment) Act, 2005</w:t>
      </w:r>
      <w:r w:rsidRPr="00C46BF3">
        <w:rPr>
          <w:rFonts w:ascii="Times New Roman" w:hAnsi="Times New Roman" w:cs="Times New Roman"/>
          <w:sz w:val="24"/>
          <w:szCs w:val="24"/>
          <w:lang w:val="en-IN"/>
        </w:rPr>
        <w:t xml:space="preserve">. Ministry of Law and Justice. </w:t>
      </w:r>
      <w:hyperlink r:id="rId19" w:tgtFrame="_new" w:history="1">
        <w:r w:rsidRPr="00C46BF3">
          <w:rPr>
            <w:rStyle w:val="Hyperlink"/>
            <w:rFonts w:ascii="Times New Roman" w:hAnsi="Times New Roman" w:cs="Times New Roman"/>
            <w:sz w:val="24"/>
            <w:szCs w:val="24"/>
            <w:lang w:val="en-IN"/>
          </w:rPr>
          <w:t>https://legislative.gov.in</w:t>
        </w:r>
      </w:hyperlink>
    </w:p>
    <w:p w14:paraId="241954CE" w14:textId="77777777" w:rsidR="00DD44A8" w:rsidRPr="00C46BF3" w:rsidRDefault="00DD44A8" w:rsidP="00DD44A8">
      <w:pPr>
        <w:pStyle w:val="ListParagraph"/>
        <w:numPr>
          <w:ilvl w:val="0"/>
          <w:numId w:val="9"/>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Ministry of Tribal Affairs. (2022). </w:t>
      </w:r>
      <w:r w:rsidRPr="00C46BF3">
        <w:rPr>
          <w:rFonts w:ascii="Times New Roman" w:hAnsi="Times New Roman" w:cs="Times New Roman"/>
          <w:i/>
          <w:iCs/>
          <w:sz w:val="24"/>
          <w:szCs w:val="24"/>
          <w:lang w:val="en-IN"/>
        </w:rPr>
        <w:t>Implementation report of the Forest Rights Act, 2006</w:t>
      </w:r>
      <w:r w:rsidRPr="00C46BF3">
        <w:rPr>
          <w:rFonts w:ascii="Times New Roman" w:hAnsi="Times New Roman" w:cs="Times New Roman"/>
          <w:sz w:val="24"/>
          <w:szCs w:val="24"/>
          <w:lang w:val="en-IN"/>
        </w:rPr>
        <w:t xml:space="preserve">. Government of India. </w:t>
      </w:r>
      <w:hyperlink r:id="rId20" w:tgtFrame="_new" w:history="1">
        <w:r w:rsidRPr="00C46BF3">
          <w:rPr>
            <w:rStyle w:val="Hyperlink"/>
            <w:rFonts w:ascii="Times New Roman" w:hAnsi="Times New Roman" w:cs="Times New Roman"/>
            <w:sz w:val="24"/>
            <w:szCs w:val="24"/>
            <w:lang w:val="en-IN"/>
          </w:rPr>
          <w:t>https://tribal.nic.in</w:t>
        </w:r>
      </w:hyperlink>
    </w:p>
    <w:p w14:paraId="7AD73448" w14:textId="77777777" w:rsidR="00DD44A8" w:rsidRPr="00C46BF3" w:rsidRDefault="00DD44A8" w:rsidP="00DD44A8">
      <w:pPr>
        <w:pStyle w:val="ListParagraph"/>
        <w:numPr>
          <w:ilvl w:val="0"/>
          <w:numId w:val="9"/>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UN Women. (2022). </w:t>
      </w:r>
      <w:r w:rsidRPr="00C46BF3">
        <w:rPr>
          <w:rFonts w:ascii="Times New Roman" w:hAnsi="Times New Roman" w:cs="Times New Roman"/>
          <w:i/>
          <w:iCs/>
          <w:sz w:val="24"/>
          <w:szCs w:val="24"/>
          <w:lang w:val="en-IN"/>
        </w:rPr>
        <w:t>Progress of the world’s women 2022: Land and property rights</w:t>
      </w:r>
      <w:r w:rsidRPr="00C46BF3">
        <w:rPr>
          <w:rFonts w:ascii="Times New Roman" w:hAnsi="Times New Roman" w:cs="Times New Roman"/>
          <w:sz w:val="24"/>
          <w:szCs w:val="24"/>
          <w:lang w:val="en-IN"/>
        </w:rPr>
        <w:t xml:space="preserve">. </w:t>
      </w:r>
      <w:hyperlink r:id="rId21" w:tgtFrame="_new" w:history="1">
        <w:r w:rsidRPr="00C46BF3">
          <w:rPr>
            <w:rStyle w:val="Hyperlink"/>
            <w:rFonts w:ascii="Times New Roman" w:hAnsi="Times New Roman" w:cs="Times New Roman"/>
            <w:sz w:val="24"/>
            <w:szCs w:val="24"/>
            <w:lang w:val="en-IN"/>
          </w:rPr>
          <w:t>https://www.unwomen.org</w:t>
        </w:r>
      </w:hyperlink>
    </w:p>
    <w:p w14:paraId="17E3961B" w14:textId="77777777" w:rsidR="00DD44A8" w:rsidRPr="00C46BF3" w:rsidRDefault="00DD44A8" w:rsidP="00DD44A8">
      <w:pPr>
        <w:pStyle w:val="Heading2"/>
        <w:rPr>
          <w:rFonts w:ascii="Times New Roman" w:hAnsi="Times New Roman" w:cs="Times New Roman"/>
          <w:b/>
          <w:bCs/>
          <w:lang w:val="en-IN"/>
        </w:rPr>
      </w:pPr>
      <w:bookmarkStart w:id="51" w:name="_Toc214987034"/>
      <w:r w:rsidRPr="00C46BF3">
        <w:rPr>
          <w:rFonts w:ascii="Times New Roman" w:hAnsi="Times New Roman" w:cs="Times New Roman"/>
          <w:b/>
          <w:bCs/>
          <w:lang w:val="en-IN"/>
        </w:rPr>
        <w:t>News / Media Sources</w:t>
      </w:r>
      <w:bookmarkEnd w:id="51"/>
    </w:p>
    <w:p w14:paraId="11023C04" w14:textId="77777777" w:rsidR="00DD44A8" w:rsidRPr="00C46BF3" w:rsidRDefault="00DD44A8" w:rsidP="00DD44A8">
      <w:pPr>
        <w:pStyle w:val="ListParagraph"/>
        <w:numPr>
          <w:ilvl w:val="0"/>
          <w:numId w:val="10"/>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 xml:space="preserve">Business Standard. (2024, April). Setting the record straight: Less than 10% of Indian women may own land. </w:t>
      </w:r>
      <w:r w:rsidRPr="00C46BF3">
        <w:rPr>
          <w:rFonts w:ascii="Times New Roman" w:hAnsi="Times New Roman" w:cs="Times New Roman"/>
          <w:i/>
          <w:iCs/>
          <w:sz w:val="24"/>
          <w:szCs w:val="24"/>
          <w:lang w:val="en-IN"/>
        </w:rPr>
        <w:t>Business Standard</w:t>
      </w:r>
      <w:r w:rsidRPr="00C46BF3">
        <w:rPr>
          <w:rFonts w:ascii="Times New Roman" w:hAnsi="Times New Roman" w:cs="Times New Roman"/>
          <w:sz w:val="24"/>
          <w:szCs w:val="24"/>
          <w:lang w:val="en-IN"/>
        </w:rPr>
        <w:t>.</w:t>
      </w:r>
    </w:p>
    <w:p w14:paraId="2B9F880D" w14:textId="77777777" w:rsidR="00DD44A8" w:rsidRPr="00C46BF3" w:rsidRDefault="00DD44A8" w:rsidP="00DD44A8">
      <w:pPr>
        <w:pStyle w:val="Heading2"/>
        <w:rPr>
          <w:rFonts w:ascii="Times New Roman" w:hAnsi="Times New Roman" w:cs="Times New Roman"/>
          <w:b/>
          <w:bCs/>
          <w:lang w:val="en-IN"/>
        </w:rPr>
      </w:pPr>
      <w:bookmarkStart w:id="52" w:name="_Toc214987035"/>
      <w:r w:rsidRPr="00C46BF3">
        <w:rPr>
          <w:rFonts w:ascii="Times New Roman" w:hAnsi="Times New Roman" w:cs="Times New Roman"/>
          <w:b/>
          <w:bCs/>
          <w:lang w:val="en-IN"/>
        </w:rPr>
        <w:lastRenderedPageBreak/>
        <w:t>Classic or Theoretical Works</w:t>
      </w:r>
      <w:bookmarkEnd w:id="52"/>
    </w:p>
    <w:p w14:paraId="22332295" w14:textId="77777777" w:rsidR="00DD44A8" w:rsidRPr="00C46BF3" w:rsidRDefault="00DD44A8" w:rsidP="00DD44A8">
      <w:pPr>
        <w:pStyle w:val="ListParagraph"/>
        <w:numPr>
          <w:ilvl w:val="0"/>
          <w:numId w:val="10"/>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Crenshaw, K. (1989). (Already listed above; remains valid as a classic foundational work).</w:t>
      </w:r>
    </w:p>
    <w:p w14:paraId="1EC26906" w14:textId="77777777" w:rsidR="00DD44A8" w:rsidRPr="00C46BF3" w:rsidRDefault="00DD44A8" w:rsidP="00DD44A8">
      <w:pPr>
        <w:pStyle w:val="ListParagraph"/>
        <w:numPr>
          <w:ilvl w:val="0"/>
          <w:numId w:val="10"/>
        </w:numPr>
        <w:jc w:val="both"/>
        <w:rPr>
          <w:rFonts w:ascii="Times New Roman" w:hAnsi="Times New Roman" w:cs="Times New Roman"/>
          <w:sz w:val="24"/>
          <w:szCs w:val="24"/>
          <w:lang w:val="en-IN"/>
        </w:rPr>
      </w:pPr>
      <w:r w:rsidRPr="00C46BF3">
        <w:rPr>
          <w:rFonts w:ascii="Times New Roman" w:hAnsi="Times New Roman" w:cs="Times New Roman"/>
          <w:sz w:val="24"/>
          <w:szCs w:val="24"/>
          <w:lang w:val="en-IN"/>
        </w:rPr>
        <w:t>Ostrom, E. (1990). (Already listed under books).</w:t>
      </w:r>
    </w:p>
    <w:p w14:paraId="000001EA" w14:textId="77777777" w:rsidR="00E86BA5" w:rsidRPr="00C46BF3" w:rsidRDefault="00E86BA5" w:rsidP="00363CC7">
      <w:pPr>
        <w:jc w:val="both"/>
        <w:rPr>
          <w:rFonts w:ascii="Times New Roman" w:hAnsi="Times New Roman" w:cs="Times New Roman"/>
          <w:sz w:val="24"/>
          <w:szCs w:val="24"/>
        </w:rPr>
      </w:pPr>
    </w:p>
    <w:sectPr w:rsidR="00E86BA5" w:rsidRPr="00C46BF3" w:rsidSect="00EB208E">
      <w:type w:val="continuous"/>
      <w:pgSz w:w="11909" w:h="16834"/>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BC89D" w14:textId="77777777" w:rsidR="005906B6" w:rsidRDefault="005906B6">
      <w:pPr>
        <w:spacing w:line="240" w:lineRule="auto"/>
      </w:pPr>
      <w:r>
        <w:separator/>
      </w:r>
    </w:p>
  </w:endnote>
  <w:endnote w:type="continuationSeparator" w:id="0">
    <w:p w14:paraId="61D88863" w14:textId="77777777" w:rsidR="005906B6" w:rsidRDefault="00590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47C029-CA3E-4148-B4DD-54FAEE7EDFE8}"/>
  </w:font>
  <w:font w:name="Cambria">
    <w:panose1 w:val="02040503050406030204"/>
    <w:charset w:val="00"/>
    <w:family w:val="roman"/>
    <w:pitch w:val="variable"/>
    <w:sig w:usb0="E00006FF" w:usb1="420024FF" w:usb2="02000000" w:usb3="00000000" w:csb0="0000019F" w:csb1="00000000"/>
    <w:embedRegular r:id="rId2" w:fontKey="{7A42B5AD-26FF-4D2F-B73C-3E47801B3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6" w14:textId="77777777" w:rsidR="00E86BA5" w:rsidRDefault="00E86B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12C02" w14:textId="77777777" w:rsidR="005906B6" w:rsidRDefault="005906B6">
      <w:pPr>
        <w:spacing w:line="240" w:lineRule="auto"/>
      </w:pPr>
      <w:r>
        <w:separator/>
      </w:r>
    </w:p>
  </w:footnote>
  <w:footnote w:type="continuationSeparator" w:id="0">
    <w:p w14:paraId="00252891" w14:textId="77777777" w:rsidR="005906B6" w:rsidRDefault="005906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7" w14:textId="62787701" w:rsidR="00E86BA5" w:rsidRDefault="00C46BF3">
    <w:pPr>
      <w:jc w:val="right"/>
    </w:pPr>
    <w:r>
      <w:fldChar w:fldCharType="begin"/>
    </w:r>
    <w:r>
      <w:instrText>PAGE</w:instrText>
    </w:r>
    <w:r>
      <w:fldChar w:fldCharType="separate"/>
    </w:r>
    <w:r w:rsidR="00363CC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12BE3"/>
    <w:multiLevelType w:val="hybridMultilevel"/>
    <w:tmpl w:val="CD8AE7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FFB4C72"/>
    <w:multiLevelType w:val="hybridMultilevel"/>
    <w:tmpl w:val="3B0A7F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142F72D2"/>
    <w:multiLevelType w:val="hybridMultilevel"/>
    <w:tmpl w:val="404C15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2D097F"/>
    <w:multiLevelType w:val="hybridMultilevel"/>
    <w:tmpl w:val="9CC6C200"/>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674149C"/>
    <w:multiLevelType w:val="hybridMultilevel"/>
    <w:tmpl w:val="459A8048"/>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1D76528"/>
    <w:multiLevelType w:val="hybridMultilevel"/>
    <w:tmpl w:val="E55A4B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264C6A55"/>
    <w:multiLevelType w:val="hybridMultilevel"/>
    <w:tmpl w:val="F6F0F0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A24455"/>
    <w:multiLevelType w:val="hybridMultilevel"/>
    <w:tmpl w:val="605E68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346E2E5B"/>
    <w:multiLevelType w:val="hybridMultilevel"/>
    <w:tmpl w:val="5852A9B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36C85EA9"/>
    <w:multiLevelType w:val="hybridMultilevel"/>
    <w:tmpl w:val="E586E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1C0048A"/>
    <w:multiLevelType w:val="hybridMultilevel"/>
    <w:tmpl w:val="61F2168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0016092"/>
    <w:multiLevelType w:val="hybridMultilevel"/>
    <w:tmpl w:val="1A8AA3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65AA6F81"/>
    <w:multiLevelType w:val="hybridMultilevel"/>
    <w:tmpl w:val="EE92E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2864693"/>
    <w:multiLevelType w:val="hybridMultilevel"/>
    <w:tmpl w:val="876A8FE0"/>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54648F9"/>
    <w:multiLevelType w:val="hybridMultilevel"/>
    <w:tmpl w:val="BD0E32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9CB27D1"/>
    <w:multiLevelType w:val="hybridMultilevel"/>
    <w:tmpl w:val="561CE0D8"/>
    <w:lvl w:ilvl="0" w:tplc="40090001">
      <w:start w:val="1"/>
      <w:numFmt w:val="bullet"/>
      <w:lvlText w:val=""/>
      <w:lvlJc w:val="left"/>
      <w:pPr>
        <w:ind w:left="1160" w:hanging="360"/>
      </w:pPr>
      <w:rPr>
        <w:rFonts w:ascii="Symbol" w:hAnsi="Symbol" w:hint="default"/>
      </w:rPr>
    </w:lvl>
    <w:lvl w:ilvl="1" w:tplc="40090003" w:tentative="1">
      <w:start w:val="1"/>
      <w:numFmt w:val="bullet"/>
      <w:lvlText w:val="o"/>
      <w:lvlJc w:val="left"/>
      <w:pPr>
        <w:ind w:left="1880" w:hanging="360"/>
      </w:pPr>
      <w:rPr>
        <w:rFonts w:ascii="Courier New" w:hAnsi="Courier New" w:cs="Courier New" w:hint="default"/>
      </w:rPr>
    </w:lvl>
    <w:lvl w:ilvl="2" w:tplc="40090005" w:tentative="1">
      <w:start w:val="1"/>
      <w:numFmt w:val="bullet"/>
      <w:lvlText w:val=""/>
      <w:lvlJc w:val="left"/>
      <w:pPr>
        <w:ind w:left="2600" w:hanging="360"/>
      </w:pPr>
      <w:rPr>
        <w:rFonts w:ascii="Wingdings" w:hAnsi="Wingdings" w:hint="default"/>
      </w:rPr>
    </w:lvl>
    <w:lvl w:ilvl="3" w:tplc="40090001" w:tentative="1">
      <w:start w:val="1"/>
      <w:numFmt w:val="bullet"/>
      <w:lvlText w:val=""/>
      <w:lvlJc w:val="left"/>
      <w:pPr>
        <w:ind w:left="3320" w:hanging="360"/>
      </w:pPr>
      <w:rPr>
        <w:rFonts w:ascii="Symbol" w:hAnsi="Symbol" w:hint="default"/>
      </w:rPr>
    </w:lvl>
    <w:lvl w:ilvl="4" w:tplc="40090003" w:tentative="1">
      <w:start w:val="1"/>
      <w:numFmt w:val="bullet"/>
      <w:lvlText w:val="o"/>
      <w:lvlJc w:val="left"/>
      <w:pPr>
        <w:ind w:left="4040" w:hanging="360"/>
      </w:pPr>
      <w:rPr>
        <w:rFonts w:ascii="Courier New" w:hAnsi="Courier New" w:cs="Courier New" w:hint="default"/>
      </w:rPr>
    </w:lvl>
    <w:lvl w:ilvl="5" w:tplc="40090005" w:tentative="1">
      <w:start w:val="1"/>
      <w:numFmt w:val="bullet"/>
      <w:lvlText w:val=""/>
      <w:lvlJc w:val="left"/>
      <w:pPr>
        <w:ind w:left="4760" w:hanging="360"/>
      </w:pPr>
      <w:rPr>
        <w:rFonts w:ascii="Wingdings" w:hAnsi="Wingdings" w:hint="default"/>
      </w:rPr>
    </w:lvl>
    <w:lvl w:ilvl="6" w:tplc="40090001" w:tentative="1">
      <w:start w:val="1"/>
      <w:numFmt w:val="bullet"/>
      <w:lvlText w:val=""/>
      <w:lvlJc w:val="left"/>
      <w:pPr>
        <w:ind w:left="5480" w:hanging="360"/>
      </w:pPr>
      <w:rPr>
        <w:rFonts w:ascii="Symbol" w:hAnsi="Symbol" w:hint="default"/>
      </w:rPr>
    </w:lvl>
    <w:lvl w:ilvl="7" w:tplc="40090003" w:tentative="1">
      <w:start w:val="1"/>
      <w:numFmt w:val="bullet"/>
      <w:lvlText w:val="o"/>
      <w:lvlJc w:val="left"/>
      <w:pPr>
        <w:ind w:left="6200" w:hanging="360"/>
      </w:pPr>
      <w:rPr>
        <w:rFonts w:ascii="Courier New" w:hAnsi="Courier New" w:cs="Courier New" w:hint="default"/>
      </w:rPr>
    </w:lvl>
    <w:lvl w:ilvl="8" w:tplc="40090005" w:tentative="1">
      <w:start w:val="1"/>
      <w:numFmt w:val="bullet"/>
      <w:lvlText w:val=""/>
      <w:lvlJc w:val="left"/>
      <w:pPr>
        <w:ind w:left="6920" w:hanging="360"/>
      </w:pPr>
      <w:rPr>
        <w:rFonts w:ascii="Wingdings" w:hAnsi="Wingdings" w:hint="default"/>
      </w:rPr>
    </w:lvl>
  </w:abstractNum>
  <w:abstractNum w:abstractNumId="16" w15:restartNumberingAfterBreak="0">
    <w:nsid w:val="7B182DA7"/>
    <w:multiLevelType w:val="hybridMultilevel"/>
    <w:tmpl w:val="5344C1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7BB94E51"/>
    <w:multiLevelType w:val="hybridMultilevel"/>
    <w:tmpl w:val="AA4236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7FD136AB"/>
    <w:multiLevelType w:val="hybridMultilevel"/>
    <w:tmpl w:val="E918EAD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045521265">
    <w:abstractNumId w:val="8"/>
  </w:num>
  <w:num w:numId="2" w16cid:durableId="568423048">
    <w:abstractNumId w:val="0"/>
  </w:num>
  <w:num w:numId="3" w16cid:durableId="793913833">
    <w:abstractNumId w:val="3"/>
  </w:num>
  <w:num w:numId="4" w16cid:durableId="549849521">
    <w:abstractNumId w:val="17"/>
  </w:num>
  <w:num w:numId="5" w16cid:durableId="183399887">
    <w:abstractNumId w:val="11"/>
  </w:num>
  <w:num w:numId="6" w16cid:durableId="1486700353">
    <w:abstractNumId w:val="16"/>
  </w:num>
  <w:num w:numId="7" w16cid:durableId="1223098514">
    <w:abstractNumId w:val="2"/>
  </w:num>
  <w:num w:numId="8" w16cid:durableId="1413355054">
    <w:abstractNumId w:val="6"/>
  </w:num>
  <w:num w:numId="9" w16cid:durableId="1081684747">
    <w:abstractNumId w:val="12"/>
  </w:num>
  <w:num w:numId="10" w16cid:durableId="1308585612">
    <w:abstractNumId w:val="9"/>
  </w:num>
  <w:num w:numId="11" w16cid:durableId="1283803821">
    <w:abstractNumId w:val="1"/>
  </w:num>
  <w:num w:numId="12" w16cid:durableId="666059001">
    <w:abstractNumId w:val="10"/>
  </w:num>
  <w:num w:numId="13" w16cid:durableId="2048220298">
    <w:abstractNumId w:val="14"/>
  </w:num>
  <w:num w:numId="14" w16cid:durableId="1650093626">
    <w:abstractNumId w:val="15"/>
  </w:num>
  <w:num w:numId="15" w16cid:durableId="559823369">
    <w:abstractNumId w:val="7"/>
  </w:num>
  <w:num w:numId="16" w16cid:durableId="1056854956">
    <w:abstractNumId w:val="5"/>
  </w:num>
  <w:num w:numId="17" w16cid:durableId="2127969700">
    <w:abstractNumId w:val="18"/>
  </w:num>
  <w:num w:numId="18" w16cid:durableId="1282689202">
    <w:abstractNumId w:val="4"/>
  </w:num>
  <w:num w:numId="19" w16cid:durableId="644814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A5"/>
    <w:rsid w:val="00003885"/>
    <w:rsid w:val="00014524"/>
    <w:rsid w:val="0007760F"/>
    <w:rsid w:val="000B6D02"/>
    <w:rsid w:val="00121ED6"/>
    <w:rsid w:val="00184DF6"/>
    <w:rsid w:val="00197DA1"/>
    <w:rsid w:val="001F36E1"/>
    <w:rsid w:val="002A1630"/>
    <w:rsid w:val="0030193A"/>
    <w:rsid w:val="00327AB9"/>
    <w:rsid w:val="00363CC7"/>
    <w:rsid w:val="00382155"/>
    <w:rsid w:val="00384979"/>
    <w:rsid w:val="003A5280"/>
    <w:rsid w:val="003C0FC3"/>
    <w:rsid w:val="003D5B7D"/>
    <w:rsid w:val="003D7C8D"/>
    <w:rsid w:val="004238E3"/>
    <w:rsid w:val="0043217E"/>
    <w:rsid w:val="00481C92"/>
    <w:rsid w:val="00490CF0"/>
    <w:rsid w:val="004D1057"/>
    <w:rsid w:val="00530E5B"/>
    <w:rsid w:val="005906B6"/>
    <w:rsid w:val="005918D5"/>
    <w:rsid w:val="005E2302"/>
    <w:rsid w:val="006079A8"/>
    <w:rsid w:val="006437D5"/>
    <w:rsid w:val="00647056"/>
    <w:rsid w:val="0068694E"/>
    <w:rsid w:val="0072133F"/>
    <w:rsid w:val="00741FEA"/>
    <w:rsid w:val="007D3104"/>
    <w:rsid w:val="008538A2"/>
    <w:rsid w:val="0087408D"/>
    <w:rsid w:val="008B6555"/>
    <w:rsid w:val="008E2851"/>
    <w:rsid w:val="00946AE5"/>
    <w:rsid w:val="009A017C"/>
    <w:rsid w:val="00A0570E"/>
    <w:rsid w:val="00AC54E7"/>
    <w:rsid w:val="00AD695A"/>
    <w:rsid w:val="00AF442C"/>
    <w:rsid w:val="00B04882"/>
    <w:rsid w:val="00B16AAD"/>
    <w:rsid w:val="00B32AD7"/>
    <w:rsid w:val="00B660E0"/>
    <w:rsid w:val="00BB2F6C"/>
    <w:rsid w:val="00BF75FE"/>
    <w:rsid w:val="00C033B3"/>
    <w:rsid w:val="00C46BF3"/>
    <w:rsid w:val="00CA4589"/>
    <w:rsid w:val="00CD3C01"/>
    <w:rsid w:val="00CE5D5C"/>
    <w:rsid w:val="00CF4523"/>
    <w:rsid w:val="00CF6D8E"/>
    <w:rsid w:val="00D13C6C"/>
    <w:rsid w:val="00DD338D"/>
    <w:rsid w:val="00DD44A8"/>
    <w:rsid w:val="00DD4867"/>
    <w:rsid w:val="00DE7BF6"/>
    <w:rsid w:val="00E010F2"/>
    <w:rsid w:val="00E47767"/>
    <w:rsid w:val="00E5101C"/>
    <w:rsid w:val="00E765F9"/>
    <w:rsid w:val="00E82355"/>
    <w:rsid w:val="00E86BA5"/>
    <w:rsid w:val="00E86E22"/>
    <w:rsid w:val="00EB208E"/>
    <w:rsid w:val="00F61A9D"/>
    <w:rsid w:val="00F672BB"/>
    <w:rsid w:val="00FF33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76607"/>
  <w15:docId w15:val="{3159286C-BCFB-4F7F-B280-256E061A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47767"/>
    <w:pPr>
      <w:ind w:left="720"/>
      <w:contextualSpacing/>
    </w:pPr>
  </w:style>
  <w:style w:type="character" w:styleId="Hyperlink">
    <w:name w:val="Hyperlink"/>
    <w:basedOn w:val="DefaultParagraphFont"/>
    <w:uiPriority w:val="99"/>
    <w:unhideWhenUsed/>
    <w:rsid w:val="00DD44A8"/>
    <w:rPr>
      <w:color w:val="0000FF" w:themeColor="hyperlink"/>
      <w:u w:val="single"/>
    </w:rPr>
  </w:style>
  <w:style w:type="character" w:styleId="UnresolvedMention">
    <w:name w:val="Unresolved Mention"/>
    <w:basedOn w:val="DefaultParagraphFont"/>
    <w:uiPriority w:val="99"/>
    <w:semiHidden/>
    <w:unhideWhenUsed/>
    <w:rsid w:val="00DD44A8"/>
    <w:rPr>
      <w:color w:val="605E5C"/>
      <w:shd w:val="clear" w:color="auto" w:fill="E1DFDD"/>
    </w:rPr>
  </w:style>
  <w:style w:type="paragraph" w:styleId="TOCHeading">
    <w:name w:val="TOC Heading"/>
    <w:basedOn w:val="Heading1"/>
    <w:next w:val="Normal"/>
    <w:uiPriority w:val="39"/>
    <w:unhideWhenUsed/>
    <w:qFormat/>
    <w:rsid w:val="00DD44A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CF4523"/>
    <w:pPr>
      <w:tabs>
        <w:tab w:val="right" w:leader="dot" w:pos="9019"/>
      </w:tabs>
      <w:spacing w:after="100"/>
    </w:pPr>
    <w:rPr>
      <w:rFonts w:ascii="Times New Roman" w:hAnsi="Times New Roman" w:cs="Times New Roman"/>
      <w:noProof/>
      <w:color w:val="000000" w:themeColor="text1"/>
    </w:rPr>
  </w:style>
  <w:style w:type="paragraph" w:styleId="TOC2">
    <w:name w:val="toc 2"/>
    <w:basedOn w:val="Normal"/>
    <w:next w:val="Normal"/>
    <w:autoRedefine/>
    <w:uiPriority w:val="39"/>
    <w:unhideWhenUsed/>
    <w:rsid w:val="00AD695A"/>
    <w:pPr>
      <w:tabs>
        <w:tab w:val="right" w:leader="dot" w:pos="9019"/>
      </w:tabs>
      <w:spacing w:after="100"/>
      <w:ind w:left="720"/>
    </w:pPr>
  </w:style>
  <w:style w:type="paragraph" w:styleId="TOC3">
    <w:name w:val="toc 3"/>
    <w:basedOn w:val="Normal"/>
    <w:next w:val="Normal"/>
    <w:autoRedefine/>
    <w:uiPriority w:val="39"/>
    <w:unhideWhenUsed/>
    <w:rsid w:val="00AD695A"/>
    <w:pPr>
      <w:tabs>
        <w:tab w:val="right" w:leader="dot" w:pos="9019"/>
      </w:tabs>
      <w:spacing w:after="100"/>
      <w:ind w:left="720"/>
    </w:pPr>
  </w:style>
  <w:style w:type="paragraph" w:styleId="Header">
    <w:name w:val="header"/>
    <w:basedOn w:val="Normal"/>
    <w:link w:val="HeaderChar"/>
    <w:uiPriority w:val="99"/>
    <w:semiHidden/>
    <w:unhideWhenUsed/>
    <w:rsid w:val="004D105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D1057"/>
  </w:style>
  <w:style w:type="paragraph" w:styleId="Footer">
    <w:name w:val="footer"/>
    <w:basedOn w:val="Normal"/>
    <w:link w:val="FooterChar"/>
    <w:uiPriority w:val="99"/>
    <w:semiHidden/>
    <w:unhideWhenUsed/>
    <w:rsid w:val="004D1057"/>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4D1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16/j.worlddev.2022.106195" TargetMode="External"/><Relationship Id="rId18" Type="http://schemas.openxmlformats.org/officeDocument/2006/relationships/hyperlink" Target="https://rchiips.org/nfhs" TargetMode="External"/><Relationship Id="rId3" Type="http://schemas.openxmlformats.org/officeDocument/2006/relationships/styles" Target="styles.xml"/><Relationship Id="rId21" Type="http://schemas.openxmlformats.org/officeDocument/2006/relationships/hyperlink" Target="https://www.unwomen.org" TargetMode="External"/><Relationship Id="rId7" Type="http://schemas.openxmlformats.org/officeDocument/2006/relationships/endnotes" Target="endnotes.xml"/><Relationship Id="rId12" Type="http://schemas.openxmlformats.org/officeDocument/2006/relationships/hyperlink" Target="https://doi.org/10.1080/00666097.2023.1987654" TargetMode="External"/><Relationship Id="rId17" Type="http://schemas.openxmlformats.org/officeDocument/2006/relationships/hyperlink" Target="https://doi.org/10.1016/j.worlddev.2024.106688" TargetMode="External"/><Relationship Id="rId2" Type="http://schemas.openxmlformats.org/officeDocument/2006/relationships/numbering" Target="numbering.xml"/><Relationship Id="rId16" Type="http://schemas.openxmlformats.org/officeDocument/2006/relationships/hyperlink" Target="https://doi.org/10.1093/tandt/ttae014" TargetMode="External"/><Relationship Id="rId20" Type="http://schemas.openxmlformats.org/officeDocument/2006/relationships/hyperlink" Target="https://tribal.ni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landusepol.2023.106835" TargetMode="External"/><Relationship Id="rId5" Type="http://schemas.openxmlformats.org/officeDocument/2006/relationships/webSettings" Target="webSettings.xml"/><Relationship Id="rId15" Type="http://schemas.openxmlformats.org/officeDocument/2006/relationships/hyperlink" Target="https://doi.org/10.1163/15718115-03202002" TargetMode="External"/><Relationship Id="rId23" Type="http://schemas.openxmlformats.org/officeDocument/2006/relationships/theme" Target="theme/theme1.xml"/><Relationship Id="rId10" Type="http://schemas.openxmlformats.org/officeDocument/2006/relationships/hyperlink" Target="https://doi.org/10.1177/09731741231101045" TargetMode="External"/><Relationship Id="rId19" Type="http://schemas.openxmlformats.org/officeDocument/2006/relationships/hyperlink" Target="https://legislative.gov.i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22146/mh.v36i2.864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1E900-3221-4AE4-8230-565A7108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18</Pages>
  <Words>6579</Words>
  <Characters>37502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shubhangisona50179@gmail.com</dc:creator>
  <cp:keywords/>
  <dc:description/>
  <cp:lastModifiedBy>shubhangisona50179@gmail.com</cp:lastModifiedBy>
  <cp:revision>6</cp:revision>
  <cp:lastPrinted>2026-03-19T07:38:00Z</cp:lastPrinted>
  <dcterms:created xsi:type="dcterms:W3CDTF">2025-11-24T17:57:00Z</dcterms:created>
  <dcterms:modified xsi:type="dcterms:W3CDTF">2026-03-21T08:07:00Z</dcterms:modified>
</cp:coreProperties>
</file>