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C038" w14:textId="77777777" w:rsidR="002E2F98" w:rsidRDefault="002E2F98" w:rsidP="002E2F98">
      <w:pPr>
        <w:spacing w:line="360" w:lineRule="auto"/>
        <w:jc w:val="center"/>
        <w:rPr>
          <w:rFonts w:cs="Times New Roman"/>
          <w:b/>
          <w:bCs/>
          <w:szCs w:val="24"/>
        </w:rPr>
      </w:pPr>
      <w:r w:rsidRPr="002E2F98">
        <w:rPr>
          <w:rFonts w:cs="Times New Roman"/>
          <w:b/>
          <w:bCs/>
          <w:szCs w:val="24"/>
        </w:rPr>
        <w:t xml:space="preserve">Migration, Identity, and Voting </w:t>
      </w:r>
      <w:proofErr w:type="spellStart"/>
      <w:r w:rsidRPr="002E2F98">
        <w:rPr>
          <w:rFonts w:cs="Times New Roman"/>
          <w:b/>
          <w:bCs/>
          <w:szCs w:val="24"/>
        </w:rPr>
        <w:t>Behavior</w:t>
      </w:r>
      <w:proofErr w:type="spellEnd"/>
      <w:r w:rsidRPr="002E2F98">
        <w:rPr>
          <w:rFonts w:cs="Times New Roman"/>
          <w:b/>
          <w:bCs/>
          <w:szCs w:val="24"/>
        </w:rPr>
        <w:t xml:space="preserve"> in Border Regions of India</w:t>
      </w:r>
    </w:p>
    <w:p w14:paraId="37422319" w14:textId="3F2113F2" w:rsidR="005B24B3" w:rsidRDefault="005B24B3" w:rsidP="002E2F98">
      <w:pPr>
        <w:spacing w:line="360" w:lineRule="auto"/>
        <w:jc w:val="center"/>
        <w:rPr>
          <w:rFonts w:cs="Times New Roman"/>
          <w:szCs w:val="24"/>
        </w:rPr>
      </w:pPr>
      <w:r w:rsidRPr="005B24B3">
        <w:rPr>
          <w:rFonts w:cs="Times New Roman"/>
          <w:szCs w:val="24"/>
        </w:rPr>
        <w:t>Submitted by</w:t>
      </w:r>
    </w:p>
    <w:p w14:paraId="423ABAF1" w14:textId="61809C9A" w:rsidR="00813205" w:rsidRDefault="00813205" w:rsidP="00813205">
      <w:pPr>
        <w:pStyle w:val="Author"/>
        <w:spacing w:before="160" w:after="80"/>
        <w:rPr>
          <w:rFonts w:eastAsia="Times New Roman"/>
        </w:rPr>
      </w:pPr>
      <w:r w:rsidRPr="00D26A36">
        <w:rPr>
          <w:vertAlign w:val="superscript"/>
        </w:rPr>
        <w:t>1</w:t>
      </w:r>
      <w:r w:rsidRPr="005B24B3">
        <w:rPr>
          <w:szCs w:val="24"/>
        </w:rPr>
        <w:t>K Hinoca Assumi</w:t>
      </w:r>
      <w:r>
        <w:t>,</w:t>
      </w:r>
      <w:r w:rsidRPr="00D26A36">
        <w:t xml:space="preserve"> </w:t>
      </w:r>
      <w:r w:rsidRPr="00D26A36">
        <w:rPr>
          <w:vertAlign w:val="superscript"/>
        </w:rPr>
        <w:t>2</w:t>
      </w:r>
      <w:r w:rsidR="00D5187C">
        <w:t>Dr. Rahul Dev Choudhury</w:t>
      </w:r>
    </w:p>
    <w:p w14:paraId="6222965A" w14:textId="394703C2" w:rsidR="00813205" w:rsidRDefault="00813205" w:rsidP="00813205">
      <w:pPr>
        <w:pStyle w:val="Affiliation"/>
        <w:rPr>
          <w:rFonts w:eastAsia="Times New Roman"/>
        </w:rPr>
      </w:pPr>
      <w:r w:rsidRPr="003659F6">
        <w:rPr>
          <w:rFonts w:eastAsia="Times New Roman"/>
          <w:vertAlign w:val="superscript"/>
        </w:rPr>
        <w:t>1</w:t>
      </w:r>
      <w:r w:rsidR="00D5187C">
        <w:rPr>
          <w:rFonts w:eastAsia="Times New Roman"/>
        </w:rPr>
        <w:t>Research Scholar</w:t>
      </w:r>
      <w:r>
        <w:rPr>
          <w:rFonts w:eastAsia="Times New Roman"/>
        </w:rPr>
        <w:t>,</w:t>
      </w:r>
      <w:r w:rsidRPr="003659F6">
        <w:rPr>
          <w:rFonts w:eastAsia="Times New Roman"/>
        </w:rPr>
        <w:t xml:space="preserve"> </w:t>
      </w:r>
      <w:r w:rsidRPr="003659F6">
        <w:rPr>
          <w:rFonts w:eastAsia="Times New Roman"/>
          <w:vertAlign w:val="superscript"/>
        </w:rPr>
        <w:t>2</w:t>
      </w:r>
      <w:r w:rsidR="00D5187C">
        <w:rPr>
          <w:rFonts w:eastAsia="Times New Roman"/>
        </w:rPr>
        <w:t>Assistant Professor</w:t>
      </w:r>
    </w:p>
    <w:p w14:paraId="63EEDCA0" w14:textId="73D9132A" w:rsidR="00813205" w:rsidRDefault="00813205" w:rsidP="00813205">
      <w:pPr>
        <w:pStyle w:val="Affiliation"/>
        <w:rPr>
          <w:rFonts w:eastAsia="Times New Roman"/>
        </w:rPr>
      </w:pPr>
      <w:r w:rsidRPr="00F4168E">
        <w:rPr>
          <w:rFonts w:eastAsia="Times New Roman"/>
          <w:vertAlign w:val="superscript"/>
        </w:rPr>
        <w:t>1</w:t>
      </w:r>
      <w:r w:rsidR="00D5187C">
        <w:rPr>
          <w:rFonts w:eastAsia="Times New Roman"/>
        </w:rPr>
        <w:t>Department of Political Science</w:t>
      </w:r>
      <w:r>
        <w:rPr>
          <w:rFonts w:eastAsia="Times New Roman"/>
        </w:rPr>
        <w:t xml:space="preserve">, </w:t>
      </w:r>
      <w:r w:rsidR="00D5187C" w:rsidRPr="003659F6">
        <w:rPr>
          <w:rFonts w:eastAsia="Times New Roman"/>
          <w:vertAlign w:val="superscript"/>
        </w:rPr>
        <w:t>2</w:t>
      </w:r>
      <w:r w:rsidR="00D5187C">
        <w:rPr>
          <w:rFonts w:eastAsia="Times New Roman"/>
        </w:rPr>
        <w:t>Department of Physical Education</w:t>
      </w:r>
    </w:p>
    <w:p w14:paraId="588F8678" w14:textId="131877EB" w:rsidR="00D5187C" w:rsidRDefault="00813205" w:rsidP="00813205">
      <w:pPr>
        <w:pStyle w:val="Affiliation"/>
        <w:rPr>
          <w:rFonts w:eastAsia="Times New Roman"/>
        </w:rPr>
      </w:pPr>
      <w:r w:rsidRPr="00F4168E">
        <w:rPr>
          <w:rFonts w:eastAsia="Times New Roman"/>
          <w:vertAlign w:val="superscript"/>
        </w:rPr>
        <w:t>1</w:t>
      </w:r>
      <w:r w:rsidR="00D5187C">
        <w:rPr>
          <w:rFonts w:eastAsia="Times New Roman"/>
        </w:rPr>
        <w:t xml:space="preserve">Lovely Professional University, Punjab, India, </w:t>
      </w:r>
      <w:r w:rsidR="00D5187C" w:rsidRPr="003659F6">
        <w:rPr>
          <w:rFonts w:eastAsia="Times New Roman"/>
          <w:vertAlign w:val="superscript"/>
        </w:rPr>
        <w:t>2</w:t>
      </w:r>
      <w:r w:rsidR="00D5187C">
        <w:rPr>
          <w:rFonts w:eastAsia="Times New Roman"/>
        </w:rPr>
        <w:t>Regional College of Physical Education, Tripura, India</w:t>
      </w:r>
    </w:p>
    <w:p w14:paraId="642E3DA1" w14:textId="6CF503A2" w:rsidR="00813205" w:rsidRPr="007079C8" w:rsidRDefault="003F6F78" w:rsidP="00813205">
      <w:pPr>
        <w:pStyle w:val="Affiliation"/>
        <w:rPr>
          <w:rFonts w:ascii="Courier New" w:hAnsi="Courier New" w:cs="Courier New"/>
        </w:rPr>
      </w:pPr>
      <w:hyperlink r:id="rId5" w:history="1">
        <w:r w:rsidRPr="00225614">
          <w:rPr>
            <w:rStyle w:val="Hyperlink"/>
            <w:rFonts w:ascii="Courier New" w:hAnsi="Courier New" w:cs="Courier New"/>
            <w:vertAlign w:val="superscript"/>
          </w:rPr>
          <w:t>1</w:t>
        </w:r>
        <w:r w:rsidRPr="00225614">
          <w:rPr>
            <w:rStyle w:val="Hyperlink"/>
            <w:rFonts w:ascii="Courier New" w:hAnsi="Courier New" w:cs="Courier New"/>
          </w:rPr>
          <w:t>hinocaassumi@gmail.</w:t>
        </w:r>
        <w:r w:rsidRPr="00225614">
          <w:rPr>
            <w:rStyle w:val="Hyperlink"/>
            <w:rFonts w:ascii="Courier New" w:hAnsi="Courier New" w:cs="Courier New"/>
          </w:rPr>
          <w:t>com</w:t>
        </w:r>
      </w:hyperlink>
      <w:r w:rsidR="00813205" w:rsidRPr="007079C8">
        <w:rPr>
          <w:rFonts w:ascii="Courier New" w:hAnsi="Courier New" w:cs="Courier New"/>
        </w:rPr>
        <w:t xml:space="preserve">, </w:t>
      </w:r>
      <w:r w:rsidR="00813205" w:rsidRPr="007079C8">
        <w:rPr>
          <w:rFonts w:ascii="Courier New" w:hAnsi="Courier New" w:cs="Courier New"/>
          <w:vertAlign w:val="superscript"/>
        </w:rPr>
        <w:t>2</w:t>
      </w:r>
      <w:hyperlink r:id="rId6" w:history="1">
        <w:r w:rsidR="00953AA6" w:rsidRPr="00225614">
          <w:rPr>
            <w:rStyle w:val="Hyperlink"/>
            <w:rFonts w:ascii="Courier New" w:hAnsi="Courier New" w:cs="Courier New"/>
          </w:rPr>
          <w:t>devrahul09@gmail</w:t>
        </w:r>
        <w:r w:rsidR="00953AA6" w:rsidRPr="00225614">
          <w:rPr>
            <w:rStyle w:val="Hyperlink"/>
            <w:rFonts w:ascii="Courier New" w:hAnsi="Courier New" w:cs="Courier New"/>
          </w:rPr>
          <w:t>.com</w:t>
        </w:r>
      </w:hyperlink>
      <w:r w:rsidR="00813205" w:rsidRPr="007079C8">
        <w:rPr>
          <w:rFonts w:ascii="Courier New" w:hAnsi="Courier New" w:cs="Courier New"/>
        </w:rPr>
        <w:t xml:space="preserve">  </w:t>
      </w:r>
    </w:p>
    <w:p w14:paraId="5F2A630F" w14:textId="77777777" w:rsidR="002E2F98" w:rsidRPr="002E2F98" w:rsidRDefault="002E2F98" w:rsidP="002E2F98">
      <w:pPr>
        <w:spacing w:line="360" w:lineRule="auto"/>
        <w:jc w:val="both"/>
        <w:rPr>
          <w:rFonts w:cs="Times New Roman"/>
          <w:szCs w:val="24"/>
        </w:rPr>
      </w:pPr>
    </w:p>
    <w:p w14:paraId="02C00BD3" w14:textId="77777777" w:rsidR="002E2F98" w:rsidRPr="002E2F98" w:rsidRDefault="002E2F98" w:rsidP="002E2F98">
      <w:pPr>
        <w:spacing w:line="360" w:lineRule="auto"/>
        <w:jc w:val="both"/>
        <w:rPr>
          <w:rFonts w:cs="Times New Roman"/>
          <w:b/>
          <w:bCs/>
          <w:szCs w:val="24"/>
        </w:rPr>
      </w:pPr>
      <w:r w:rsidRPr="002E2F98">
        <w:rPr>
          <w:rFonts w:cs="Times New Roman"/>
          <w:b/>
          <w:bCs/>
          <w:szCs w:val="24"/>
        </w:rPr>
        <w:t>Abstract</w:t>
      </w:r>
    </w:p>
    <w:p w14:paraId="4619F3CD" w14:textId="43694E79" w:rsidR="002E2F98" w:rsidRPr="002E2F98" w:rsidRDefault="007C5A8E" w:rsidP="002E2F98">
      <w:pPr>
        <w:spacing w:line="360" w:lineRule="auto"/>
        <w:jc w:val="both"/>
        <w:rPr>
          <w:rFonts w:cs="Times New Roman"/>
          <w:szCs w:val="24"/>
        </w:rPr>
      </w:pPr>
      <w:r w:rsidRPr="007C5A8E">
        <w:rPr>
          <w:rFonts w:cs="Times New Roman"/>
          <w:szCs w:val="24"/>
        </w:rPr>
        <w:t xml:space="preserve">The current paper will discuss how migration, identity formation, and voting behaviour in India are interconnected in relation to the border areas. The border states, those of the northeastern states, West Bengal, Punjab, Rajasthan, and Jammu &amp; Kashmir, have witnessed a high rate of internal and cross-border migration, altered demographic patterns and challenged the issues of citizenship, belonging and political mobilisation. </w:t>
      </w:r>
      <w:r w:rsidR="004F1971">
        <w:rPr>
          <w:rFonts w:cs="Times New Roman"/>
          <w:szCs w:val="24"/>
        </w:rPr>
        <w:t>Based</w:t>
      </w:r>
      <w:r w:rsidRPr="007C5A8E">
        <w:rPr>
          <w:rFonts w:cs="Times New Roman"/>
          <w:szCs w:val="24"/>
        </w:rPr>
        <w:t xml:space="preserve"> on the literature about migration theory, ethnic politics, and voting behaviour, the study is a synthesis of secondary sources and case studies to examine how migration patterns influence political identity and electoral results in these sensitive geographies. The paper </w:t>
      </w:r>
      <w:r w:rsidR="004F1971">
        <w:rPr>
          <w:rFonts w:cs="Times New Roman"/>
          <w:szCs w:val="24"/>
        </w:rPr>
        <w:t>suggests</w:t>
      </w:r>
      <w:r w:rsidRPr="007C5A8E">
        <w:rPr>
          <w:rFonts w:cs="Times New Roman"/>
          <w:szCs w:val="24"/>
        </w:rPr>
        <w:t xml:space="preserve"> that (1) migration in border areas tends to refract around already established ethnic and religious fault-lines, (2) legal and institutional processes, including national registries and citizenship laws, interact with local politics to transform migration into electoral mobilisation, and (3) reactions by mainstream and regional political parties mediate the translation of migration into voting behaviour. At the end of the paper, there is a conclusion of policy implications of democratic inclusion, conflict prevention, and governance in borderlands.</w:t>
      </w:r>
    </w:p>
    <w:p w14:paraId="389C21FB" w14:textId="39F451CC" w:rsidR="00715DF1" w:rsidRPr="002E2F98" w:rsidRDefault="002E2F98" w:rsidP="002E2F98">
      <w:pPr>
        <w:spacing w:line="360" w:lineRule="auto"/>
        <w:jc w:val="both"/>
        <w:rPr>
          <w:rFonts w:cs="Times New Roman"/>
          <w:szCs w:val="24"/>
        </w:rPr>
      </w:pPr>
      <w:r w:rsidRPr="002E2F98">
        <w:rPr>
          <w:rFonts w:cs="Times New Roman"/>
          <w:b/>
          <w:bCs/>
          <w:szCs w:val="24"/>
        </w:rPr>
        <w:t>Keywords</w:t>
      </w:r>
      <w:r w:rsidRPr="002E2F98">
        <w:rPr>
          <w:rFonts w:cs="Times New Roman"/>
          <w:szCs w:val="24"/>
        </w:rPr>
        <w:t>: migration, identity, voting behaviour, border regions, India, citizenship, electoral politics</w:t>
      </w:r>
    </w:p>
    <w:p w14:paraId="305F1B07"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Introduction</w:t>
      </w:r>
    </w:p>
    <w:p w14:paraId="3A29D5B2" w14:textId="77777777" w:rsidR="007C5A8E" w:rsidRPr="00715DF1" w:rsidRDefault="007C5A8E" w:rsidP="00715DF1">
      <w:pPr>
        <w:spacing w:after="0" w:line="360" w:lineRule="auto"/>
        <w:jc w:val="both"/>
        <w:rPr>
          <w:rFonts w:cs="Times New Roman"/>
          <w:szCs w:val="24"/>
        </w:rPr>
      </w:pPr>
      <w:r w:rsidRPr="00715DF1">
        <w:rPr>
          <w:rFonts w:cs="Times New Roman"/>
          <w:szCs w:val="24"/>
        </w:rPr>
        <w:t>Border lands take a pivotal role in any polity: they are a place of encounter and exchange, and also a place where issues of identity, security, and political belonging come to a head. People across internal and external boundaries have long been shaping border regions in India which includes seasonal labour migration, forced displacement and permanent settlement (</w:t>
      </w:r>
      <w:proofErr w:type="spellStart"/>
      <w:r w:rsidRPr="00715DF1">
        <w:rPr>
          <w:rFonts w:cs="Times New Roman"/>
          <w:szCs w:val="24"/>
        </w:rPr>
        <w:t>Deshingkar</w:t>
      </w:r>
      <w:proofErr w:type="spellEnd"/>
      <w:r w:rsidRPr="00715DF1">
        <w:rPr>
          <w:rFonts w:cs="Times New Roman"/>
          <w:szCs w:val="24"/>
        </w:rPr>
        <w:t xml:space="preserve"> &amp; Start, 2003). In situations where migration changes the demographical balance and/or overlaps with historical resentments, politics of identity may become amplified and directed towards electoral competition (Chandra, 2004; Horowitz, 1985). This is especially </w:t>
      </w:r>
      <w:r w:rsidRPr="00715DF1">
        <w:rPr>
          <w:rFonts w:cs="Times New Roman"/>
          <w:szCs w:val="24"/>
        </w:rPr>
        <w:lastRenderedPageBreak/>
        <w:t>relevant to the Indian borderlands e.g. the Northeast, West Bengal, Punjab and Jammu Kashmir where the debate of migration has shaped not only the citizenship legislations but also the party policies and voting trends.</w:t>
      </w:r>
    </w:p>
    <w:p w14:paraId="54A7733E" w14:textId="4FE6211C" w:rsidR="002E2F98" w:rsidRPr="00715DF1" w:rsidRDefault="007C5A8E" w:rsidP="00715DF1">
      <w:pPr>
        <w:spacing w:after="0" w:line="360" w:lineRule="auto"/>
        <w:jc w:val="both"/>
        <w:rPr>
          <w:rFonts w:cs="Times New Roman"/>
          <w:szCs w:val="24"/>
        </w:rPr>
      </w:pPr>
      <w:r w:rsidRPr="00715DF1">
        <w:rPr>
          <w:rFonts w:cs="Times New Roman"/>
          <w:szCs w:val="24"/>
        </w:rPr>
        <w:t>The current paper explores the effects of migration on identity formation and voting behaviour in the border regions of India. It combines both theoretical views and empirical data, and provides examples of cases to demonstrate mechanisms of migration-political consequences. The aim is not to give one causal explanation but to trace the spectrum of possibilities in which migration comes to bear political significance in border politics and project policy implications of democratic state-making.</w:t>
      </w:r>
    </w:p>
    <w:p w14:paraId="36FCF0AF"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Literature Review and Theoretical Framework</w:t>
      </w:r>
    </w:p>
    <w:p w14:paraId="2C4BF9E0" w14:textId="77777777" w:rsidR="007C5A8E" w:rsidRPr="00715DF1" w:rsidRDefault="007C5A8E" w:rsidP="00715DF1">
      <w:pPr>
        <w:spacing w:after="0" w:line="360" w:lineRule="auto"/>
        <w:jc w:val="both"/>
        <w:rPr>
          <w:rFonts w:cs="Times New Roman"/>
          <w:szCs w:val="24"/>
        </w:rPr>
      </w:pPr>
      <w:r w:rsidRPr="00715DF1">
        <w:rPr>
          <w:rFonts w:cs="Times New Roman"/>
          <w:szCs w:val="24"/>
        </w:rPr>
        <w:t>Three literatures are relied on by the study: migration studies, ethnic politics and identity theories and voting behaviour.</w:t>
      </w:r>
    </w:p>
    <w:p w14:paraId="79BDDF63" w14:textId="1135E2EA" w:rsidR="007C5A8E" w:rsidRPr="00715DF1" w:rsidRDefault="007C5A8E" w:rsidP="00715DF1">
      <w:pPr>
        <w:spacing w:after="0" w:line="360" w:lineRule="auto"/>
        <w:jc w:val="both"/>
        <w:rPr>
          <w:rFonts w:cs="Times New Roman"/>
          <w:szCs w:val="24"/>
        </w:rPr>
      </w:pPr>
      <w:r w:rsidRPr="00715DF1">
        <w:rPr>
          <w:rFonts w:cs="Times New Roman"/>
          <w:szCs w:val="24"/>
        </w:rPr>
        <w:t xml:space="preserve">The migration studies offer models of how to see migration as a process with economic, social, and political implications (Castles, de Haas, and Miller, 2014). Indian internal migration is multi-layered and circular and seasonal labour migration, rural-urban migration and </w:t>
      </w:r>
      <w:r w:rsidR="000B53BA">
        <w:rPr>
          <w:rFonts w:cs="Times New Roman"/>
          <w:szCs w:val="24"/>
        </w:rPr>
        <w:t>cross-border</w:t>
      </w:r>
      <w:r w:rsidRPr="00715DF1">
        <w:rPr>
          <w:rFonts w:cs="Times New Roman"/>
          <w:szCs w:val="24"/>
        </w:rPr>
        <w:t xml:space="preserve"> displacement due to legacies of conflicts or partition are all complex and internal to India (</w:t>
      </w:r>
      <w:proofErr w:type="spellStart"/>
      <w:r w:rsidRPr="00715DF1">
        <w:rPr>
          <w:rFonts w:cs="Times New Roman"/>
          <w:szCs w:val="24"/>
        </w:rPr>
        <w:t>Deshingkar</w:t>
      </w:r>
      <w:proofErr w:type="spellEnd"/>
      <w:r w:rsidRPr="00715DF1">
        <w:rPr>
          <w:rFonts w:cs="Times New Roman"/>
          <w:szCs w:val="24"/>
        </w:rPr>
        <w:t xml:space="preserve"> and Start, 2003). Migration also has the ability to transform the structure of local communities, thereby shifting social networks, labour markets and political boundaries.</w:t>
      </w:r>
    </w:p>
    <w:p w14:paraId="042FD114" w14:textId="7D523A5A" w:rsidR="007C5A8E" w:rsidRPr="00715DF1" w:rsidRDefault="007C5A8E" w:rsidP="00715DF1">
      <w:pPr>
        <w:spacing w:after="0" w:line="360" w:lineRule="auto"/>
        <w:jc w:val="both"/>
        <w:rPr>
          <w:rFonts w:cs="Times New Roman"/>
          <w:szCs w:val="24"/>
        </w:rPr>
      </w:pPr>
      <w:r w:rsidRPr="00715DF1">
        <w:rPr>
          <w:rFonts w:cs="Times New Roman"/>
          <w:szCs w:val="24"/>
        </w:rPr>
        <w:t xml:space="preserve">Ethnic politics literature emphasises the role of social categories like ethnicity, language </w:t>
      </w:r>
      <w:r w:rsidR="000B53BA">
        <w:rPr>
          <w:rFonts w:cs="Times New Roman"/>
          <w:szCs w:val="24"/>
        </w:rPr>
        <w:t xml:space="preserve">and </w:t>
      </w:r>
      <w:r w:rsidRPr="00715DF1">
        <w:rPr>
          <w:rFonts w:cs="Times New Roman"/>
          <w:szCs w:val="24"/>
        </w:rPr>
        <w:t xml:space="preserve">religion in mediating political mobilisation (Horowitz, 1985; Chandra, 2004). Migrants can be perceived as an outsider or a threat to resources when they are perceived to be distinct along these identity axes, thereby becoming politically salient. Political entrepreneurs, such as parties, leaders and interest groups, can use threats as they are perceived to build exclusion or inclusion narratives that affect the political </w:t>
      </w:r>
      <w:proofErr w:type="spellStart"/>
      <w:r w:rsidRPr="00715DF1">
        <w:rPr>
          <w:rFonts w:cs="Times New Roman"/>
          <w:szCs w:val="24"/>
        </w:rPr>
        <w:t>behavior</w:t>
      </w:r>
      <w:proofErr w:type="spellEnd"/>
      <w:r w:rsidRPr="00715DF1">
        <w:rPr>
          <w:rFonts w:cs="Times New Roman"/>
          <w:szCs w:val="24"/>
        </w:rPr>
        <w:t xml:space="preserve"> of migrants and their host communities.</w:t>
      </w:r>
    </w:p>
    <w:p w14:paraId="3974A656" w14:textId="77777777" w:rsidR="007C5A8E" w:rsidRPr="00715DF1" w:rsidRDefault="007C5A8E" w:rsidP="00715DF1">
      <w:pPr>
        <w:spacing w:after="0" w:line="360" w:lineRule="auto"/>
        <w:jc w:val="both"/>
        <w:rPr>
          <w:rFonts w:cs="Times New Roman"/>
          <w:szCs w:val="24"/>
        </w:rPr>
      </w:pPr>
      <w:r w:rsidRPr="00715DF1">
        <w:rPr>
          <w:rFonts w:cs="Times New Roman"/>
          <w:szCs w:val="24"/>
        </w:rPr>
        <w:t xml:space="preserve">Border regions are in a theoretically unique situation in terms of migration and voting. In contrast to interior constituencies where migration is usually influenced more by economic pull factors, border constituencies are typified by transborder ethnic communities, contentious national identities and state security necessities that give political salience to population movement in ways that transcend normal </w:t>
      </w:r>
      <w:proofErr w:type="spellStart"/>
      <w:r w:rsidRPr="00715DF1">
        <w:rPr>
          <w:rFonts w:cs="Times New Roman"/>
          <w:szCs w:val="24"/>
        </w:rPr>
        <w:t>labor</w:t>
      </w:r>
      <w:proofErr w:type="spellEnd"/>
      <w:r w:rsidRPr="00715DF1">
        <w:rPr>
          <w:rFonts w:cs="Times New Roman"/>
          <w:szCs w:val="24"/>
        </w:rPr>
        <w:t xml:space="preserve"> economics. Donnan and Wilson (1999) suggested that borderlands were locations of liminality where the sovereignty of the state is subject to constant renegotiation by everyday practices of the cross-border people. In South Asian terms, the post-1947 Partition based national borders on the </w:t>
      </w:r>
      <w:proofErr w:type="spellStart"/>
      <w:r w:rsidRPr="00715DF1">
        <w:rPr>
          <w:rFonts w:cs="Times New Roman"/>
          <w:szCs w:val="24"/>
        </w:rPr>
        <w:t>center</w:t>
      </w:r>
      <w:proofErr w:type="spellEnd"/>
      <w:r w:rsidRPr="00715DF1">
        <w:rPr>
          <w:rFonts w:cs="Times New Roman"/>
          <w:szCs w:val="24"/>
        </w:rPr>
        <w:t xml:space="preserve"> of ethnically homogenous communities, creating a network of cross-border kinships whose political </w:t>
      </w:r>
      <w:r w:rsidRPr="00715DF1">
        <w:rPr>
          <w:rFonts w:cs="Times New Roman"/>
          <w:szCs w:val="24"/>
        </w:rPr>
        <w:lastRenderedPageBreak/>
        <w:t xml:space="preserve">allegiances and voting </w:t>
      </w:r>
      <w:proofErr w:type="spellStart"/>
      <w:r w:rsidRPr="00715DF1">
        <w:rPr>
          <w:rFonts w:cs="Times New Roman"/>
          <w:szCs w:val="24"/>
        </w:rPr>
        <w:t>behaviors</w:t>
      </w:r>
      <w:proofErr w:type="spellEnd"/>
      <w:r w:rsidRPr="00715DF1">
        <w:rPr>
          <w:rFonts w:cs="Times New Roman"/>
          <w:szCs w:val="24"/>
        </w:rPr>
        <w:t xml:space="preserve"> cannot be whittled down to a simple dichotomy of citizen versus foreigner.</w:t>
      </w:r>
    </w:p>
    <w:p w14:paraId="4B1E0250" w14:textId="52FE34A9" w:rsidR="007C5A8E" w:rsidRPr="00715DF1" w:rsidRDefault="007C5A8E" w:rsidP="00715DF1">
      <w:pPr>
        <w:spacing w:after="0" w:line="360" w:lineRule="auto"/>
        <w:jc w:val="both"/>
        <w:rPr>
          <w:rFonts w:cs="Times New Roman"/>
          <w:szCs w:val="24"/>
        </w:rPr>
      </w:pPr>
      <w:r w:rsidRPr="00715DF1">
        <w:rPr>
          <w:rFonts w:cs="Times New Roman"/>
          <w:szCs w:val="24"/>
        </w:rPr>
        <w:t xml:space="preserve">Saikia (2020) and Hazarika (2000) have demonstrated how a common language and culture of Bengalis across both sides of the </w:t>
      </w:r>
      <w:r w:rsidR="004F1971" w:rsidRPr="00715DF1">
        <w:rPr>
          <w:rFonts w:cs="Times New Roman"/>
          <w:szCs w:val="24"/>
        </w:rPr>
        <w:t>India Bangladesh</w:t>
      </w:r>
      <w:r w:rsidRPr="00715DF1">
        <w:rPr>
          <w:rFonts w:cs="Times New Roman"/>
          <w:szCs w:val="24"/>
        </w:rPr>
        <w:t xml:space="preserve"> border creates a great degree of ambiguity in the construction of illegal migration as a political discourse in Assam and West Bengal a construction that is both a security discourse and an electoral strategy, as well as, a demographic discourse. This border is not, in this sense, just a geographical boundary but a technology of politics of producing and managing ethnic difference in electorally serviceable forms.</w:t>
      </w:r>
    </w:p>
    <w:p w14:paraId="594BA56E" w14:textId="77777777" w:rsidR="007C5A8E" w:rsidRPr="00715DF1" w:rsidRDefault="007C5A8E" w:rsidP="00715DF1">
      <w:pPr>
        <w:spacing w:after="0" w:line="360" w:lineRule="auto"/>
        <w:jc w:val="both"/>
        <w:rPr>
          <w:rFonts w:cs="Times New Roman"/>
          <w:szCs w:val="24"/>
        </w:rPr>
      </w:pPr>
      <w:r w:rsidRPr="00715DF1">
        <w:rPr>
          <w:rFonts w:cs="Times New Roman"/>
          <w:szCs w:val="24"/>
        </w:rPr>
        <w:t>The studies of voting behaviour underline the importance of identity, socio-economic interests, party competition, and institutional incentives in determining the electoral decisions (Chhibber and Kollman, 2004; Yadav, 1999). In border areas, identity salience and closeness to national security stories may augment identity-based voting salience, whereas local matters, welfare, and legal status play a role.</w:t>
      </w:r>
    </w:p>
    <w:p w14:paraId="46165C28" w14:textId="41F62C33" w:rsidR="007C5A8E" w:rsidRPr="00715DF1" w:rsidRDefault="007C5A8E" w:rsidP="00715DF1">
      <w:pPr>
        <w:spacing w:after="0" w:line="360" w:lineRule="auto"/>
        <w:jc w:val="both"/>
        <w:rPr>
          <w:rFonts w:cs="Times New Roman"/>
          <w:szCs w:val="24"/>
        </w:rPr>
      </w:pPr>
      <w:r w:rsidRPr="00715DF1">
        <w:rPr>
          <w:rFonts w:cs="Times New Roman"/>
          <w:szCs w:val="24"/>
        </w:rPr>
        <w:t xml:space="preserve">The process of political integration of migrants in the host-society electoral systems is a complicated and controversial one. Classical theory of assimilation (Gordon, 1964) presumed that migrants would tend to adopt host-community political identities between generations, yet this linear approach has faced a lot of criticism due to its failure to consider the presence of transnational relationships, discrimination, and structural exclusion. </w:t>
      </w:r>
      <w:proofErr w:type="spellStart"/>
      <w:r w:rsidRPr="00715DF1">
        <w:rPr>
          <w:rFonts w:cs="Times New Roman"/>
          <w:szCs w:val="24"/>
        </w:rPr>
        <w:t>Jaffrelot</w:t>
      </w:r>
      <w:proofErr w:type="spellEnd"/>
      <w:r w:rsidRPr="00715DF1">
        <w:rPr>
          <w:rFonts w:cs="Times New Roman"/>
          <w:szCs w:val="24"/>
        </w:rPr>
        <w:t xml:space="preserve"> and Verniers (2020) have observed in the Indian context that migrant communities are more likely to form their own distinct so-called voter blocs, which parties fight over, and which do not necessarily include migrants in mainstream politics. This brings about the </w:t>
      </w:r>
      <w:proofErr w:type="spellStart"/>
      <w:r w:rsidRPr="00715DF1">
        <w:rPr>
          <w:rFonts w:cs="Times New Roman"/>
          <w:szCs w:val="24"/>
        </w:rPr>
        <w:t>clientelistic</w:t>
      </w:r>
      <w:proofErr w:type="spellEnd"/>
      <w:r w:rsidRPr="00715DF1">
        <w:rPr>
          <w:rFonts w:cs="Times New Roman"/>
          <w:szCs w:val="24"/>
        </w:rPr>
        <w:t xml:space="preserve"> relationship where the parties demand the </w:t>
      </w:r>
      <w:r w:rsidR="004F1971" w:rsidRPr="00715DF1">
        <w:rPr>
          <w:rFonts w:cs="Times New Roman"/>
          <w:szCs w:val="24"/>
        </w:rPr>
        <w:t>migrant’s</w:t>
      </w:r>
      <w:r w:rsidRPr="00715DF1">
        <w:rPr>
          <w:rFonts w:cs="Times New Roman"/>
          <w:szCs w:val="24"/>
        </w:rPr>
        <w:t xml:space="preserve"> protection and symbolic recognition in the exchange of bloc votes and at the same </w:t>
      </w:r>
      <w:r w:rsidR="000B53BA" w:rsidRPr="00715DF1">
        <w:rPr>
          <w:rFonts w:cs="Times New Roman"/>
          <w:szCs w:val="24"/>
        </w:rPr>
        <w:t>time,</w:t>
      </w:r>
      <w:r w:rsidRPr="00715DF1">
        <w:rPr>
          <w:rFonts w:cs="Times New Roman"/>
          <w:szCs w:val="24"/>
        </w:rPr>
        <w:t xml:space="preserve"> they do not solve their structural marginalization.</w:t>
      </w:r>
    </w:p>
    <w:p w14:paraId="274E7F3A" w14:textId="424DFFCD" w:rsidR="002E2F98" w:rsidRPr="00715DF1" w:rsidRDefault="007C5A8E" w:rsidP="00715DF1">
      <w:pPr>
        <w:spacing w:after="0" w:line="360" w:lineRule="auto"/>
        <w:jc w:val="both"/>
        <w:rPr>
          <w:rFonts w:cs="Times New Roman"/>
          <w:szCs w:val="24"/>
        </w:rPr>
      </w:pPr>
      <w:r w:rsidRPr="00715DF1">
        <w:rPr>
          <w:rFonts w:cs="Times New Roman"/>
          <w:szCs w:val="24"/>
        </w:rPr>
        <w:t>Integrating these literatures, the paper takes the structure of migration as changing the demographic and social composition of border communities</w:t>
      </w:r>
      <w:r w:rsidR="004F1971">
        <w:rPr>
          <w:rFonts w:cs="Times New Roman"/>
          <w:szCs w:val="24"/>
        </w:rPr>
        <w:t>.</w:t>
      </w:r>
      <w:r w:rsidRPr="00715DF1">
        <w:rPr>
          <w:rFonts w:cs="Times New Roman"/>
          <w:szCs w:val="24"/>
        </w:rPr>
        <w:t xml:space="preserve"> </w:t>
      </w:r>
      <w:r w:rsidR="004F1971">
        <w:rPr>
          <w:rFonts w:cs="Times New Roman"/>
          <w:szCs w:val="24"/>
        </w:rPr>
        <w:t>Political</w:t>
      </w:r>
      <w:r w:rsidRPr="00715DF1">
        <w:rPr>
          <w:rFonts w:cs="Times New Roman"/>
          <w:szCs w:val="24"/>
        </w:rPr>
        <w:t xml:space="preserve"> actors subsequently interpret and organise these changes by narrating identities and using policy tools; voters in turn react to a perception of threat, group interests, or material incentives. These dynamics are mediated by institutional factors, such as citizenship regulations and voting regulations.</w:t>
      </w:r>
    </w:p>
    <w:p w14:paraId="0973A8D1"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Methodology</w:t>
      </w:r>
    </w:p>
    <w:p w14:paraId="48135B5D" w14:textId="07502ABC" w:rsidR="002E2F98" w:rsidRPr="00715DF1" w:rsidRDefault="007C5A8E" w:rsidP="00715DF1">
      <w:pPr>
        <w:spacing w:after="0" w:line="360" w:lineRule="auto"/>
        <w:jc w:val="both"/>
        <w:rPr>
          <w:rFonts w:cs="Times New Roman"/>
          <w:szCs w:val="24"/>
        </w:rPr>
      </w:pPr>
      <w:r w:rsidRPr="00715DF1">
        <w:rPr>
          <w:rFonts w:cs="Times New Roman"/>
          <w:szCs w:val="24"/>
        </w:rPr>
        <w:t xml:space="preserve">The paper is a conceptual and synthetic research paper, which is based on the secondary data, such as census data, scholarly literature, governmental reports, and documented case studies. Considering the extensive territorial nature and the dynamic nature of ongoing processes, the paper selectively uses case evidence to demonstrate mechanisms instead of providing new primary field data. The cases are selected </w:t>
      </w:r>
      <w:r w:rsidR="004F1971">
        <w:rPr>
          <w:rFonts w:cs="Times New Roman"/>
          <w:szCs w:val="24"/>
        </w:rPr>
        <w:t>based on</w:t>
      </w:r>
      <w:r w:rsidRPr="00715DF1">
        <w:rPr>
          <w:rFonts w:cs="Times New Roman"/>
          <w:szCs w:val="24"/>
        </w:rPr>
        <w:t xml:space="preserve"> their representativeness of various dynamics </w:t>
      </w:r>
      <w:r w:rsidRPr="00715DF1">
        <w:rPr>
          <w:rFonts w:cs="Times New Roman"/>
          <w:szCs w:val="24"/>
        </w:rPr>
        <w:lastRenderedPageBreak/>
        <w:t xml:space="preserve">of border regions: Assam and </w:t>
      </w:r>
      <w:r w:rsidR="004F1971">
        <w:rPr>
          <w:rFonts w:cs="Times New Roman"/>
          <w:szCs w:val="24"/>
        </w:rPr>
        <w:t xml:space="preserve">the </w:t>
      </w:r>
      <w:r w:rsidRPr="00715DF1">
        <w:rPr>
          <w:rFonts w:cs="Times New Roman"/>
          <w:szCs w:val="24"/>
        </w:rPr>
        <w:t>National Register of Citizens (NRC); West Bengal and cross-border migration with Bangladesh; Punjab and migration in and after Partition; and Jammu and Kashmir with its long-term conflict and population shift.</w:t>
      </w:r>
    </w:p>
    <w:p w14:paraId="29A4D3D5"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Border Regions and Migration Patterns in India</w:t>
      </w:r>
    </w:p>
    <w:p w14:paraId="1B2B5F70" w14:textId="4EFEE45B" w:rsidR="007C5A8E" w:rsidRPr="00715DF1" w:rsidRDefault="007C5A8E" w:rsidP="00715DF1">
      <w:pPr>
        <w:spacing w:after="0" w:line="360" w:lineRule="auto"/>
        <w:jc w:val="both"/>
        <w:rPr>
          <w:rFonts w:cs="Times New Roman"/>
          <w:szCs w:val="24"/>
        </w:rPr>
      </w:pPr>
      <w:r w:rsidRPr="00715DF1">
        <w:rPr>
          <w:rFonts w:cs="Times New Roman"/>
          <w:szCs w:val="24"/>
        </w:rPr>
        <w:t xml:space="preserve">The border areas of India are mixed. The Northeast is a region that has </w:t>
      </w:r>
      <w:r w:rsidR="004F1971">
        <w:rPr>
          <w:rFonts w:cs="Times New Roman"/>
          <w:szCs w:val="24"/>
        </w:rPr>
        <w:t>many</w:t>
      </w:r>
      <w:r w:rsidRPr="00715DF1">
        <w:rPr>
          <w:rFonts w:cs="Times New Roman"/>
          <w:szCs w:val="24"/>
        </w:rPr>
        <w:t xml:space="preserve"> states such as Assam, Manipur and Tripura that have various histories of migration, conflict and identity politics. West Bengal has a long border with Bangladesh and has witnessed several waves of cross-border migration since Partition. The border between Punjab and Pakistan determined the huge population transfers during Partition and the ties of the Punjab diaspora have always been a significant factor in local politics. The borders of Jammu and Kashmir and its controversial position have resulted in distinctive demographic conflict and immigration patterns.</w:t>
      </w:r>
    </w:p>
    <w:p w14:paraId="69F91B8F" w14:textId="1C0A8469" w:rsidR="007C5A8E" w:rsidRPr="00715DF1" w:rsidRDefault="007C5A8E" w:rsidP="00715DF1">
      <w:pPr>
        <w:spacing w:after="0" w:line="360" w:lineRule="auto"/>
        <w:jc w:val="both"/>
        <w:rPr>
          <w:rFonts w:cs="Times New Roman"/>
          <w:szCs w:val="24"/>
        </w:rPr>
      </w:pPr>
      <w:r w:rsidRPr="00715DF1">
        <w:rPr>
          <w:rFonts w:cs="Times New Roman"/>
          <w:szCs w:val="24"/>
        </w:rPr>
        <w:t xml:space="preserve">The Census of India (2011) was the last significant source of migration information available </w:t>
      </w:r>
      <w:r w:rsidR="000B53BA">
        <w:rPr>
          <w:rFonts w:cs="Times New Roman"/>
          <w:szCs w:val="24"/>
        </w:rPr>
        <w:t xml:space="preserve">for </w:t>
      </w:r>
      <w:r w:rsidRPr="00715DF1">
        <w:rPr>
          <w:rFonts w:cs="Times New Roman"/>
          <w:szCs w:val="24"/>
        </w:rPr>
        <w:t>around 450 million people in India and internal migrants comprised almost 37 percent of the total population at the time (Office of the Registrar General &amp; Census Commissioner of India, 2011). Recent estimates indicate that this figure has significantly increased, possibly reaching 600 million by the early 2020s (IOM, 2024).</w:t>
      </w:r>
    </w:p>
    <w:p w14:paraId="14A32EEB" w14:textId="7F0EC308" w:rsidR="007C5A8E" w:rsidRPr="00715DF1" w:rsidRDefault="007C5A8E" w:rsidP="00715DF1">
      <w:pPr>
        <w:spacing w:after="0" w:line="360" w:lineRule="auto"/>
        <w:jc w:val="both"/>
        <w:rPr>
          <w:rFonts w:cs="Times New Roman"/>
          <w:szCs w:val="24"/>
        </w:rPr>
      </w:pPr>
      <w:r w:rsidRPr="00715DF1">
        <w:rPr>
          <w:rFonts w:cs="Times New Roman"/>
          <w:szCs w:val="24"/>
        </w:rPr>
        <w:t xml:space="preserve">Migration patterns </w:t>
      </w:r>
      <w:r w:rsidR="000B53BA">
        <w:rPr>
          <w:rFonts w:cs="Times New Roman"/>
          <w:szCs w:val="24"/>
        </w:rPr>
        <w:t>include economic migration (seasonal and long-term), forced migration (displacement in the context</w:t>
      </w:r>
      <w:r w:rsidRPr="00715DF1">
        <w:rPr>
          <w:rFonts w:cs="Times New Roman"/>
          <w:szCs w:val="24"/>
        </w:rPr>
        <w:t xml:space="preserve"> of communal conflict or insurgency), and long-term cross-border settlement. The rural hinterlands are linked to urban and peri-urban centres </w:t>
      </w:r>
      <w:r w:rsidR="000B53BA">
        <w:rPr>
          <w:rFonts w:cs="Times New Roman"/>
          <w:szCs w:val="24"/>
        </w:rPr>
        <w:t xml:space="preserve">through seasonal labour migration, whereas cross-border migration can be driven by economic factors or by </w:t>
      </w:r>
      <w:r w:rsidRPr="00715DF1">
        <w:rPr>
          <w:rFonts w:cs="Times New Roman"/>
          <w:szCs w:val="24"/>
        </w:rPr>
        <w:t>persecution and conflict (</w:t>
      </w:r>
      <w:proofErr w:type="spellStart"/>
      <w:r w:rsidRPr="00715DF1">
        <w:rPr>
          <w:rFonts w:cs="Times New Roman"/>
          <w:szCs w:val="24"/>
        </w:rPr>
        <w:t>Deshingkar</w:t>
      </w:r>
      <w:proofErr w:type="spellEnd"/>
      <w:r w:rsidRPr="00715DF1">
        <w:rPr>
          <w:rFonts w:cs="Times New Roman"/>
          <w:szCs w:val="24"/>
        </w:rPr>
        <w:t xml:space="preserve"> and Start, 2003; Castles et al., 2014). These flows intersect with the already existing ethnic, linguistic, or religious </w:t>
      </w:r>
      <w:r w:rsidR="004F1971">
        <w:rPr>
          <w:rFonts w:cs="Times New Roman"/>
          <w:szCs w:val="24"/>
        </w:rPr>
        <w:t xml:space="preserve">cleavages </w:t>
      </w:r>
      <w:r w:rsidRPr="00715DF1">
        <w:rPr>
          <w:rFonts w:cs="Times New Roman"/>
          <w:szCs w:val="24"/>
        </w:rPr>
        <w:t xml:space="preserve">that provide fertile grounds over which politicisation can occur in border areas. </w:t>
      </w:r>
    </w:p>
    <w:p w14:paraId="33640AF2" w14:textId="534BAB69" w:rsidR="00C92B4A" w:rsidRPr="00715DF1" w:rsidRDefault="007C5A8E" w:rsidP="00715DF1">
      <w:pPr>
        <w:spacing w:after="0" w:line="360" w:lineRule="auto"/>
        <w:jc w:val="both"/>
        <w:rPr>
          <w:rFonts w:cs="Times New Roman"/>
          <w:szCs w:val="24"/>
        </w:rPr>
      </w:pPr>
      <w:r w:rsidRPr="00715DF1">
        <w:rPr>
          <w:rFonts w:cs="Times New Roman"/>
          <w:szCs w:val="24"/>
        </w:rPr>
        <w:t xml:space="preserve">Floods, droughts, depletion of groundwater, and pollution are becoming more powerful push factors that drive people to think about relocation (National </w:t>
      </w:r>
      <w:proofErr w:type="spellStart"/>
      <w:r w:rsidRPr="00715DF1">
        <w:rPr>
          <w:rFonts w:cs="Times New Roman"/>
          <w:szCs w:val="24"/>
        </w:rPr>
        <w:t>Center</w:t>
      </w:r>
      <w:proofErr w:type="spellEnd"/>
      <w:r w:rsidRPr="00715DF1">
        <w:rPr>
          <w:rFonts w:cs="Times New Roman"/>
          <w:szCs w:val="24"/>
        </w:rPr>
        <w:t xml:space="preserve"> for Biotechnology Information, 2025). A different notion of migration in India has been brought to light in one of the surprising studies, it is a research published in Sage Journals (2022) examining interstate migration during COVID-19 confirmed the size of the reverse flow, with migrant-sending states, such as Bihar and UP receiving massive returns and receiving states, such as Maharashtra and Delhi experiencing dramatic population outflows (Sage Journals, The crisis has since been identified as a watershed moment in migration governance, which has led to its demands of inclusionary frameworks and social protection policies regarding migrant workers (Naik, 2024).</w:t>
      </w:r>
    </w:p>
    <w:p w14:paraId="34C59538" w14:textId="77777777" w:rsidR="004F1971" w:rsidRDefault="004F1971" w:rsidP="00715DF1">
      <w:pPr>
        <w:spacing w:after="0" w:line="360" w:lineRule="auto"/>
        <w:jc w:val="both"/>
        <w:rPr>
          <w:rFonts w:cs="Times New Roman"/>
          <w:b/>
          <w:bCs/>
          <w:szCs w:val="24"/>
        </w:rPr>
      </w:pPr>
    </w:p>
    <w:p w14:paraId="4DE48DFD" w14:textId="4E9B3ED0" w:rsidR="002E2F98" w:rsidRPr="00715DF1" w:rsidRDefault="002E2F98" w:rsidP="00715DF1">
      <w:pPr>
        <w:spacing w:after="0" w:line="360" w:lineRule="auto"/>
        <w:jc w:val="both"/>
        <w:rPr>
          <w:rFonts w:cs="Times New Roman"/>
          <w:b/>
          <w:bCs/>
          <w:szCs w:val="24"/>
        </w:rPr>
      </w:pPr>
      <w:r w:rsidRPr="00715DF1">
        <w:rPr>
          <w:rFonts w:cs="Times New Roman"/>
          <w:b/>
          <w:bCs/>
          <w:szCs w:val="24"/>
        </w:rPr>
        <w:t>Case Studies: Assam and the NRC</w:t>
      </w:r>
    </w:p>
    <w:p w14:paraId="5EDEA761" w14:textId="745D0B3B" w:rsidR="007C5A8E" w:rsidRPr="00715DF1" w:rsidRDefault="007C5A8E" w:rsidP="00715DF1">
      <w:pPr>
        <w:spacing w:after="0" w:line="360" w:lineRule="auto"/>
        <w:jc w:val="both"/>
        <w:rPr>
          <w:rFonts w:cs="Times New Roman"/>
          <w:szCs w:val="24"/>
        </w:rPr>
      </w:pPr>
      <w:r w:rsidRPr="00715DF1">
        <w:rPr>
          <w:rFonts w:cs="Times New Roman"/>
          <w:szCs w:val="24"/>
        </w:rPr>
        <w:t xml:space="preserve">Assam is the most widely examined instance of an electoral politics of migration in India. Assam Agitation (19791985) was a mass movement, organized around the demand to identify and deport illegal immigrants in Bangladesh, </w:t>
      </w:r>
      <w:r w:rsidR="004F1971">
        <w:rPr>
          <w:rFonts w:cs="Times New Roman"/>
          <w:szCs w:val="24"/>
        </w:rPr>
        <w:t>whose</w:t>
      </w:r>
      <w:r w:rsidRPr="00715DF1">
        <w:rPr>
          <w:rFonts w:cs="Times New Roman"/>
          <w:szCs w:val="24"/>
        </w:rPr>
        <w:t xml:space="preserve"> presence was seen as a threat to the cultural and political rights of the indigenous Assamese. It was spearheaded by the All-Assam Students’ Union (AASU) and the All-Assam Gana Sangram Parishad (AAGSP). This unrest reached its peak with the Assam Accord that was signed in 1985 by the Rajiv Gandhi government and made March 25, 1971</w:t>
      </w:r>
      <w:r w:rsidR="000B53BA">
        <w:rPr>
          <w:rFonts w:cs="Times New Roman"/>
          <w:szCs w:val="24"/>
        </w:rPr>
        <w:t>,</w:t>
      </w:r>
      <w:r w:rsidRPr="00715DF1">
        <w:rPr>
          <w:rFonts w:cs="Times New Roman"/>
          <w:szCs w:val="24"/>
        </w:rPr>
        <w:t xml:space="preserve"> the cutoff point by which only illegal immigrants needed to be identified. Any who had entered </w:t>
      </w:r>
      <w:r w:rsidR="004F1971">
        <w:rPr>
          <w:rFonts w:cs="Times New Roman"/>
          <w:szCs w:val="24"/>
        </w:rPr>
        <w:t>before</w:t>
      </w:r>
      <w:r w:rsidRPr="00715DF1">
        <w:rPr>
          <w:rFonts w:cs="Times New Roman"/>
          <w:szCs w:val="24"/>
        </w:rPr>
        <w:t xml:space="preserve"> this date would be regularized; any who had entered </w:t>
      </w:r>
      <w:r w:rsidR="004F1971">
        <w:rPr>
          <w:rFonts w:cs="Times New Roman"/>
          <w:szCs w:val="24"/>
        </w:rPr>
        <w:t>after</w:t>
      </w:r>
      <w:r w:rsidRPr="00715DF1">
        <w:rPr>
          <w:rFonts w:cs="Times New Roman"/>
          <w:szCs w:val="24"/>
        </w:rPr>
        <w:t xml:space="preserve"> would be detected and deported (</w:t>
      </w:r>
      <w:proofErr w:type="spellStart"/>
      <w:r w:rsidRPr="00715DF1">
        <w:rPr>
          <w:rFonts w:cs="Times New Roman"/>
          <w:szCs w:val="24"/>
        </w:rPr>
        <w:t>Kharbithai</w:t>
      </w:r>
      <w:proofErr w:type="spellEnd"/>
      <w:r w:rsidRPr="00715DF1">
        <w:rPr>
          <w:rFonts w:cs="Times New Roman"/>
          <w:szCs w:val="24"/>
        </w:rPr>
        <w:t xml:space="preserve"> &amp; Mishra, 2025)</w:t>
      </w:r>
    </w:p>
    <w:p w14:paraId="1EC8181F" w14:textId="79DFE10C" w:rsidR="007C5A8E" w:rsidRPr="00715DF1" w:rsidRDefault="007C5A8E" w:rsidP="00715DF1">
      <w:pPr>
        <w:spacing w:after="0" w:line="360" w:lineRule="auto"/>
        <w:jc w:val="both"/>
        <w:rPr>
          <w:rFonts w:cs="Times New Roman"/>
          <w:szCs w:val="24"/>
        </w:rPr>
      </w:pPr>
      <w:r w:rsidRPr="00715DF1">
        <w:rPr>
          <w:rFonts w:cs="Times New Roman"/>
          <w:szCs w:val="24"/>
        </w:rPr>
        <w:t xml:space="preserve">Assam gives an exemplary scenario of the intersection of migration, identity, and electoral politics. The history of the state is marked by </w:t>
      </w:r>
      <w:r w:rsidR="004F1971">
        <w:rPr>
          <w:rFonts w:cs="Times New Roman"/>
          <w:szCs w:val="24"/>
        </w:rPr>
        <w:t xml:space="preserve">the </w:t>
      </w:r>
      <w:r w:rsidRPr="00715DF1">
        <w:rPr>
          <w:rFonts w:cs="Times New Roman"/>
          <w:szCs w:val="24"/>
        </w:rPr>
        <w:t xml:space="preserve">massive migration of people who now </w:t>
      </w:r>
      <w:r w:rsidR="004F1971">
        <w:rPr>
          <w:rFonts w:cs="Times New Roman"/>
          <w:szCs w:val="24"/>
        </w:rPr>
        <w:t xml:space="preserve">live in </w:t>
      </w:r>
      <w:r w:rsidRPr="00715DF1">
        <w:rPr>
          <w:rFonts w:cs="Times New Roman"/>
          <w:szCs w:val="24"/>
        </w:rPr>
        <w:t>Bangladesh, which led to a struggle over the land, resources, and cultural identity (Baruah, 1999). The politics in Assam, with the Assam Movement of the late 1970s and early 1980s in particular, were based on the demand to locate and deport illegal migrants. Most recently, the National Register of Citizens (NRC) procedure and the discussion of the Citizenship Amendment Act (CAA) have fuelled the concern that citizenship can generate, leading to acute political mobilisation (Government of India, 2019).</w:t>
      </w:r>
    </w:p>
    <w:p w14:paraId="4286B29A" w14:textId="5BE01821" w:rsidR="002E2F98" w:rsidRPr="00715DF1" w:rsidRDefault="007C5A8E" w:rsidP="00715DF1">
      <w:pPr>
        <w:spacing w:after="0" w:line="360" w:lineRule="auto"/>
        <w:jc w:val="both"/>
        <w:rPr>
          <w:rFonts w:cs="Times New Roman"/>
          <w:szCs w:val="24"/>
        </w:rPr>
      </w:pPr>
      <w:r w:rsidRPr="00715DF1">
        <w:rPr>
          <w:rFonts w:cs="Times New Roman"/>
          <w:szCs w:val="24"/>
        </w:rPr>
        <w:t xml:space="preserve">The NRC exercise in Assam was conducted </w:t>
      </w:r>
      <w:r w:rsidR="000B53BA">
        <w:rPr>
          <w:rFonts w:cs="Times New Roman"/>
          <w:szCs w:val="24"/>
        </w:rPr>
        <w:t>to establish</w:t>
      </w:r>
      <w:r w:rsidRPr="00715DF1">
        <w:rPr>
          <w:rFonts w:cs="Times New Roman"/>
          <w:szCs w:val="24"/>
        </w:rPr>
        <w:t xml:space="preserve"> who </w:t>
      </w:r>
      <w:r w:rsidR="004F1971">
        <w:rPr>
          <w:rFonts w:cs="Times New Roman"/>
          <w:szCs w:val="24"/>
        </w:rPr>
        <w:t>the legal Indian citizens are</w:t>
      </w:r>
      <w:r w:rsidR="000B53BA">
        <w:rPr>
          <w:rFonts w:cs="Times New Roman"/>
          <w:szCs w:val="24"/>
        </w:rPr>
        <w:t>;</w:t>
      </w:r>
      <w:r w:rsidRPr="00715DF1">
        <w:rPr>
          <w:rFonts w:cs="Times New Roman"/>
          <w:szCs w:val="24"/>
        </w:rPr>
        <w:t xml:space="preserve"> however, the process was quite controversial, as it was feared that it would leave many people out, there </w:t>
      </w:r>
      <w:r w:rsidR="004F1971">
        <w:rPr>
          <w:rFonts w:cs="Times New Roman"/>
          <w:szCs w:val="24"/>
        </w:rPr>
        <w:t>would</w:t>
      </w:r>
      <w:r w:rsidRPr="00715DF1">
        <w:rPr>
          <w:rFonts w:cs="Times New Roman"/>
          <w:szCs w:val="24"/>
        </w:rPr>
        <w:t xml:space="preserve"> be difficulties in documenting the residents and it also faced political interference. The migration issue was exploited by political parties differently: some regional parties positioned the problem as vital to defend indigenous rights whereas the national parties adopted more general discourses of national security and cultural integrity. Assam voters tend to react to migration as an existential concern </w:t>
      </w:r>
      <w:r w:rsidR="004F1971">
        <w:rPr>
          <w:rFonts w:cs="Times New Roman"/>
          <w:szCs w:val="24"/>
        </w:rPr>
        <w:t>that</w:t>
      </w:r>
      <w:r w:rsidRPr="00715DF1">
        <w:rPr>
          <w:rFonts w:cs="Times New Roman"/>
          <w:szCs w:val="24"/>
        </w:rPr>
        <w:t xml:space="preserve"> impacts identity and livelihood, and vote accordingly on an electoral basis that </w:t>
      </w:r>
      <w:proofErr w:type="spellStart"/>
      <w:r w:rsidRPr="00715DF1">
        <w:rPr>
          <w:rFonts w:cs="Times New Roman"/>
          <w:szCs w:val="24"/>
        </w:rPr>
        <w:t>favors</w:t>
      </w:r>
      <w:proofErr w:type="spellEnd"/>
      <w:r w:rsidRPr="00715DF1">
        <w:rPr>
          <w:rFonts w:cs="Times New Roman"/>
          <w:szCs w:val="24"/>
        </w:rPr>
        <w:t xml:space="preserve"> a party that pledges effective action on illegal migration (Baruah, 1999; Hazarika, 1994).</w:t>
      </w:r>
    </w:p>
    <w:p w14:paraId="4974B5F7" w14:textId="4001B4DD" w:rsidR="002E2F98" w:rsidRPr="00715DF1" w:rsidRDefault="002E2F98" w:rsidP="00715DF1">
      <w:pPr>
        <w:spacing w:after="0" w:line="360" w:lineRule="auto"/>
        <w:jc w:val="both"/>
        <w:rPr>
          <w:rFonts w:cs="Times New Roman"/>
          <w:b/>
          <w:bCs/>
          <w:szCs w:val="24"/>
        </w:rPr>
      </w:pPr>
      <w:r w:rsidRPr="00715DF1">
        <w:rPr>
          <w:rFonts w:cs="Times New Roman"/>
          <w:b/>
          <w:bCs/>
          <w:szCs w:val="24"/>
        </w:rPr>
        <w:t>West Bengal and Cross-Border Migration</w:t>
      </w:r>
    </w:p>
    <w:p w14:paraId="1D7C07C3" w14:textId="2AD8B52E" w:rsidR="007C5A8E" w:rsidRPr="00715DF1" w:rsidRDefault="007C5A8E" w:rsidP="00715DF1">
      <w:pPr>
        <w:spacing w:after="0" w:line="360" w:lineRule="auto"/>
        <w:jc w:val="both"/>
        <w:rPr>
          <w:rFonts w:cs="Times New Roman"/>
          <w:szCs w:val="24"/>
        </w:rPr>
      </w:pPr>
      <w:r w:rsidRPr="00715DF1">
        <w:rPr>
          <w:rFonts w:cs="Times New Roman"/>
          <w:szCs w:val="24"/>
        </w:rPr>
        <w:t xml:space="preserve">The border between West Bengal and Bangladesh has been a significant source of migration since 1947. Economic opportunity, family relationships, and incidences of communal violence in Bangladesh have facilitated cross-border migration. A mixture of local caste-class politics and state-level party politics has influenced political responses in West Bengal. Traditionally, left parties served the migrant communities with the help of class-based appeals, whereas the </w:t>
      </w:r>
      <w:r w:rsidRPr="00715DF1">
        <w:rPr>
          <w:rFonts w:cs="Times New Roman"/>
          <w:szCs w:val="24"/>
        </w:rPr>
        <w:lastRenderedPageBreak/>
        <w:t>newer changes have led to the appearance of identity-based narratives in the context of competitive politics (Rahman, 2024).</w:t>
      </w:r>
    </w:p>
    <w:p w14:paraId="3A428EEB" w14:textId="7AD7693F" w:rsidR="007C5A8E" w:rsidRPr="00715DF1" w:rsidRDefault="007C5A8E" w:rsidP="00715DF1">
      <w:pPr>
        <w:spacing w:after="0" w:line="360" w:lineRule="auto"/>
        <w:jc w:val="both"/>
        <w:rPr>
          <w:rFonts w:cs="Times New Roman"/>
          <w:szCs w:val="24"/>
        </w:rPr>
      </w:pPr>
      <w:r w:rsidRPr="00715DF1">
        <w:rPr>
          <w:rFonts w:cs="Times New Roman"/>
          <w:szCs w:val="24"/>
        </w:rPr>
        <w:t xml:space="preserve">Electoral impacts are ambivalent. Candidates mobilise on religious and community </w:t>
      </w:r>
      <w:r w:rsidR="004F1971">
        <w:rPr>
          <w:rFonts w:cs="Times New Roman"/>
          <w:szCs w:val="24"/>
        </w:rPr>
        <w:t>bases</w:t>
      </w:r>
      <w:r w:rsidRPr="00715DF1">
        <w:rPr>
          <w:rFonts w:cs="Times New Roman"/>
          <w:szCs w:val="24"/>
        </w:rPr>
        <w:t xml:space="preserve"> in certain districts that have large numbers of migrants and economic issues and clientelist networks are the determinants of voting in other districts. It is important that the heterogeneity of migrant experiences can lead to different outcomes: established settlers who establish local networks are more likely to be integrated politically, but newer or undocumented migrants will probably remain marginalised and politically vulnerable.</w:t>
      </w:r>
    </w:p>
    <w:p w14:paraId="0AD4FF43" w14:textId="6CDFCCC0" w:rsidR="00C92B4A" w:rsidRPr="00715DF1" w:rsidRDefault="007C5A8E" w:rsidP="00715DF1">
      <w:pPr>
        <w:spacing w:after="0" w:line="360" w:lineRule="auto"/>
        <w:jc w:val="both"/>
        <w:rPr>
          <w:rFonts w:cs="Times New Roman"/>
          <w:szCs w:val="24"/>
        </w:rPr>
      </w:pPr>
      <w:r w:rsidRPr="00715DF1">
        <w:rPr>
          <w:rFonts w:cs="Times New Roman"/>
          <w:szCs w:val="24"/>
        </w:rPr>
        <w:t xml:space="preserve">The history of electoral politics in West Bengal has been dominated by the Left Front mobilization around a class-based mobilization that specifically aimed at going beyond caste and religious identities by forming multi-ethnic worker-peasant alliances. This plan proved to be highly effective as it gave the Left Front thirty-four years of uninterrupted electoral supremacy (19772011). The Left Front </w:t>
      </w:r>
      <w:r w:rsidR="000B53BA">
        <w:rPr>
          <w:rFonts w:cs="Times New Roman"/>
          <w:szCs w:val="24"/>
        </w:rPr>
        <w:t>breakdown</w:t>
      </w:r>
      <w:r w:rsidRPr="00715DF1">
        <w:rPr>
          <w:rFonts w:cs="Times New Roman"/>
          <w:szCs w:val="24"/>
        </w:rPr>
        <w:t xml:space="preserve"> after 2011 however revealed to what extent the cross-caste, cross-religion coalition of Left Front had been united by patronage networks and not ideological convergence. The Trinamool Congress (TMC) led by Mamata Banerjee was able to displace the coalition of the Left through the incorporation of a sense of sub-nationalism of Bengali identity coupled with strong mobilization of Muslim voters and those of </w:t>
      </w:r>
      <w:r w:rsidR="000B53BA">
        <w:rPr>
          <w:rFonts w:cs="Times New Roman"/>
          <w:szCs w:val="24"/>
        </w:rPr>
        <w:t xml:space="preserve">the </w:t>
      </w:r>
      <w:r w:rsidRPr="00715DF1">
        <w:rPr>
          <w:rFonts w:cs="Times New Roman"/>
          <w:szCs w:val="24"/>
        </w:rPr>
        <w:t>scheduled caste communities (Banerjee and Ranjan, 2024).</w:t>
      </w:r>
    </w:p>
    <w:p w14:paraId="048E44D4"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Jammu &amp; Kashmir</w:t>
      </w:r>
    </w:p>
    <w:p w14:paraId="5933B504" w14:textId="60BECB79" w:rsidR="007C5A8E" w:rsidRPr="00715DF1" w:rsidRDefault="007C5A8E" w:rsidP="00715DF1">
      <w:pPr>
        <w:spacing w:after="0" w:line="360" w:lineRule="auto"/>
        <w:jc w:val="both"/>
        <w:rPr>
          <w:rFonts w:cs="Times New Roman"/>
          <w:szCs w:val="24"/>
        </w:rPr>
      </w:pPr>
      <w:r w:rsidRPr="00715DF1">
        <w:rPr>
          <w:rFonts w:cs="Times New Roman"/>
          <w:szCs w:val="24"/>
        </w:rPr>
        <w:t>The fact that J&amp;K has a disputed status dates back to the events that led to the partition of British India in 1947. The princely state of Jammu and Kashmir with a majority of Muslims ruled by the Hindu Maharaja Hari Singh</w:t>
      </w:r>
      <w:r w:rsidR="004F1971">
        <w:rPr>
          <w:rFonts w:cs="Times New Roman"/>
          <w:szCs w:val="24"/>
        </w:rPr>
        <w:t>,</w:t>
      </w:r>
      <w:r w:rsidRPr="00715DF1">
        <w:rPr>
          <w:rFonts w:cs="Times New Roman"/>
          <w:szCs w:val="24"/>
        </w:rPr>
        <w:t xml:space="preserve"> was the centre stage of the first war between India and Pakistan when tribal militias with the support of Pakistan invaded the territory. The Instrument of Accession to India was signed by Maharaja Hari Singh in October 1947, which was immediately disputed by Pakistan as illegitimate, and which has been the genesis of a dispute that has never been resolved formally (Akhtar, 2023).</w:t>
      </w:r>
    </w:p>
    <w:p w14:paraId="2FB4521D" w14:textId="77777777" w:rsidR="007C5A8E" w:rsidRPr="00715DF1" w:rsidRDefault="007C5A8E" w:rsidP="00715DF1">
      <w:pPr>
        <w:spacing w:after="0" w:line="360" w:lineRule="auto"/>
        <w:jc w:val="both"/>
        <w:rPr>
          <w:rFonts w:cs="Times New Roman"/>
          <w:szCs w:val="24"/>
        </w:rPr>
      </w:pPr>
      <w:r w:rsidRPr="00715DF1">
        <w:rPr>
          <w:rFonts w:cs="Times New Roman"/>
          <w:szCs w:val="24"/>
        </w:rPr>
        <w:t xml:space="preserve">The United Nations got into the scene. In resolutions passed since 1948, the United Nations Security Council (UNSC) demanded a free and fair plebiscite to decide on the will of the Kashmiri people, which was never conducted (United Nations, 2019). The Line of Control (LoC), which came into being as a result of the 1972 Simla Agreement, was effectively used to partition J&amp;K between the Indian government and the Pakistani-controlled territories (Azad Kashmir and Gilgit-Baltistan), but neither party has ever recognized it as an international border. This sovereignty as an ambiguity has been permanent, and it has furnished, against this </w:t>
      </w:r>
      <w:r w:rsidRPr="00715DF1">
        <w:rPr>
          <w:rFonts w:cs="Times New Roman"/>
          <w:szCs w:val="24"/>
        </w:rPr>
        <w:lastRenderedPageBreak/>
        <w:t>ground, the political background on which all internal disputes, migrations, and demographic controversies must be interpreted.</w:t>
      </w:r>
    </w:p>
    <w:p w14:paraId="33BEFF73" w14:textId="77777777" w:rsidR="007C5A8E" w:rsidRPr="00715DF1" w:rsidRDefault="007C5A8E" w:rsidP="00715DF1">
      <w:pPr>
        <w:spacing w:after="0" w:line="360" w:lineRule="auto"/>
        <w:jc w:val="both"/>
        <w:rPr>
          <w:rFonts w:cs="Times New Roman"/>
          <w:szCs w:val="24"/>
        </w:rPr>
      </w:pPr>
      <w:r w:rsidRPr="00715DF1">
        <w:rPr>
          <w:rFonts w:cs="Times New Roman"/>
          <w:szCs w:val="24"/>
        </w:rPr>
        <w:t>The Indian response to this complexity was the enactment of Article 370 into the Indian Constitution that gave the state of J&amp;K special autonomous status, and Article 35A that gave the legislature of J&amp;K the power to determine who should be considered permanent residents and guard against the loss of land and demographic change of outsiders (Harvard Law Review, 2020). The following provisions became the points of controversy: to their supporters, they safeguarded a weak cultural and political identity; to their opponents, they were the barriers to national integration and economic growth.</w:t>
      </w:r>
    </w:p>
    <w:p w14:paraId="415A9B3F" w14:textId="77777777" w:rsidR="007C5A8E" w:rsidRPr="00715DF1" w:rsidRDefault="007C5A8E" w:rsidP="00715DF1">
      <w:pPr>
        <w:spacing w:after="0" w:line="360" w:lineRule="auto"/>
        <w:jc w:val="both"/>
        <w:rPr>
          <w:rFonts w:cs="Times New Roman"/>
          <w:szCs w:val="24"/>
        </w:rPr>
      </w:pPr>
      <w:r w:rsidRPr="00715DF1">
        <w:rPr>
          <w:rFonts w:cs="Times New Roman"/>
          <w:szCs w:val="24"/>
        </w:rPr>
        <w:t>Jammu &amp; Kashmir is a unique constellation with political life being influenced by conflict, disputed sovereignty, and disputed demographics. This migration has entailed displacement as a result of insurgency, inter-regional migration, and controversies of settlement and entitlement of different communities. The problems of identity are closely connected with the problems of autonomy, statehood and the policies of the central government. Security issues, party standpoints on autonomy and demographic-engineering or neglect affect Jammu &amp; Kashmir electoral behaviour.</w:t>
      </w:r>
    </w:p>
    <w:p w14:paraId="4C0289C4" w14:textId="570FE21F" w:rsidR="007C5A8E" w:rsidRPr="00715DF1" w:rsidRDefault="007C5A8E" w:rsidP="00715DF1">
      <w:pPr>
        <w:spacing w:after="0" w:line="360" w:lineRule="auto"/>
        <w:jc w:val="both"/>
        <w:rPr>
          <w:rFonts w:cs="Times New Roman"/>
          <w:szCs w:val="24"/>
        </w:rPr>
      </w:pPr>
      <w:r w:rsidRPr="00715DF1">
        <w:rPr>
          <w:rFonts w:cs="Times New Roman"/>
          <w:szCs w:val="24"/>
        </w:rPr>
        <w:t xml:space="preserve">In addition to the displacement that is caused by the insurgency, J&amp;K has been influenced by influential trends of inter-regional migration that trace and enhance the profound internal </w:t>
      </w:r>
      <w:r w:rsidR="000B53BA">
        <w:rPr>
          <w:rFonts w:cs="Times New Roman"/>
          <w:szCs w:val="24"/>
        </w:rPr>
        <w:t>differences</w:t>
      </w:r>
      <w:r w:rsidRPr="00715DF1">
        <w:rPr>
          <w:rFonts w:cs="Times New Roman"/>
          <w:szCs w:val="24"/>
        </w:rPr>
        <w:t xml:space="preserve"> of the region. J&amp;K is not a unitary state</w:t>
      </w:r>
      <w:r w:rsidR="004F1971">
        <w:rPr>
          <w:rFonts w:cs="Times New Roman"/>
          <w:szCs w:val="24"/>
        </w:rPr>
        <w:t>;</w:t>
      </w:r>
      <w:r w:rsidRPr="00715DF1">
        <w:rPr>
          <w:rFonts w:cs="Times New Roman"/>
          <w:szCs w:val="24"/>
        </w:rPr>
        <w:t xml:space="preserve"> </w:t>
      </w:r>
      <w:r w:rsidR="004F1971">
        <w:rPr>
          <w:rFonts w:cs="Times New Roman"/>
          <w:szCs w:val="24"/>
        </w:rPr>
        <w:t xml:space="preserve">the </w:t>
      </w:r>
      <w:r w:rsidRPr="00715DF1">
        <w:rPr>
          <w:rFonts w:cs="Times New Roman"/>
          <w:szCs w:val="24"/>
        </w:rPr>
        <w:t>Jammu region is dominated by Hindus, the Kashmir Valley by the Muslim population and Ladakh is a patchwork of Buddhists and Muslims. These three areas have always had different political identities, economic aspirations and cultural loyalties.</w:t>
      </w:r>
    </w:p>
    <w:p w14:paraId="186C01CB" w14:textId="19C8F451" w:rsidR="007C5A8E" w:rsidRPr="00715DF1" w:rsidRDefault="007C5A8E" w:rsidP="00715DF1">
      <w:pPr>
        <w:spacing w:after="0" w:line="360" w:lineRule="auto"/>
        <w:jc w:val="both"/>
        <w:rPr>
          <w:rFonts w:cs="Times New Roman"/>
          <w:szCs w:val="24"/>
        </w:rPr>
      </w:pPr>
      <w:r w:rsidRPr="00715DF1">
        <w:rPr>
          <w:rFonts w:cs="Times New Roman"/>
          <w:szCs w:val="24"/>
        </w:rPr>
        <w:t xml:space="preserve">The </w:t>
      </w:r>
      <w:proofErr w:type="spellStart"/>
      <w:r w:rsidRPr="00715DF1">
        <w:rPr>
          <w:rFonts w:cs="Times New Roman"/>
          <w:szCs w:val="24"/>
        </w:rPr>
        <w:t>labor</w:t>
      </w:r>
      <w:proofErr w:type="spellEnd"/>
      <w:r w:rsidRPr="00715DF1">
        <w:rPr>
          <w:rFonts w:cs="Times New Roman"/>
          <w:szCs w:val="24"/>
        </w:rPr>
        <w:t xml:space="preserve"> mobility between the poorer, mountainous region of Jammu and the Valley and the reverse based on economic opportunity has developed complex patterns of </w:t>
      </w:r>
      <w:proofErr w:type="spellStart"/>
      <w:r w:rsidRPr="00715DF1">
        <w:rPr>
          <w:rFonts w:cs="Times New Roman"/>
          <w:szCs w:val="24"/>
        </w:rPr>
        <w:t>labor</w:t>
      </w:r>
      <w:proofErr w:type="spellEnd"/>
      <w:r w:rsidRPr="00715DF1">
        <w:rPr>
          <w:rFonts w:cs="Times New Roman"/>
          <w:szCs w:val="24"/>
        </w:rPr>
        <w:t xml:space="preserve"> mobility that are overlapping with communal politics. The migration of migrant employees in the region as well as in other Indian states, into the Valley has occasionally raised concern among the locals that they are being economically edged out, their wages lowered and their culture watered down. Such fears are not peculiar to J&amp;K, but they have a finer point in this context due to being packaged in the context of demographic vulnerability and disputed sovereignty. Research on Hindu-Muslim interactions in the area has observed that religion has been at the </w:t>
      </w:r>
      <w:proofErr w:type="spellStart"/>
      <w:r w:rsidRPr="00715DF1">
        <w:rPr>
          <w:rFonts w:cs="Times New Roman"/>
          <w:szCs w:val="24"/>
        </w:rPr>
        <w:t>center</w:t>
      </w:r>
      <w:proofErr w:type="spellEnd"/>
      <w:r w:rsidRPr="00715DF1">
        <w:rPr>
          <w:rFonts w:cs="Times New Roman"/>
          <w:szCs w:val="24"/>
        </w:rPr>
        <w:t xml:space="preserve"> and in many cases, incendiary in how such population changes </w:t>
      </w:r>
      <w:r w:rsidR="004F1971" w:rsidRPr="00715DF1">
        <w:rPr>
          <w:rFonts w:cs="Times New Roman"/>
          <w:szCs w:val="24"/>
        </w:rPr>
        <w:t>is</w:t>
      </w:r>
      <w:r w:rsidRPr="00715DF1">
        <w:rPr>
          <w:rFonts w:cs="Times New Roman"/>
          <w:szCs w:val="24"/>
        </w:rPr>
        <w:t xml:space="preserve"> viewed and politically expressed (Luka, 2021).</w:t>
      </w:r>
    </w:p>
    <w:p w14:paraId="3ABA73F5" w14:textId="4063E068" w:rsidR="007C5A8E" w:rsidRPr="00715DF1" w:rsidRDefault="007C5A8E" w:rsidP="00715DF1">
      <w:pPr>
        <w:spacing w:after="0" w:line="360" w:lineRule="auto"/>
        <w:jc w:val="both"/>
        <w:rPr>
          <w:rFonts w:cs="Times New Roman"/>
          <w:szCs w:val="24"/>
        </w:rPr>
      </w:pPr>
      <w:r w:rsidRPr="00715DF1">
        <w:rPr>
          <w:rFonts w:cs="Times New Roman"/>
          <w:szCs w:val="24"/>
        </w:rPr>
        <w:t xml:space="preserve">Another complexity is that there are Rohingya Muslim refugees in Jammu. The Rohingya stateless Muslims who escaped the systematic persecution and genocide in Myanmar started </w:t>
      </w:r>
      <w:r w:rsidRPr="00715DF1">
        <w:rPr>
          <w:rFonts w:cs="Times New Roman"/>
          <w:szCs w:val="24"/>
        </w:rPr>
        <w:lastRenderedPageBreak/>
        <w:t>arriving in India, including J&amp;K, in the early 2000s. It has been estimated that there were more than 1,500 registered Rohingya families in Jammu, and the actual number must have been even more (NDTV, n.d.). Their existence has sparked a political argument at various levels. The Indian government officially recognizes Rohingya as illegal immigrants</w:t>
      </w:r>
      <w:r w:rsidR="004F1971">
        <w:rPr>
          <w:rFonts w:cs="Times New Roman"/>
          <w:szCs w:val="24"/>
        </w:rPr>
        <w:t>;</w:t>
      </w:r>
      <w:r w:rsidRPr="00715DF1">
        <w:rPr>
          <w:rFonts w:cs="Times New Roman"/>
          <w:szCs w:val="24"/>
        </w:rPr>
        <w:t xml:space="preserve"> they are refused refugee status under a domestic legal system that has never ratified the 1951 Refugee Convention (Refugees International, n.d.). In J&amp;K, in particular, their presence got caught up in the demographic discourse, as Hindu nationalist forces were calling </w:t>
      </w:r>
      <w:r w:rsidR="000B53BA">
        <w:rPr>
          <w:rFonts w:cs="Times New Roman"/>
          <w:szCs w:val="24"/>
        </w:rPr>
        <w:t>for</w:t>
      </w:r>
      <w:r w:rsidRPr="00715DF1">
        <w:rPr>
          <w:rFonts w:cs="Times New Roman"/>
          <w:szCs w:val="24"/>
        </w:rPr>
        <w:t xml:space="preserve"> their deportation, and they were posing a security and demographic risk to the state. In the SAGE journals, a study conducted by Panda and colleagues (2024) examined the evolution of the Rohingya migration into J&amp;K, as it deems its humanitarian need and legal protection secondary to the national security calculations (SAGE Journals, 2024).</w:t>
      </w:r>
    </w:p>
    <w:p w14:paraId="29FA1084" w14:textId="0822D10C" w:rsidR="002E2F98" w:rsidRPr="00715DF1" w:rsidRDefault="002E2F98" w:rsidP="00715DF1">
      <w:pPr>
        <w:spacing w:after="0" w:line="360" w:lineRule="auto"/>
        <w:jc w:val="both"/>
        <w:rPr>
          <w:rFonts w:cs="Times New Roman"/>
          <w:b/>
          <w:bCs/>
          <w:szCs w:val="24"/>
        </w:rPr>
      </w:pPr>
      <w:r w:rsidRPr="00715DF1">
        <w:rPr>
          <w:rFonts w:cs="Times New Roman"/>
          <w:b/>
          <w:bCs/>
          <w:szCs w:val="24"/>
        </w:rPr>
        <w:t>Punjab: Historical Migration and Political Mobilisation</w:t>
      </w:r>
    </w:p>
    <w:p w14:paraId="2CA846DE" w14:textId="3B909BBC" w:rsidR="007C5A8E" w:rsidRPr="00715DF1" w:rsidRDefault="007C5A8E" w:rsidP="00715DF1">
      <w:pPr>
        <w:spacing w:after="0" w:line="360" w:lineRule="auto"/>
        <w:jc w:val="both"/>
        <w:rPr>
          <w:rFonts w:cs="Times New Roman"/>
          <w:szCs w:val="24"/>
        </w:rPr>
      </w:pPr>
      <w:r w:rsidRPr="00715DF1">
        <w:rPr>
          <w:rFonts w:cs="Times New Roman"/>
          <w:szCs w:val="24"/>
        </w:rPr>
        <w:t xml:space="preserve">The first massive Punjabi emigration was not spontaneous at all: it was created by British colonial policy. After </w:t>
      </w:r>
      <w:r w:rsidR="004F1971">
        <w:rPr>
          <w:rFonts w:cs="Times New Roman"/>
          <w:szCs w:val="24"/>
        </w:rPr>
        <w:t xml:space="preserve">the </w:t>
      </w:r>
      <w:r w:rsidRPr="00715DF1">
        <w:rPr>
          <w:rFonts w:cs="Times New Roman"/>
          <w:szCs w:val="24"/>
        </w:rPr>
        <w:t>annexation of Punjab in 1849, the colonial government assimilated the region into a massive system of economic exploitation. Land tenure was restructured with the construction of canal colonies and large irrigation systems in western Punjab, displacing established agrarian communities, which forced many Punjabis to find other livelihoods (Sharma, 2020). Recruitment of Sikhs and other Punjabis into the colonial army occurred actively by the British as well, and it was based on the racialised theory of the martial races and such military service was a pathway to travel throughout the empire, whether it was East Africa or the Straits Settlement (modern Malaysia and Singapore) to British Columbia (Kaur, 2023).</w:t>
      </w:r>
    </w:p>
    <w:p w14:paraId="4EB37EDA" w14:textId="35B3513E" w:rsidR="007C5A8E" w:rsidRPr="00715DF1" w:rsidRDefault="007C5A8E" w:rsidP="00715DF1">
      <w:pPr>
        <w:spacing w:after="0" w:line="360" w:lineRule="auto"/>
        <w:jc w:val="both"/>
        <w:rPr>
          <w:rFonts w:cs="Times New Roman"/>
          <w:szCs w:val="24"/>
        </w:rPr>
      </w:pPr>
      <w:r w:rsidRPr="00715DF1">
        <w:rPr>
          <w:rFonts w:cs="Times New Roman"/>
          <w:szCs w:val="24"/>
        </w:rPr>
        <w:t>Punjab politics are still influenced by the Partition legacy that witnessed the large-scale transfer of population and redefined communal demographics. The trends of migration since then have not only involved cross-border movement but also transnational migration to other countries like the UK, Canada and Australia hence affecting local identities and politics. The impact of diaspora relations and remittances on economic organization, and memory of Partition and Punjabi ethnic identity have been mobilised by political forces that has been utilized by political forces to affect voting (Pandey, 2006).</w:t>
      </w:r>
    </w:p>
    <w:p w14:paraId="3F862602" w14:textId="2189F2BE" w:rsidR="00DE1D83" w:rsidRPr="00715DF1" w:rsidRDefault="007C5A8E" w:rsidP="00715DF1">
      <w:pPr>
        <w:spacing w:after="0" w:line="360" w:lineRule="auto"/>
        <w:jc w:val="both"/>
        <w:rPr>
          <w:rFonts w:cs="Times New Roman"/>
          <w:szCs w:val="24"/>
        </w:rPr>
      </w:pPr>
      <w:r w:rsidRPr="00715DF1">
        <w:rPr>
          <w:rFonts w:cs="Times New Roman"/>
          <w:szCs w:val="24"/>
        </w:rPr>
        <w:t xml:space="preserve">A study of the movement in Asian Survey published in 1997 on the period 1966-1997 shows that the politics of internal faction within the Akali Dal was repeatedly used against it by external forces, the Indian National Congress and the diaspora based Khalistan organisations and in the process a cycle of instability was created where no Akali government was able to finish its term (Ganguly, 200 Another paper in the National Journal of International Politics </w:t>
      </w:r>
      <w:r w:rsidRPr="00715DF1">
        <w:rPr>
          <w:rFonts w:cs="Times New Roman"/>
          <w:szCs w:val="24"/>
        </w:rPr>
        <w:lastRenderedPageBreak/>
        <w:t>and Security also reports the same finding showing that the diaspora networks maintained Khalistan mobilisation via the internet and the transnational media long after the insurgency itself had been crushed in India itself (Arif &amp; Butt, 2021). Ter-</w:t>
      </w:r>
      <w:proofErr w:type="spellStart"/>
      <w:r w:rsidRPr="00715DF1">
        <w:rPr>
          <w:rFonts w:cs="Times New Roman"/>
          <w:szCs w:val="24"/>
        </w:rPr>
        <w:t>Arkhiv</w:t>
      </w:r>
      <w:proofErr w:type="spellEnd"/>
      <w:r w:rsidRPr="00715DF1">
        <w:rPr>
          <w:rFonts w:cs="Times New Roman"/>
          <w:szCs w:val="24"/>
        </w:rPr>
        <w:t xml:space="preserve"> scholars have stated that, in the 1990s, the communities of Punjabi-Sikhs in the diaspora have remained influential in </w:t>
      </w:r>
      <w:r w:rsidR="004F1971" w:rsidRPr="00715DF1">
        <w:rPr>
          <w:rFonts w:cs="Times New Roman"/>
          <w:szCs w:val="24"/>
        </w:rPr>
        <w:t>fuelling</w:t>
      </w:r>
      <w:r w:rsidRPr="00715DF1">
        <w:rPr>
          <w:rFonts w:cs="Times New Roman"/>
          <w:szCs w:val="24"/>
        </w:rPr>
        <w:t xml:space="preserve"> and inciting secessionist ideas in modern India (Alexeyev, 2023).</w:t>
      </w:r>
    </w:p>
    <w:p w14:paraId="53E6996E"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Mechanisms Linking Migration to Voting Behaviour</w:t>
      </w:r>
    </w:p>
    <w:p w14:paraId="17013A4D" w14:textId="77777777" w:rsidR="002E2F98" w:rsidRPr="00715DF1" w:rsidRDefault="002E2F98" w:rsidP="00715DF1">
      <w:pPr>
        <w:spacing w:after="0" w:line="360" w:lineRule="auto"/>
        <w:jc w:val="both"/>
        <w:rPr>
          <w:rFonts w:cs="Times New Roman"/>
          <w:szCs w:val="24"/>
        </w:rPr>
      </w:pPr>
      <w:r w:rsidRPr="00715DF1">
        <w:rPr>
          <w:rFonts w:cs="Times New Roman"/>
          <w:szCs w:val="24"/>
        </w:rPr>
        <w:t>This section identifies mechanisms through which migration affects voting in border regions.</w:t>
      </w:r>
    </w:p>
    <w:p w14:paraId="4AB43596"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Perceived Threat and Backlash</w:t>
      </w:r>
    </w:p>
    <w:p w14:paraId="7B391B94" w14:textId="52A4C355" w:rsidR="002E2F98" w:rsidRPr="00715DF1" w:rsidRDefault="007C5A8E" w:rsidP="00715DF1">
      <w:pPr>
        <w:spacing w:after="0" w:line="360" w:lineRule="auto"/>
        <w:jc w:val="both"/>
        <w:rPr>
          <w:rFonts w:cs="Times New Roman"/>
          <w:szCs w:val="24"/>
        </w:rPr>
      </w:pPr>
      <w:r w:rsidRPr="00715DF1">
        <w:rPr>
          <w:rFonts w:cs="Times New Roman"/>
          <w:szCs w:val="24"/>
        </w:rPr>
        <w:t>If host communities view migrants as an actual or potential threat to the availability of land, employment or services, a politics of exclusion can develop. Economic or cultural threats, if framed by political actors as a threat to the identity of the host community can galvanise support for parties vowing restrictive policies. In practice, for example, such a threat perception has been powerfully articulated in Assam and portions of West Bengal (Baruah, 1999; Chandra</w:t>
      </w:r>
      <w:r w:rsidR="000B53BA">
        <w:rPr>
          <w:rFonts w:cs="Times New Roman"/>
          <w:szCs w:val="24"/>
        </w:rPr>
        <w:t>,</w:t>
      </w:r>
      <w:r w:rsidRPr="00715DF1">
        <w:rPr>
          <w:rFonts w:cs="Times New Roman"/>
          <w:szCs w:val="24"/>
        </w:rPr>
        <w:t xml:space="preserve"> 2004).</w:t>
      </w:r>
    </w:p>
    <w:p w14:paraId="58E3EAAF"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Identity Reconstitution and Political Entrepreneurs</w:t>
      </w:r>
    </w:p>
    <w:p w14:paraId="504D9A10" w14:textId="77777777" w:rsidR="007C5A8E" w:rsidRPr="00715DF1" w:rsidRDefault="007C5A8E" w:rsidP="00715DF1">
      <w:pPr>
        <w:spacing w:after="0" w:line="360" w:lineRule="auto"/>
        <w:jc w:val="both"/>
        <w:rPr>
          <w:rFonts w:cs="Times New Roman"/>
          <w:szCs w:val="24"/>
        </w:rPr>
      </w:pPr>
      <w:r w:rsidRPr="00715DF1">
        <w:rPr>
          <w:rFonts w:cs="Times New Roman"/>
          <w:szCs w:val="24"/>
        </w:rPr>
        <w:t xml:space="preserve">When migrants become either new political constituencies or when the identity boundaries of host communities are consolidated, it represents a reconstitution of collective identities rendered by migration processes. Political entrepreneurs capitalise on this process of reconstitution by articulating narratives and policy platforms that resonate with identity grievances. </w:t>
      </w:r>
      <w:proofErr w:type="spellStart"/>
      <w:r w:rsidRPr="00715DF1">
        <w:rPr>
          <w:rFonts w:cs="Times New Roman"/>
          <w:szCs w:val="24"/>
        </w:rPr>
        <w:t>Theorians</w:t>
      </w:r>
      <w:proofErr w:type="spellEnd"/>
      <w:r w:rsidRPr="00715DF1">
        <w:rPr>
          <w:rFonts w:cs="Times New Roman"/>
          <w:szCs w:val="24"/>
        </w:rPr>
        <w:t xml:space="preserve"> of ethnic parties or regional movements argue that when migrants are depicted as the external threat to local identity, these actors often reap the benefits (Chandra, 2004).</w:t>
      </w:r>
    </w:p>
    <w:p w14:paraId="7A3CA768" w14:textId="49BC1A66" w:rsidR="002E2F98" w:rsidRPr="00715DF1" w:rsidRDefault="002E2F98" w:rsidP="00715DF1">
      <w:pPr>
        <w:spacing w:after="0" w:line="360" w:lineRule="auto"/>
        <w:jc w:val="both"/>
        <w:rPr>
          <w:rFonts w:cs="Times New Roman"/>
          <w:b/>
          <w:bCs/>
          <w:szCs w:val="24"/>
        </w:rPr>
      </w:pPr>
      <w:r w:rsidRPr="00715DF1">
        <w:rPr>
          <w:rFonts w:cs="Times New Roman"/>
          <w:b/>
          <w:bCs/>
          <w:szCs w:val="24"/>
        </w:rPr>
        <w:t>Institutional Channels: Law, Documentation, and Rights</w:t>
      </w:r>
    </w:p>
    <w:p w14:paraId="758ACC40" w14:textId="44091DA5" w:rsidR="007C5A8E" w:rsidRPr="00715DF1" w:rsidRDefault="007C5A8E" w:rsidP="00715DF1">
      <w:pPr>
        <w:spacing w:after="0" w:line="360" w:lineRule="auto"/>
        <w:jc w:val="both"/>
        <w:rPr>
          <w:rFonts w:cs="Times New Roman"/>
          <w:szCs w:val="24"/>
        </w:rPr>
      </w:pPr>
      <w:r w:rsidRPr="00715DF1">
        <w:rPr>
          <w:rFonts w:cs="Times New Roman"/>
          <w:szCs w:val="24"/>
        </w:rPr>
        <w:t xml:space="preserve">Citizenship and documentation laws can turn migration into a matter of politics. The concept of citizenship is more real when it comes to processes such as the NRC or voter </w:t>
      </w:r>
      <w:r w:rsidR="000B53BA">
        <w:rPr>
          <w:rFonts w:cs="Times New Roman"/>
          <w:szCs w:val="24"/>
        </w:rPr>
        <w:t>list</w:t>
      </w:r>
      <w:r w:rsidRPr="00715DF1">
        <w:rPr>
          <w:rFonts w:cs="Times New Roman"/>
          <w:szCs w:val="24"/>
        </w:rPr>
        <w:t xml:space="preserve"> revisions because it influences the right to vote and political mobilisation. The administrative procedures can be felt or felt to be exclusionary in that they define political loyalties and protests (Government of India, 2011 Census).</w:t>
      </w:r>
    </w:p>
    <w:p w14:paraId="67E0A67D" w14:textId="54810ADE" w:rsidR="002E2F98" w:rsidRPr="00715DF1" w:rsidRDefault="002E2F98" w:rsidP="00715DF1">
      <w:pPr>
        <w:spacing w:after="0" w:line="360" w:lineRule="auto"/>
        <w:jc w:val="both"/>
        <w:rPr>
          <w:rFonts w:cs="Times New Roman"/>
          <w:b/>
          <w:bCs/>
          <w:szCs w:val="24"/>
        </w:rPr>
      </w:pPr>
      <w:r w:rsidRPr="00715DF1">
        <w:rPr>
          <w:rFonts w:cs="Times New Roman"/>
          <w:b/>
          <w:bCs/>
          <w:szCs w:val="24"/>
        </w:rPr>
        <w:t>Clientelism and Incorporation</w:t>
      </w:r>
    </w:p>
    <w:p w14:paraId="27E9CFC9" w14:textId="7612F71A" w:rsidR="002E2F98" w:rsidRPr="00715DF1" w:rsidRDefault="007C5A8E" w:rsidP="00715DF1">
      <w:pPr>
        <w:spacing w:after="0" w:line="360" w:lineRule="auto"/>
        <w:jc w:val="both"/>
        <w:rPr>
          <w:rFonts w:cs="Times New Roman"/>
          <w:b/>
          <w:bCs/>
          <w:szCs w:val="24"/>
        </w:rPr>
      </w:pPr>
      <w:r w:rsidRPr="00715DF1">
        <w:rPr>
          <w:rFonts w:cs="Times New Roman"/>
          <w:szCs w:val="24"/>
        </w:rPr>
        <w:t>Reactions to migration are not necessarily exclusionary. The parties can include migrant communities by patronizing them, giving them material rewards to vote. In the long term, migrant communities can obtain entitlements and a sense of locality, transforming the local politics balance towards moving away from pure identity-based cleavages (Chhibber &amp; Kollman, 2004).</w:t>
      </w:r>
    </w:p>
    <w:p w14:paraId="4FD52B8F"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lastRenderedPageBreak/>
        <w:t>Spatial Concentration and Electoral Geography</w:t>
      </w:r>
    </w:p>
    <w:p w14:paraId="58BDB616" w14:textId="03F8128D" w:rsidR="002E2F98" w:rsidRPr="00715DF1" w:rsidRDefault="00715DF1" w:rsidP="00715DF1">
      <w:pPr>
        <w:spacing w:after="0" w:line="360" w:lineRule="auto"/>
        <w:jc w:val="both"/>
        <w:rPr>
          <w:rFonts w:cs="Times New Roman"/>
          <w:szCs w:val="24"/>
        </w:rPr>
      </w:pPr>
      <w:r w:rsidRPr="00715DF1">
        <w:rPr>
          <w:rFonts w:cs="Times New Roman"/>
          <w:szCs w:val="24"/>
        </w:rPr>
        <w:t xml:space="preserve">Spatial concentration of migrants has implications </w:t>
      </w:r>
      <w:r w:rsidR="000B53BA">
        <w:rPr>
          <w:rFonts w:cs="Times New Roman"/>
          <w:szCs w:val="24"/>
        </w:rPr>
        <w:t>for</w:t>
      </w:r>
      <w:r w:rsidRPr="00715DF1">
        <w:rPr>
          <w:rFonts w:cs="Times New Roman"/>
          <w:szCs w:val="24"/>
        </w:rPr>
        <w:t xml:space="preserve"> political outcomes by forming electoral pockets in which the vote of migrants can impact local outcomes. The electoral influence of localised migrant populations can be increased by gerrymandering, constituency boundaries, and localised mobilisation.</w:t>
      </w:r>
    </w:p>
    <w:p w14:paraId="00FF43D6"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Discussion: Variation Across Contexts</w:t>
      </w:r>
    </w:p>
    <w:p w14:paraId="5840101D" w14:textId="44EA06BE" w:rsidR="002E2F98" w:rsidRPr="00715DF1" w:rsidRDefault="00715DF1" w:rsidP="00715DF1">
      <w:pPr>
        <w:spacing w:after="0" w:line="360" w:lineRule="auto"/>
        <w:jc w:val="both"/>
        <w:rPr>
          <w:rFonts w:cs="Times New Roman"/>
          <w:szCs w:val="24"/>
        </w:rPr>
      </w:pPr>
      <w:r w:rsidRPr="00715DF1">
        <w:rPr>
          <w:rFonts w:cs="Times New Roman"/>
          <w:szCs w:val="24"/>
        </w:rPr>
        <w:t>Although the above mechanisms are universal, they also differ depending on the context. Legal-institutional instruments (NRC) enhanced exclusionary politics in Assam, long-term settlement and class-based politics in West Bengal in most locations, and conflict through the prism of migration in Jammu &amp; Kashmir. Migration into voting behaviour is mediated by the presence of strong regional parties, the ability of states to do documentation and historical accounts.</w:t>
      </w:r>
    </w:p>
    <w:p w14:paraId="03DD2ECF"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Policy Implications</w:t>
      </w:r>
    </w:p>
    <w:p w14:paraId="1E22A712" w14:textId="77777777" w:rsidR="002E2F98" w:rsidRPr="00715DF1" w:rsidRDefault="002E2F98" w:rsidP="00715DF1">
      <w:pPr>
        <w:spacing w:after="0" w:line="360" w:lineRule="auto"/>
        <w:jc w:val="both"/>
        <w:rPr>
          <w:rFonts w:cs="Times New Roman"/>
          <w:szCs w:val="24"/>
        </w:rPr>
      </w:pPr>
      <w:r w:rsidRPr="00715DF1">
        <w:rPr>
          <w:rFonts w:cs="Times New Roman"/>
          <w:szCs w:val="24"/>
        </w:rPr>
        <w:t>Several policy considerations follow from this analysis.</w:t>
      </w:r>
    </w:p>
    <w:p w14:paraId="14FB2212"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Protecting Rights and Ensuring Due Process</w:t>
      </w:r>
    </w:p>
    <w:p w14:paraId="39CA7735" w14:textId="41562BF2" w:rsidR="002E2F98" w:rsidRPr="00715DF1" w:rsidRDefault="00715DF1" w:rsidP="00715DF1">
      <w:pPr>
        <w:spacing w:after="0" w:line="360" w:lineRule="auto"/>
        <w:jc w:val="both"/>
        <w:rPr>
          <w:rFonts w:cs="Times New Roman"/>
          <w:szCs w:val="24"/>
        </w:rPr>
      </w:pPr>
      <w:r w:rsidRPr="00715DF1">
        <w:rPr>
          <w:rFonts w:cs="Times New Roman"/>
          <w:szCs w:val="24"/>
        </w:rPr>
        <w:t>The administrative procedures that define citizenship or eligibility to vote should be transparent, have due process and easy redress to prevent disenfranchisement and political radicalisation. Legal aid and outreach to marginalised groups should be provided with documentation drives.</w:t>
      </w:r>
    </w:p>
    <w:p w14:paraId="274BF037"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Promoting Social and Economic Inclusion</w:t>
      </w:r>
    </w:p>
    <w:p w14:paraId="0C9C45A6" w14:textId="06AB119B" w:rsidR="002E2F98" w:rsidRPr="00715DF1" w:rsidRDefault="00715DF1" w:rsidP="00715DF1">
      <w:pPr>
        <w:spacing w:after="0" w:line="360" w:lineRule="auto"/>
        <w:jc w:val="both"/>
        <w:rPr>
          <w:rFonts w:cs="Times New Roman"/>
          <w:szCs w:val="24"/>
        </w:rPr>
      </w:pPr>
      <w:r w:rsidRPr="00715DF1">
        <w:rPr>
          <w:rFonts w:cs="Times New Roman"/>
          <w:szCs w:val="24"/>
        </w:rPr>
        <w:t>The salience of migration as a political grievance can be diminished through policies that minimize competition over basic services by investing in education, health and livelihoods. The social protection of vulnerable populations (including migrants) is targeted, which minimises the opportunity of exclusionary mobilisation.</w:t>
      </w:r>
    </w:p>
    <w:p w14:paraId="4B63488B"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Political Incentives for Integration</w:t>
      </w:r>
    </w:p>
    <w:p w14:paraId="4F2CD7D4" w14:textId="0E92887B" w:rsidR="002E2F98" w:rsidRPr="00715DF1" w:rsidRDefault="00715DF1" w:rsidP="00715DF1">
      <w:pPr>
        <w:spacing w:after="0" w:line="360" w:lineRule="auto"/>
        <w:jc w:val="both"/>
        <w:rPr>
          <w:rFonts w:cs="Times New Roman"/>
          <w:szCs w:val="24"/>
        </w:rPr>
      </w:pPr>
      <w:r w:rsidRPr="00715DF1">
        <w:rPr>
          <w:rFonts w:cs="Times New Roman"/>
          <w:szCs w:val="24"/>
        </w:rPr>
        <w:t>Electoral incentives matter. Promoting inclusive politics in the political parties and providing the migrants with institutional means of representation (e.g., designated local seats or consultative councils) can alleviate tensions. A bridging role can be played by civil society and local leadership.</w:t>
      </w:r>
    </w:p>
    <w:p w14:paraId="0660BC8E"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Conflict-Sensitive Governance in Borderlands</w:t>
      </w:r>
    </w:p>
    <w:p w14:paraId="71803C2D" w14:textId="2DFC7F10" w:rsidR="002E2F98" w:rsidRPr="00715DF1" w:rsidRDefault="00715DF1" w:rsidP="00715DF1">
      <w:pPr>
        <w:spacing w:after="0" w:line="360" w:lineRule="auto"/>
        <w:jc w:val="both"/>
        <w:rPr>
          <w:rFonts w:cs="Times New Roman"/>
          <w:szCs w:val="24"/>
        </w:rPr>
      </w:pPr>
      <w:r w:rsidRPr="00715DF1">
        <w:rPr>
          <w:rFonts w:cs="Times New Roman"/>
          <w:szCs w:val="24"/>
        </w:rPr>
        <w:t xml:space="preserve">The border areas need a regime that is sensitive to </w:t>
      </w:r>
      <w:r w:rsidR="000B53BA">
        <w:rPr>
          <w:rFonts w:cs="Times New Roman"/>
          <w:szCs w:val="24"/>
        </w:rPr>
        <w:t>their</w:t>
      </w:r>
      <w:r w:rsidRPr="00715DF1">
        <w:rPr>
          <w:rFonts w:cs="Times New Roman"/>
          <w:szCs w:val="24"/>
        </w:rPr>
        <w:t xml:space="preserve"> social and security dynamics. The combination of security policies and development interventions and dialogue processes will help to minimize the likelihood of the legitimate security considerations being used as pretexts to participate in exclusionary politics.</w:t>
      </w:r>
    </w:p>
    <w:p w14:paraId="071E2449" w14:textId="77777777" w:rsidR="005979F7" w:rsidRPr="00715DF1" w:rsidRDefault="005979F7" w:rsidP="00715DF1">
      <w:pPr>
        <w:spacing w:after="0" w:line="360" w:lineRule="auto"/>
        <w:jc w:val="both"/>
        <w:rPr>
          <w:rFonts w:cs="Times New Roman"/>
          <w:b/>
          <w:bCs/>
          <w:szCs w:val="24"/>
        </w:rPr>
      </w:pPr>
      <w:r w:rsidRPr="00715DF1">
        <w:rPr>
          <w:rFonts w:cs="Times New Roman"/>
          <w:b/>
          <w:bCs/>
          <w:szCs w:val="24"/>
        </w:rPr>
        <w:lastRenderedPageBreak/>
        <w:t>Conclusion</w:t>
      </w:r>
    </w:p>
    <w:p w14:paraId="60AC4DDC" w14:textId="75241F58" w:rsidR="00715DF1" w:rsidRPr="00715DF1" w:rsidRDefault="00715DF1" w:rsidP="00715DF1">
      <w:pPr>
        <w:spacing w:after="0" w:line="360" w:lineRule="auto"/>
        <w:jc w:val="both"/>
        <w:rPr>
          <w:rFonts w:cs="Times New Roman"/>
          <w:szCs w:val="24"/>
        </w:rPr>
      </w:pPr>
      <w:r w:rsidRPr="00715DF1">
        <w:rPr>
          <w:rFonts w:cs="Times New Roman"/>
          <w:szCs w:val="24"/>
        </w:rPr>
        <w:t>Migration, identity and voting behaviour of border areas in India are very complex relationships that cannot be explained in a linear manner. This paper has shown that political salience of migration in borderlands is not an inevitable consequence of demographic change but rather a result of a complicated interaction of the perceived threats, institutional structures, political entrepreneurship and historical memory. Based on case study data about Assam, West Bengal, Punjab and Jammu and Kashmir, the analysis indicates that when migration crosses existing ethnic, linguistic and religious divisions and when the political forces use the cross-over points to create a sense of inclusion or exclusion, then migration becomes electorally consequential.</w:t>
      </w:r>
    </w:p>
    <w:p w14:paraId="4D33E044" w14:textId="05D35B0C" w:rsidR="00715DF1" w:rsidRPr="00715DF1" w:rsidRDefault="00715DF1" w:rsidP="00715DF1">
      <w:pPr>
        <w:spacing w:after="0" w:line="360" w:lineRule="auto"/>
        <w:jc w:val="both"/>
        <w:rPr>
          <w:rFonts w:cs="Times New Roman"/>
          <w:szCs w:val="24"/>
        </w:rPr>
      </w:pPr>
      <w:r w:rsidRPr="00715DF1">
        <w:rPr>
          <w:rFonts w:cs="Times New Roman"/>
          <w:szCs w:val="24"/>
        </w:rPr>
        <w:t>The example of Assam can be considered the most paradigmatic example of this dynamic. The old controversy of cross-border migration in Bangladesh, which reached its apex with the Assam Accord of 1985 and subsequent controversial National Register of Citizens (NRC) exercise, illustrates how legal-institutional processes can transform demographic fears into electoral mobilisation in the long run. Migration politics in Assam has turned into an existential political issue that is guiding party politics as well as voter turnout along the indigenous rights versus perceived demographic threat axis. In West Bengal, however, the situation is more complicated: decades of Left Front rule ameliorated identity-based conflict by appeals to class and patronage networks despite more recent political realignments returning communal and sub-nationalist identity discourses into the realm of competitive electoral politics.</w:t>
      </w:r>
    </w:p>
    <w:p w14:paraId="5A2F6765" w14:textId="6AD6640F" w:rsidR="00715DF1" w:rsidRPr="00715DF1" w:rsidRDefault="00715DF1" w:rsidP="00715DF1">
      <w:pPr>
        <w:spacing w:after="0" w:line="360" w:lineRule="auto"/>
        <w:jc w:val="both"/>
        <w:rPr>
          <w:rFonts w:cs="Times New Roman"/>
          <w:szCs w:val="24"/>
        </w:rPr>
      </w:pPr>
      <w:r w:rsidRPr="00715DF1">
        <w:rPr>
          <w:rFonts w:cs="Times New Roman"/>
          <w:szCs w:val="24"/>
        </w:rPr>
        <w:t xml:space="preserve">The temporal extent of the political impacts of migration is depicted in Punjab. Their transfers during the Partition period and the resultant development of transnational Sikh diaspora networks have had a local influence on political identities and electoral behaviour across generations, showing that the political impacts of migration are not confined to the moment of movement </w:t>
      </w:r>
      <w:r w:rsidR="000B53BA">
        <w:rPr>
          <w:rFonts w:cs="Times New Roman"/>
          <w:szCs w:val="24"/>
        </w:rPr>
        <w:t>itself</w:t>
      </w:r>
      <w:r w:rsidRPr="00715DF1">
        <w:rPr>
          <w:rFonts w:cs="Times New Roman"/>
          <w:szCs w:val="24"/>
        </w:rPr>
        <w:t>, but may resonate over decades. The overlapping of disputed sovereignty, armed conflict, and demographic discussion has led to a specifically extreme type of identity politics in Jammu &amp; Kashmir, in which migration, be it of Kashmiri Pandits, migrant labourers, or Rohingya refugees, is systematically refracted through the prism of national security and demographic susceptibility, with humanitarian concerns subsumed to geopolitical calculations.</w:t>
      </w:r>
    </w:p>
    <w:p w14:paraId="679E6D99" w14:textId="77777777" w:rsidR="00715DF1" w:rsidRPr="00715DF1" w:rsidRDefault="00715DF1" w:rsidP="00715DF1">
      <w:pPr>
        <w:spacing w:after="0" w:line="360" w:lineRule="auto"/>
        <w:jc w:val="both"/>
        <w:rPr>
          <w:rFonts w:cs="Times New Roman"/>
          <w:szCs w:val="24"/>
        </w:rPr>
      </w:pPr>
      <w:r w:rsidRPr="00715DF1">
        <w:rPr>
          <w:rFonts w:cs="Times New Roman"/>
          <w:szCs w:val="24"/>
        </w:rPr>
        <w:t xml:space="preserve">In all four instances, this paper has determined five central processes by which migration influences voting behaviour, which include perceived threat and backlash mobilisation; identity reconstitution that is exploited by political entrepreneurs; institutional processes, including citizenship laws and documentation procedures; </w:t>
      </w:r>
      <w:proofErr w:type="spellStart"/>
      <w:r w:rsidRPr="00715DF1">
        <w:rPr>
          <w:rFonts w:cs="Times New Roman"/>
          <w:szCs w:val="24"/>
        </w:rPr>
        <w:t>clientelistic</w:t>
      </w:r>
      <w:proofErr w:type="spellEnd"/>
      <w:r w:rsidRPr="00715DF1">
        <w:rPr>
          <w:rFonts w:cs="Times New Roman"/>
          <w:szCs w:val="24"/>
        </w:rPr>
        <w:t xml:space="preserve"> processes of incorporating migrant communities into patronage networks; and spatial concentration of migrant groups in </w:t>
      </w:r>
      <w:r w:rsidRPr="00715DF1">
        <w:rPr>
          <w:rFonts w:cs="Times New Roman"/>
          <w:szCs w:val="24"/>
        </w:rPr>
        <w:lastRenderedPageBreak/>
        <w:t>electoral geographies. Such mechanisms are not isolated nor do they have similar effects. They have strong mediating effects that are mediated by the state capacity, the structure of the party system, the historical narrative, and the particular identity cleavage configuration within each region. The same mechanism like legal registration of citizenship, may generate exclusionary politics in one setting (the NRC in Assam), and a device of gradual assimilation in another.</w:t>
      </w:r>
    </w:p>
    <w:p w14:paraId="43DF739A" w14:textId="693B5874" w:rsidR="00715DF1" w:rsidRPr="00715DF1" w:rsidRDefault="00715DF1" w:rsidP="00715DF1">
      <w:pPr>
        <w:spacing w:after="0" w:line="360" w:lineRule="auto"/>
        <w:jc w:val="both"/>
        <w:rPr>
          <w:rFonts w:cs="Times New Roman"/>
          <w:szCs w:val="24"/>
        </w:rPr>
      </w:pPr>
      <w:r w:rsidRPr="00715DF1">
        <w:rPr>
          <w:rFonts w:cs="Times New Roman"/>
          <w:szCs w:val="24"/>
        </w:rPr>
        <w:t>The theoretical contribution of the present paper is that it fills the gap between the migration studies, ethnic politics and voting behaviour literature in the particular context of Indian borderlands. In contrast to interior constituencies where migration is largely an economic phenomenon, border areas are the locations of what Donnan and Wilson (1999) described as “liminality</w:t>
      </w:r>
      <w:r w:rsidR="000B53BA">
        <w:rPr>
          <w:rFonts w:cs="Times New Roman"/>
          <w:szCs w:val="24"/>
        </w:rPr>
        <w:t>,</w:t>
      </w:r>
      <w:r w:rsidRPr="00715DF1">
        <w:rPr>
          <w:rFonts w:cs="Times New Roman"/>
          <w:szCs w:val="24"/>
        </w:rPr>
        <w:t xml:space="preserve">” wherein state sovereignty is constantly renegotiated and where population mobility is politically charged. The drawing of national borders by post-Partitions into ethnically homogeneous communities drew millions of cross-border ties of kinship whose political allegiance cannot be boiled down to citizen versus foreigner. It is this structural ambiguity that is the starting point </w:t>
      </w:r>
      <w:r w:rsidR="000B53BA">
        <w:rPr>
          <w:rFonts w:cs="Times New Roman"/>
          <w:szCs w:val="24"/>
        </w:rPr>
        <w:t>from</w:t>
      </w:r>
      <w:r w:rsidRPr="00715DF1">
        <w:rPr>
          <w:rFonts w:cs="Times New Roman"/>
          <w:szCs w:val="24"/>
        </w:rPr>
        <w:t xml:space="preserve"> which all the political dynamics follow.</w:t>
      </w:r>
    </w:p>
    <w:p w14:paraId="6E62BFCC" w14:textId="397B4A9A" w:rsidR="00715DF1" w:rsidRPr="00715DF1" w:rsidRDefault="00715DF1" w:rsidP="00715DF1">
      <w:pPr>
        <w:spacing w:after="0" w:line="360" w:lineRule="auto"/>
        <w:jc w:val="both"/>
        <w:rPr>
          <w:rFonts w:cs="Times New Roman"/>
          <w:szCs w:val="24"/>
        </w:rPr>
      </w:pPr>
      <w:r w:rsidRPr="00715DF1">
        <w:rPr>
          <w:rFonts w:cs="Times New Roman"/>
          <w:szCs w:val="24"/>
        </w:rPr>
        <w:t xml:space="preserve">The implications of the findings of this paper have significant policy implications. The transparency, due process, and easy access to legal </w:t>
      </w:r>
      <w:r w:rsidR="000B53BA">
        <w:rPr>
          <w:rFonts w:cs="Times New Roman"/>
          <w:szCs w:val="24"/>
        </w:rPr>
        <w:t>redress</w:t>
      </w:r>
      <w:r w:rsidRPr="00715DF1">
        <w:rPr>
          <w:rFonts w:cs="Times New Roman"/>
          <w:szCs w:val="24"/>
        </w:rPr>
        <w:t xml:space="preserve"> should form the basis of administrative procedures that stipulate citizenship or voting qualifications to avert disenfranchisement and radicalisation. Investment in education, health and livelihood development lowers the material grievances that are the source of effective mobilisation of identity-based mobilisation. The electoral mechanisms and party incentives must be designed to reward inclusive platforms as opposed to strictly exclusionary ones and institutional options in the form of consultative councils or migrant representation systems should provide new access points to political involvement. Most importantly, </w:t>
      </w:r>
      <w:r w:rsidR="000B53BA">
        <w:rPr>
          <w:rFonts w:cs="Times New Roman"/>
          <w:szCs w:val="24"/>
        </w:rPr>
        <w:t>borderland</w:t>
      </w:r>
      <w:r w:rsidRPr="00715DF1">
        <w:rPr>
          <w:rFonts w:cs="Times New Roman"/>
          <w:szCs w:val="24"/>
        </w:rPr>
        <w:t xml:space="preserve"> governance should be </w:t>
      </w:r>
      <w:proofErr w:type="gramStart"/>
      <w:r w:rsidRPr="00715DF1">
        <w:rPr>
          <w:rFonts w:cs="Times New Roman"/>
          <w:szCs w:val="24"/>
        </w:rPr>
        <w:t>conflict</w:t>
      </w:r>
      <w:proofErr w:type="gramEnd"/>
      <w:r w:rsidRPr="00715DF1">
        <w:rPr>
          <w:rFonts w:cs="Times New Roman"/>
          <w:szCs w:val="24"/>
        </w:rPr>
        <w:t xml:space="preserve"> sensitive and the acceptable security demands should not be used as pretexts to systematize marginalization of the vulnerable groups.</w:t>
      </w:r>
    </w:p>
    <w:p w14:paraId="19E761DC" w14:textId="0232B1B2" w:rsidR="005979F7" w:rsidRPr="00715DF1" w:rsidRDefault="00715DF1" w:rsidP="00715DF1">
      <w:pPr>
        <w:spacing w:after="0" w:line="360" w:lineRule="auto"/>
        <w:jc w:val="both"/>
        <w:rPr>
          <w:rFonts w:cs="Times New Roman"/>
          <w:szCs w:val="24"/>
        </w:rPr>
      </w:pPr>
      <w:r w:rsidRPr="00715DF1">
        <w:rPr>
          <w:rFonts w:cs="Times New Roman"/>
          <w:szCs w:val="24"/>
        </w:rPr>
        <w:t>In short, migration along the borders of India will continue to be a politically charged issue as long as borders continue to be the points of disputed sovereignty, identity hierarchy continues as a politically functioning institution and citizenship institutions are not complete or equally enforced. Knowledge of this fact is not just an academic activity, it is a precondition to the development of governance strategies that can maintain democratic inclusion, forestall conflict and respect the dignity of the people whose lives are most directly influenced by the intersection of movement, belonging, and political power.</w:t>
      </w:r>
    </w:p>
    <w:p w14:paraId="75C4A63E" w14:textId="77777777" w:rsidR="00715DF1" w:rsidRDefault="00715DF1" w:rsidP="002E2F98">
      <w:pPr>
        <w:spacing w:line="360" w:lineRule="auto"/>
        <w:jc w:val="both"/>
        <w:rPr>
          <w:rFonts w:cs="Times New Roman"/>
          <w:b/>
          <w:bCs/>
          <w:szCs w:val="24"/>
        </w:rPr>
      </w:pPr>
    </w:p>
    <w:p w14:paraId="20301015" w14:textId="0B23C18B" w:rsidR="002E2F98" w:rsidRDefault="002E2F98" w:rsidP="002E2F98">
      <w:pPr>
        <w:spacing w:line="360" w:lineRule="auto"/>
        <w:jc w:val="both"/>
        <w:rPr>
          <w:rFonts w:cs="Times New Roman"/>
          <w:b/>
          <w:bCs/>
          <w:szCs w:val="24"/>
        </w:rPr>
      </w:pPr>
      <w:r w:rsidRPr="002E2F98">
        <w:rPr>
          <w:rFonts w:cs="Times New Roman"/>
          <w:b/>
          <w:bCs/>
          <w:szCs w:val="24"/>
        </w:rPr>
        <w:lastRenderedPageBreak/>
        <w:t>References</w:t>
      </w:r>
    </w:p>
    <w:p w14:paraId="69111A32" w14:textId="77777777" w:rsidR="00BE127E" w:rsidRDefault="00BE127E" w:rsidP="00715DF1">
      <w:pPr>
        <w:pStyle w:val="ListParagraph"/>
        <w:numPr>
          <w:ilvl w:val="0"/>
          <w:numId w:val="1"/>
        </w:numPr>
        <w:spacing w:after="0" w:line="240" w:lineRule="auto"/>
        <w:jc w:val="both"/>
      </w:pPr>
      <w:r w:rsidRPr="00FD3B69">
        <w:t xml:space="preserve">Anderson, B. (1983). </w:t>
      </w:r>
      <w:r w:rsidRPr="00715DF1">
        <w:rPr>
          <w:i/>
          <w:iCs/>
        </w:rPr>
        <w:t>Imagined communities: Reflections on the origin and spread of nationalism</w:t>
      </w:r>
      <w:r w:rsidRPr="00FD3B69">
        <w:t>. Verso.</w:t>
      </w:r>
    </w:p>
    <w:p w14:paraId="448D93DC" w14:textId="4FB4E94B" w:rsidR="005B24B3" w:rsidRPr="00715DF1" w:rsidRDefault="005B24B3" w:rsidP="00715DF1">
      <w:pPr>
        <w:pStyle w:val="ListParagraph"/>
        <w:numPr>
          <w:ilvl w:val="0"/>
          <w:numId w:val="1"/>
        </w:numPr>
        <w:spacing w:after="0" w:line="240" w:lineRule="auto"/>
        <w:jc w:val="both"/>
        <w:rPr>
          <w:rFonts w:cs="Times New Roman"/>
          <w:szCs w:val="24"/>
        </w:rPr>
      </w:pPr>
      <w:r w:rsidRPr="00715DF1">
        <w:rPr>
          <w:rFonts w:cs="Times New Roman"/>
          <w:szCs w:val="24"/>
        </w:rPr>
        <w:t>Alexeyev, S. (2023). The Punjab issue and the Sikh diaspora: Calls for secession in the context of contemporary politics. </w:t>
      </w:r>
      <w:r w:rsidRPr="00715DF1">
        <w:rPr>
          <w:rFonts w:cs="Times New Roman"/>
          <w:i/>
          <w:iCs/>
          <w:szCs w:val="24"/>
        </w:rPr>
        <w:t>Ter-Arkhiv</w:t>
      </w:r>
      <w:r w:rsidRPr="00715DF1">
        <w:rPr>
          <w:rFonts w:cs="Times New Roman"/>
          <w:szCs w:val="24"/>
        </w:rPr>
        <w:t>. </w:t>
      </w:r>
      <w:hyperlink r:id="rId7" w:tgtFrame="_blank" w:history="1">
        <w:r w:rsidRPr="00715DF1">
          <w:rPr>
            <w:rStyle w:val="Hyperlink"/>
            <w:rFonts w:cs="Times New Roman"/>
            <w:szCs w:val="24"/>
          </w:rPr>
          <w:t>https://ter-arkhiv.ru/0321-5075/article/view/647360</w:t>
        </w:r>
      </w:hyperlink>
    </w:p>
    <w:p w14:paraId="4DD47B55" w14:textId="589CDE94" w:rsidR="00BE127E" w:rsidRDefault="00BE127E" w:rsidP="00715DF1">
      <w:pPr>
        <w:pStyle w:val="ListParagraph"/>
        <w:numPr>
          <w:ilvl w:val="0"/>
          <w:numId w:val="1"/>
        </w:numPr>
        <w:spacing w:after="0" w:line="240" w:lineRule="auto"/>
        <w:jc w:val="both"/>
      </w:pPr>
      <w:r w:rsidRPr="00FD3B69">
        <w:t xml:space="preserve">Banerjee, A., Barnhardt, S., &amp; Duflo, E. (2020). Overcoming the political exclusion of migrants: Theory and experimental evidence from India. </w:t>
      </w:r>
      <w:r w:rsidRPr="00715DF1">
        <w:rPr>
          <w:i/>
          <w:iCs/>
        </w:rPr>
        <w:t>American Political Science Review</w:t>
      </w:r>
      <w:r w:rsidRPr="00FD3B69">
        <w:t xml:space="preserve">, </w:t>
      </w:r>
      <w:r w:rsidRPr="00715DF1">
        <w:rPr>
          <w:i/>
          <w:iCs/>
        </w:rPr>
        <w:t>115</w:t>
      </w:r>
      <w:r w:rsidRPr="00FD3B69">
        <w:t xml:space="preserve">(4), 1129–1146. </w:t>
      </w:r>
      <w:hyperlink r:id="rId8" w:history="1">
        <w:r w:rsidR="005B24B3" w:rsidRPr="00534970">
          <w:rPr>
            <w:rStyle w:val="Hyperlink"/>
          </w:rPr>
          <w:t>https://doi.org/10.1017/S0003055421000435</w:t>
        </w:r>
      </w:hyperlink>
    </w:p>
    <w:p w14:paraId="7E05D89C" w14:textId="2EBE6791" w:rsidR="005B24B3" w:rsidRPr="00715DF1" w:rsidRDefault="005B24B3" w:rsidP="00715DF1">
      <w:pPr>
        <w:pStyle w:val="ListParagraph"/>
        <w:numPr>
          <w:ilvl w:val="0"/>
          <w:numId w:val="1"/>
        </w:numPr>
        <w:spacing w:after="0" w:line="240" w:lineRule="auto"/>
        <w:jc w:val="both"/>
        <w:rPr>
          <w:rFonts w:cs="Times New Roman"/>
          <w:szCs w:val="24"/>
        </w:rPr>
      </w:pPr>
      <w:r w:rsidRPr="00715DF1">
        <w:rPr>
          <w:rFonts w:cs="Times New Roman"/>
          <w:szCs w:val="24"/>
        </w:rPr>
        <w:t xml:space="preserve">Banerjee, D., &amp; Ranjan, A. (2024). ‘Illegal’ Migrants in Assam and West Bengal. In </w:t>
      </w:r>
      <w:r w:rsidRPr="00715DF1">
        <w:rPr>
          <w:rFonts w:cs="Times New Roman"/>
          <w:i/>
          <w:iCs/>
          <w:szCs w:val="24"/>
        </w:rPr>
        <w:t>The Socio-Politics of NRC and CAA</w:t>
      </w:r>
      <w:r w:rsidRPr="00715DF1">
        <w:rPr>
          <w:rFonts w:cs="Times New Roman"/>
          <w:szCs w:val="24"/>
        </w:rPr>
        <w:t xml:space="preserve"> (pp. 3–23). https://doi.org/10.4324/9781003463627-2</w:t>
      </w:r>
    </w:p>
    <w:p w14:paraId="6B8C4F15" w14:textId="77777777" w:rsidR="00BE127E" w:rsidRDefault="00BE127E" w:rsidP="00715DF1">
      <w:pPr>
        <w:pStyle w:val="ListParagraph"/>
        <w:numPr>
          <w:ilvl w:val="0"/>
          <w:numId w:val="1"/>
        </w:numPr>
        <w:spacing w:after="0" w:line="240" w:lineRule="auto"/>
        <w:jc w:val="both"/>
      </w:pPr>
      <w:r w:rsidRPr="00FD3B69">
        <w:t xml:space="preserve">Barth, F. (Ed.). (1969). </w:t>
      </w:r>
      <w:r w:rsidRPr="00715DF1">
        <w:rPr>
          <w:i/>
          <w:iCs/>
        </w:rPr>
        <w:t>Ethnic groups and boundaries: The social organization of cultural difference</w:t>
      </w:r>
      <w:r w:rsidRPr="00FD3B69">
        <w:t>. Little, Brown.</w:t>
      </w:r>
    </w:p>
    <w:p w14:paraId="6B6E6811" w14:textId="5A17F3A0" w:rsidR="00BE127E" w:rsidRPr="00715DF1" w:rsidRDefault="00BE127E" w:rsidP="00715DF1">
      <w:pPr>
        <w:pStyle w:val="ListParagraph"/>
        <w:numPr>
          <w:ilvl w:val="0"/>
          <w:numId w:val="1"/>
        </w:numPr>
        <w:spacing w:after="0" w:line="240" w:lineRule="auto"/>
        <w:jc w:val="both"/>
        <w:rPr>
          <w:rFonts w:cs="Times New Roman"/>
          <w:szCs w:val="24"/>
        </w:rPr>
      </w:pPr>
      <w:r w:rsidRPr="00715DF1">
        <w:rPr>
          <w:rFonts w:cs="Times New Roman"/>
          <w:szCs w:val="24"/>
        </w:rPr>
        <w:t>Baruah, S. (1999). India Against Itself: Assam and the Politics of Nationality. University of Pennsylvania Press.</w:t>
      </w:r>
    </w:p>
    <w:p w14:paraId="00C2C55B" w14:textId="26F9A8D4" w:rsidR="00BE127E" w:rsidRPr="00FD3B69" w:rsidRDefault="00BE127E" w:rsidP="00715DF1">
      <w:pPr>
        <w:pStyle w:val="ListParagraph"/>
        <w:numPr>
          <w:ilvl w:val="0"/>
          <w:numId w:val="1"/>
        </w:numPr>
        <w:spacing w:after="0" w:line="240" w:lineRule="auto"/>
        <w:jc w:val="both"/>
      </w:pPr>
      <w:proofErr w:type="spellStart"/>
      <w:r w:rsidRPr="00FD3B69">
        <w:t>Bijukumar</w:t>
      </w:r>
      <w:proofErr w:type="spellEnd"/>
      <w:r w:rsidRPr="00FD3B69">
        <w:t xml:space="preserve">, V. (2022). Enigma of 'Brus' in Mizoram: Displacement, repatriation and livelihood. </w:t>
      </w:r>
      <w:r w:rsidRPr="00715DF1">
        <w:rPr>
          <w:i/>
          <w:iCs/>
        </w:rPr>
        <w:t>York Space Institutional Repository</w:t>
      </w:r>
      <w:r w:rsidRPr="00FD3B69">
        <w:t>. York University.</w:t>
      </w:r>
    </w:p>
    <w:p w14:paraId="7C9130FB" w14:textId="35996DD9" w:rsidR="00BE127E" w:rsidRPr="00BE127E" w:rsidRDefault="00BE127E" w:rsidP="00715DF1">
      <w:pPr>
        <w:pStyle w:val="ListParagraph"/>
        <w:numPr>
          <w:ilvl w:val="0"/>
          <w:numId w:val="1"/>
        </w:numPr>
        <w:spacing w:after="0" w:line="240" w:lineRule="auto"/>
        <w:jc w:val="both"/>
      </w:pPr>
      <w:r w:rsidRPr="00FD3B69">
        <w:t xml:space="preserve">Brass, P. R. (1994). </w:t>
      </w:r>
      <w:r w:rsidRPr="00715DF1">
        <w:rPr>
          <w:i/>
          <w:iCs/>
        </w:rPr>
        <w:t>The politics of India since independence</w:t>
      </w:r>
      <w:r w:rsidRPr="00FD3B69">
        <w:t xml:space="preserve"> (2nd ed.). Cambridge University Press.</w:t>
      </w:r>
    </w:p>
    <w:p w14:paraId="4AD3896F" w14:textId="5719C68A" w:rsidR="002E2F98"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Castles, S., de Haas, H., &amp; Miller, M. J. (2014). The Age of Migration: International Population Movements in the Modern World (5th ed.). Guilford Press.</w:t>
      </w:r>
    </w:p>
    <w:p w14:paraId="4E6A208E" w14:textId="51EC2950" w:rsidR="00BE127E"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Chandra, K. (2004). Why Ethnic Parties Succeed: Patronage and Ethnic Headcounts in India. Cambridge University Press.</w:t>
      </w:r>
    </w:p>
    <w:p w14:paraId="33AFD280" w14:textId="77777777" w:rsidR="002E2F98"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Chhibber, P. K., &amp; Kollman, K. (2004). The Formation of National Party Systems: Federalism and Party Competition in Canada, Great Britain, India, and the United States. Princeton University Press.</w:t>
      </w:r>
    </w:p>
    <w:p w14:paraId="6403445E" w14:textId="005A98AA" w:rsidR="00BE127E" w:rsidRDefault="00BE127E" w:rsidP="00715DF1">
      <w:pPr>
        <w:pStyle w:val="ListParagraph"/>
        <w:numPr>
          <w:ilvl w:val="0"/>
          <w:numId w:val="1"/>
        </w:numPr>
        <w:spacing w:after="0" w:line="240" w:lineRule="auto"/>
        <w:jc w:val="both"/>
      </w:pPr>
      <w:r w:rsidRPr="00FD3B69">
        <w:t xml:space="preserve">Das, S. (2020). Bru displaced crisis and its socio-political implications. </w:t>
      </w:r>
      <w:r w:rsidRPr="00715DF1">
        <w:rPr>
          <w:i/>
          <w:iCs/>
        </w:rPr>
        <w:t>International Journal of Creative Research Thoughts</w:t>
      </w:r>
      <w:r w:rsidRPr="00FD3B69">
        <w:t xml:space="preserve">, </w:t>
      </w:r>
      <w:r w:rsidRPr="00715DF1">
        <w:rPr>
          <w:i/>
          <w:iCs/>
        </w:rPr>
        <w:t>8</w:t>
      </w:r>
      <w:r w:rsidRPr="00FD3B69">
        <w:t>(4), 120–135.</w:t>
      </w:r>
    </w:p>
    <w:p w14:paraId="19E9171A" w14:textId="2E9F7006" w:rsidR="00BE127E" w:rsidRPr="00715DF1" w:rsidRDefault="00BE127E" w:rsidP="00715DF1">
      <w:pPr>
        <w:pStyle w:val="ListParagraph"/>
        <w:numPr>
          <w:ilvl w:val="0"/>
          <w:numId w:val="1"/>
        </w:numPr>
        <w:spacing w:after="0" w:line="240" w:lineRule="auto"/>
        <w:jc w:val="both"/>
        <w:rPr>
          <w:rFonts w:cs="Times New Roman"/>
          <w:szCs w:val="24"/>
        </w:rPr>
      </w:pPr>
      <w:proofErr w:type="spellStart"/>
      <w:r w:rsidRPr="00715DF1">
        <w:rPr>
          <w:rFonts w:cs="Times New Roman"/>
          <w:szCs w:val="24"/>
        </w:rPr>
        <w:t>Deshingkar</w:t>
      </w:r>
      <w:proofErr w:type="spellEnd"/>
      <w:r w:rsidRPr="00715DF1">
        <w:rPr>
          <w:rFonts w:cs="Times New Roman"/>
          <w:szCs w:val="24"/>
        </w:rPr>
        <w:t>, P., &amp; Start, D. (2003). Seasonal Migration for Livelihoods in India: Coping, Accumulation and Exclusion. International Institute for Environment and Development (IIED).</w:t>
      </w:r>
    </w:p>
    <w:p w14:paraId="6C62C16F" w14:textId="77777777" w:rsidR="00BE127E" w:rsidRPr="00FD3B69" w:rsidRDefault="00BE127E" w:rsidP="00715DF1">
      <w:pPr>
        <w:pStyle w:val="ListParagraph"/>
        <w:numPr>
          <w:ilvl w:val="0"/>
          <w:numId w:val="1"/>
        </w:numPr>
        <w:spacing w:after="0" w:line="240" w:lineRule="auto"/>
        <w:jc w:val="both"/>
      </w:pPr>
      <w:r w:rsidRPr="00FD3B69">
        <w:t xml:space="preserve">Donnan, H., &amp; Wilson, T. M. (1999). </w:t>
      </w:r>
      <w:r w:rsidRPr="00715DF1">
        <w:rPr>
          <w:i/>
          <w:iCs/>
        </w:rPr>
        <w:t>Borders: Frontiers of identity, nation and state</w:t>
      </w:r>
      <w:r w:rsidRPr="00FD3B69">
        <w:t>. Berg Publishers.</w:t>
      </w:r>
    </w:p>
    <w:p w14:paraId="1CC4724B" w14:textId="77777777" w:rsidR="00BE127E" w:rsidRPr="00FD3B69" w:rsidRDefault="00BE127E" w:rsidP="00715DF1">
      <w:pPr>
        <w:pStyle w:val="ListParagraph"/>
        <w:numPr>
          <w:ilvl w:val="0"/>
          <w:numId w:val="1"/>
        </w:numPr>
        <w:spacing w:after="0" w:line="240" w:lineRule="auto"/>
        <w:jc w:val="both"/>
      </w:pPr>
      <w:r w:rsidRPr="00FD3B69">
        <w:t xml:space="preserve">Election Commission of India. (2023). </w:t>
      </w:r>
      <w:r w:rsidRPr="00715DF1">
        <w:rPr>
          <w:i/>
          <w:iCs/>
        </w:rPr>
        <w:t>Inclusive elections in India: A study on domestic migration and voter participation</w:t>
      </w:r>
      <w:r w:rsidRPr="00FD3B69">
        <w:t>. ECI Research Division.</w:t>
      </w:r>
    </w:p>
    <w:p w14:paraId="1B4A2E84" w14:textId="77777777" w:rsidR="00BE127E" w:rsidRPr="00FD3B69" w:rsidRDefault="00BE127E" w:rsidP="00715DF1">
      <w:pPr>
        <w:pStyle w:val="ListParagraph"/>
        <w:numPr>
          <w:ilvl w:val="0"/>
          <w:numId w:val="1"/>
        </w:numPr>
        <w:spacing w:after="0" w:line="240" w:lineRule="auto"/>
        <w:jc w:val="both"/>
      </w:pPr>
      <w:r w:rsidRPr="00FD3B69">
        <w:t xml:space="preserve">Gordon, M. M. (1964). </w:t>
      </w:r>
      <w:r w:rsidRPr="00715DF1">
        <w:rPr>
          <w:i/>
          <w:iCs/>
        </w:rPr>
        <w:t>Assimilation in American life: The role of race, religion, and national origins</w:t>
      </w:r>
      <w:r w:rsidRPr="00FD3B69">
        <w:t>. Oxford University Press.</w:t>
      </w:r>
    </w:p>
    <w:p w14:paraId="7B2B4958" w14:textId="73B3FC13" w:rsidR="002E2F98" w:rsidRPr="00BE127E" w:rsidRDefault="00BE127E" w:rsidP="00715DF1">
      <w:pPr>
        <w:pStyle w:val="ListParagraph"/>
        <w:numPr>
          <w:ilvl w:val="0"/>
          <w:numId w:val="1"/>
        </w:numPr>
        <w:spacing w:after="0" w:line="240" w:lineRule="auto"/>
        <w:jc w:val="both"/>
      </w:pPr>
      <w:r w:rsidRPr="00FD3B69">
        <w:t xml:space="preserve">Gokhale, N. (2001). </w:t>
      </w:r>
      <w:r w:rsidRPr="00715DF1">
        <w:rPr>
          <w:i/>
          <w:iCs/>
        </w:rPr>
        <w:t>Tremors in Assam: The Bangladeshi migrant issue</w:t>
      </w:r>
      <w:r w:rsidRPr="00FD3B69">
        <w:t>. Penguin Books India.</w:t>
      </w:r>
    </w:p>
    <w:p w14:paraId="7C5B6860" w14:textId="20E9A0A1" w:rsidR="002E2F98"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Government of India. (2011). Census of India 2011. Office of the Registrar General &amp; Census Commissioner.</w:t>
      </w:r>
    </w:p>
    <w:p w14:paraId="4EE68803" w14:textId="48293AAA" w:rsidR="00BE127E"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Government of India. (2019). Citizenship Amendment Act, 2019. Ministry of Home Affairs.</w:t>
      </w:r>
    </w:p>
    <w:p w14:paraId="2474268B" w14:textId="265B43E4" w:rsidR="002E2F98"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Hazarika, S. (1994). Strangers of the Mist: Tales of War and Peace from India's Northeast. Viking.</w:t>
      </w:r>
    </w:p>
    <w:p w14:paraId="65790D70" w14:textId="70BC6A17" w:rsidR="00BE127E" w:rsidRPr="00BE127E" w:rsidRDefault="00BE127E" w:rsidP="00715DF1">
      <w:pPr>
        <w:pStyle w:val="ListParagraph"/>
        <w:numPr>
          <w:ilvl w:val="0"/>
          <w:numId w:val="1"/>
        </w:numPr>
        <w:spacing w:after="0" w:line="240" w:lineRule="auto"/>
        <w:jc w:val="both"/>
      </w:pPr>
      <w:r w:rsidRPr="00FD3B69">
        <w:t xml:space="preserve">Hazarika, S. (2000). </w:t>
      </w:r>
      <w:r w:rsidRPr="00715DF1">
        <w:rPr>
          <w:i/>
          <w:iCs/>
        </w:rPr>
        <w:t>Rites of passage: Border crossings, imagined homelands, India's east and Bangladesh</w:t>
      </w:r>
      <w:r w:rsidRPr="00FD3B69">
        <w:t>. Penguin Books India.</w:t>
      </w:r>
    </w:p>
    <w:p w14:paraId="2B1152F7" w14:textId="16483708" w:rsidR="002E2F98"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Horowitz, D. L. (1985). Ethnic Groups in Conflict. University of California Press.</w:t>
      </w:r>
    </w:p>
    <w:p w14:paraId="37F19878" w14:textId="3AAC0EF0" w:rsidR="005B24B3" w:rsidRPr="005B24B3" w:rsidRDefault="005B24B3" w:rsidP="00715DF1">
      <w:pPr>
        <w:pStyle w:val="ListParagraph"/>
        <w:numPr>
          <w:ilvl w:val="0"/>
          <w:numId w:val="1"/>
        </w:numPr>
        <w:spacing w:after="0" w:line="240" w:lineRule="auto"/>
        <w:jc w:val="both"/>
      </w:pPr>
      <w:proofErr w:type="spellStart"/>
      <w:r w:rsidRPr="00FD3B69">
        <w:lastRenderedPageBreak/>
        <w:t>Ijnrd</w:t>
      </w:r>
      <w:proofErr w:type="spellEnd"/>
      <w:r w:rsidRPr="00FD3B69">
        <w:t xml:space="preserve">. (2025). Decentralized voting for displaced voters: A blockchain-based approach. </w:t>
      </w:r>
      <w:r w:rsidRPr="00715DF1">
        <w:rPr>
          <w:i/>
          <w:iCs/>
        </w:rPr>
        <w:t>International Journal of Novel Research and Development</w:t>
      </w:r>
      <w:r w:rsidRPr="00FD3B69">
        <w:t xml:space="preserve">, </w:t>
      </w:r>
      <w:r w:rsidRPr="00715DF1">
        <w:rPr>
          <w:i/>
          <w:iCs/>
        </w:rPr>
        <w:t>10</w:t>
      </w:r>
      <w:r w:rsidRPr="00FD3B69">
        <w:t>(3), 205–218.</w:t>
      </w:r>
      <w:hyperlink r:id="rId9" w:tgtFrame="_blank" w:history="1">
        <w:r w:rsidRPr="00FD3B69">
          <w:rPr>
            <w:rStyle w:val="Hyperlink"/>
          </w:rPr>
          <w:t>ijnrd</w:t>
        </w:r>
      </w:hyperlink>
    </w:p>
    <w:p w14:paraId="7BF0AE70" w14:textId="77777777" w:rsidR="00BE127E" w:rsidRDefault="00BE127E" w:rsidP="00715DF1">
      <w:pPr>
        <w:pStyle w:val="ListParagraph"/>
        <w:numPr>
          <w:ilvl w:val="0"/>
          <w:numId w:val="1"/>
        </w:numPr>
        <w:spacing w:after="0" w:line="240" w:lineRule="auto"/>
        <w:jc w:val="both"/>
      </w:pPr>
      <w:r w:rsidRPr="00FD3B69">
        <w:t xml:space="preserve">International IDEA. (2024). </w:t>
      </w:r>
      <w:r w:rsidRPr="00715DF1">
        <w:rPr>
          <w:i/>
          <w:iCs/>
        </w:rPr>
        <w:t>Absent voters of India: Challenges and prospects for enfranchisement of migrants</w:t>
      </w:r>
      <w:r w:rsidRPr="00FD3B69">
        <w:t>. International Institute for Democracy and Electoral Assistance.</w:t>
      </w:r>
    </w:p>
    <w:p w14:paraId="79178DA9" w14:textId="77777777" w:rsidR="005B24B3" w:rsidRPr="00FD3B69" w:rsidRDefault="005B24B3" w:rsidP="00715DF1">
      <w:pPr>
        <w:spacing w:after="0" w:line="240" w:lineRule="auto"/>
        <w:jc w:val="both"/>
      </w:pPr>
    </w:p>
    <w:p w14:paraId="4F62FDB2" w14:textId="77777777" w:rsidR="00BE127E" w:rsidRPr="00FD3B69" w:rsidRDefault="00BE127E" w:rsidP="00715DF1">
      <w:pPr>
        <w:pStyle w:val="ListParagraph"/>
        <w:numPr>
          <w:ilvl w:val="0"/>
          <w:numId w:val="1"/>
        </w:numPr>
        <w:spacing w:after="0" w:line="240" w:lineRule="auto"/>
        <w:jc w:val="both"/>
      </w:pPr>
      <w:proofErr w:type="spellStart"/>
      <w:r w:rsidRPr="00FD3B69">
        <w:t>Jaffrelot</w:t>
      </w:r>
      <w:proofErr w:type="spellEnd"/>
      <w:r w:rsidRPr="00FD3B69">
        <w:t xml:space="preserve">, C., &amp; Verniers, G. (2020). </w:t>
      </w:r>
      <w:r w:rsidRPr="00715DF1">
        <w:rPr>
          <w:i/>
          <w:iCs/>
        </w:rPr>
        <w:t>A new India? The BJP and the politics of Hindutva</w:t>
      </w:r>
      <w:r w:rsidRPr="00FD3B69">
        <w:t>. Hurst Publishers.</w:t>
      </w:r>
    </w:p>
    <w:p w14:paraId="23AB78A5" w14:textId="044029C3" w:rsidR="00BE127E" w:rsidRPr="00FD3B69" w:rsidRDefault="00BE127E" w:rsidP="00715DF1">
      <w:pPr>
        <w:pStyle w:val="ListParagraph"/>
        <w:numPr>
          <w:ilvl w:val="0"/>
          <w:numId w:val="1"/>
        </w:numPr>
        <w:spacing w:after="0" w:line="240" w:lineRule="auto"/>
        <w:jc w:val="both"/>
      </w:pPr>
      <w:r w:rsidRPr="00FD3B69">
        <w:t xml:space="preserve">Journal of Political Science. (2025). Impact of migration in election in India. </w:t>
      </w:r>
      <w:r w:rsidRPr="00715DF1">
        <w:rPr>
          <w:i/>
          <w:iCs/>
        </w:rPr>
        <w:t>Journal of Political Science</w:t>
      </w:r>
      <w:r w:rsidRPr="00FD3B69">
        <w:t xml:space="preserve">, </w:t>
      </w:r>
      <w:r w:rsidRPr="00715DF1">
        <w:rPr>
          <w:i/>
          <w:iCs/>
        </w:rPr>
        <w:t>7</w:t>
      </w:r>
      <w:r w:rsidRPr="00FD3B69">
        <w:t>(11). https://www.journalofpoliticalscience.com/archives/2025.v7.i11.B.753</w:t>
      </w:r>
    </w:p>
    <w:p w14:paraId="078B27DB" w14:textId="77777777" w:rsidR="005B24B3" w:rsidRPr="00715DF1" w:rsidRDefault="005B24B3" w:rsidP="00715DF1">
      <w:pPr>
        <w:pStyle w:val="ListParagraph"/>
        <w:numPr>
          <w:ilvl w:val="0"/>
          <w:numId w:val="1"/>
        </w:numPr>
        <w:spacing w:after="0" w:line="240" w:lineRule="auto"/>
        <w:jc w:val="both"/>
        <w:rPr>
          <w:rFonts w:cs="Times New Roman"/>
          <w:szCs w:val="24"/>
        </w:rPr>
      </w:pPr>
      <w:r w:rsidRPr="00715DF1">
        <w:rPr>
          <w:rFonts w:cs="Times New Roman"/>
          <w:szCs w:val="24"/>
        </w:rPr>
        <w:t>Kaur, H. (2023). Understanding early formation of Punjabi diaspora: Causes and patterns. </w:t>
      </w:r>
      <w:r w:rsidRPr="00715DF1">
        <w:rPr>
          <w:rFonts w:cs="Times New Roman"/>
          <w:i/>
          <w:iCs/>
          <w:szCs w:val="24"/>
        </w:rPr>
        <w:t>Journal of Sikh and Punjab Studies, 27</w:t>
      </w:r>
      <w:r w:rsidRPr="00715DF1">
        <w:rPr>
          <w:rFonts w:cs="Times New Roman"/>
          <w:szCs w:val="24"/>
        </w:rPr>
        <w:t>(1), 1–28. </w:t>
      </w:r>
      <w:hyperlink r:id="rId10" w:tgtFrame="_blank" w:history="1">
        <w:r w:rsidRPr="00715DF1">
          <w:rPr>
            <w:rStyle w:val="Hyperlink"/>
            <w:rFonts w:cs="Times New Roman"/>
            <w:szCs w:val="24"/>
          </w:rPr>
          <w:t>https://giss.org/jsps_vol_27/01-hardeep_kaur.pdf</w:t>
        </w:r>
      </w:hyperlink>
    </w:p>
    <w:p w14:paraId="0084AC4B" w14:textId="77777777" w:rsidR="005B24B3" w:rsidRPr="00715DF1" w:rsidRDefault="005B24B3" w:rsidP="00715DF1">
      <w:pPr>
        <w:pStyle w:val="ListParagraph"/>
        <w:numPr>
          <w:ilvl w:val="0"/>
          <w:numId w:val="1"/>
        </w:numPr>
        <w:spacing w:after="0" w:line="240" w:lineRule="auto"/>
        <w:jc w:val="both"/>
        <w:rPr>
          <w:rFonts w:cs="Times New Roman"/>
          <w:szCs w:val="24"/>
        </w:rPr>
      </w:pPr>
      <w:r w:rsidRPr="00715DF1">
        <w:rPr>
          <w:rFonts w:cs="Times New Roman"/>
          <w:szCs w:val="24"/>
        </w:rPr>
        <w:t>Kaur, R. (2008). Displacement and refugees from Rawalpindi during Partition. </w:t>
      </w:r>
      <w:r w:rsidRPr="00715DF1">
        <w:rPr>
          <w:rFonts w:cs="Times New Roman"/>
          <w:i/>
          <w:iCs/>
          <w:szCs w:val="24"/>
        </w:rPr>
        <w:t>Punjab Journal, 14</w:t>
      </w:r>
      <w:r w:rsidRPr="00715DF1">
        <w:rPr>
          <w:rFonts w:cs="Times New Roman"/>
          <w:szCs w:val="24"/>
        </w:rPr>
        <w:t>(1). </w:t>
      </w:r>
      <w:hyperlink r:id="rId11" w:tgtFrame="_blank" w:history="1">
        <w:r w:rsidRPr="00715DF1">
          <w:rPr>
            <w:rStyle w:val="Hyperlink"/>
            <w:rFonts w:cs="Times New Roman"/>
            <w:szCs w:val="24"/>
          </w:rPr>
          <w:t>https://punjab.global.ucsb.edu/sites/default/files/sitefiles/journals/volume14/no1/14.1_Kaur.pdf</w:t>
        </w:r>
      </w:hyperlink>
    </w:p>
    <w:p w14:paraId="3161D6B9" w14:textId="77777777" w:rsidR="005B24B3" w:rsidRPr="00715DF1" w:rsidRDefault="005B24B3" w:rsidP="00715DF1">
      <w:pPr>
        <w:pStyle w:val="ListParagraph"/>
        <w:numPr>
          <w:ilvl w:val="0"/>
          <w:numId w:val="1"/>
        </w:numPr>
        <w:spacing w:after="0" w:line="240" w:lineRule="auto"/>
        <w:jc w:val="both"/>
        <w:rPr>
          <w:rFonts w:cs="Times New Roman"/>
          <w:szCs w:val="24"/>
        </w:rPr>
      </w:pPr>
      <w:proofErr w:type="spellStart"/>
      <w:r w:rsidRPr="00715DF1">
        <w:rPr>
          <w:rFonts w:cs="Times New Roman"/>
          <w:szCs w:val="24"/>
        </w:rPr>
        <w:t>Kharbithai</w:t>
      </w:r>
      <w:proofErr w:type="spellEnd"/>
      <w:r w:rsidRPr="00715DF1">
        <w:rPr>
          <w:rFonts w:cs="Times New Roman"/>
          <w:szCs w:val="24"/>
        </w:rPr>
        <w:t xml:space="preserve">, M., &amp; Mishra, P. (2025b). Citizenship Debate in Assam: A Historical account of the Colonial and Post-Colonial developments. </w:t>
      </w:r>
      <w:r w:rsidRPr="00715DF1">
        <w:rPr>
          <w:rFonts w:cs="Times New Roman"/>
          <w:i/>
          <w:iCs/>
          <w:szCs w:val="24"/>
        </w:rPr>
        <w:t>Journal of Contemporary Politics</w:t>
      </w:r>
      <w:r w:rsidRPr="00715DF1">
        <w:rPr>
          <w:rFonts w:cs="Times New Roman"/>
          <w:szCs w:val="24"/>
        </w:rPr>
        <w:t xml:space="preserve">, </w:t>
      </w:r>
      <w:r w:rsidRPr="00715DF1">
        <w:rPr>
          <w:rFonts w:cs="Times New Roman"/>
          <w:i/>
          <w:iCs/>
          <w:szCs w:val="24"/>
        </w:rPr>
        <w:t>4</w:t>
      </w:r>
      <w:r w:rsidRPr="00715DF1">
        <w:rPr>
          <w:rFonts w:cs="Times New Roman"/>
          <w:szCs w:val="24"/>
        </w:rPr>
        <w:t>(3), 101–109. https://doi.org/10.53989/jcp.v4i3.25.61</w:t>
      </w:r>
    </w:p>
    <w:p w14:paraId="1C9D50DD" w14:textId="77777777" w:rsidR="005B24B3" w:rsidRPr="00FD3B69" w:rsidRDefault="005B24B3" w:rsidP="00715DF1">
      <w:pPr>
        <w:pStyle w:val="ListParagraph"/>
        <w:numPr>
          <w:ilvl w:val="0"/>
          <w:numId w:val="1"/>
        </w:numPr>
        <w:spacing w:after="0" w:line="240" w:lineRule="auto"/>
        <w:jc w:val="both"/>
      </w:pPr>
      <w:r w:rsidRPr="00FD3B69">
        <w:t xml:space="preserve">Mahanta, N. G. (2021). </w:t>
      </w:r>
      <w:r w:rsidRPr="00715DF1">
        <w:rPr>
          <w:i/>
          <w:iCs/>
        </w:rPr>
        <w:t>Citizenship debate over NRC and CAA: Assam and the politics of history</w:t>
      </w:r>
      <w:r w:rsidRPr="00FD3B69">
        <w:t xml:space="preserve">. SAGE </w:t>
      </w:r>
      <w:proofErr w:type="spellStart"/>
      <w:r w:rsidRPr="00FD3B69">
        <w:t>India.</w:t>
      </w:r>
      <w:hyperlink r:id="rId12" w:tgtFrame="_blank" w:history="1">
        <w:proofErr w:type="gramStart"/>
        <w:r w:rsidRPr="00FD3B69">
          <w:rPr>
            <w:rStyle w:val="Hyperlink"/>
          </w:rPr>
          <w:t>journals.openedition</w:t>
        </w:r>
        <w:proofErr w:type="spellEnd"/>
        <w:proofErr w:type="gramEnd"/>
      </w:hyperlink>
    </w:p>
    <w:p w14:paraId="5A33DD0A" w14:textId="77777777" w:rsidR="005B24B3" w:rsidRPr="00FD3B69" w:rsidRDefault="005B24B3" w:rsidP="00715DF1">
      <w:pPr>
        <w:pStyle w:val="ListParagraph"/>
        <w:numPr>
          <w:ilvl w:val="0"/>
          <w:numId w:val="1"/>
        </w:numPr>
        <w:spacing w:after="0" w:line="240" w:lineRule="auto"/>
        <w:jc w:val="both"/>
      </w:pPr>
      <w:r w:rsidRPr="00FD3B69">
        <w:t xml:space="preserve">Morris-Jones, W. H. (1967). The Indian political cadre and the political system. In R. </w:t>
      </w:r>
      <w:proofErr w:type="spellStart"/>
      <w:r w:rsidRPr="00FD3B69">
        <w:t>Braibanti</w:t>
      </w:r>
      <w:proofErr w:type="spellEnd"/>
      <w:r w:rsidRPr="00FD3B69">
        <w:t xml:space="preserve"> (Ed.), </w:t>
      </w:r>
      <w:r w:rsidRPr="00715DF1">
        <w:rPr>
          <w:i/>
          <w:iCs/>
        </w:rPr>
        <w:t>Asian bureaucratic systems emergent from the British imperial tradition</w:t>
      </w:r>
      <w:r w:rsidRPr="00FD3B69">
        <w:t xml:space="preserve"> (pp. 27–60). Duke University Press.</w:t>
      </w:r>
    </w:p>
    <w:p w14:paraId="38E31D88" w14:textId="09823FA3" w:rsidR="00BE127E" w:rsidRPr="005B24B3" w:rsidRDefault="005B24B3" w:rsidP="00715DF1">
      <w:pPr>
        <w:pStyle w:val="ListParagraph"/>
        <w:numPr>
          <w:ilvl w:val="0"/>
          <w:numId w:val="1"/>
        </w:numPr>
        <w:spacing w:after="0" w:line="240" w:lineRule="auto"/>
        <w:jc w:val="both"/>
      </w:pPr>
      <w:r w:rsidRPr="00C92B4A">
        <w:t>Naik, A. (2024). </w:t>
      </w:r>
      <w:r w:rsidRPr="00715DF1">
        <w:rPr>
          <w:i/>
          <w:iCs/>
        </w:rPr>
        <w:t>Tracing internal migration governance in India through a mainstreaming lens</w:t>
      </w:r>
      <w:r w:rsidRPr="00C92B4A">
        <w:t>. Centre for Policy Research India. </w:t>
      </w:r>
      <w:hyperlink r:id="rId13" w:tgtFrame="_blank" w:history="1">
        <w:r w:rsidRPr="00C92B4A">
          <w:rPr>
            <w:rStyle w:val="Hyperlink"/>
          </w:rPr>
          <w:t>https://cprindia.org/wp-content/uploads/2024/04/naik-2024-tracing-internal-migration-governance-in-india-through-a-mainstreaming-lens.pdf</w:t>
        </w:r>
      </w:hyperlink>
    </w:p>
    <w:p w14:paraId="28AA9AD0" w14:textId="6B73E008" w:rsidR="002E2F98"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Pandey, G. (2006). Remembering Partition: Violence, Nationalism and History in India. Cambridge University Press.</w:t>
      </w:r>
    </w:p>
    <w:p w14:paraId="54CEA1AD" w14:textId="5D025782" w:rsidR="005B24B3" w:rsidRPr="00FD3B69" w:rsidRDefault="005B24B3" w:rsidP="00715DF1">
      <w:pPr>
        <w:pStyle w:val="ListParagraph"/>
        <w:numPr>
          <w:ilvl w:val="0"/>
          <w:numId w:val="1"/>
        </w:numPr>
        <w:spacing w:after="0" w:line="240" w:lineRule="auto"/>
        <w:jc w:val="both"/>
      </w:pPr>
      <w:r w:rsidRPr="00FD3B69">
        <w:t xml:space="preserve">Pan, K. (2023). Identity politics in India: A brief overview. </w:t>
      </w:r>
      <w:r w:rsidRPr="00715DF1">
        <w:rPr>
          <w:i/>
          <w:iCs/>
        </w:rPr>
        <w:t>Vanguard Think Tank Journal</w:t>
      </w:r>
      <w:r w:rsidRPr="00FD3B69">
        <w:t>. https://vanguardthinktank.org/identity-politics-in-india-a-brief-overview</w:t>
      </w:r>
    </w:p>
    <w:p w14:paraId="161D5B5E" w14:textId="7F46DFBD" w:rsidR="005B24B3" w:rsidRPr="00FD3B69" w:rsidRDefault="005B24B3" w:rsidP="00715DF1">
      <w:pPr>
        <w:pStyle w:val="ListParagraph"/>
        <w:numPr>
          <w:ilvl w:val="0"/>
          <w:numId w:val="1"/>
        </w:numPr>
        <w:spacing w:after="0" w:line="240" w:lineRule="auto"/>
        <w:jc w:val="both"/>
      </w:pPr>
      <w:r w:rsidRPr="00FD3B69">
        <w:t xml:space="preserve">Philip, R. (2024). The enfranchisement challenge: India's mobile electorate. In </w:t>
      </w:r>
      <w:r w:rsidRPr="00715DF1">
        <w:rPr>
          <w:i/>
          <w:iCs/>
        </w:rPr>
        <w:t>Absent voters of India</w:t>
      </w:r>
      <w:r w:rsidRPr="00FD3B69">
        <w:t xml:space="preserve"> (pp. 44–67). International IDEA.</w:t>
      </w:r>
    </w:p>
    <w:p w14:paraId="710119DB" w14:textId="77777777" w:rsidR="005B24B3" w:rsidRPr="00715DF1" w:rsidRDefault="005B24B3" w:rsidP="00715DF1">
      <w:pPr>
        <w:pStyle w:val="ListParagraph"/>
        <w:numPr>
          <w:ilvl w:val="0"/>
          <w:numId w:val="1"/>
        </w:numPr>
        <w:spacing w:after="0" w:line="240" w:lineRule="auto"/>
        <w:jc w:val="both"/>
        <w:rPr>
          <w:rFonts w:cs="Times New Roman"/>
          <w:szCs w:val="24"/>
        </w:rPr>
      </w:pPr>
      <w:r w:rsidRPr="00715DF1">
        <w:rPr>
          <w:rFonts w:cs="Times New Roman"/>
          <w:szCs w:val="24"/>
        </w:rPr>
        <w:t xml:space="preserve">Rahman, G. M. (2024). </w:t>
      </w:r>
      <w:r w:rsidRPr="00715DF1">
        <w:rPr>
          <w:rFonts w:cs="Times New Roman"/>
          <w:i/>
          <w:iCs/>
          <w:szCs w:val="24"/>
        </w:rPr>
        <w:t>Migration Patterns of the Bangla-Speaking Community in the Malay Peninsula</w:t>
      </w:r>
      <w:r w:rsidRPr="00715DF1">
        <w:rPr>
          <w:rFonts w:cs="Times New Roman"/>
          <w:szCs w:val="24"/>
        </w:rPr>
        <w:t xml:space="preserve"> (pp. 1–23). https://doi.org/10.1007/978-981-99-8001-7_8-1</w:t>
      </w:r>
    </w:p>
    <w:p w14:paraId="29172B2D" w14:textId="77777777" w:rsidR="005B24B3" w:rsidRPr="00FD3B69" w:rsidRDefault="005B24B3" w:rsidP="00715DF1">
      <w:pPr>
        <w:pStyle w:val="ListParagraph"/>
        <w:numPr>
          <w:ilvl w:val="0"/>
          <w:numId w:val="1"/>
        </w:numPr>
        <w:spacing w:after="0" w:line="240" w:lineRule="auto"/>
        <w:jc w:val="both"/>
      </w:pPr>
      <w:proofErr w:type="spellStart"/>
      <w:r w:rsidRPr="00FD3B69">
        <w:t>Sadanandan</w:t>
      </w:r>
      <w:proofErr w:type="spellEnd"/>
      <w:r w:rsidRPr="00FD3B69">
        <w:t xml:space="preserve">, A. (2012). Patronage and decentralization: The politics of poverty in India. </w:t>
      </w:r>
      <w:r w:rsidRPr="00715DF1">
        <w:rPr>
          <w:i/>
          <w:iCs/>
        </w:rPr>
        <w:t>Comparative Politics</w:t>
      </w:r>
      <w:r w:rsidRPr="00FD3B69">
        <w:t xml:space="preserve">, </w:t>
      </w:r>
      <w:r w:rsidRPr="00715DF1">
        <w:rPr>
          <w:i/>
          <w:iCs/>
        </w:rPr>
        <w:t>44</w:t>
      </w:r>
      <w:r w:rsidRPr="00FD3B69">
        <w:t>(2), 211–228.</w:t>
      </w:r>
    </w:p>
    <w:p w14:paraId="78E017F0" w14:textId="77777777" w:rsidR="005B24B3" w:rsidRDefault="005B24B3" w:rsidP="00715DF1">
      <w:pPr>
        <w:pStyle w:val="ListParagraph"/>
        <w:numPr>
          <w:ilvl w:val="0"/>
          <w:numId w:val="1"/>
        </w:numPr>
        <w:spacing w:after="0" w:line="240" w:lineRule="auto"/>
        <w:jc w:val="both"/>
      </w:pPr>
      <w:r w:rsidRPr="00FD3B69">
        <w:t xml:space="preserve">Saikia, Y. (2020). </w:t>
      </w:r>
      <w:r w:rsidRPr="00715DF1">
        <w:rPr>
          <w:i/>
          <w:iCs/>
        </w:rPr>
        <w:t>In the ruins of empire: The Assam-Bengal borderlands and the politics of belonging</w:t>
      </w:r>
      <w:r w:rsidRPr="00FD3B69">
        <w:t>. Stanford University Press.</w:t>
      </w:r>
    </w:p>
    <w:p w14:paraId="173567EA" w14:textId="123F9193" w:rsidR="005B24B3" w:rsidRPr="00715DF1" w:rsidRDefault="005B24B3" w:rsidP="00715DF1">
      <w:pPr>
        <w:pStyle w:val="ListParagraph"/>
        <w:numPr>
          <w:ilvl w:val="0"/>
          <w:numId w:val="1"/>
        </w:numPr>
        <w:spacing w:after="0" w:line="240" w:lineRule="auto"/>
        <w:jc w:val="both"/>
        <w:rPr>
          <w:rFonts w:cs="Times New Roman"/>
          <w:szCs w:val="24"/>
        </w:rPr>
      </w:pPr>
      <w:r w:rsidRPr="00715DF1">
        <w:rPr>
          <w:rFonts w:cs="Times New Roman"/>
          <w:szCs w:val="24"/>
        </w:rPr>
        <w:t>Sharma, T. (2020). Transnational modernity/coloniality: Linking Punjab's canal colonies to out-migration. </w:t>
      </w:r>
      <w:r w:rsidRPr="00715DF1">
        <w:rPr>
          <w:rFonts w:cs="Times New Roman"/>
          <w:i/>
          <w:iCs/>
          <w:szCs w:val="24"/>
        </w:rPr>
        <w:t>Studies in Social Justice, 14</w:t>
      </w:r>
      <w:r w:rsidRPr="00715DF1">
        <w:rPr>
          <w:rFonts w:cs="Times New Roman"/>
          <w:szCs w:val="24"/>
        </w:rPr>
        <w:t>(1). </w:t>
      </w:r>
      <w:hyperlink r:id="rId14" w:tgtFrame="_blank" w:history="1">
        <w:r w:rsidRPr="00715DF1">
          <w:rPr>
            <w:rStyle w:val="Hyperlink"/>
            <w:rFonts w:cs="Times New Roman"/>
            <w:szCs w:val="24"/>
          </w:rPr>
          <w:t>https://journals.library.brocku.ca/index.php/SSJ/article/view/2272/1898</w:t>
        </w:r>
      </w:hyperlink>
    </w:p>
    <w:p w14:paraId="4803540A" w14:textId="243D27A4" w:rsidR="005B24B3" w:rsidRPr="00FD3B69" w:rsidRDefault="005B24B3" w:rsidP="00715DF1">
      <w:pPr>
        <w:pStyle w:val="ListParagraph"/>
        <w:numPr>
          <w:ilvl w:val="0"/>
          <w:numId w:val="1"/>
        </w:numPr>
        <w:spacing w:after="0" w:line="240" w:lineRule="auto"/>
        <w:jc w:val="both"/>
      </w:pPr>
      <w:r w:rsidRPr="00FD3B69">
        <w:t xml:space="preserve">SIJSS. (2025). Citizenship, migration, and identity politics in Assam. </w:t>
      </w:r>
      <w:r w:rsidRPr="00715DF1">
        <w:rPr>
          <w:i/>
          <w:iCs/>
        </w:rPr>
        <w:t>South Indian Journal of Social Sciences</w:t>
      </w:r>
      <w:r w:rsidRPr="00FD3B69">
        <w:t xml:space="preserve">, </w:t>
      </w:r>
      <w:r w:rsidRPr="00715DF1">
        <w:rPr>
          <w:i/>
          <w:iCs/>
        </w:rPr>
        <w:t>23</w:t>
      </w:r>
      <w:r w:rsidRPr="00FD3B69">
        <w:t>(2), 45–67.</w:t>
      </w:r>
    </w:p>
    <w:p w14:paraId="3AF00ADB" w14:textId="3A748C75" w:rsidR="005B24B3" w:rsidRPr="00FD3B69" w:rsidRDefault="005B24B3" w:rsidP="00715DF1">
      <w:pPr>
        <w:pStyle w:val="ListParagraph"/>
        <w:numPr>
          <w:ilvl w:val="0"/>
          <w:numId w:val="1"/>
        </w:numPr>
        <w:spacing w:after="0" w:line="240" w:lineRule="auto"/>
        <w:jc w:val="both"/>
      </w:pPr>
      <w:r w:rsidRPr="00FD3B69">
        <w:t xml:space="preserve">The Wire. (2026, January 11). When the electorate itself is edited: The constitutional crisis of mass disenfranchisement. </w:t>
      </w:r>
      <w:r w:rsidRPr="00715DF1">
        <w:rPr>
          <w:i/>
          <w:iCs/>
        </w:rPr>
        <w:t>The Wire</w:t>
      </w:r>
      <w:r w:rsidRPr="00FD3B69">
        <w:t>. https://thewire.in</w:t>
      </w:r>
    </w:p>
    <w:p w14:paraId="75AEFA8B" w14:textId="2485C21D" w:rsidR="005B24B3" w:rsidRPr="005B24B3" w:rsidRDefault="005B24B3" w:rsidP="00715DF1">
      <w:pPr>
        <w:pStyle w:val="ListParagraph"/>
        <w:numPr>
          <w:ilvl w:val="0"/>
          <w:numId w:val="1"/>
        </w:numPr>
        <w:spacing w:after="0" w:line="240" w:lineRule="auto"/>
        <w:jc w:val="both"/>
      </w:pPr>
      <w:r w:rsidRPr="00FD3B69">
        <w:lastRenderedPageBreak/>
        <w:t xml:space="preserve">VIF India. (2019). </w:t>
      </w:r>
      <w:r w:rsidRPr="00715DF1">
        <w:rPr>
          <w:i/>
          <w:iCs/>
        </w:rPr>
        <w:t>Displaced Brus from Mizoram in Tripura: Time for resolution</w:t>
      </w:r>
      <w:r w:rsidRPr="00FD3B69">
        <w:t>. Vivekananda International Foundation.</w:t>
      </w:r>
    </w:p>
    <w:p w14:paraId="0D8A0FDF" w14:textId="68F3386A" w:rsidR="00523A2B"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Yadav, Y. (1999). Electoral Politics in the Time of Change: India's 1990s. In Z. Hasan (Ed.), Parties and Party Politics in India. Oxford University Press.</w:t>
      </w:r>
    </w:p>
    <w:sectPr w:rsidR="00523A2B" w:rsidRPr="00715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044B4"/>
    <w:multiLevelType w:val="hybridMultilevel"/>
    <w:tmpl w:val="DD024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97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98"/>
    <w:rsid w:val="00060793"/>
    <w:rsid w:val="000B53BA"/>
    <w:rsid w:val="00135B31"/>
    <w:rsid w:val="001D19F9"/>
    <w:rsid w:val="00252BEF"/>
    <w:rsid w:val="002E2F98"/>
    <w:rsid w:val="003F6F78"/>
    <w:rsid w:val="00494B6D"/>
    <w:rsid w:val="004F1971"/>
    <w:rsid w:val="00523A2B"/>
    <w:rsid w:val="00584C2E"/>
    <w:rsid w:val="005979F7"/>
    <w:rsid w:val="005B24B3"/>
    <w:rsid w:val="00715DF1"/>
    <w:rsid w:val="007942D5"/>
    <w:rsid w:val="007C5A8E"/>
    <w:rsid w:val="00813205"/>
    <w:rsid w:val="008C2B68"/>
    <w:rsid w:val="00906305"/>
    <w:rsid w:val="00945603"/>
    <w:rsid w:val="00953AA6"/>
    <w:rsid w:val="009E4BF5"/>
    <w:rsid w:val="00A02F44"/>
    <w:rsid w:val="00A805E9"/>
    <w:rsid w:val="00B74A03"/>
    <w:rsid w:val="00BE127E"/>
    <w:rsid w:val="00C92B4A"/>
    <w:rsid w:val="00CB46C8"/>
    <w:rsid w:val="00D5187C"/>
    <w:rsid w:val="00DE1D83"/>
    <w:rsid w:val="00F422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3B01"/>
  <w15:chartTrackingRefBased/>
  <w15:docId w15:val="{A511018E-5C9A-42FC-B0E4-15C1F259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1"/>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F9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F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2F9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2F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2F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2F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2F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F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F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F9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F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2F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2F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2F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2F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2F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2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F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F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2F98"/>
    <w:pPr>
      <w:spacing w:before="160"/>
      <w:jc w:val="center"/>
    </w:pPr>
    <w:rPr>
      <w:i/>
      <w:iCs/>
      <w:color w:val="404040" w:themeColor="text1" w:themeTint="BF"/>
    </w:rPr>
  </w:style>
  <w:style w:type="character" w:customStyle="1" w:styleId="QuoteChar">
    <w:name w:val="Quote Char"/>
    <w:basedOn w:val="DefaultParagraphFont"/>
    <w:link w:val="Quote"/>
    <w:uiPriority w:val="29"/>
    <w:rsid w:val="002E2F98"/>
    <w:rPr>
      <w:i/>
      <w:iCs/>
      <w:color w:val="404040" w:themeColor="text1" w:themeTint="BF"/>
    </w:rPr>
  </w:style>
  <w:style w:type="paragraph" w:styleId="ListParagraph">
    <w:name w:val="List Paragraph"/>
    <w:basedOn w:val="Normal"/>
    <w:uiPriority w:val="34"/>
    <w:qFormat/>
    <w:rsid w:val="002E2F98"/>
    <w:pPr>
      <w:ind w:left="720"/>
      <w:contextualSpacing/>
    </w:pPr>
  </w:style>
  <w:style w:type="character" w:styleId="IntenseEmphasis">
    <w:name w:val="Intense Emphasis"/>
    <w:basedOn w:val="DefaultParagraphFont"/>
    <w:uiPriority w:val="21"/>
    <w:qFormat/>
    <w:rsid w:val="002E2F98"/>
    <w:rPr>
      <w:i/>
      <w:iCs/>
      <w:color w:val="2F5496" w:themeColor="accent1" w:themeShade="BF"/>
    </w:rPr>
  </w:style>
  <w:style w:type="paragraph" w:styleId="IntenseQuote">
    <w:name w:val="Intense Quote"/>
    <w:basedOn w:val="Normal"/>
    <w:next w:val="Normal"/>
    <w:link w:val="IntenseQuoteChar"/>
    <w:uiPriority w:val="30"/>
    <w:qFormat/>
    <w:rsid w:val="002E2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F98"/>
    <w:rPr>
      <w:i/>
      <w:iCs/>
      <w:color w:val="2F5496" w:themeColor="accent1" w:themeShade="BF"/>
    </w:rPr>
  </w:style>
  <w:style w:type="character" w:styleId="IntenseReference">
    <w:name w:val="Intense Reference"/>
    <w:basedOn w:val="DefaultParagraphFont"/>
    <w:uiPriority w:val="32"/>
    <w:qFormat/>
    <w:rsid w:val="002E2F98"/>
    <w:rPr>
      <w:b/>
      <w:bCs/>
      <w:smallCaps/>
      <w:color w:val="2F5496" w:themeColor="accent1" w:themeShade="BF"/>
      <w:spacing w:val="5"/>
    </w:rPr>
  </w:style>
  <w:style w:type="character" w:styleId="Hyperlink">
    <w:name w:val="Hyperlink"/>
    <w:basedOn w:val="DefaultParagraphFont"/>
    <w:uiPriority w:val="99"/>
    <w:unhideWhenUsed/>
    <w:rsid w:val="008C2B68"/>
    <w:rPr>
      <w:color w:val="0563C1" w:themeColor="hyperlink"/>
      <w:u w:val="single"/>
    </w:rPr>
  </w:style>
  <w:style w:type="character" w:styleId="UnresolvedMention">
    <w:name w:val="Unresolved Mention"/>
    <w:basedOn w:val="DefaultParagraphFont"/>
    <w:uiPriority w:val="99"/>
    <w:semiHidden/>
    <w:unhideWhenUsed/>
    <w:rsid w:val="00C92B4A"/>
    <w:rPr>
      <w:color w:val="605E5C"/>
      <w:shd w:val="clear" w:color="auto" w:fill="E1DFDD"/>
    </w:rPr>
  </w:style>
  <w:style w:type="paragraph" w:customStyle="1" w:styleId="Affiliation">
    <w:name w:val="Affiliation"/>
    <w:rsid w:val="00813205"/>
    <w:pPr>
      <w:suppressAutoHyphens/>
      <w:spacing w:after="0" w:line="240" w:lineRule="auto"/>
      <w:jc w:val="center"/>
    </w:pPr>
    <w:rPr>
      <w:rFonts w:eastAsia="SimSun" w:cs="Times New Roman"/>
      <w:kern w:val="0"/>
      <w:sz w:val="20"/>
      <w:szCs w:val="20"/>
      <w:lang w:val="en-US" w:eastAsia="zh-CN"/>
      <w14:ligatures w14:val="none"/>
    </w:rPr>
  </w:style>
  <w:style w:type="paragraph" w:customStyle="1" w:styleId="Author">
    <w:name w:val="Author"/>
    <w:rsid w:val="00813205"/>
    <w:pPr>
      <w:suppressAutoHyphens/>
      <w:spacing w:before="360" w:after="40" w:line="240" w:lineRule="auto"/>
      <w:jc w:val="center"/>
    </w:pPr>
    <w:rPr>
      <w:rFonts w:eastAsia="SimSu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03055421000435" TargetMode="External"/><Relationship Id="rId13" Type="http://schemas.openxmlformats.org/officeDocument/2006/relationships/hyperlink" Target="https://cprindia.org/wp-content/uploads/2024/04/naik-2024-tracing-internal-migration-governance-in-india-through-a-mainstreaming-lens.pdf" TargetMode="External"/><Relationship Id="rId3" Type="http://schemas.openxmlformats.org/officeDocument/2006/relationships/settings" Target="settings.xml"/><Relationship Id="rId7" Type="http://schemas.openxmlformats.org/officeDocument/2006/relationships/hyperlink" Target="https://ter-arkhiv.ru/0321-5075/article/view/647360" TargetMode="External"/><Relationship Id="rId12" Type="http://schemas.openxmlformats.org/officeDocument/2006/relationships/hyperlink" Target="https://journals.openedition.org/samaj/853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evrahul09@gmail.com" TargetMode="External"/><Relationship Id="rId11" Type="http://schemas.openxmlformats.org/officeDocument/2006/relationships/hyperlink" Target="https://punjab.global.ucsb.edu/sites/default/files/sitefiles/journals/volume14/no1/14.1_Kaur.pdf" TargetMode="External"/><Relationship Id="rId5" Type="http://schemas.openxmlformats.org/officeDocument/2006/relationships/hyperlink" Target="mailto:1hinocaassumi@gmail.com" TargetMode="External"/><Relationship Id="rId15" Type="http://schemas.openxmlformats.org/officeDocument/2006/relationships/fontTable" Target="fontTable.xml"/><Relationship Id="rId10" Type="http://schemas.openxmlformats.org/officeDocument/2006/relationships/hyperlink" Target="https://giss.org/jsps_vol_27/01-hardeep_kaur.pdf" TargetMode="External"/><Relationship Id="rId4" Type="http://schemas.openxmlformats.org/officeDocument/2006/relationships/webSettings" Target="webSettings.xml"/><Relationship Id="rId9" Type="http://schemas.openxmlformats.org/officeDocument/2006/relationships/hyperlink" Target="https://ijnrd.org/papers/IJNRD2603205.pdf" TargetMode="External"/><Relationship Id="rId14" Type="http://schemas.openxmlformats.org/officeDocument/2006/relationships/hyperlink" Target="https://journals.library.brocku.ca/index.php/SSJ/article/view/2272/1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6019</Words>
  <Characters>34314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Hinoca Assumi</dc:creator>
  <cp:keywords/>
  <dc:description/>
  <cp:lastModifiedBy>Hinoca Assumi</cp:lastModifiedBy>
  <cp:revision>6</cp:revision>
  <dcterms:created xsi:type="dcterms:W3CDTF">2026-04-23T14:56:00Z</dcterms:created>
  <dcterms:modified xsi:type="dcterms:W3CDTF">2026-04-23T15:14:00Z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a890ed11-37f8-4856-a792-af63be8b11f4</vt:lpwstr>
  </property>
</Properties>
</file>