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6426C" w14:textId="77777777" w:rsidR="00290206" w:rsidRPr="00372231" w:rsidRDefault="00372231" w:rsidP="00372231">
      <w:pPr>
        <w:jc w:val="center"/>
        <w:rPr>
          <w:rFonts w:ascii="Times New Roman" w:eastAsia="Times New Roman" w:hAnsi="Times New Roman" w:cs="Times New Roman"/>
          <w:b/>
          <w:bCs/>
          <w:sz w:val="24"/>
          <w:szCs w:val="24"/>
        </w:rPr>
      </w:pPr>
      <w:r w:rsidRPr="00372231">
        <w:rPr>
          <w:rFonts w:ascii="Times New Roman" w:eastAsia="Times New Roman" w:hAnsi="Times New Roman" w:cs="Times New Roman"/>
          <w:b/>
          <w:bCs/>
          <w:sz w:val="24"/>
          <w:szCs w:val="24"/>
        </w:rPr>
        <w:t>THE ROLE OF AGRICULTURAL SYSTEMS IN ANTIMICROBIAL PROLIFERATION: INSIGHTS FROM A ONE HEALTH FRAMEWORK</w:t>
      </w:r>
    </w:p>
    <w:p w14:paraId="181EE1BC" w14:textId="1A273B55" w:rsidR="00290206" w:rsidRPr="00372231" w:rsidRDefault="008F439C">
      <w:pPr>
        <w:rPr>
          <w:rFonts w:ascii="Times New Roman" w:hAnsi="Times New Roman" w:cs="Times New Roman"/>
          <w:sz w:val="24"/>
          <w:szCs w:val="24"/>
        </w:rPr>
      </w:pPr>
      <w:r w:rsidRPr="00372231">
        <w:rPr>
          <w:rFonts w:ascii="Times New Roman" w:hAnsi="Times New Roman" w:cs="Times New Roman"/>
          <w:sz w:val="24"/>
          <w:szCs w:val="24"/>
        </w:rPr>
        <w:t/>
      </w:r>
      <w:r w:rsidRPr="00372231">
        <w:rPr>
          <w:rFonts w:ascii="Times New Roman" w:hAnsi="Times New Roman" w:cs="Times New Roman"/>
          <w:sz w:val="24"/>
          <w:szCs w:val="24"/>
          <w:vertAlign w:val="superscript"/>
        </w:rPr>
        <w:t/>
      </w:r>
      <w:r w:rsidRPr="00372231">
        <w:rPr>
          <w:rFonts w:ascii="Times New Roman" w:hAnsi="Times New Roman" w:cs="Times New Roman"/>
          <w:sz w:val="24"/>
          <w:szCs w:val="24"/>
        </w:rPr>
        <w:t/>
      </w:r>
      <w:r w:rsidRPr="00372231">
        <w:rPr>
          <w:rFonts w:ascii="Times New Roman" w:hAnsi="Times New Roman" w:cs="Times New Roman"/>
          <w:sz w:val="24"/>
          <w:szCs w:val="24"/>
          <w:vertAlign w:val="superscript"/>
        </w:rPr>
        <w:t/>
      </w:r>
      <w:r w:rsidRPr="00372231">
        <w:rPr>
          <w:rFonts w:ascii="Times New Roman" w:hAnsi="Times New Roman" w:cs="Times New Roman"/>
          <w:sz w:val="24"/>
          <w:szCs w:val="24"/>
        </w:rPr>
        <w:t/>
      </w:r>
      <w:r w:rsidRPr="00372231">
        <w:rPr>
          <w:rFonts w:ascii="Times New Roman" w:hAnsi="Times New Roman" w:cs="Times New Roman"/>
          <w:sz w:val="24"/>
          <w:szCs w:val="24"/>
          <w:vertAlign w:val="superscript"/>
        </w:rPr>
        <w:t/>
      </w:r>
      <w:r w:rsidRPr="00372231">
        <w:rPr>
          <w:rFonts w:ascii="Times New Roman" w:hAnsi="Times New Roman" w:cs="Times New Roman"/>
          <w:sz w:val="24"/>
          <w:szCs w:val="24"/>
        </w:rPr>
        <w:t xml:space="preserve"/>
      </w:r>
    </w:p>
    <w:p w14:paraId="73C69B1F" w14:textId="06231AAC" w:rsidR="00290206" w:rsidRPr="00372231" w:rsidRDefault="008F439C">
      <w:pPr>
        <w:rPr>
          <w:rFonts w:ascii="Times New Roman" w:hAnsi="Times New Roman" w:cs="Times New Roman"/>
          <w:sz w:val="24"/>
          <w:szCs w:val="24"/>
        </w:rPr>
      </w:pPr>
      <w:r w:rsidRPr="00372231">
        <w:rPr>
          <w:rFonts w:ascii="Times New Roman" w:hAnsi="Times New Roman" w:cs="Times New Roman"/>
          <w:sz w:val="24"/>
          <w:szCs w:val="24"/>
          <w:vertAlign w:val="superscript"/>
        </w:rPr>
        <w:t/>
      </w:r>
      <w:r w:rsidRPr="00372231">
        <w:rPr>
          <w:rFonts w:ascii="Times New Roman" w:hAnsi="Times New Roman" w:cs="Times New Roman"/>
          <w:sz w:val="24"/>
          <w:szCs w:val="24"/>
        </w:rPr>
        <w:t/>
      </w:r>
    </w:p>
    <w:p w14:paraId="2539EC73" w14:textId="77777777" w:rsidR="00290206" w:rsidRPr="00372231" w:rsidRDefault="008F439C">
      <w:pPr>
        <w:rPr>
          <w:rFonts w:ascii="Times New Roman" w:hAnsi="Times New Roman" w:cs="Times New Roman"/>
          <w:sz w:val="24"/>
          <w:szCs w:val="24"/>
        </w:rPr>
      </w:pPr>
      <w:r w:rsidRPr="00372231">
        <w:rPr>
          <w:rFonts w:ascii="Times New Roman" w:hAnsi="Times New Roman" w:cs="Times New Roman"/>
          <w:sz w:val="24"/>
          <w:szCs w:val="24"/>
          <w:vertAlign w:val="superscript"/>
        </w:rPr>
        <w:t/>
      </w:r>
      <w:r w:rsidRPr="00372231">
        <w:rPr>
          <w:rFonts w:ascii="Times New Roman" w:hAnsi="Times New Roman" w:cs="Times New Roman"/>
          <w:sz w:val="24"/>
          <w:szCs w:val="24"/>
        </w:rPr>
        <w:t/>
      </w:r>
    </w:p>
    <w:p w14:paraId="7A2C1701" w14:textId="77777777" w:rsidR="00290206" w:rsidRPr="00372231" w:rsidRDefault="00290206">
      <w:pPr>
        <w:rPr>
          <w:rFonts w:ascii="Times New Roman" w:eastAsia="Times New Roman" w:hAnsi="Times New Roman" w:cs="Times New Roman"/>
          <w:sz w:val="24"/>
          <w:szCs w:val="24"/>
        </w:rPr>
      </w:pPr>
    </w:p>
    <w:p w14:paraId="087B743B" w14:textId="77777777" w:rsidR="00290206" w:rsidRPr="00372231" w:rsidRDefault="008F439C">
      <w:pPr>
        <w:jc w:val="center"/>
        <w:rPr>
          <w:rFonts w:ascii="Times New Roman" w:eastAsia="Times New Roman" w:hAnsi="Times New Roman" w:cs="Times New Roman"/>
          <w:b/>
          <w:bCs/>
          <w:sz w:val="24"/>
          <w:szCs w:val="24"/>
        </w:rPr>
      </w:pPr>
      <w:r w:rsidRPr="00372231">
        <w:rPr>
          <w:rFonts w:ascii="Times New Roman" w:eastAsia="Times New Roman" w:hAnsi="Times New Roman" w:cs="Times New Roman"/>
          <w:b/>
          <w:bCs/>
          <w:sz w:val="24"/>
          <w:szCs w:val="24"/>
        </w:rPr>
        <w:t>ABSTRACT</w:t>
      </w:r>
    </w:p>
    <w:p w14:paraId="0326C07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Antimicrobial resistance (AMR) is a major health issue, exacerbated by globalization, population growth, and extensive agricultural practices. The application and overuse of antibiotics in agriculture have played a vital role in AMR development and spread in the environment. Horizontal gene transfer (HGT) contributes significantly to the exchange of antimicrobial resistance genes (ARGs) among pathogens, further complicating the problem of AMR proliferation. The intensive use of antibiotics in livestock farming and animal manure as soil fertilizer, are some of the important agricultural practices which introduce resistant bacteria and ARGs to the soil ecosystems. The application of poorly treated wastewater for irrigation is another significant source of AMR in soils. The use of inorganic pesticides, heavy metals and other chemicals contribute to the selective pressure that favors the emergence of resistant strains. The unabated spread of resistant microorganisms and their ARGs poses a serious threat to the public and environmental health due to their possible transfer into the human food chain via contaminated food crops and animal products. Attempts at mitigating the challenges of AMR in agricultural soil involve a One Health approach, considering the interconnection of human, animal and environmental health. It is vital to curtail the anthropogenic spread of AMR through agroecological measures, adequate wastewater treatment, and a more sustainable use of antibiotics in livestock production. In-depth knowledge of the intricacies of the factors contributing to AMR spread and persistence in soil is necessary to explicate appropriate intervention strategies. Thus, this review critically discusses the concept of sustainable farming practices, improved systems of regulation and international alignment towards combating AMR.</w:t>
      </w:r>
    </w:p>
    <w:p w14:paraId="00B1940F"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Keywords:</w:t>
      </w:r>
      <w:r w:rsidRPr="00372231">
        <w:rPr>
          <w:rFonts w:ascii="Times New Roman" w:hAnsi="Times New Roman" w:cs="Times New Roman"/>
          <w:sz w:val="24"/>
          <w:szCs w:val="24"/>
        </w:rPr>
        <w:t xml:space="preserve"> Agricultural practices, AMR, HGT, One-Health, Public health, Soil contamination</w:t>
      </w:r>
    </w:p>
    <w:p w14:paraId="3789B13C" w14:textId="77777777" w:rsidR="00290206" w:rsidRPr="00372231" w:rsidRDefault="00290206">
      <w:pPr>
        <w:rPr>
          <w:rFonts w:ascii="Times New Roman" w:eastAsia="Times New Roman" w:hAnsi="Times New Roman" w:cs="Times New Roman"/>
          <w:sz w:val="24"/>
          <w:szCs w:val="24"/>
        </w:rPr>
      </w:pPr>
    </w:p>
    <w:p w14:paraId="38611499" w14:textId="77777777" w:rsidR="00290206" w:rsidRPr="00372231" w:rsidRDefault="00290206">
      <w:pPr>
        <w:jc w:val="both"/>
        <w:rPr>
          <w:rFonts w:ascii="Times New Roman" w:eastAsia="Times New Roman" w:hAnsi="Times New Roman" w:cs="Times New Roman"/>
          <w:b/>
          <w:bCs/>
          <w:sz w:val="24"/>
          <w:szCs w:val="24"/>
        </w:rPr>
      </w:pPr>
    </w:p>
    <w:p w14:paraId="65456721" w14:textId="77777777" w:rsidR="009C6B56" w:rsidRDefault="009C6B56">
      <w:pPr>
        <w:jc w:val="both"/>
        <w:rPr>
          <w:rFonts w:ascii="Times New Roman" w:eastAsia="Times New Roman" w:hAnsi="Times New Roman" w:cs="Times New Roman"/>
          <w:b/>
          <w:bCs/>
          <w:sz w:val="24"/>
          <w:szCs w:val="24"/>
        </w:rPr>
      </w:pPr>
    </w:p>
    <w:p w14:paraId="7F5FF517" w14:textId="0BBCCE5C" w:rsidR="00290206" w:rsidRPr="00372231" w:rsidRDefault="008F439C">
      <w:pPr>
        <w:jc w:val="both"/>
        <w:rPr>
          <w:rFonts w:ascii="Times New Roman" w:eastAsia="Times New Roman" w:hAnsi="Times New Roman" w:cs="Times New Roman"/>
          <w:b/>
          <w:bCs/>
          <w:sz w:val="24"/>
          <w:szCs w:val="24"/>
        </w:rPr>
      </w:pPr>
      <w:r w:rsidRPr="00372231">
        <w:rPr>
          <w:rFonts w:ascii="Times New Roman" w:eastAsia="Times New Roman" w:hAnsi="Times New Roman" w:cs="Times New Roman"/>
          <w:b/>
          <w:bCs/>
          <w:sz w:val="24"/>
          <w:szCs w:val="24"/>
        </w:rPr>
        <w:lastRenderedPageBreak/>
        <w:t>INTRODUCTION</w:t>
      </w:r>
    </w:p>
    <w:p w14:paraId="1F4A6673"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Interrelated factors contributing to antimicrobial resistance (AMR) spread include globalization, rapid population growth, intensive farming, pollution and climate change (Gauba and Rahman, 2023). These factors have caused increased morbidity and mortality, with an approximate annual death toll predicted to be between 700,000 and 10 million by 2050 (Oliveira et al., 2024). Reflecting on this human health burden, the World Health Organization (WHO) has identified AMR as one of the top ten major global health threats (Aijaz et al., 2023). Poor hygiene and food handling, inappropriate use of antimicrobials in humans, veterinary and agricultural settings, and inadequate measures to combat infections contribute to the occurrence and dissemination of resistance (WHO, 2023). Among this broader phenomenon, the overall subset of AMR is antibiotic resistance, which represents the ability of bacteria to withstand the action of antibiotics (Wasan et al., 2023). </w:t>
      </w:r>
      <w:r w:rsidRPr="00372231">
        <w:rPr>
          <w:rFonts w:ascii="Times New Roman" w:eastAsia="SimSun" w:hAnsi="Times New Roman" w:cs="Times New Roman"/>
          <w:sz w:val="24"/>
          <w:szCs w:val="24"/>
          <w:lang w:eastAsia="zh-CN"/>
        </w:rPr>
        <w:t xml:space="preserve">Antibiotic-resistant strains adopt various forms of resistance mechanisms, including horizontal gene transfer (Wachino, 2025), enzymatic inactivation of drugs (Tayeb et al., 2025), reduced uptake through altered membrane permeability (Zhou et al., 2023), modifications of the drug target and active efflux (Duffey et al., 2024), all of which reduce the effects of antibiotics. </w:t>
      </w:r>
    </w:p>
    <w:p w14:paraId="0448FD4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Horizontal gene transfer facilitates the transfer of resistance genes between groups of bacteria through plasmids, bacteriophages and integrons, thereby accelerating the spread of AMR between and within populations. This process supports the emergence of multidrug-resistant Gram-negative bacteria, including </w:t>
      </w:r>
      <w:r w:rsidRPr="00372231">
        <w:rPr>
          <w:rFonts w:ascii="Times New Roman" w:hAnsi="Times New Roman" w:cs="Times New Roman"/>
          <w:i/>
          <w:iCs/>
          <w:sz w:val="24"/>
          <w:szCs w:val="24"/>
        </w:rPr>
        <w:t>Acinetobacter</w:t>
      </w:r>
      <w:r w:rsidRPr="00372231">
        <w:rPr>
          <w:rFonts w:ascii="Times New Roman" w:hAnsi="Times New Roman" w:cs="Times New Roman"/>
          <w:sz w:val="24"/>
          <w:szCs w:val="24"/>
        </w:rPr>
        <w:t xml:space="preserve">, </w:t>
      </w:r>
      <w:r w:rsidRPr="00372231">
        <w:rPr>
          <w:rFonts w:ascii="Times New Roman" w:hAnsi="Times New Roman" w:cs="Times New Roman"/>
          <w:i/>
          <w:iCs/>
          <w:sz w:val="24"/>
          <w:szCs w:val="24"/>
        </w:rPr>
        <w:t>Pseudomonas</w:t>
      </w:r>
      <w:r w:rsidRPr="00372231">
        <w:rPr>
          <w:rFonts w:ascii="Times New Roman" w:hAnsi="Times New Roman" w:cs="Times New Roman"/>
          <w:sz w:val="24"/>
          <w:szCs w:val="24"/>
        </w:rPr>
        <w:t xml:space="preserve"> and members of the Enterobacteriaceae family, which have become important pathogens of public health concern (Macesic et al., 2025). Rising resistance threatens the effectiveness of routine therapy as well as chemotherapy, organ transplantation and major surgery, and is projected to impose substantial economic losses if timely action is not taken (De Oliveira et al., 2020). These challenges demand the adoption of crucial mitigation strategies such as the One Health paradigm which seeks to optimize human, animal and environmental health interfaces in recognition of the interrelatedness of their microbiomes (Despotovic et al., 2023). Within this framework, AMR is understood as a systems problem in which resistant bacteria and resistance genes circulate through food products, direct contact and environmental reservoirs rather than remaining confined to clinical settings. These microbiomes are closely related, as depicted in </w:t>
      </w:r>
      <w:r w:rsidRPr="00372231">
        <w:rPr>
          <w:rFonts w:ascii="Times New Roman" w:hAnsi="Times New Roman" w:cs="Times New Roman"/>
          <w:b/>
          <w:bCs/>
          <w:sz w:val="24"/>
          <w:szCs w:val="24"/>
        </w:rPr>
        <w:t>Figure 1</w:t>
      </w:r>
      <w:r w:rsidRPr="00372231">
        <w:rPr>
          <w:rFonts w:ascii="Times New Roman" w:hAnsi="Times New Roman" w:cs="Times New Roman"/>
          <w:sz w:val="24"/>
          <w:szCs w:val="24"/>
        </w:rPr>
        <w:t>, which contributes to the dissemination of AMR through various pathways.</w:t>
      </w:r>
    </w:p>
    <w:p w14:paraId="7F287848" w14:textId="77777777" w:rsidR="00290206" w:rsidRPr="00372231" w:rsidRDefault="008F439C">
      <w:pPr>
        <w:jc w:val="both"/>
        <w:rPr>
          <w:rFonts w:ascii="Times New Roman" w:eastAsia="Times New Roman" w:hAnsi="Times New Roman" w:cs="Times New Roman"/>
          <w:b/>
          <w:bCs/>
          <w:sz w:val="24"/>
          <w:szCs w:val="24"/>
        </w:rPr>
      </w:pPr>
      <w:r w:rsidRPr="00372231">
        <w:rPr>
          <w:rFonts w:ascii="Times New Roman" w:eastAsia="Times New Roman" w:hAnsi="Times New Roman" w:cs="Times New Roman"/>
          <w:b/>
          <w:bCs/>
          <w:noProof/>
          <w:sz w:val="24"/>
          <w:szCs w:val="24"/>
        </w:rPr>
        <w:lastRenderedPageBreak/>
        <w:drawing>
          <wp:inline distT="0" distB="0" distL="0" distR="0" wp14:anchorId="6E0EBE86" wp14:editId="46B011F7">
            <wp:extent cx="5943600" cy="3940809"/>
            <wp:effectExtent l="0" t="0" r="0" b="0"/>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 cstate="print"/>
                    <a:srcRect/>
                    <a:stretch/>
                  </pic:blipFill>
                  <pic:spPr>
                    <a:xfrm>
                      <a:off x="0" y="0"/>
                      <a:ext cx="5943600" cy="3940809"/>
                    </a:xfrm>
                    <a:prstGeom prst="rect">
                      <a:avLst/>
                    </a:prstGeom>
                    <a:ln w="9525" cap="flat" cmpd="sng">
                      <a:solidFill>
                        <a:srgbClr val="000000"/>
                      </a:solidFill>
                      <a:prstDash val="solid"/>
                      <a:round/>
                      <a:headEnd type="none" w="med" len="med"/>
                      <a:tailEnd type="none" w="med" len="med"/>
                    </a:ln>
                  </pic:spPr>
                </pic:pic>
              </a:graphicData>
            </a:graphic>
          </wp:inline>
        </w:drawing>
      </w:r>
    </w:p>
    <w:p w14:paraId="4E9B61E9" w14:textId="77777777" w:rsidR="00290206" w:rsidRPr="00372231" w:rsidRDefault="008F439C">
      <w:pPr>
        <w:jc w:val="both"/>
        <w:rPr>
          <w:rFonts w:ascii="Times New Roman" w:eastAsia="Times New Roman" w:hAnsi="Times New Roman" w:cs="Times New Roman"/>
          <w:b/>
          <w:bCs/>
          <w:sz w:val="24"/>
          <w:szCs w:val="24"/>
        </w:rPr>
      </w:pPr>
      <w:r w:rsidRPr="00372231">
        <w:rPr>
          <w:rFonts w:ascii="Times New Roman" w:eastAsia="Times New Roman" w:hAnsi="Times New Roman" w:cs="Times New Roman"/>
          <w:b/>
          <w:sz w:val="24"/>
          <w:szCs w:val="24"/>
        </w:rPr>
        <w:t xml:space="preserve">Figure 1: </w:t>
      </w:r>
      <w:r w:rsidRPr="00372231">
        <w:rPr>
          <w:rFonts w:ascii="Times New Roman" w:eastAsia="Times New Roman" w:hAnsi="Times New Roman" w:cs="Times New Roman"/>
          <w:bCs/>
          <w:sz w:val="24"/>
          <w:szCs w:val="24"/>
        </w:rPr>
        <w:t>Schematic description of the antibiotic resistance cycle, demonstrating the role of the use of antibiotics in humans, livestock, and agriculture in spreading resistant bacteria in the ecosystems (Aslam et al., 2021).</w:t>
      </w:r>
    </w:p>
    <w:p w14:paraId="3A07F5F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Agricultural activities are key drivers in this cycle. Inadequate waste management and intensive farming introduce residual antibiotics, resistant bacterial and resistance genes into soil, water and other compartments of the environment (Sassi et al., 2025). Growth promotion and disease prevention antibiotics used in livestock systems are also being selective of gut bacteria resistant to antibiotics, which, together with antibiotic residues, enter soils when manure and other animal wastes are applied as organic fertilizers (Ahmed et al., 2024). Reports of multidrug-resistant </w:t>
      </w:r>
      <w:r w:rsidRPr="00372231">
        <w:rPr>
          <w:rFonts w:ascii="Times New Roman" w:hAnsi="Times New Roman" w:cs="Times New Roman"/>
          <w:i/>
          <w:iCs/>
          <w:sz w:val="24"/>
          <w:szCs w:val="24"/>
        </w:rPr>
        <w:t>Salmonella</w:t>
      </w:r>
      <w:r w:rsidRPr="00372231">
        <w:rPr>
          <w:rFonts w:ascii="Times New Roman" w:hAnsi="Times New Roman" w:cs="Times New Roman"/>
          <w:sz w:val="24"/>
          <w:szCs w:val="24"/>
        </w:rPr>
        <w:t xml:space="preserve"> spp. in poultry, cephalosporin-resistant </w:t>
      </w:r>
      <w:r w:rsidRPr="00372231">
        <w:rPr>
          <w:rFonts w:ascii="Times New Roman" w:hAnsi="Times New Roman" w:cs="Times New Roman"/>
          <w:i/>
          <w:iCs/>
          <w:sz w:val="24"/>
          <w:szCs w:val="24"/>
        </w:rPr>
        <w:t>Escherichia coli</w:t>
      </w:r>
      <w:r w:rsidRPr="00372231">
        <w:rPr>
          <w:rFonts w:ascii="Times New Roman" w:hAnsi="Times New Roman" w:cs="Times New Roman"/>
          <w:sz w:val="24"/>
          <w:szCs w:val="24"/>
        </w:rPr>
        <w:t xml:space="preserve"> in veal cattle and carbapenem-resistant </w:t>
      </w:r>
      <w:r w:rsidRPr="00372231">
        <w:rPr>
          <w:rFonts w:ascii="Times New Roman" w:hAnsi="Times New Roman" w:cs="Times New Roman"/>
          <w:i/>
          <w:iCs/>
          <w:sz w:val="24"/>
          <w:szCs w:val="24"/>
        </w:rPr>
        <w:t>E. coli</w:t>
      </w:r>
      <w:r w:rsidRPr="00372231">
        <w:rPr>
          <w:rFonts w:ascii="Times New Roman" w:hAnsi="Times New Roman" w:cs="Times New Roman"/>
          <w:sz w:val="24"/>
          <w:szCs w:val="24"/>
        </w:rPr>
        <w:t xml:space="preserve"> in swine demonstrate the connections between food and environmental chain AMR transmissions and agricultural practices. Additional inputs also occur through the irrigation of the soils with abattoir effluents and livestock farm wastewater that brings in additional resistant bacteria and resistance-gene to the agricultural soils (Gufe et al., 2025).</w:t>
      </w:r>
    </w:p>
    <w:p w14:paraId="5E7317A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Antibiotic use in aquaculture can contaminate adjacent land, while antimicrobial compounds present in some pesticides and fertilizers may indirectly select for resistant soil bacteria; animal faeces with antibiotic residues and those bacteria can create soil conditions that contribute to the survival and transmission of resistance genes (Liu et al., 2025).</w:t>
      </w:r>
    </w:p>
    <w:p w14:paraId="005E9013" w14:textId="77777777" w:rsidR="00290206" w:rsidRPr="00372231" w:rsidRDefault="008F439C">
      <w:pPr>
        <w:jc w:val="both"/>
        <w:rPr>
          <w:rFonts w:ascii="Times New Roman" w:hAnsi="Times New Roman" w:cs="Times New Roman"/>
          <w:sz w:val="24"/>
          <w:szCs w:val="24"/>
        </w:rPr>
      </w:pPr>
      <w:r w:rsidRPr="00372231">
        <w:rPr>
          <w:rFonts w:ascii="Times New Roman" w:eastAsia="SimSun" w:hAnsi="Times New Roman" w:cs="Times New Roman"/>
          <w:sz w:val="24"/>
          <w:szCs w:val="24"/>
          <w:lang w:eastAsia="zh-CN"/>
        </w:rPr>
        <w:lastRenderedPageBreak/>
        <w:t>Soils are currently being acknowledged as significant sources of antibiotic resistance genes (ARGs) in the environment</w:t>
      </w:r>
      <w:r w:rsidRPr="00372231">
        <w:rPr>
          <w:rFonts w:ascii="Times New Roman" w:hAnsi="Times New Roman" w:cs="Times New Roman"/>
          <w:sz w:val="24"/>
          <w:szCs w:val="24"/>
        </w:rPr>
        <w:t xml:space="preserve"> and as critical interfaces within the One Health system. The accumulation and persistence of ARGs in soils are a public health concern because resistance determinants carried by environmental bacteria can spread to the pathogenic species in human and agricultural environments (Zhao et al., 2025). The production and distribution of ARGs in soil are influenced by intensive agriculture, climate related changes and pollution with heavy metals. The co-selection of AMR due to metal contamination is possible since resistance determinants to both metals and antibiotics have been found to be genetically linked on mobile genetic elements and, as such, exposure to heavy metals can enrich antibiotic-resistant bacteria even when low antibiotic pressure occurs directly (Gillieatt &amp; Coleman, 2024). Wastewater irrigation, repetitive use of animal-derived manure and fertilizers can hence maintain and increase AMR in the soil ecosystems and soil monitoring is therefore vital in curbing the transmission of resistant bacteria within the agroecosystem to human populations.</w:t>
      </w:r>
    </w:p>
    <w:p w14:paraId="46C9E3CC"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Taken together, these observations indicate that agricultural soils are not passive sinks for antimicrobial residues and resistant bacteria but dynamic environments in which resistance is selected, maintained and redistributed along the One Health continuum. The present review analyzes the role of the special agricultural activities in contributing to AMR in the soils like manure and biosolid application, the use of wastewater in irrigation, aquaculture related inputs and the application of pesticides and fertilizers. It also examines how One Health-based soil focused interventions may be useful in reducing the proliferation of resistance in agroecosystem</w:t>
      </w:r>
    </w:p>
    <w:p w14:paraId="4A34DA1C"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AGRICULTURAL PRACTICES AND AMR SPREAD IN SOIL</w:t>
      </w:r>
    </w:p>
    <w:p w14:paraId="68A0339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proliferation of AMR in pathogenic bacteria remains a significant safety and health problem (Ho et al., 2025). Current studies confirm that agriculture is just one of several possible sources of bacteria and resistance genes in the environment, much of which focuses on its clinical features (Al-Khalaifah et al., 2025; Punch et al., 2025). Agricultural practices contributing significantly to AMR spread include:</w:t>
      </w:r>
    </w:p>
    <w:p w14:paraId="64E83CBC"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1. Intensive Use of Antibiotics in Livestock Farming</w:t>
      </w:r>
    </w:p>
    <w:p w14:paraId="3C6EF56D"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sz w:val="24"/>
          <w:szCs w:val="24"/>
        </w:rPr>
        <w:t xml:space="preserve">The use of antibiotics in cattle production and animal husbandry is not a new phenomenon, as it has been used over decades as a form of therapy, as well as growth promotion and prophylaxis (Yordanova et al., 2024). At present, thousands of tons of antibiotics are administered annually to cattle, pigs and poultry worldwide (Karwowska, 2024). These drugs span several major classes, and their use differs by species and production phase. . A summary of the examples of commonly used antibiotics in swine, poultry and cattle production systems are summarized in </w:t>
      </w:r>
      <w:r w:rsidRPr="00372231">
        <w:rPr>
          <w:rFonts w:ascii="Times New Roman" w:hAnsi="Times New Roman" w:cs="Times New Roman"/>
          <w:b/>
          <w:bCs/>
          <w:sz w:val="24"/>
          <w:szCs w:val="24"/>
        </w:rPr>
        <w:t>Table 1</w:t>
      </w:r>
      <w:r w:rsidRPr="00372231">
        <w:rPr>
          <w:rFonts w:ascii="Times New Roman" w:hAnsi="Times New Roman" w:cs="Times New Roman"/>
          <w:sz w:val="24"/>
          <w:szCs w:val="24"/>
        </w:rPr>
        <w:t xml:space="preserve"> (Zalewska et al., 2021).</w:t>
      </w:r>
    </w:p>
    <w:p w14:paraId="07CA3D7A" w14:textId="77777777" w:rsidR="00290206" w:rsidRPr="00372231" w:rsidRDefault="00290206">
      <w:pPr>
        <w:jc w:val="both"/>
        <w:rPr>
          <w:rFonts w:ascii="Times New Roman" w:hAnsi="Times New Roman" w:cs="Times New Roman"/>
          <w:b/>
          <w:bCs/>
          <w:sz w:val="24"/>
          <w:szCs w:val="24"/>
        </w:rPr>
      </w:pPr>
    </w:p>
    <w:p w14:paraId="74A533DB" w14:textId="77777777" w:rsidR="00623185" w:rsidRDefault="00623185">
      <w:pPr>
        <w:jc w:val="both"/>
        <w:rPr>
          <w:rFonts w:ascii="Times New Roman" w:hAnsi="Times New Roman" w:cs="Times New Roman"/>
          <w:b/>
          <w:bCs/>
          <w:sz w:val="24"/>
          <w:szCs w:val="24"/>
        </w:rPr>
      </w:pPr>
    </w:p>
    <w:p w14:paraId="00C33DCA"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lastRenderedPageBreak/>
        <w:t xml:space="preserve">Table 1. </w:t>
      </w:r>
      <w:r w:rsidRPr="00372231">
        <w:rPr>
          <w:rFonts w:ascii="Times New Roman" w:hAnsi="Times New Roman" w:cs="Times New Roman"/>
          <w:sz w:val="24"/>
          <w:szCs w:val="24"/>
        </w:rPr>
        <w:t>Examples of Antibiotics Used in Livestock Farming</w:t>
      </w:r>
    </w:p>
    <w:tbl>
      <w:tblPr>
        <w:tblStyle w:val="TableGrid"/>
        <w:tblW w:w="0" w:type="auto"/>
        <w:tblLook w:val="04A0" w:firstRow="1" w:lastRow="0" w:firstColumn="1" w:lastColumn="0" w:noHBand="0" w:noVBand="1"/>
      </w:tblPr>
      <w:tblGrid>
        <w:gridCol w:w="1980"/>
        <w:gridCol w:w="5100"/>
        <w:gridCol w:w="2280"/>
      </w:tblGrid>
      <w:tr w:rsidR="00290206" w:rsidRPr="00372231" w14:paraId="4D3B7A79" w14:textId="77777777">
        <w:tc>
          <w:tcPr>
            <w:tcW w:w="1980" w:type="dxa"/>
            <w:tcBorders>
              <w:top w:val="single" w:sz="4" w:space="0" w:color="auto"/>
              <w:left w:val="nil"/>
              <w:bottom w:val="single" w:sz="4" w:space="0" w:color="auto"/>
              <w:right w:val="nil"/>
            </w:tcBorders>
          </w:tcPr>
          <w:p w14:paraId="5D263124"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b/>
                <w:sz w:val="24"/>
                <w:szCs w:val="24"/>
              </w:rPr>
              <w:t xml:space="preserve">Livestock Type </w:t>
            </w:r>
          </w:p>
        </w:tc>
        <w:tc>
          <w:tcPr>
            <w:tcW w:w="5100" w:type="dxa"/>
            <w:tcBorders>
              <w:top w:val="single" w:sz="4" w:space="0" w:color="auto"/>
              <w:left w:val="nil"/>
              <w:bottom w:val="single" w:sz="4" w:space="0" w:color="auto"/>
              <w:right w:val="nil"/>
            </w:tcBorders>
          </w:tcPr>
          <w:p w14:paraId="1D382C37" w14:textId="77777777" w:rsidR="00290206" w:rsidRPr="00372231" w:rsidRDefault="008F439C">
            <w:pPr>
              <w:spacing w:line="276" w:lineRule="auto"/>
              <w:jc w:val="center"/>
              <w:rPr>
                <w:rFonts w:ascii="Times New Roman" w:hAnsi="Times New Roman"/>
                <w:b/>
                <w:bCs/>
                <w:sz w:val="24"/>
                <w:szCs w:val="24"/>
              </w:rPr>
            </w:pPr>
            <w:r w:rsidRPr="00372231">
              <w:rPr>
                <w:rFonts w:ascii="Times New Roman" w:eastAsia="Calibri" w:hAnsi="Times New Roman"/>
                <w:b/>
                <w:sz w:val="24"/>
                <w:szCs w:val="24"/>
              </w:rPr>
              <w:t>Antibiotics</w:t>
            </w:r>
          </w:p>
        </w:tc>
        <w:tc>
          <w:tcPr>
            <w:tcW w:w="0" w:type="auto"/>
            <w:tcBorders>
              <w:top w:val="single" w:sz="4" w:space="0" w:color="auto"/>
              <w:left w:val="nil"/>
              <w:bottom w:val="single" w:sz="4" w:space="0" w:color="auto"/>
              <w:right w:val="nil"/>
            </w:tcBorders>
          </w:tcPr>
          <w:p w14:paraId="0F04FBC5" w14:textId="77777777" w:rsidR="00290206" w:rsidRPr="00372231" w:rsidRDefault="008F439C">
            <w:pPr>
              <w:spacing w:line="276" w:lineRule="auto"/>
              <w:jc w:val="both"/>
              <w:rPr>
                <w:rFonts w:ascii="Times New Roman" w:hAnsi="Times New Roman"/>
                <w:b/>
                <w:bCs/>
                <w:sz w:val="24"/>
                <w:szCs w:val="24"/>
              </w:rPr>
            </w:pPr>
            <w:r w:rsidRPr="00372231">
              <w:rPr>
                <w:rFonts w:ascii="Times New Roman" w:eastAsia="Calibri" w:hAnsi="Times New Roman"/>
                <w:b/>
                <w:sz w:val="24"/>
                <w:szCs w:val="24"/>
              </w:rPr>
              <w:t>References</w:t>
            </w:r>
          </w:p>
        </w:tc>
      </w:tr>
      <w:tr w:rsidR="00290206" w:rsidRPr="00164970" w14:paraId="02228153" w14:textId="77777777">
        <w:tc>
          <w:tcPr>
            <w:tcW w:w="1980" w:type="dxa"/>
            <w:tcBorders>
              <w:top w:val="single" w:sz="4" w:space="0" w:color="auto"/>
              <w:left w:val="nil"/>
              <w:bottom w:val="nil"/>
              <w:right w:val="nil"/>
            </w:tcBorders>
          </w:tcPr>
          <w:p w14:paraId="7DD65FDA"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sz w:val="24"/>
                <w:szCs w:val="24"/>
              </w:rPr>
              <w:t>Swine</w:t>
            </w:r>
          </w:p>
        </w:tc>
        <w:tc>
          <w:tcPr>
            <w:tcW w:w="5100" w:type="dxa"/>
            <w:tcBorders>
              <w:top w:val="single" w:sz="4" w:space="0" w:color="auto"/>
              <w:left w:val="nil"/>
              <w:bottom w:val="nil"/>
              <w:right w:val="nil"/>
            </w:tcBorders>
          </w:tcPr>
          <w:p w14:paraId="24281D9E"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Pleuromutilins, Tetracyclines, Macrolides, Penicillin, Cephalosporins, Lincosamides, ﬂuoroquinolones, Amoxicillin, Tulathromycin, Tylosin, Colistin</w:t>
            </w:r>
          </w:p>
        </w:tc>
        <w:tc>
          <w:tcPr>
            <w:tcW w:w="0" w:type="auto"/>
            <w:tcBorders>
              <w:top w:val="single" w:sz="4" w:space="0" w:color="auto"/>
              <w:left w:val="nil"/>
              <w:bottom w:val="nil"/>
              <w:right w:val="nil"/>
            </w:tcBorders>
          </w:tcPr>
          <w:p w14:paraId="3204EDC6" w14:textId="77777777" w:rsidR="00290206" w:rsidRPr="009D2150" w:rsidRDefault="008F439C">
            <w:pPr>
              <w:spacing w:line="276" w:lineRule="auto"/>
              <w:rPr>
                <w:rFonts w:ascii="Times New Roman" w:hAnsi="Times New Roman"/>
                <w:b/>
                <w:bCs/>
                <w:sz w:val="24"/>
                <w:szCs w:val="24"/>
                <w:lang w:val="de-DE"/>
              </w:rPr>
            </w:pPr>
            <w:r w:rsidRPr="009D2150">
              <w:rPr>
                <w:rFonts w:ascii="Times New Roman" w:hAnsi="Times New Roman"/>
                <w:sz w:val="24"/>
                <w:szCs w:val="24"/>
                <w:lang w:val="de-DE"/>
              </w:rPr>
              <w:t>Karwowska, 2024; Enshaie et al., 2025; Kim &amp; Ahn, 2022</w:t>
            </w:r>
          </w:p>
        </w:tc>
      </w:tr>
      <w:tr w:rsidR="00290206" w:rsidRPr="00372231" w14:paraId="5620CF52" w14:textId="77777777">
        <w:tc>
          <w:tcPr>
            <w:tcW w:w="1980" w:type="dxa"/>
            <w:tcBorders>
              <w:top w:val="nil"/>
              <w:left w:val="nil"/>
              <w:bottom w:val="nil"/>
              <w:right w:val="nil"/>
            </w:tcBorders>
          </w:tcPr>
          <w:p w14:paraId="00C81011"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bCs/>
                <w:sz w:val="24"/>
                <w:szCs w:val="24"/>
              </w:rPr>
              <w:t>Poultry</w:t>
            </w:r>
          </w:p>
        </w:tc>
        <w:tc>
          <w:tcPr>
            <w:tcW w:w="5100" w:type="dxa"/>
            <w:tcBorders>
              <w:top w:val="nil"/>
              <w:left w:val="nil"/>
              <w:bottom w:val="nil"/>
              <w:right w:val="nil"/>
            </w:tcBorders>
          </w:tcPr>
          <w:p w14:paraId="161D1786"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Bacitracin, Virginiamycin, Salinomycin, Tilmicosin, Penicillin</w:t>
            </w:r>
          </w:p>
        </w:tc>
        <w:tc>
          <w:tcPr>
            <w:tcW w:w="0" w:type="auto"/>
            <w:tcBorders>
              <w:top w:val="nil"/>
              <w:left w:val="nil"/>
              <w:bottom w:val="nil"/>
              <w:right w:val="nil"/>
            </w:tcBorders>
          </w:tcPr>
          <w:p w14:paraId="751C34C1"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 xml:space="preserve">Zalewska </w:t>
            </w:r>
            <w:r w:rsidRPr="00372231">
              <w:rPr>
                <w:rFonts w:ascii="Times New Roman" w:hAnsi="Times New Roman"/>
                <w:i/>
                <w:iCs/>
                <w:sz w:val="24"/>
                <w:szCs w:val="24"/>
              </w:rPr>
              <w:t>et al</w:t>
            </w:r>
            <w:r w:rsidRPr="00372231">
              <w:rPr>
                <w:rFonts w:ascii="Times New Roman" w:hAnsi="Times New Roman"/>
                <w:sz w:val="24"/>
                <w:szCs w:val="24"/>
              </w:rPr>
              <w:t>., 2021; Trinchera et al., 2025</w:t>
            </w:r>
          </w:p>
        </w:tc>
      </w:tr>
      <w:tr w:rsidR="00290206" w:rsidRPr="00164970" w14:paraId="7BDB3683" w14:textId="77777777">
        <w:tc>
          <w:tcPr>
            <w:tcW w:w="1980" w:type="dxa"/>
            <w:tcBorders>
              <w:top w:val="nil"/>
              <w:left w:val="nil"/>
              <w:bottom w:val="nil"/>
              <w:right w:val="nil"/>
            </w:tcBorders>
          </w:tcPr>
          <w:p w14:paraId="43BE6EE8"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bCs/>
                <w:sz w:val="24"/>
                <w:szCs w:val="24"/>
              </w:rPr>
              <w:t>Cattle</w:t>
            </w:r>
          </w:p>
        </w:tc>
        <w:tc>
          <w:tcPr>
            <w:tcW w:w="5100" w:type="dxa"/>
            <w:tcBorders>
              <w:top w:val="nil"/>
              <w:left w:val="nil"/>
              <w:bottom w:val="nil"/>
              <w:right w:val="nil"/>
            </w:tcBorders>
          </w:tcPr>
          <w:p w14:paraId="7BB18641"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β-lactams, Aminoglycosides, Quinolones, ﬂuoroquinolones, Macrolides, Tetracyclines, Sulfonamides, Streptogramins, Lincosamides, Penicillins</w:t>
            </w:r>
          </w:p>
        </w:tc>
        <w:tc>
          <w:tcPr>
            <w:tcW w:w="0" w:type="auto"/>
            <w:tcBorders>
              <w:top w:val="nil"/>
              <w:left w:val="nil"/>
              <w:bottom w:val="nil"/>
              <w:right w:val="nil"/>
            </w:tcBorders>
          </w:tcPr>
          <w:p w14:paraId="647872DB" w14:textId="77777777" w:rsidR="00290206" w:rsidRPr="009D2150" w:rsidRDefault="008F439C">
            <w:pPr>
              <w:spacing w:line="276" w:lineRule="auto"/>
              <w:rPr>
                <w:rFonts w:ascii="Times New Roman" w:hAnsi="Times New Roman"/>
                <w:b/>
                <w:bCs/>
                <w:sz w:val="24"/>
                <w:szCs w:val="24"/>
                <w:lang w:val="de-DE"/>
              </w:rPr>
            </w:pPr>
            <w:r w:rsidRPr="009D2150">
              <w:rPr>
                <w:rFonts w:ascii="Times New Roman" w:hAnsi="Times New Roman"/>
                <w:sz w:val="24"/>
                <w:szCs w:val="24"/>
                <w:lang w:val="de-DE"/>
              </w:rPr>
              <w:t xml:space="preserve">Zalewska </w:t>
            </w:r>
            <w:r w:rsidRPr="009D2150">
              <w:rPr>
                <w:rFonts w:ascii="Times New Roman" w:hAnsi="Times New Roman"/>
                <w:i/>
                <w:iCs/>
                <w:sz w:val="24"/>
                <w:szCs w:val="24"/>
                <w:lang w:val="de-DE"/>
              </w:rPr>
              <w:t>et al</w:t>
            </w:r>
            <w:r w:rsidRPr="009D2150">
              <w:rPr>
                <w:rFonts w:ascii="Times New Roman" w:hAnsi="Times New Roman"/>
                <w:sz w:val="24"/>
                <w:szCs w:val="24"/>
                <w:lang w:val="de-DE"/>
              </w:rPr>
              <w:t>., 2021; Enshaie et al., 2025</w:t>
            </w:r>
          </w:p>
        </w:tc>
      </w:tr>
      <w:tr w:rsidR="00290206" w:rsidRPr="00372231" w14:paraId="4540AA11" w14:textId="77777777">
        <w:tc>
          <w:tcPr>
            <w:tcW w:w="1980" w:type="dxa"/>
            <w:tcBorders>
              <w:top w:val="nil"/>
              <w:left w:val="nil"/>
              <w:bottom w:val="nil"/>
              <w:right w:val="nil"/>
            </w:tcBorders>
          </w:tcPr>
          <w:p w14:paraId="23C74291"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sz w:val="24"/>
                <w:szCs w:val="24"/>
              </w:rPr>
              <w:t>Swine (pig slurry)</w:t>
            </w:r>
          </w:p>
        </w:tc>
        <w:tc>
          <w:tcPr>
            <w:tcW w:w="5100" w:type="dxa"/>
            <w:tcBorders>
              <w:top w:val="nil"/>
              <w:left w:val="nil"/>
              <w:bottom w:val="nil"/>
              <w:right w:val="nil"/>
            </w:tcBorders>
          </w:tcPr>
          <w:p w14:paraId="2E517BA2"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Lincosamides, macrolides, phenicols, pleuromutilins, quinolones, sulfonamides, tetracyclines</w:t>
            </w:r>
          </w:p>
        </w:tc>
        <w:tc>
          <w:tcPr>
            <w:tcW w:w="0" w:type="auto"/>
            <w:tcBorders>
              <w:top w:val="nil"/>
              <w:left w:val="nil"/>
              <w:bottom w:val="nil"/>
              <w:right w:val="nil"/>
            </w:tcBorders>
          </w:tcPr>
          <w:p w14:paraId="0700D038"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Massaccesi et al., 2024</w:t>
            </w:r>
          </w:p>
        </w:tc>
      </w:tr>
      <w:tr w:rsidR="00290206" w:rsidRPr="00372231" w14:paraId="07BC0C37" w14:textId="77777777">
        <w:tc>
          <w:tcPr>
            <w:tcW w:w="1980" w:type="dxa"/>
            <w:tcBorders>
              <w:top w:val="nil"/>
              <w:left w:val="nil"/>
              <w:bottom w:val="nil"/>
              <w:right w:val="nil"/>
            </w:tcBorders>
          </w:tcPr>
          <w:p w14:paraId="5CC93114"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sz w:val="24"/>
                <w:szCs w:val="24"/>
              </w:rPr>
              <w:t>Cattle and Poultry</w:t>
            </w:r>
          </w:p>
        </w:tc>
        <w:tc>
          <w:tcPr>
            <w:tcW w:w="5100" w:type="dxa"/>
            <w:tcBorders>
              <w:top w:val="nil"/>
              <w:left w:val="nil"/>
              <w:bottom w:val="nil"/>
              <w:right w:val="nil"/>
            </w:tcBorders>
          </w:tcPr>
          <w:p w14:paraId="2D6CC37A"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Tetracyclines, sulfonamides</w:t>
            </w:r>
          </w:p>
        </w:tc>
        <w:tc>
          <w:tcPr>
            <w:tcW w:w="0" w:type="auto"/>
            <w:tcBorders>
              <w:top w:val="nil"/>
              <w:left w:val="nil"/>
              <w:bottom w:val="nil"/>
              <w:right w:val="nil"/>
            </w:tcBorders>
          </w:tcPr>
          <w:p w14:paraId="4093F8C9"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Joseph et al., 2024</w:t>
            </w:r>
          </w:p>
        </w:tc>
      </w:tr>
      <w:tr w:rsidR="00290206" w:rsidRPr="00372231" w14:paraId="2A326D95" w14:textId="77777777">
        <w:tc>
          <w:tcPr>
            <w:tcW w:w="1980" w:type="dxa"/>
            <w:tcBorders>
              <w:top w:val="nil"/>
              <w:left w:val="nil"/>
              <w:right w:val="nil"/>
            </w:tcBorders>
          </w:tcPr>
          <w:p w14:paraId="542D619C" w14:textId="77777777" w:rsidR="00290206" w:rsidRPr="00372231" w:rsidRDefault="008F439C">
            <w:pPr>
              <w:spacing w:line="276" w:lineRule="auto"/>
              <w:jc w:val="both"/>
              <w:rPr>
                <w:rFonts w:ascii="Times New Roman" w:hAnsi="Times New Roman"/>
                <w:b/>
                <w:bCs/>
                <w:sz w:val="24"/>
                <w:szCs w:val="24"/>
              </w:rPr>
            </w:pPr>
            <w:r w:rsidRPr="00372231">
              <w:rPr>
                <w:rFonts w:ascii="Times New Roman" w:hAnsi="Times New Roman"/>
                <w:sz w:val="24"/>
                <w:szCs w:val="24"/>
              </w:rPr>
              <w:t>Mixed livestock</w:t>
            </w:r>
          </w:p>
        </w:tc>
        <w:tc>
          <w:tcPr>
            <w:tcW w:w="5100" w:type="dxa"/>
            <w:tcBorders>
              <w:top w:val="nil"/>
              <w:left w:val="nil"/>
              <w:bottom w:val="single" w:sz="4" w:space="0" w:color="auto"/>
              <w:right w:val="nil"/>
            </w:tcBorders>
          </w:tcPr>
          <w:p w14:paraId="6C069062"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β-lactams, macrolides, tetracyclines, phenicols, fluoroquinolones, aminoglycosides, polymyxins</w:t>
            </w:r>
          </w:p>
        </w:tc>
        <w:tc>
          <w:tcPr>
            <w:tcW w:w="0" w:type="auto"/>
            <w:tcBorders>
              <w:top w:val="nil"/>
              <w:left w:val="nil"/>
              <w:bottom w:val="single" w:sz="4" w:space="0" w:color="auto"/>
              <w:right w:val="nil"/>
            </w:tcBorders>
          </w:tcPr>
          <w:p w14:paraId="52DE0353" w14:textId="77777777" w:rsidR="00290206" w:rsidRPr="00372231" w:rsidRDefault="008F439C">
            <w:pPr>
              <w:spacing w:line="276" w:lineRule="auto"/>
              <w:rPr>
                <w:rFonts w:ascii="Times New Roman" w:hAnsi="Times New Roman"/>
                <w:b/>
                <w:bCs/>
                <w:sz w:val="24"/>
                <w:szCs w:val="24"/>
              </w:rPr>
            </w:pPr>
            <w:r w:rsidRPr="00372231">
              <w:rPr>
                <w:rFonts w:ascii="Times New Roman" w:hAnsi="Times New Roman"/>
                <w:sz w:val="24"/>
                <w:szCs w:val="24"/>
              </w:rPr>
              <w:t>Alabi et al., 2025</w:t>
            </w:r>
          </w:p>
        </w:tc>
      </w:tr>
    </w:tbl>
    <w:p w14:paraId="6BA2AC37" w14:textId="77777777" w:rsidR="00290206" w:rsidRPr="00372231" w:rsidRDefault="008F439C">
      <w:pPr>
        <w:jc w:val="both"/>
        <w:rPr>
          <w:rFonts w:ascii="Times New Roman" w:hAnsi="Times New Roman" w:cs="Times New Roman"/>
          <w:i/>
          <w:iCs/>
          <w:sz w:val="24"/>
          <w:szCs w:val="24"/>
        </w:rPr>
      </w:pPr>
      <w:r w:rsidRPr="00372231">
        <w:rPr>
          <w:rFonts w:ascii="Times New Roman" w:hAnsi="Times New Roman" w:cs="Times New Roman"/>
          <w:i/>
          <w:iCs/>
          <w:sz w:val="24"/>
          <w:szCs w:val="24"/>
        </w:rPr>
        <w:t>Source: Karwowska, (2024)</w:t>
      </w:r>
    </w:p>
    <w:p w14:paraId="5AB5B7EF"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Across regions, frequently used compounds include penicillin, tetracyclines, macrolides, fluoroquinolones, sulfonamides, β-lactams and other classes, many of which are also important in human medicine (Abate &amp; Birhanu, 2025). The amount and type of antibiotics used depend on the age and production stage of the animals, with intensive use during suckling and post weaning periods and in herd-level metaphylactic and prophylactic treatments (Karwowska, 2024). Although growth promotion uses have been banned in many countries and preventive applications are increasingly regulated (Pinho et al., 2025), overall antibiotic consumption in animal production often still exceeds that in human medicine (Abate &amp; Birhanu, 2025). Intensive animal rearing and high antimicrobial inputs mean that livestock and animal husbandry facilities can act as major sources and hotspots of antibiotic-resistant bacteria (ARB) and resistance genes, including multidrug-resistant </w:t>
      </w:r>
      <w:r w:rsidRPr="00372231">
        <w:rPr>
          <w:rFonts w:ascii="Times New Roman" w:hAnsi="Times New Roman" w:cs="Times New Roman"/>
          <w:i/>
          <w:iCs/>
          <w:sz w:val="24"/>
          <w:szCs w:val="24"/>
        </w:rPr>
        <w:t>Escherichia coli</w:t>
      </w:r>
      <w:r w:rsidRPr="00372231">
        <w:rPr>
          <w:rFonts w:ascii="Times New Roman" w:hAnsi="Times New Roman" w:cs="Times New Roman"/>
          <w:sz w:val="24"/>
          <w:szCs w:val="24"/>
        </w:rPr>
        <w:t xml:space="preserve"> and extended-spectrum β-lactamase producers, which are then released into the surrounding environment (Pandey et al., 2024; Bava et al., 2024).</w:t>
      </w:r>
    </w:p>
    <w:p w14:paraId="085E32B4"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In addition to terrestrial livestock, antibiotics are widely used in aquaculture to prevent and treat bacterial infections and, in some settings, to promote growth (Yordanova et al., 2024; Mohammed et al., 2025). They are typically applied in feed or directly into rearing water, and a considerable fraction reaches the wider environment through unconsumed feeds, faeces and farm effluents (Mohammed et al., 2025). This practice selects for ARB and antimicrobial resistance genes in </w:t>
      </w:r>
      <w:r w:rsidRPr="00372231">
        <w:rPr>
          <w:rFonts w:ascii="Times New Roman" w:hAnsi="Times New Roman" w:cs="Times New Roman"/>
          <w:sz w:val="24"/>
          <w:szCs w:val="24"/>
        </w:rPr>
        <w:lastRenderedPageBreak/>
        <w:t>water, sediments and biofilms and can facilitate their transfer to terrestrial systems and the food chain via contaminated aquatic products and irrigation of crops.</w:t>
      </w:r>
    </w:p>
    <w:p w14:paraId="20CBE5EE"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2. Application of Animal Manure and Biosolids</w:t>
      </w:r>
    </w:p>
    <w:p w14:paraId="49409A53" w14:textId="7729A900"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Certain antibiotics administered to farm animals are excreted un</w:t>
      </w:r>
      <w:r w:rsidR="00090626">
        <w:rPr>
          <w:rFonts w:ascii="Times New Roman" w:hAnsi="Times New Roman" w:cs="Times New Roman"/>
          <w:sz w:val="24"/>
          <w:szCs w:val="24"/>
        </w:rPr>
        <w:t>altered</w:t>
      </w:r>
      <w:r w:rsidRPr="00372231">
        <w:rPr>
          <w:rFonts w:ascii="Times New Roman" w:hAnsi="Times New Roman" w:cs="Times New Roman"/>
          <w:sz w:val="24"/>
          <w:szCs w:val="24"/>
        </w:rPr>
        <w:t xml:space="preserve"> or as active metabolites because antibiotic metabolisation can range from 10 to 90% (Patyra et al., 2024). As a result, animal waste contains antibiotics, and their associated metabolites, compounds such as ciprofloxacin and doxycycline have been detected in animal excreta (Wang et al., 2025). These suboptimal concentrations may be high enough to place microorganisms under selective pressure for antibiotic resistance (Li et al., 2025). Livestock manure often harbours bacteria resistant to multiple antibiotics because of antimicrobial use in feed, and resistance determinants are present in farm waste (Karwowska, 2024). Manure is therefore considered a hotspot for antibiotic resistance expansion since it combines high levels of nutrients, residual antimicrobials and dense microbial communities (Liu et al., 2025). Large numbers of antibiotic resistance genes have been detected in manure, and resistant pathogenic bacteria have been recovered from these matrices. The use of manure from animals treated with antibiotics as soil fertiliser promotes the emergence of drug resistance in soil, and different resistance genes have been reported in manure-fertilised soils compared with unfertilised soils (Nickodem et al., 2025). Drug-resistant microorganisms can persist and be transferred within the environment even after manure application.</w:t>
      </w:r>
    </w:p>
    <w:p w14:paraId="4E6D4B34"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Manure-borne antibiotics can directly select for resistant soil bacteria, and antibiotic resistance has been observed to spread into regions not immediately adjacent to farms, suggesting wider environmental dissemination pathways (Karwowska, 2024). Although the increase in resistance genes following manure fertilisation may decline over time, manure-amended soils still tend to contain more resistance genes than unfertilised soils (Nickodem et al., 2025). Biosolids, the primary solid end product of urban wastewater treatment, are likewise applied to soil as organic fertiliser and have been shown to increase the abundance and diversity of ARGs after long term land application, thereby representing an additional source of resistance determinants to agricultural soils (Ste Marie et al., 2025).</w:t>
      </w:r>
    </w:p>
    <w:p w14:paraId="51EAD6B1" w14:textId="77777777" w:rsidR="00290206" w:rsidRPr="00372231" w:rsidRDefault="008F439C">
      <w:pPr>
        <w:jc w:val="both"/>
        <w:rPr>
          <w:rFonts w:ascii="Times New Roman" w:hAnsi="Times New Roman" w:cs="Times New Roman"/>
          <w:b/>
          <w:bCs/>
          <w:sz w:val="24"/>
          <w:szCs w:val="24"/>
        </w:rPr>
      </w:pPr>
      <w:r w:rsidRPr="00372231">
        <w:rPr>
          <w:rFonts w:ascii="Times New Roman" w:eastAsia="Times New Roman" w:hAnsi="Times New Roman" w:cs="Times New Roman"/>
          <w:b/>
          <w:bCs/>
          <w:sz w:val="24"/>
          <w:szCs w:val="24"/>
        </w:rPr>
        <w:t>3. Pesticide Application</w:t>
      </w:r>
    </w:p>
    <w:p w14:paraId="393B251C"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High levels of agricultural intensification have led to widespread cultivation of densely sown crop monocultures, which has contributed to the prevalence of pests, fungi, bacteria, viruses, insects and weeds (Mihrete and Mihretu, 2025). Biocidal or biostatic compounds are routinely used as pesticides to reduce crop losses, yet many of them also disrupt soil microbial communities (Ni et al., 2025). Pesticide may eliminate microbial diversity, change the composition of the community and promote the formation of antimicrobial resistance in soil bacteria (Shen et al., 2025). For example, fungicides like azoxystrobin and elutriator have been linked with a decrease in the abundance of nitrifying microorganisms, which can reduce soil fertility (Bacmaga et al., 2024), </w:t>
      </w:r>
      <w:r w:rsidRPr="00372231">
        <w:rPr>
          <w:rFonts w:ascii="Times New Roman" w:hAnsi="Times New Roman" w:cs="Times New Roman"/>
          <w:sz w:val="24"/>
          <w:szCs w:val="24"/>
        </w:rPr>
        <w:lastRenderedPageBreak/>
        <w:t>while herbicides such as bromoxynil can suppress soil bacterial populations, decreasing biodegradation potential and prolonging the persistence of chemicals (Kelbrick et al., 2023).</w:t>
      </w:r>
    </w:p>
    <w:p w14:paraId="2D0B70B9"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The most common bacterial adaptation to pesticides is down regulation of membrane porins or up regulation of efflux pumps to decrease intracellular levels of harmful substances (Shafiq et al., 2025). Dicamba herbicide, for instance, increases soxRS expression in </w:t>
      </w:r>
      <w:r w:rsidRPr="00372231">
        <w:rPr>
          <w:rFonts w:ascii="Times New Roman" w:hAnsi="Times New Roman" w:cs="Times New Roman"/>
          <w:i/>
          <w:iCs/>
          <w:sz w:val="24"/>
          <w:szCs w:val="24"/>
        </w:rPr>
        <w:t>Escherichia coli</w:t>
      </w:r>
      <w:r w:rsidRPr="00372231">
        <w:rPr>
          <w:rFonts w:ascii="Times New Roman" w:hAnsi="Times New Roman" w:cs="Times New Roman"/>
          <w:sz w:val="24"/>
          <w:szCs w:val="24"/>
        </w:rPr>
        <w:t xml:space="preserve">, which enhances the expression of AcrAB efflux pumps which play a role in pesticide and antibiotic resistance. Copper-based fungicides can induce mutations on the AcrAB TolC multidrug export pump, leading to an inter-antibiotic resistance to tetracycline and chloramphenicol (Murray et al., 2024). Microbial degradation of pesticides may also contribute to AMR, since organophosphate insecticides are broken down by organophosphorus hydrolases produced by soil bacteria, including </w:t>
      </w:r>
      <w:r w:rsidRPr="00372231">
        <w:rPr>
          <w:rFonts w:ascii="Times New Roman" w:hAnsi="Times New Roman" w:cs="Times New Roman"/>
          <w:i/>
          <w:iCs/>
          <w:sz w:val="24"/>
          <w:szCs w:val="24"/>
        </w:rPr>
        <w:t>Flavobacterium</w:t>
      </w:r>
      <w:r w:rsidRPr="00372231">
        <w:rPr>
          <w:rFonts w:ascii="Times New Roman" w:hAnsi="Times New Roman" w:cs="Times New Roman"/>
          <w:sz w:val="24"/>
          <w:szCs w:val="24"/>
        </w:rPr>
        <w:t xml:space="preserve">, </w:t>
      </w:r>
      <w:r w:rsidRPr="00372231">
        <w:rPr>
          <w:rFonts w:ascii="Times New Roman" w:hAnsi="Times New Roman" w:cs="Times New Roman"/>
          <w:i/>
          <w:iCs/>
          <w:sz w:val="24"/>
          <w:szCs w:val="24"/>
        </w:rPr>
        <w:t>Pseudomonas</w:t>
      </w:r>
      <w:r w:rsidRPr="00372231">
        <w:rPr>
          <w:rFonts w:ascii="Times New Roman" w:hAnsi="Times New Roman" w:cs="Times New Roman"/>
          <w:sz w:val="24"/>
          <w:szCs w:val="24"/>
        </w:rPr>
        <w:t xml:space="preserve"> and </w:t>
      </w:r>
      <w:r w:rsidRPr="00372231">
        <w:rPr>
          <w:rFonts w:ascii="Times New Roman" w:hAnsi="Times New Roman" w:cs="Times New Roman"/>
          <w:i/>
          <w:iCs/>
          <w:sz w:val="24"/>
          <w:szCs w:val="24"/>
        </w:rPr>
        <w:t>Bacillus</w:t>
      </w:r>
      <w:r w:rsidRPr="00372231">
        <w:rPr>
          <w:rFonts w:ascii="Times New Roman" w:hAnsi="Times New Roman" w:cs="Times New Roman"/>
          <w:sz w:val="24"/>
          <w:szCs w:val="24"/>
        </w:rPr>
        <w:t xml:space="preserve">, and these enzymes can also degrade antibiotics such as streptomycin, ampicillin and chloramphenicol (Paidi et al., 2021). The results from numerous studies have demonstrated that certain pesticides encourage the transfer of AMR genes on mobile genetic elements within natural microbial populations, which is known as co-resistance (Shen et al., 2025). For example, Liao et al. (2021) show that soils treated with glyphosate herbicides contained higher levels of resistance genes and mobile genetic elements than control soils that were not treated with the herbicides. These includes aminoglycoside, vancomycin, chloramphenicol and tetracycline resistance genes. Fungicides aswell as insecticides can further enhance the proliferation of resistance genes by increasing conjugation frequencies in </w:t>
      </w:r>
      <w:r w:rsidRPr="00372231">
        <w:rPr>
          <w:rFonts w:ascii="Times New Roman" w:hAnsi="Times New Roman" w:cs="Times New Roman"/>
          <w:i/>
          <w:iCs/>
          <w:sz w:val="24"/>
          <w:szCs w:val="24"/>
        </w:rPr>
        <w:t>E. coli</w:t>
      </w:r>
      <w:r w:rsidRPr="00372231">
        <w:rPr>
          <w:rFonts w:ascii="Times New Roman" w:hAnsi="Times New Roman" w:cs="Times New Roman"/>
          <w:sz w:val="24"/>
          <w:szCs w:val="24"/>
        </w:rPr>
        <w:t xml:space="preserve"> (Zhang et al., 2023), and pesticides may indirectly influence AMR by altering microbial community structure in ways that favour antibiotic-resistant organisms, thereby worsening the AMR burden in agricultural soils (Kelbrick et al., 2023).</w:t>
      </w:r>
    </w:p>
    <w:p w14:paraId="2AF042F9"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4. Irrigation with Contaminated Water</w:t>
      </w:r>
    </w:p>
    <w:p w14:paraId="5E461529"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The water used by agriculture across the world is the greatest consumer of fresh water globally (more than 75% of resources available). As global population is likely to reach a level of over ten billion in the next three decades, farmers are estimated to produce roughly 70% more food, which will place additional pressure on freshwater supplies (Galanakis, 2024; FAO, 2025). Population growth and water scarcity have driven the adoption of alternative irrigation sources, including wastewater. Nearly half of the world’s population depend on water contaminated sources to irrigate their lands, and about 20 million hectares of land are irrigated using sewage water (Bougnom et al., 2020). Wastewater has long been used in agriculture in arid regions and is becoming an important alternative water source where shortages occur (Obijianya et al., 2025; Trotta et al., 2024). Untreated wastewater reuse is economically viable in most low-income nations whereas residential sewage is increasingly reused due to water shortage in high-income nations. Wastewater irrigation can help restore nutrients in soils and reduce the need for mineral fertilisers. However, wastewater may contain heavy metals, microorganisms, pharmaceuticals, plastic additives and other pollutants (La Rosa et al., 2025). Enteric diseass that have been associated with </w:t>
      </w:r>
      <w:r w:rsidRPr="00372231">
        <w:rPr>
          <w:rFonts w:ascii="Times New Roman" w:eastAsia="Times New Roman" w:hAnsi="Times New Roman" w:cs="Times New Roman"/>
          <w:sz w:val="24"/>
          <w:szCs w:val="24"/>
        </w:rPr>
        <w:lastRenderedPageBreak/>
        <w:t>the agricultural use of wastewater include salmonellosis, shigellosis, cholera, giardiasis, amoebiasis, hepatitis A and viral enteritis among farmers, their families and consumers.</w:t>
      </w:r>
    </w:p>
    <w:p w14:paraId="41A6A368"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The effects of some of these health risks can be mitigated with proper treatment of wastewater before it is used in the agricultural fields, yet most of the contaminants, such as antibiotics, antimicrobial resistant bacteria and antimicrobial resistance genes remain unmitigated by conventional treatment methods (Adefisoye &amp; Olaniran, 2022). Antibiotics may still remain in the treated effluents and resistant bacteria and resistance genes can survive and even thrive when they are in the treatment plants (Brouwir et al., 2025; Kalli et al., 2025). Irrigation with such effluents repeatedly exposes fields to antibiotics and resistant microorganisms, which encourages the selection and propagation of resistant bacteria in the soil. The wastewater derived bacteria can also share resistance genes with the native soil microbiota when resistant bacteria are deposited on  fields. Crops grown on wastewater irrigated soils can absorb antimicrobial resistant bacteria and resistance genes and introduce consumers to the risk of AMR in the food chain (Patra and Dubey, 2024). Resistance genes and bacteria in from irrigated fields are also able to contaminate nearby surface and groundwater bodies. Figure 2 shows the environmental effects of wastewater irrigation such as the distribution of ARB and ARGs.</w:t>
      </w:r>
    </w:p>
    <w:p w14:paraId="30D79AA2" w14:textId="77777777" w:rsidR="00290206" w:rsidRPr="00372231" w:rsidRDefault="00290206">
      <w:pPr>
        <w:jc w:val="both"/>
        <w:rPr>
          <w:rFonts w:ascii="Times New Roman" w:eastAsia="Times New Roman" w:hAnsi="Times New Roman" w:cs="Times New Roman"/>
          <w:sz w:val="24"/>
          <w:szCs w:val="24"/>
        </w:rPr>
      </w:pPr>
    </w:p>
    <w:p w14:paraId="5A540820" w14:textId="77777777" w:rsidR="00290206" w:rsidRPr="00372231" w:rsidRDefault="00290206">
      <w:pPr>
        <w:jc w:val="both"/>
        <w:rPr>
          <w:rFonts w:ascii="Times New Roman" w:eastAsia="Times New Roman" w:hAnsi="Times New Roman" w:cs="Times New Roman"/>
          <w:sz w:val="24"/>
          <w:szCs w:val="24"/>
        </w:rPr>
      </w:pPr>
    </w:p>
    <w:p w14:paraId="64C89435"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hAnsi="Times New Roman" w:cs="Times New Roman"/>
          <w:noProof/>
          <w:sz w:val="24"/>
          <w:szCs w:val="24"/>
        </w:rPr>
        <w:lastRenderedPageBreak/>
        <w:drawing>
          <wp:anchor distT="0" distB="0" distL="114300" distR="114300" simplePos="0" relativeHeight="3" behindDoc="0" locked="0" layoutInCell="1" allowOverlap="1" wp14:anchorId="6BAE1129" wp14:editId="0FD54955">
            <wp:simplePos x="0" y="0"/>
            <wp:positionH relativeFrom="margin">
              <wp:posOffset>-69850</wp:posOffset>
            </wp:positionH>
            <wp:positionV relativeFrom="paragraph">
              <wp:posOffset>62230</wp:posOffset>
            </wp:positionV>
            <wp:extent cx="4620895" cy="4163694"/>
            <wp:effectExtent l="0" t="0" r="8255" b="8255"/>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4620895" cy="4163694"/>
                    </a:xfrm>
                    <a:prstGeom prst="rect">
                      <a:avLst/>
                    </a:prstGeom>
                  </pic:spPr>
                </pic:pic>
              </a:graphicData>
            </a:graphic>
            <wp14:sizeRelH relativeFrom="margin">
              <wp14:pctWidth>0</wp14:pctWidth>
            </wp14:sizeRelH>
            <wp14:sizeRelV relativeFrom="margin">
              <wp14:pctHeight>0</wp14:pctHeight>
            </wp14:sizeRelV>
          </wp:anchor>
        </w:drawing>
      </w:r>
    </w:p>
    <w:p w14:paraId="7DEA9442" w14:textId="77777777" w:rsidR="00290206" w:rsidRPr="00372231" w:rsidRDefault="00290206">
      <w:pPr>
        <w:jc w:val="both"/>
        <w:rPr>
          <w:rFonts w:ascii="Times New Roman" w:eastAsia="Times New Roman" w:hAnsi="Times New Roman" w:cs="Times New Roman"/>
          <w:b/>
          <w:bCs/>
          <w:sz w:val="24"/>
          <w:szCs w:val="24"/>
        </w:rPr>
      </w:pPr>
    </w:p>
    <w:p w14:paraId="2B46B478" w14:textId="77777777" w:rsidR="00290206" w:rsidRPr="00372231" w:rsidRDefault="00290206">
      <w:pPr>
        <w:jc w:val="both"/>
        <w:rPr>
          <w:rFonts w:ascii="Times New Roman" w:eastAsia="Times New Roman" w:hAnsi="Times New Roman" w:cs="Times New Roman"/>
          <w:b/>
          <w:bCs/>
          <w:sz w:val="24"/>
          <w:szCs w:val="24"/>
        </w:rPr>
      </w:pPr>
    </w:p>
    <w:p w14:paraId="5286293F" w14:textId="77777777" w:rsidR="00290206" w:rsidRPr="00372231" w:rsidRDefault="00290206">
      <w:pPr>
        <w:jc w:val="both"/>
        <w:rPr>
          <w:rFonts w:ascii="Times New Roman" w:eastAsia="Times New Roman" w:hAnsi="Times New Roman" w:cs="Times New Roman"/>
          <w:b/>
          <w:bCs/>
          <w:sz w:val="24"/>
          <w:szCs w:val="24"/>
        </w:rPr>
      </w:pPr>
    </w:p>
    <w:p w14:paraId="7FE944ED" w14:textId="77777777" w:rsidR="00290206" w:rsidRPr="00372231" w:rsidRDefault="00290206">
      <w:pPr>
        <w:jc w:val="both"/>
        <w:rPr>
          <w:rFonts w:ascii="Times New Roman" w:eastAsia="Times New Roman" w:hAnsi="Times New Roman" w:cs="Times New Roman"/>
          <w:b/>
          <w:bCs/>
          <w:sz w:val="24"/>
          <w:szCs w:val="24"/>
        </w:rPr>
      </w:pPr>
    </w:p>
    <w:p w14:paraId="33063FA5" w14:textId="77777777" w:rsidR="00290206" w:rsidRPr="00372231" w:rsidRDefault="00290206">
      <w:pPr>
        <w:jc w:val="both"/>
        <w:rPr>
          <w:rFonts w:ascii="Times New Roman" w:eastAsia="Times New Roman" w:hAnsi="Times New Roman" w:cs="Times New Roman"/>
          <w:b/>
          <w:bCs/>
          <w:sz w:val="24"/>
          <w:szCs w:val="24"/>
        </w:rPr>
      </w:pPr>
    </w:p>
    <w:p w14:paraId="11C4670C" w14:textId="77777777" w:rsidR="00290206" w:rsidRPr="00372231" w:rsidRDefault="00290206">
      <w:pPr>
        <w:jc w:val="both"/>
        <w:rPr>
          <w:rFonts w:ascii="Times New Roman" w:eastAsia="Times New Roman" w:hAnsi="Times New Roman" w:cs="Times New Roman"/>
          <w:b/>
          <w:bCs/>
          <w:sz w:val="24"/>
          <w:szCs w:val="24"/>
        </w:rPr>
      </w:pPr>
    </w:p>
    <w:p w14:paraId="36B2037D" w14:textId="77777777" w:rsidR="00290206" w:rsidRPr="00372231" w:rsidRDefault="00290206">
      <w:pPr>
        <w:jc w:val="both"/>
        <w:rPr>
          <w:rFonts w:ascii="Times New Roman" w:eastAsia="Times New Roman" w:hAnsi="Times New Roman" w:cs="Times New Roman"/>
          <w:b/>
          <w:bCs/>
          <w:sz w:val="24"/>
          <w:szCs w:val="24"/>
        </w:rPr>
      </w:pPr>
    </w:p>
    <w:p w14:paraId="663C9ADD" w14:textId="77777777" w:rsidR="00290206" w:rsidRPr="00372231" w:rsidRDefault="00290206">
      <w:pPr>
        <w:jc w:val="both"/>
        <w:rPr>
          <w:rFonts w:ascii="Times New Roman" w:eastAsia="Times New Roman" w:hAnsi="Times New Roman" w:cs="Times New Roman"/>
          <w:b/>
          <w:bCs/>
          <w:sz w:val="24"/>
          <w:szCs w:val="24"/>
        </w:rPr>
      </w:pPr>
    </w:p>
    <w:p w14:paraId="3E0E02ED" w14:textId="77777777" w:rsidR="00290206" w:rsidRPr="00372231" w:rsidRDefault="00290206">
      <w:pPr>
        <w:jc w:val="both"/>
        <w:rPr>
          <w:rFonts w:ascii="Times New Roman" w:eastAsia="Times New Roman" w:hAnsi="Times New Roman" w:cs="Times New Roman"/>
          <w:b/>
          <w:bCs/>
          <w:sz w:val="24"/>
          <w:szCs w:val="24"/>
        </w:rPr>
      </w:pPr>
    </w:p>
    <w:p w14:paraId="3A93147E" w14:textId="77777777" w:rsidR="00290206" w:rsidRPr="00372231" w:rsidRDefault="00290206">
      <w:pPr>
        <w:jc w:val="both"/>
        <w:rPr>
          <w:rFonts w:ascii="Times New Roman" w:eastAsia="Times New Roman" w:hAnsi="Times New Roman" w:cs="Times New Roman"/>
          <w:b/>
          <w:bCs/>
          <w:sz w:val="24"/>
          <w:szCs w:val="24"/>
        </w:rPr>
      </w:pPr>
    </w:p>
    <w:p w14:paraId="3785E9CF" w14:textId="77777777" w:rsidR="00290206" w:rsidRPr="00372231" w:rsidRDefault="00290206">
      <w:pPr>
        <w:jc w:val="both"/>
        <w:rPr>
          <w:rFonts w:ascii="Times New Roman" w:eastAsia="Times New Roman" w:hAnsi="Times New Roman" w:cs="Times New Roman"/>
          <w:b/>
          <w:bCs/>
          <w:sz w:val="24"/>
          <w:szCs w:val="24"/>
        </w:rPr>
      </w:pPr>
    </w:p>
    <w:p w14:paraId="27678158" w14:textId="77777777" w:rsidR="00290206" w:rsidRPr="00372231" w:rsidRDefault="00290206">
      <w:pPr>
        <w:jc w:val="both"/>
        <w:rPr>
          <w:rFonts w:ascii="Times New Roman" w:eastAsia="Times New Roman" w:hAnsi="Times New Roman" w:cs="Times New Roman"/>
          <w:b/>
          <w:bCs/>
          <w:sz w:val="24"/>
          <w:szCs w:val="24"/>
        </w:rPr>
      </w:pPr>
    </w:p>
    <w:p w14:paraId="48D9C9F6" w14:textId="430111D5"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b/>
          <w:bCs/>
          <w:sz w:val="24"/>
          <w:szCs w:val="24"/>
        </w:rPr>
        <w:t>Figure 2:</w:t>
      </w:r>
      <w:r w:rsidRPr="00372231">
        <w:rPr>
          <w:rFonts w:ascii="Times New Roman" w:eastAsia="Times New Roman" w:hAnsi="Times New Roman" w:cs="Times New Roman"/>
          <w:sz w:val="24"/>
          <w:szCs w:val="24"/>
        </w:rPr>
        <w:t xml:space="preserve"> </w:t>
      </w:r>
      <w:r w:rsidR="003B76A2">
        <w:rPr>
          <w:rFonts w:ascii="Times New Roman" w:eastAsia="Times New Roman" w:hAnsi="Times New Roman" w:cs="Times New Roman"/>
          <w:sz w:val="24"/>
          <w:szCs w:val="24"/>
        </w:rPr>
        <w:t xml:space="preserve">Contribution </w:t>
      </w:r>
      <w:r w:rsidRPr="00372231">
        <w:rPr>
          <w:rFonts w:ascii="Times New Roman" w:eastAsia="Times New Roman" w:hAnsi="Times New Roman" w:cs="Times New Roman"/>
          <w:sz w:val="24"/>
          <w:szCs w:val="24"/>
        </w:rPr>
        <w:t xml:space="preserve">of wastewater irrigation </w:t>
      </w:r>
      <w:r w:rsidR="00330F98">
        <w:rPr>
          <w:rFonts w:ascii="Times New Roman" w:eastAsia="Times New Roman" w:hAnsi="Times New Roman" w:cs="Times New Roman"/>
          <w:sz w:val="24"/>
          <w:szCs w:val="24"/>
        </w:rPr>
        <w:t xml:space="preserve">to </w:t>
      </w:r>
      <w:r w:rsidRPr="00372231">
        <w:rPr>
          <w:rFonts w:ascii="Times New Roman" w:eastAsia="Times New Roman" w:hAnsi="Times New Roman" w:cs="Times New Roman"/>
          <w:sz w:val="24"/>
          <w:szCs w:val="24"/>
        </w:rPr>
        <w:t>the e</w:t>
      </w:r>
      <w:r w:rsidR="00330F98">
        <w:rPr>
          <w:rFonts w:ascii="Times New Roman" w:eastAsia="Times New Roman" w:hAnsi="Times New Roman" w:cs="Times New Roman"/>
          <w:sz w:val="24"/>
          <w:szCs w:val="24"/>
        </w:rPr>
        <w:t xml:space="preserve">volution </w:t>
      </w:r>
      <w:r w:rsidRPr="00372231">
        <w:rPr>
          <w:rFonts w:ascii="Times New Roman" w:eastAsia="Times New Roman" w:hAnsi="Times New Roman" w:cs="Times New Roman"/>
          <w:sz w:val="24"/>
          <w:szCs w:val="24"/>
        </w:rPr>
        <w:t xml:space="preserve">and spread of antimicrobial-resistant bacteria (ARB) and antimicrobial resistance genes (ARGs) in the environment. Slobodiuk </w:t>
      </w:r>
      <w:r w:rsidRPr="00372231">
        <w:rPr>
          <w:rFonts w:ascii="Times New Roman" w:eastAsia="Times New Roman" w:hAnsi="Times New Roman" w:cs="Times New Roman"/>
          <w:i/>
          <w:iCs/>
          <w:sz w:val="24"/>
          <w:szCs w:val="24"/>
        </w:rPr>
        <w:t>et al</w:t>
      </w:r>
      <w:r w:rsidRPr="00372231">
        <w:rPr>
          <w:rFonts w:ascii="Times New Roman" w:eastAsia="Times New Roman" w:hAnsi="Times New Roman" w:cs="Times New Roman"/>
          <w:sz w:val="24"/>
          <w:szCs w:val="24"/>
        </w:rPr>
        <w:t>. (2021).</w:t>
      </w:r>
    </w:p>
    <w:p w14:paraId="6625B6A9" w14:textId="77777777" w:rsidR="00290206" w:rsidRPr="00372231" w:rsidRDefault="00290206">
      <w:pPr>
        <w:jc w:val="both"/>
        <w:rPr>
          <w:rFonts w:ascii="Times New Roman" w:eastAsia="Times New Roman" w:hAnsi="Times New Roman" w:cs="Times New Roman"/>
          <w:b/>
          <w:bCs/>
          <w:sz w:val="24"/>
          <w:szCs w:val="24"/>
        </w:rPr>
      </w:pPr>
    </w:p>
    <w:p w14:paraId="4FDD587F"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b/>
          <w:bCs/>
          <w:sz w:val="24"/>
          <w:szCs w:val="24"/>
        </w:rPr>
        <w:t>SOURCES AND TRANSMISSION PATHWAYS OF AMR IN SOIL</w:t>
      </w:r>
    </w:p>
    <w:p w14:paraId="7998D793"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Antimicrobial resistance can be transmitted through human–human interaction, inside and outside the healthcare facility and ARGs may be present in animal-borne pathogens, aquatic environments and the agricultural soil, where they can move within and between these compartments (Godijk et al., 2022). The transmission pathways between bacterial species and the factors driving resistance vary widely. Major environmental hotspots for ARGs include wastewater, sludge of urban wastewater treatment plants, and natural fertilizers, i.e., pig slurry and cow and poultry manure, which are highly active sources of antimicrobial-resistant bacteria (Krzeminski et al., 2020). Direct methods of resistance acquisition include the use of antibiotic-treated feed by the animal, and through indirect means of exposure to humans: by eating animals that have been treated with antibiotic feed or consuming contaminated water and food, and through direct contact between humans and animals.</w:t>
      </w:r>
    </w:p>
    <w:p w14:paraId="779321A1" w14:textId="77777777" w:rsidR="00290206" w:rsidRPr="00372231" w:rsidRDefault="00290206">
      <w:pPr>
        <w:jc w:val="both"/>
        <w:rPr>
          <w:rFonts w:ascii="Times New Roman" w:hAnsi="Times New Roman" w:cs="Times New Roman"/>
          <w:b/>
          <w:bCs/>
          <w:sz w:val="24"/>
          <w:szCs w:val="24"/>
        </w:rPr>
      </w:pPr>
    </w:p>
    <w:p w14:paraId="627E07CF"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lastRenderedPageBreak/>
        <w:t>1. Agricultural Runof</w:t>
      </w:r>
      <w:r w:rsidRPr="00372231">
        <w:rPr>
          <w:rFonts w:ascii="Times New Roman" w:hAnsi="Times New Roman" w:cs="Times New Roman"/>
          <w:sz w:val="24"/>
          <w:szCs w:val="24"/>
        </w:rPr>
        <w:t>f</w:t>
      </w:r>
    </w:p>
    <w:p w14:paraId="17FE86D0"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Agricultural sector is a major contributor of AMR in soil through manure, agricultural runoff, use of pesticides and antibiotics. Antibiotics are also widely applied in animal production to enhance growth, prevent disease and enhance feed efficiency (Olanrewaju &amp; Bezuidenhout, 2025). Only a significant percentage is excreted in an active form, so therefore, manure used as fertilizer introduces ARB and ARGs into soil which helps in the survival and breeding of the resistant organisms (Liu et al., 2025).</w:t>
      </w:r>
    </w:p>
    <w:p w14:paraId="1A86A1A5"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Agricultural sector contributes significantly to the spread of AMR in soil by use of manure, agricultural runoff and pesticides and antibiotics. Antibiotics are also commonly applied in animal production to enhance growth, prevent disease and enhance feed efficiency (Olanrewaju &amp; Bezuidenhout, 2025). A large percentage is released in an active form, thus manure used as a fertilizer adds ARB and ARGs into soil, which helps in the survival and reproduction of resistant organisms (Liu et al., 2025).</w:t>
      </w:r>
    </w:p>
    <w:p w14:paraId="39F406BE"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Agricultural effluents such as irrigation return flows, rainfall runoff from fields and other farm runoffs transport antibiotic residues, ARB and ARGs from farms into surrounding soils and water bodies, thereby contaminating downstream environments (Meradji et al., 2025). Bacteria in these runoffs, whether pathogenic or commensal, can exchange resistance genes via HGT, increasing the overall environmental resistance burden. The level of contamination is pegged on the intensity of rainfall, the soil type, land management and the population of the livestock.</w:t>
      </w:r>
    </w:p>
    <w:p w14:paraId="61B36BA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Heavy metals and chemical pesticides also exert co-selection pressure, such that bacteria resistant to both antibiotics and these compounds have a higher chance of survival and proliferation (Sassi et al., 2025; Wang et al., 2025). This is partly because the antibiotic and the resistance genes of heavy metals are often found on the same mobile genetic element and thus multipe resistances may arise in a single strain. Introduction of ARB, ARGs in the soil environment disrupt normal microbial communities and is a threat to the health of human beings. Human beings may be exposed directly to contaminated soil or ingest polluted foodstuff and the soils may act as the chronic reservoirs of AMR which propagate resistance into the food chains and the entire environment.</w:t>
      </w:r>
    </w:p>
    <w:p w14:paraId="3B35F48F"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2. Sewage Sludge and Wastewater</w:t>
      </w:r>
    </w:p>
    <w:p w14:paraId="1FF3D457"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Sewage treatment plants (STPs) release a lot of contaminants into the wastewater, such as antibiotics, ARGs and ARB, and even with the conventional methods of wastewater treatment, they are not fully eliminated (Patra et al., 2024). </w:t>
      </w:r>
    </w:p>
    <w:p w14:paraId="6825BE8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The primay product of the STPs is the sludge which is closely associated with the distribution of ARGs and ARB into the environment. ARGS, ARB, and heavy metal resistance genes also exist as hotspots of ARGs in the effluents generated by the wastewater and these micropollutants are concentrated in the sewage sludge (Zhao et al., 2025). Both dry and processed city or industrial </w:t>
      </w:r>
      <w:r w:rsidRPr="00372231">
        <w:rPr>
          <w:rFonts w:ascii="Times New Roman" w:hAnsi="Times New Roman" w:cs="Times New Roman"/>
          <w:sz w:val="24"/>
          <w:szCs w:val="24"/>
        </w:rPr>
        <w:lastRenderedPageBreak/>
        <w:t>sludge contain a high amount of toxic substances. The idea of agricultural land utilization in the use of the raw sewage sludge is also a matter of concern as the sludge has the traces of antibiotic residues, ARB, ARGs and mobile genetic elements (MGEs) (Sorinlu et al., 2021; Zhang et al., 2022). ARB and ARGs are placed in the soil using this sludge as a fertilizer and can be dangerous to the quality of soil, crop safety and human health (da Silva Souza et al., 2020). It is known that soils fed with sewage sludge and biosolids enhance the abundance and spectrum of ARGs in soils and crops that are cultivated in the same seasons.</w:t>
      </w:r>
    </w:p>
    <w:p w14:paraId="0B0B58B4"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3. Soil Properties and AMR Persistence</w:t>
      </w:r>
    </w:p>
    <w:p w14:paraId="4D569714"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survival and stability of antibiotics in soil are controlled by the abiotic and biotic processes, especially sorbing to organic particles and changing (Sharifmand et al., 2024). Sorption is related to the properties of soil and the physicochemical characteristics of the antibiotic; the pH of soil and the amount of the organic matter are of particular importance. Sorption lowers the water solubility and mobility of antibiotics, minimizing ground and surface water leaching but reducing biodegradation of the antibiotic to microbes, making sorption one of the most critical factors in the retention of antibiotics in the soil (Wang et al., 2025). Degradation and transformation may proceed through abiotic or biotic pathways depending on the compound’s structure and properties. The heterogeneity of the half-life of antibiotics in the soil is explained by the fact that the composition of soil, microbial communities, antibiotic concentration, and environmental factors, including moisture, temperature, and pH, can differ across locations and studies (Gurmessa et al., 2020; Zhang et al., 2021). The processes influence not only antibiotics but also the maintenance and propagation of ARGs and resistant microbes (Wu et al., 2025). Sorption can concentrate antibiotics, resistant bacteria and genetic material in the micro-environment of the soil, forming potential hotspots where AMR continues to be present even when the bulk antibiotic concentration is reduced.</w:t>
      </w:r>
    </w:p>
    <w:p w14:paraId="0DEEC21F"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Even when antibiotic concentrations decline, selective pressure may persist, since sub-inhibitory levels can still favour resistant strains in soil microbial communities (Sassi et al., 2025). Physical properties of soils like porosity and texture influence bacterial mobility and contact, thereby affecting HGT by various mechanisms like conjugation. Mineral surfaces, in particular the clay, can serve as places of attachment where genes can be exchanged (Hendiani et al., 2025). The availability of soil moisture and organic matter also influences the activity of the microbes and gene transfer rates (Zeng et al., 2025).</w:t>
      </w:r>
    </w:p>
    <w:p w14:paraId="1B99C94D"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4. Crop Cultivation Practices</w:t>
      </w:r>
    </w:p>
    <w:p w14:paraId="75CC3EA0"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 One of the major practices is the use of animal manure as fertilizer (Liu et al., 2025). The animal manure from animals treated with antibiotics contains residues of antibiotics and antibiotic resistant bacteria, and when it is shed to the fields, it can cause contamination to soil and water, leading to the spread of resistance to the environmental bacteria, and even to human pathogens. Direct use of antibiotics as crop protection agents, although less frequent than in livestock but is </w:t>
      </w:r>
      <w:r w:rsidRPr="00372231">
        <w:rPr>
          <w:rFonts w:ascii="Times New Roman" w:hAnsi="Times New Roman" w:cs="Times New Roman"/>
          <w:sz w:val="24"/>
          <w:szCs w:val="24"/>
        </w:rPr>
        <w:lastRenderedPageBreak/>
        <w:t>an issue of emerging concern. Examples of such compounds are streptomycin and tetracycline that find their place in controlling bacterial disease in crops such as apples and pears that can also lead to the selection of resistant bacteria in orchards and concentration of resistant genes in soils that can be subsequently transferred into other populations of microbes (Batuman et al., 2024).</w:t>
      </w:r>
    </w:p>
    <w:p w14:paraId="378B6E0C"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Irrigation practices also play a role. AMR can be introduced into fields via water sources contaminated with antibiotic residues and ARB, including treated wastewater and livestock farm runoff. This is particularly an issue in regions where treated wastewater is a common practice in irrigation. The resistant bacteria or ARGs may be absorbed in edible tissues of the crops irrigated with contaminated water, thus increasing human exposure to AMR (Wu et al., 2025).</w:t>
      </w:r>
    </w:p>
    <w:p w14:paraId="7B0987D1"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Biopesticides are often viewed as more sustainable alternatives to chemical pesticides, but they can also influence AMR. Since they are found on living bacteria, they may carry resistance genes that can be transmitted to between bacterial populations can be spread through the horizontal gene transfer in agricultural environments, such as the biopesticides, manure, and the contaminated irrigation water (Barrero-Canosa et al., 2025; Van Laere et al., 2025).</w:t>
      </w:r>
    </w:p>
    <w:p w14:paraId="37AC4560"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MECHANISMS OF AMR DISSEMINATION IN SOIL ECOSYSTEMS</w:t>
      </w:r>
    </w:p>
    <w:p w14:paraId="66EE55CE"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1. Horizontal Gene Transfer (HGT)</w:t>
      </w:r>
    </w:p>
    <w:p w14:paraId="605EA92F"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sz w:val="24"/>
          <w:szCs w:val="24"/>
        </w:rPr>
        <w:t xml:space="preserve">The most significant pathway of ARGs transfer among microbial communities in soil is horizontal gene transfer which occurs via transformation, transduction and conjugation as illustrated in </w:t>
      </w:r>
      <w:r w:rsidRPr="00372231">
        <w:rPr>
          <w:rFonts w:ascii="Times New Roman" w:hAnsi="Times New Roman" w:cs="Times New Roman"/>
          <w:b/>
          <w:bCs/>
          <w:sz w:val="24"/>
          <w:szCs w:val="24"/>
        </w:rPr>
        <w:t>Figure 3.</w:t>
      </w:r>
    </w:p>
    <w:p w14:paraId="2A8D58C0" w14:textId="77777777" w:rsidR="00290206" w:rsidRPr="00372231" w:rsidRDefault="00290206">
      <w:pPr>
        <w:jc w:val="both"/>
        <w:rPr>
          <w:rFonts w:ascii="Times New Roman" w:hAnsi="Times New Roman" w:cs="Times New Roman"/>
          <w:sz w:val="24"/>
          <w:szCs w:val="24"/>
        </w:rPr>
      </w:pPr>
    </w:p>
    <w:p w14:paraId="0B928E14" w14:textId="77777777" w:rsidR="00290206" w:rsidRPr="00372231" w:rsidRDefault="008F439C">
      <w:pPr>
        <w:spacing w:before="240"/>
        <w:jc w:val="both"/>
        <w:rPr>
          <w:rFonts w:ascii="Times New Roman" w:eastAsia="Times New Roman" w:hAnsi="Times New Roman" w:cs="Times New Roman"/>
          <w:b/>
          <w:bCs/>
          <w:sz w:val="24"/>
          <w:szCs w:val="24"/>
        </w:rPr>
      </w:pPr>
      <w:r w:rsidRPr="00372231">
        <w:rPr>
          <w:rFonts w:ascii="Times New Roman" w:hAnsi="Times New Roman" w:cs="Times New Roman"/>
          <w:noProof/>
          <w:sz w:val="24"/>
          <w:szCs w:val="24"/>
        </w:rPr>
        <w:lastRenderedPageBreak/>
        <w:drawing>
          <wp:anchor distT="0" distB="0" distL="114300" distR="114300" simplePos="0" relativeHeight="2" behindDoc="0" locked="0" layoutInCell="1" allowOverlap="1" wp14:anchorId="046B0A0A" wp14:editId="196CD20A">
            <wp:simplePos x="0" y="0"/>
            <wp:positionH relativeFrom="margin">
              <wp:align>left</wp:align>
            </wp:positionH>
            <wp:positionV relativeFrom="paragraph">
              <wp:posOffset>580</wp:posOffset>
            </wp:positionV>
            <wp:extent cx="4899660" cy="4432300"/>
            <wp:effectExtent l="0" t="0" r="0" b="635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4899660" cy="4432300"/>
                    </a:xfrm>
                    <a:prstGeom prst="rect">
                      <a:avLst/>
                    </a:prstGeom>
                  </pic:spPr>
                </pic:pic>
              </a:graphicData>
            </a:graphic>
            <wp14:sizeRelH relativeFrom="margin">
              <wp14:pctWidth>0</wp14:pctWidth>
            </wp14:sizeRelH>
            <wp14:sizeRelV relativeFrom="margin">
              <wp14:pctHeight>0</wp14:pctHeight>
            </wp14:sizeRelV>
          </wp:anchor>
        </w:drawing>
      </w:r>
      <w:bookmarkStart w:id="0" w:name="_4nu7a8nyl9zk" w:colFirst="0" w:colLast="0"/>
      <w:bookmarkEnd w:id="0"/>
    </w:p>
    <w:p w14:paraId="10613DF4" w14:textId="77777777" w:rsidR="00290206" w:rsidRPr="00372231" w:rsidRDefault="00290206">
      <w:pPr>
        <w:spacing w:before="240"/>
        <w:jc w:val="both"/>
        <w:rPr>
          <w:rFonts w:ascii="Times New Roman" w:eastAsia="Times New Roman" w:hAnsi="Times New Roman" w:cs="Times New Roman"/>
          <w:b/>
          <w:bCs/>
          <w:sz w:val="24"/>
          <w:szCs w:val="24"/>
        </w:rPr>
      </w:pPr>
    </w:p>
    <w:p w14:paraId="7D928551" w14:textId="77777777" w:rsidR="00290206" w:rsidRPr="00372231" w:rsidRDefault="00290206">
      <w:pPr>
        <w:spacing w:before="240"/>
        <w:jc w:val="both"/>
        <w:rPr>
          <w:rFonts w:ascii="Times New Roman" w:eastAsia="Times New Roman" w:hAnsi="Times New Roman" w:cs="Times New Roman"/>
          <w:b/>
          <w:bCs/>
          <w:sz w:val="24"/>
          <w:szCs w:val="24"/>
        </w:rPr>
      </w:pPr>
    </w:p>
    <w:p w14:paraId="79115FCB" w14:textId="77777777" w:rsidR="00290206" w:rsidRPr="00372231" w:rsidRDefault="00290206">
      <w:pPr>
        <w:spacing w:before="240"/>
        <w:jc w:val="both"/>
        <w:rPr>
          <w:rFonts w:ascii="Times New Roman" w:eastAsia="Times New Roman" w:hAnsi="Times New Roman" w:cs="Times New Roman"/>
          <w:b/>
          <w:bCs/>
          <w:sz w:val="24"/>
          <w:szCs w:val="24"/>
        </w:rPr>
      </w:pPr>
    </w:p>
    <w:p w14:paraId="2A94FA30" w14:textId="77777777" w:rsidR="00290206" w:rsidRPr="00372231" w:rsidRDefault="00290206">
      <w:pPr>
        <w:spacing w:before="240"/>
        <w:jc w:val="both"/>
        <w:rPr>
          <w:rFonts w:ascii="Times New Roman" w:eastAsia="Times New Roman" w:hAnsi="Times New Roman" w:cs="Times New Roman"/>
          <w:b/>
          <w:bCs/>
          <w:sz w:val="24"/>
          <w:szCs w:val="24"/>
        </w:rPr>
      </w:pPr>
    </w:p>
    <w:p w14:paraId="304EDEA0" w14:textId="77777777" w:rsidR="00290206" w:rsidRPr="00372231" w:rsidRDefault="00290206">
      <w:pPr>
        <w:spacing w:before="240"/>
        <w:jc w:val="both"/>
        <w:rPr>
          <w:rFonts w:ascii="Times New Roman" w:eastAsia="Times New Roman" w:hAnsi="Times New Roman" w:cs="Times New Roman"/>
          <w:b/>
          <w:bCs/>
          <w:sz w:val="24"/>
          <w:szCs w:val="24"/>
        </w:rPr>
      </w:pPr>
    </w:p>
    <w:p w14:paraId="5CBF7C23" w14:textId="77777777" w:rsidR="00290206" w:rsidRPr="00372231" w:rsidRDefault="00290206">
      <w:pPr>
        <w:spacing w:before="240"/>
        <w:jc w:val="both"/>
        <w:rPr>
          <w:rFonts w:ascii="Times New Roman" w:eastAsia="Times New Roman" w:hAnsi="Times New Roman" w:cs="Times New Roman"/>
          <w:b/>
          <w:bCs/>
          <w:sz w:val="24"/>
          <w:szCs w:val="24"/>
        </w:rPr>
      </w:pPr>
    </w:p>
    <w:p w14:paraId="390A26A7" w14:textId="77777777" w:rsidR="00290206" w:rsidRPr="00372231" w:rsidRDefault="00290206">
      <w:pPr>
        <w:spacing w:before="240"/>
        <w:jc w:val="both"/>
        <w:rPr>
          <w:rFonts w:ascii="Times New Roman" w:eastAsia="Times New Roman" w:hAnsi="Times New Roman" w:cs="Times New Roman"/>
          <w:b/>
          <w:bCs/>
          <w:sz w:val="24"/>
          <w:szCs w:val="24"/>
        </w:rPr>
      </w:pPr>
    </w:p>
    <w:p w14:paraId="5579A9A3" w14:textId="77777777" w:rsidR="00290206" w:rsidRPr="00372231" w:rsidRDefault="00290206">
      <w:pPr>
        <w:spacing w:before="240"/>
        <w:jc w:val="both"/>
        <w:rPr>
          <w:rFonts w:ascii="Times New Roman" w:eastAsia="Times New Roman" w:hAnsi="Times New Roman" w:cs="Times New Roman"/>
          <w:b/>
          <w:bCs/>
          <w:sz w:val="24"/>
          <w:szCs w:val="24"/>
        </w:rPr>
      </w:pPr>
    </w:p>
    <w:p w14:paraId="376DAB4E" w14:textId="77777777" w:rsidR="00290206" w:rsidRPr="00372231" w:rsidRDefault="00290206">
      <w:pPr>
        <w:spacing w:before="240"/>
        <w:jc w:val="both"/>
        <w:rPr>
          <w:rFonts w:ascii="Times New Roman" w:eastAsia="Times New Roman" w:hAnsi="Times New Roman" w:cs="Times New Roman"/>
          <w:b/>
          <w:bCs/>
          <w:sz w:val="24"/>
          <w:szCs w:val="24"/>
        </w:rPr>
      </w:pPr>
    </w:p>
    <w:p w14:paraId="0551A80E" w14:textId="77777777" w:rsidR="00290206" w:rsidRPr="00372231" w:rsidRDefault="00290206">
      <w:pPr>
        <w:spacing w:before="240"/>
        <w:jc w:val="both"/>
        <w:rPr>
          <w:rFonts w:ascii="Times New Roman" w:eastAsia="Times New Roman" w:hAnsi="Times New Roman" w:cs="Times New Roman"/>
          <w:b/>
          <w:bCs/>
          <w:sz w:val="24"/>
          <w:szCs w:val="24"/>
        </w:rPr>
      </w:pPr>
    </w:p>
    <w:p w14:paraId="28A8D6F6" w14:textId="77777777" w:rsidR="00290206" w:rsidRPr="00372231" w:rsidRDefault="00290206">
      <w:pPr>
        <w:spacing w:before="240"/>
        <w:jc w:val="both"/>
        <w:rPr>
          <w:rFonts w:ascii="Times New Roman" w:eastAsia="Times New Roman" w:hAnsi="Times New Roman" w:cs="Times New Roman"/>
          <w:b/>
          <w:bCs/>
          <w:sz w:val="24"/>
          <w:szCs w:val="24"/>
        </w:rPr>
      </w:pPr>
    </w:p>
    <w:p w14:paraId="704B65D8" w14:textId="77777777" w:rsidR="00290206" w:rsidRPr="00372231" w:rsidRDefault="00290206">
      <w:pPr>
        <w:spacing w:before="240"/>
        <w:jc w:val="both"/>
        <w:rPr>
          <w:rFonts w:ascii="Times New Roman" w:eastAsia="Times New Roman" w:hAnsi="Times New Roman" w:cs="Times New Roman"/>
          <w:b/>
          <w:bCs/>
          <w:sz w:val="24"/>
          <w:szCs w:val="24"/>
        </w:rPr>
      </w:pPr>
    </w:p>
    <w:p w14:paraId="178EFE71" w14:textId="77777777" w:rsidR="00290206" w:rsidRPr="00372231" w:rsidRDefault="008F439C">
      <w:pPr>
        <w:spacing w:before="240"/>
        <w:jc w:val="both"/>
        <w:rPr>
          <w:rFonts w:ascii="Times New Roman" w:eastAsia="Times New Roman" w:hAnsi="Times New Roman" w:cs="Times New Roman"/>
          <w:sz w:val="24"/>
          <w:szCs w:val="24"/>
        </w:rPr>
      </w:pPr>
      <w:r w:rsidRPr="00372231">
        <w:rPr>
          <w:rFonts w:ascii="Times New Roman" w:eastAsia="Times New Roman" w:hAnsi="Times New Roman" w:cs="Times New Roman"/>
          <w:b/>
          <w:bCs/>
          <w:sz w:val="24"/>
          <w:szCs w:val="24"/>
        </w:rPr>
        <w:t xml:space="preserve">Figure 3: </w:t>
      </w:r>
      <w:r w:rsidRPr="00372231">
        <w:rPr>
          <w:rFonts w:ascii="Times New Roman" w:eastAsia="Times New Roman" w:hAnsi="Times New Roman" w:cs="Times New Roman"/>
          <w:sz w:val="24"/>
          <w:szCs w:val="24"/>
        </w:rPr>
        <w:t>Horizontal Gene Transfer: Dissemination of Antimicrobial Resistance in Microbial Ecosystems. Adopted from Wang et al. (2022).</w:t>
      </w:r>
    </w:p>
    <w:p w14:paraId="63C3E8F9"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process of transformation is the process of adopting and integrating free DNA fragments of the environment into bacterial chromosome (Wang et al., 2020). This extracellular DNA, derived from plasmids or chromosomal DNA of lysed cells, can carry ARGs, which makes them important environmental contaminants. Transduction is DNA transfer mediated by bacteriophages, which package bacterial DNA and introduce it into new hosts; phages have been shown to disseminate resistance genes in wastewater, activated sludge and soil (Zhao et al., 2019).</w:t>
      </w:r>
    </w:p>
    <w:p w14:paraId="6DCD93F0"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sz w:val="24"/>
          <w:szCs w:val="24"/>
        </w:rPr>
        <w:t>Conjugation is a physical contact of cells with one another to transfer the plasmid DNA. A classic example of transmissibility of antibiotic resistance between organisms is the F plasmid of E. coli. The pH, temperature, and heavy metal levels of a soil affect the HGT efficiency through the influence of microbial activity and survival, and the rates of conjugation can be changed by the use of antibiotics, disinfectants, nanomaterials, ionic liquids and non-antibiotic pharmaceuticals, which impact ARG dissemination (Li et al., 2025).</w:t>
      </w:r>
    </w:p>
    <w:p w14:paraId="02B14538" w14:textId="77777777" w:rsidR="00290206" w:rsidRPr="00372231" w:rsidRDefault="00290206">
      <w:pPr>
        <w:jc w:val="both"/>
        <w:rPr>
          <w:rFonts w:ascii="Times New Roman" w:hAnsi="Times New Roman" w:cs="Times New Roman"/>
          <w:b/>
          <w:bCs/>
          <w:sz w:val="24"/>
          <w:szCs w:val="24"/>
        </w:rPr>
      </w:pPr>
    </w:p>
    <w:p w14:paraId="65B91F87"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lastRenderedPageBreak/>
        <w:t>2. Mobile Genetic Elements</w:t>
      </w:r>
    </w:p>
    <w:p w14:paraId="09FB6201"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MGEs such as insertion sequences, transposons, integrons, gene cassettes, plasmids and integrative conjugative elements are important agents of HGT and AMR spread in soil ecosystems (Jian et al., 2021). Gene cassettes in which open reading frames are found can be captured by integrons, which are particularly widespread in Gram-negative bacteria, and turned into an active gene. They have initially been found in Gram-negative bacteria due to their capability to assemble and express various acquired antibiotic resistance gene cassettes from the environment (Bhat et al., 2023). In the majority of Gram-negative bacteria and, to a smaller degree, Gram-positive ones, such mobile gene cassettes were considered to be the most major ARG carriers (Mustafa et al., 2022; Alshwaikh and Ahmed, 2024). Exogenous gene cassettes can be integrated into integrons, into which they convert their structure and have their genes expressed as a part of the host genome, raising the complexity of the genome and phenotypic diversity (Ali et al., 2024). Gene cassettes are generally attC recombination site and an ORF which in most cases needs an external promoter to be expressed. Plasmids are extrachromosomal DNA elements that act as important ARG carriers in soil bacteria. They move between cells via conjugation and can transmit multiple resistance genes across species, enabling rapid acquisition of resistance in antibiotic and heavy metal-impacted soils. Transposons, which can relocate within and between plasmids and chromosomes, also act as ARG carriers and embed resistance genes at new genomic sites, promoting genetic diversity and adaptation (Liu et al., 2025).</w:t>
      </w:r>
    </w:p>
    <w:p w14:paraId="0BEB705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3. Selective Pressure of Agricultural Inpu</w:t>
      </w:r>
      <w:r w:rsidRPr="00372231">
        <w:rPr>
          <w:rFonts w:ascii="Times New Roman" w:hAnsi="Times New Roman" w:cs="Times New Roman"/>
          <w:sz w:val="24"/>
          <w:szCs w:val="24"/>
        </w:rPr>
        <w:t>t</w:t>
      </w:r>
    </w:p>
    <w:p w14:paraId="6240B6DB"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Antibiotics, heavy metals and pesticides introduced into soils create conditions that suppress susceptible microbes and favour resistant ones. Antibiotic use in animal production is expected to increase markedly, and soil is recognised as one of the largest reservoirs of ARGs, containing an estimated 30% of all known resistance genes (FAO, 2025; Roy et al., 2025). Soil bacteria are the original source of many clinically used antibiotics, and ARGs have been detected even in 30,000-year-old permafrost sediments, indicating that resistance is an ancient trait. Exogenous ARGs enter soil mainly through manure, sewage and wastewater irrigation. Continuous antibiotic exposure kills susceptible bacteria and allows resistant strains to proliferate; for example, tetracycline residues in manure-amended soils stimulate the growth of tetracycline-resistant bacteria and preserve related ARGs in soil microbiomes (Liu et al., 2025). ARG abundance often correlates positively with soil heavy metal levels, because metal resistance genes frequently co-exist with ARGs on MGEs, resulting in co-selection. Metallotolerant bacteria found in animal feed can also be resistant to macrolides, further contributing to AMR.</w:t>
      </w:r>
    </w:p>
    <w:p w14:paraId="67B3CAD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The death of susceptible microbes releases cellular contents and opens ecological niches that resistant populations can occupy, increasing overall soil resistance. The relationship between ARG profiles and heavy metal concentrations is dose-dependent; low levels may have limited effects, whereas high levels can strongly select for resistance and alter ARG composition (Murray et al., 2024). Pesticides can drive cross-resistance, since bacteria in contaminated soils may carry </w:t>
      </w:r>
      <w:r w:rsidRPr="00372231">
        <w:rPr>
          <w:rFonts w:ascii="Times New Roman" w:hAnsi="Times New Roman" w:cs="Times New Roman"/>
          <w:sz w:val="24"/>
          <w:szCs w:val="24"/>
        </w:rPr>
        <w:lastRenderedPageBreak/>
        <w:t>plasmids bearing both pesticide degradation and antibiotic resistance genes (Shen et al., 2025). There has been evidence that exposure to organophosphates or glyphosate compounds results in heightened resistance to aminoglycosides and tetracycline, which assist in sustaining AMR when contaminants are mixed.</w:t>
      </w:r>
    </w:p>
    <w:p w14:paraId="7778BD44"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4. Environmental Factors</w:t>
      </w:r>
    </w:p>
    <w:p w14:paraId="6E01D7E1"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natural environment harbour different bacterial communities and has conditions favoring the development of resistance and gene transfer (Mustapha et al., 2021). Anthropogenic activities strongly shape these processes. Hospital, industrial, agricultural and community sewage bring together pathogenic organisms, antibiotic residues, ARBs and ARGs, forming environmental resistance reservoirs. Antibiotics used in human and veterinary medicine are excreted in altered or unaltered forms and released into water and soil, where they contribute to the selection and maintenance of resistance. Environmental bacteria can also originate from biocides used in cleaning, animal faeces and bird droppings applied as fertilizer. Sub-inhibitory antibiotic concentrations, which are common in these matrices, promote resistance rather than elimination of bacteria. Urban wastewater treatment plants are significant sources of antibiotics, bacteria and ARGs; despite treatment, pathogens and resistance determinants are concentrated in sewage and can be disseminated to receiving waters and sediments. Surface runoff and leaching further transport contaminants from soils to aquatic systems, extending AMR circulation pathways (Zhao et al., 2025).</w:t>
      </w:r>
    </w:p>
    <w:p w14:paraId="57C3CE7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Within a One Health perspective, resistance genes relevant to humans and animals are found in soil, wastewater and sewage, and aquatic environments function as important storage and transmission routes for ARB (Sassi et al., 2025). Hospital wastewater, municipal sewage and agricultural runoff provide favourable conditions for resistance exchange, and the emergence of multidrug-resistant bacteria in these systems has become a major public health concern that requires more effective treatment technologies.</w:t>
      </w:r>
    </w:p>
    <w:p w14:paraId="0DD3C10F"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b/>
          <w:bCs/>
          <w:sz w:val="24"/>
          <w:szCs w:val="24"/>
        </w:rPr>
        <w:t>PUBLIC HEALTH AND ENVIRONMENTAL IMPLICATIONS OF AMR SPREAD IN AGRICULTURAL SOIL</w:t>
      </w:r>
    </w:p>
    <w:p w14:paraId="0FA2278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ecological and human health impacts of AMR in agricultural soils are substantial. Soil is an important reservoir of ARGs which can be passed over to other plants, animals and human pathogens, and therefore awareness of soil AMR will be central to both agricultural productivity and the safety of the population (Ifedinezi et al., 2024). ARGs in the soil can reshape crop-associated microbiomes, influence plant disease dynamics and decrease the effectiveness of biocontrol agents, while sewage sludge deposited on soil can further shift resistance patterns in crop microbiomes and introduce ARGs to the food chain.</w:t>
      </w:r>
    </w:p>
    <w:p w14:paraId="5AD3400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The existence of resistant bacteria and residual antibiotics may remain in the soil over a long period of time, providing a chance for HGT and increasing the ARG reservoir of agricultural soils. These ARG-contaminated soils, particularly those supplemented with sewage sludge, can alter resistance </w:t>
      </w:r>
      <w:r w:rsidRPr="00372231">
        <w:rPr>
          <w:rFonts w:ascii="Times New Roman" w:hAnsi="Times New Roman" w:cs="Times New Roman"/>
          <w:sz w:val="24"/>
          <w:szCs w:val="24"/>
        </w:rPr>
        <w:lastRenderedPageBreak/>
        <w:t>patterns in crop microbiomes and allow resistance to enter the human food chain. Interactions between bacteriophages and bacteria further promote AMR proliferation and genetic diversification, enhancing resistance gene transfer in soil microbial communities (Gomes et al., 2023). Exposure of human beings occurs by eating infected crops and being in direct contact with resistant microbes in soil. The application of sewage sludge contributes additional resistant bacteria and antibiotic residues from human waste, intensifying selection for resistance in soil microbiota (Markowicz et al., 2021). AMR in soil also threatens wider ecosystems, because ARGs can be mobilised into adjacent water bodies via runoff, spreading resistance through aquatic environments and potentially affecting drinking water supplies (Memesh et al., 2024). The Mitigation would requires sustainable agricultural practices, more cautious use of organic wastes as fertilisers and improved wastewater treatment to reduce AMR transmission risks and protect environmental health.</w:t>
      </w:r>
    </w:p>
    <w:p w14:paraId="754C5283" w14:textId="77777777" w:rsidR="00290206" w:rsidRPr="00372231" w:rsidRDefault="008F439C">
      <w:pPr>
        <w:jc w:val="both"/>
        <w:rPr>
          <w:rFonts w:ascii="Times New Roman" w:hAnsi="Times New Roman" w:cs="Times New Roman"/>
          <w:sz w:val="24"/>
          <w:szCs w:val="24"/>
        </w:rPr>
      </w:pPr>
      <w:r w:rsidRPr="00372231">
        <w:rPr>
          <w:rFonts w:ascii="Times New Roman" w:eastAsia="SimSun" w:hAnsi="Times New Roman" w:cs="Times New Roman"/>
          <w:sz w:val="24"/>
          <w:szCs w:val="24"/>
          <w:lang w:eastAsia="zh-CN"/>
        </w:rPr>
        <w:t>AMR is now considered a significant epidemic, as microorganisms resistant to antibiotics and their genes are spread to soil, water, animals, and humans.</w:t>
      </w:r>
      <w:r w:rsidRPr="00372231">
        <w:rPr>
          <w:rFonts w:ascii="Times New Roman" w:hAnsi="Times New Roman" w:cs="Times New Roman"/>
          <w:sz w:val="24"/>
          <w:szCs w:val="24"/>
        </w:rPr>
        <w:t xml:space="preserve"> Antimicrobial use in livestock selects and maintains ARB and ARGs, which can enter the environment via animal wastes, contaminated runoff and irrigation water (Enshaie et al., 2025). ARB has the capacity to survive in soil microbiomes and pass resistance genes on to other environmental bacteria, increasing contamination risks for crops, grazing animals and people who contact contaminated soil or consume food grown under these conditions (Wu et al., 2025). Animals may become the reservoirs and carriers of AMR genes, and the resistance can be shared between wild and domestic animals (Mbuthia et al., 2025). The combination of farming practices, food production systems and wastewater management contribute to AMR spread across environmental, animal and human compartments (Woolhouse, 2024). Fields that have not recently been fertilized can still carry significant loads of ARGs that remained as a result of past agricultural practices, and the fact that these genes are not readily destroyed over time highlights the difficulty of controlling their spread (Lin et al., 2024). Addressing this requires integrated management of animal-based fertilizers, better irrigation procedures and strict wastewater treatment policies.</w:t>
      </w:r>
    </w:p>
    <w:p w14:paraId="0C06631B"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AMR and antibiotic inputs also alter the diversity and functionality of microbial communities of the soil. Antibiotics can reduce the overall microbial abundance and shift the bacteria-fungi ratio, usually by decreasing vulnerable taxa while favouring more resistant ones (Shawver et al., 2021). The magnitude and direction of these effects depend on the type of antibiotic, concentration and duration of exposure, with documented changes in soil microbiome structure and microbial interactions (Lin et al., 2024). Since major processes in the soil are based on microbial communities, the alterations in their composition can interfere with ecosystem functions. </w:t>
      </w:r>
      <w:r w:rsidRPr="00372231">
        <w:rPr>
          <w:rFonts w:ascii="Times New Roman" w:hAnsi="Times New Roman" w:cs="Times New Roman"/>
          <w:sz w:val="24"/>
          <w:szCs w:val="24"/>
        </w:rPr>
        <w:t xml:space="preserve">The microbes present in the soil are significant in the decomposition of organic matter, nutrient recycling, decomposition and carbon capture and, thus, AMR-induced alterations can result into a reduced soil fertility and the ecosystem stability. A research study by Shawver et al. (2024) discovered that microorganisms activity varied as a result of utilizing antibiotics in cattle manure. In the study, they noted that cephapirin treatment enhanced respiration while pirlimycin slowed it </w:t>
      </w:r>
      <w:r w:rsidRPr="00372231">
        <w:rPr>
          <w:rFonts w:ascii="Times New Roman" w:hAnsi="Times New Roman" w:cs="Times New Roman"/>
          <w:sz w:val="24"/>
          <w:szCs w:val="24"/>
        </w:rPr>
        <w:lastRenderedPageBreak/>
        <w:t>down. Also, antibiotic-treated manure increased the level of NH</w:t>
      </w:r>
      <w:r w:rsidRPr="00372231">
        <w:rPr>
          <w:rFonts w:ascii="Times New Roman" w:hAnsi="Times New Roman" w:cs="Times New Roman"/>
          <w:sz w:val="24"/>
          <w:szCs w:val="24"/>
          <w:vertAlign w:val="subscript"/>
        </w:rPr>
        <w:t>4</w:t>
      </w:r>
      <w:r w:rsidRPr="00372231">
        <w:rPr>
          <w:rFonts w:ascii="Times New Roman" w:hAnsi="Times New Roman" w:cs="Times New Roman"/>
          <w:sz w:val="24"/>
          <w:szCs w:val="24"/>
          <w:vertAlign w:val="superscript"/>
        </w:rPr>
        <w:t>+</w:t>
      </w:r>
      <w:r w:rsidRPr="00372231">
        <w:rPr>
          <w:rFonts w:ascii="Times New Roman" w:hAnsi="Times New Roman" w:cs="Times New Roman"/>
          <w:sz w:val="24"/>
          <w:szCs w:val="24"/>
        </w:rPr>
        <w:t xml:space="preserve"> and reduced that of NO</w:t>
      </w:r>
      <w:r w:rsidRPr="00372231">
        <w:rPr>
          <w:rFonts w:ascii="Times New Roman" w:hAnsi="Times New Roman" w:cs="Times New Roman"/>
          <w:sz w:val="24"/>
          <w:szCs w:val="24"/>
          <w:vertAlign w:val="subscript"/>
        </w:rPr>
        <w:t>3</w:t>
      </w:r>
      <w:r w:rsidRPr="00372231">
        <w:rPr>
          <w:rFonts w:ascii="Times New Roman" w:hAnsi="Times New Roman" w:cs="Times New Roman"/>
          <w:sz w:val="24"/>
          <w:szCs w:val="24"/>
          <w:vertAlign w:val="superscript"/>
        </w:rPr>
        <w:t>-</w:t>
      </w:r>
      <w:r w:rsidRPr="00372231">
        <w:rPr>
          <w:rFonts w:ascii="Times New Roman" w:hAnsi="Times New Roman" w:cs="Times New Roman"/>
          <w:sz w:val="24"/>
          <w:szCs w:val="24"/>
        </w:rPr>
        <w:t xml:space="preserve"> in certain scenarios. These alterations show that AMR associated with antibiotics in agricultural soils can be transferred to wider effects on soil and agroecosystem sustainability.</w:t>
      </w:r>
    </w:p>
    <w:p w14:paraId="6C14AB7E" w14:textId="77777777" w:rsidR="00290206" w:rsidRPr="00372231" w:rsidRDefault="008F439C">
      <w:pPr>
        <w:jc w:val="both"/>
        <w:rPr>
          <w:rFonts w:ascii="Times New Roman" w:eastAsia="Times New Roman" w:hAnsi="Times New Roman" w:cs="Times New Roman"/>
          <w:b/>
          <w:bCs/>
          <w:sz w:val="24"/>
          <w:szCs w:val="24"/>
        </w:rPr>
      </w:pPr>
      <w:r w:rsidRPr="00372231">
        <w:rPr>
          <w:rFonts w:ascii="Times New Roman" w:eastAsia="Times New Roman" w:hAnsi="Times New Roman" w:cs="Times New Roman"/>
          <w:b/>
          <w:bCs/>
          <w:sz w:val="24"/>
          <w:szCs w:val="24"/>
        </w:rPr>
        <w:t>CASE STUDY: SOIL-ASSOCIATED AMR AND HUMAN INFECTION</w:t>
      </w:r>
    </w:p>
    <w:p w14:paraId="7003F2D0"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Produce-borne outbreaks caused by enteric pathogens are repeatedly traced to upstream agricultural environmental routes, particularly manure-related contamination and irrigation with contaminated surface waters or wastewater (Elbehiry et al., 2025). </w:t>
      </w:r>
    </w:p>
    <w:p w14:paraId="62870115"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These same environmental compartments, especially soil and water, can act as reservoirs and exchange interfaces for antimicrobial-resistant bacteria and resistance genes within a One Health framework (Zhao et al., 2025). </w:t>
      </w:r>
      <w:r w:rsidRPr="00372231">
        <w:rPr>
          <w:rFonts w:ascii="Times New Roman" w:eastAsia="Times New Roman" w:hAnsi="Times New Roman" w:cs="Times New Roman"/>
          <w:b/>
          <w:bCs/>
          <w:sz w:val="24"/>
          <w:szCs w:val="24"/>
        </w:rPr>
        <w:t>Table 2.</w:t>
      </w:r>
      <w:r w:rsidRPr="00372231">
        <w:rPr>
          <w:rFonts w:ascii="Times New Roman" w:eastAsia="Times New Roman" w:hAnsi="Times New Roman" w:cs="Times New Roman"/>
          <w:sz w:val="24"/>
          <w:szCs w:val="24"/>
        </w:rPr>
        <w:t xml:space="preserve"> Summarises representative outbreaks where investigations identified soil-, manure-, or irrigation-linked pathways, and it reports AMR relevance only where it was explicitly described in outbreak investigations or follow-up analyses (CDC, 2006, 2018, 2024).</w:t>
      </w:r>
    </w:p>
    <w:p w14:paraId="704175A4" w14:textId="77777777" w:rsidR="00290206" w:rsidRPr="00372231" w:rsidRDefault="00290206">
      <w:pPr>
        <w:jc w:val="both"/>
        <w:rPr>
          <w:rFonts w:ascii="Times New Roman" w:eastAsia="Times New Roman" w:hAnsi="Times New Roman" w:cs="Times New Roman"/>
          <w:b/>
          <w:bCs/>
          <w:sz w:val="24"/>
          <w:szCs w:val="24"/>
        </w:rPr>
      </w:pPr>
    </w:p>
    <w:p w14:paraId="1A4B0DD1" w14:textId="77777777" w:rsidR="00290206" w:rsidRPr="00372231" w:rsidRDefault="00290206">
      <w:pPr>
        <w:jc w:val="both"/>
        <w:rPr>
          <w:rFonts w:ascii="Times New Roman" w:eastAsia="Times New Roman" w:hAnsi="Times New Roman" w:cs="Times New Roman"/>
          <w:b/>
          <w:bCs/>
          <w:sz w:val="24"/>
          <w:szCs w:val="24"/>
        </w:rPr>
      </w:pPr>
    </w:p>
    <w:p w14:paraId="4C5DBA81" w14:textId="77777777" w:rsidR="00290206" w:rsidRPr="00372231" w:rsidRDefault="00290206">
      <w:pPr>
        <w:jc w:val="both"/>
        <w:rPr>
          <w:rFonts w:ascii="Times New Roman" w:eastAsia="Times New Roman" w:hAnsi="Times New Roman" w:cs="Times New Roman"/>
          <w:b/>
          <w:bCs/>
          <w:sz w:val="24"/>
          <w:szCs w:val="24"/>
        </w:rPr>
      </w:pPr>
    </w:p>
    <w:p w14:paraId="42C8CDD1" w14:textId="77777777" w:rsidR="00290206" w:rsidRPr="00372231" w:rsidRDefault="00290206">
      <w:pPr>
        <w:jc w:val="both"/>
        <w:rPr>
          <w:rFonts w:ascii="Times New Roman" w:eastAsia="Times New Roman" w:hAnsi="Times New Roman" w:cs="Times New Roman"/>
          <w:b/>
          <w:bCs/>
          <w:sz w:val="24"/>
          <w:szCs w:val="24"/>
        </w:rPr>
      </w:pPr>
    </w:p>
    <w:p w14:paraId="2C8C946F" w14:textId="77777777" w:rsidR="00290206" w:rsidRPr="00372231" w:rsidRDefault="00290206">
      <w:pPr>
        <w:jc w:val="both"/>
        <w:rPr>
          <w:rFonts w:ascii="Times New Roman" w:eastAsia="Times New Roman" w:hAnsi="Times New Roman" w:cs="Times New Roman"/>
          <w:b/>
          <w:bCs/>
          <w:sz w:val="24"/>
          <w:szCs w:val="24"/>
        </w:rPr>
      </w:pPr>
    </w:p>
    <w:p w14:paraId="28272112" w14:textId="77777777" w:rsidR="00290206" w:rsidRPr="00372231" w:rsidRDefault="00290206">
      <w:pPr>
        <w:jc w:val="both"/>
        <w:rPr>
          <w:rFonts w:ascii="Times New Roman" w:eastAsia="Times New Roman" w:hAnsi="Times New Roman" w:cs="Times New Roman"/>
          <w:b/>
          <w:bCs/>
          <w:sz w:val="24"/>
          <w:szCs w:val="24"/>
        </w:rPr>
      </w:pPr>
    </w:p>
    <w:p w14:paraId="002C729B" w14:textId="77777777" w:rsidR="00290206" w:rsidRPr="00372231" w:rsidRDefault="00290206">
      <w:pPr>
        <w:jc w:val="both"/>
        <w:rPr>
          <w:rFonts w:ascii="Times New Roman" w:eastAsia="Times New Roman" w:hAnsi="Times New Roman" w:cs="Times New Roman"/>
          <w:b/>
          <w:bCs/>
          <w:sz w:val="24"/>
          <w:szCs w:val="24"/>
        </w:rPr>
      </w:pPr>
    </w:p>
    <w:p w14:paraId="4435473A" w14:textId="77777777" w:rsidR="00290206" w:rsidRPr="00372231" w:rsidRDefault="00290206">
      <w:pPr>
        <w:jc w:val="both"/>
        <w:rPr>
          <w:rFonts w:ascii="Times New Roman" w:eastAsia="Times New Roman" w:hAnsi="Times New Roman" w:cs="Times New Roman"/>
          <w:b/>
          <w:bCs/>
          <w:sz w:val="24"/>
          <w:szCs w:val="24"/>
        </w:rPr>
      </w:pPr>
    </w:p>
    <w:p w14:paraId="4AFA4846" w14:textId="77777777" w:rsidR="00290206" w:rsidRPr="00372231" w:rsidRDefault="00290206">
      <w:pPr>
        <w:jc w:val="both"/>
        <w:rPr>
          <w:rFonts w:ascii="Times New Roman" w:eastAsia="Times New Roman" w:hAnsi="Times New Roman" w:cs="Times New Roman"/>
          <w:b/>
          <w:bCs/>
          <w:sz w:val="24"/>
          <w:szCs w:val="24"/>
        </w:rPr>
      </w:pPr>
    </w:p>
    <w:p w14:paraId="7EB3833D" w14:textId="77777777" w:rsidR="00290206" w:rsidRPr="00372231" w:rsidRDefault="00290206">
      <w:pPr>
        <w:jc w:val="both"/>
        <w:rPr>
          <w:rFonts w:ascii="Times New Roman" w:eastAsia="Times New Roman" w:hAnsi="Times New Roman" w:cs="Times New Roman"/>
          <w:b/>
          <w:bCs/>
          <w:sz w:val="24"/>
          <w:szCs w:val="24"/>
        </w:rPr>
      </w:pPr>
    </w:p>
    <w:p w14:paraId="47BEA4E2" w14:textId="77777777" w:rsidR="00290206" w:rsidRPr="00372231" w:rsidRDefault="00290206">
      <w:pPr>
        <w:jc w:val="both"/>
        <w:rPr>
          <w:rFonts w:ascii="Times New Roman" w:eastAsia="Times New Roman" w:hAnsi="Times New Roman" w:cs="Times New Roman"/>
          <w:b/>
          <w:bCs/>
          <w:sz w:val="24"/>
          <w:szCs w:val="24"/>
        </w:rPr>
      </w:pPr>
    </w:p>
    <w:p w14:paraId="77C85754" w14:textId="77777777" w:rsidR="00623185" w:rsidRDefault="00623185">
      <w:pPr>
        <w:jc w:val="both"/>
        <w:rPr>
          <w:rFonts w:ascii="Times New Roman" w:eastAsia="Times New Roman" w:hAnsi="Times New Roman" w:cs="Times New Roman"/>
          <w:b/>
          <w:bCs/>
          <w:sz w:val="24"/>
          <w:szCs w:val="24"/>
        </w:rPr>
      </w:pPr>
    </w:p>
    <w:p w14:paraId="5BCB1A90" w14:textId="77777777" w:rsidR="00623185" w:rsidRDefault="00623185">
      <w:pPr>
        <w:jc w:val="both"/>
        <w:rPr>
          <w:rFonts w:ascii="Times New Roman" w:eastAsia="Times New Roman" w:hAnsi="Times New Roman" w:cs="Times New Roman"/>
          <w:b/>
          <w:bCs/>
          <w:sz w:val="24"/>
          <w:szCs w:val="24"/>
        </w:rPr>
      </w:pPr>
    </w:p>
    <w:p w14:paraId="19C6F9A1" w14:textId="77777777" w:rsidR="00623185" w:rsidRDefault="00623185">
      <w:pPr>
        <w:jc w:val="both"/>
        <w:rPr>
          <w:rFonts w:ascii="Times New Roman" w:eastAsia="Times New Roman" w:hAnsi="Times New Roman" w:cs="Times New Roman"/>
          <w:b/>
          <w:bCs/>
          <w:sz w:val="24"/>
          <w:szCs w:val="24"/>
        </w:rPr>
      </w:pPr>
    </w:p>
    <w:p w14:paraId="01635DE0" w14:textId="77777777" w:rsidR="00623185" w:rsidRDefault="00623185">
      <w:pPr>
        <w:jc w:val="both"/>
        <w:rPr>
          <w:rFonts w:ascii="Times New Roman" w:eastAsia="Times New Roman" w:hAnsi="Times New Roman" w:cs="Times New Roman"/>
          <w:b/>
          <w:bCs/>
          <w:sz w:val="24"/>
          <w:szCs w:val="24"/>
        </w:rPr>
      </w:pPr>
    </w:p>
    <w:p w14:paraId="5C14F952" w14:textId="77777777" w:rsidR="00290206" w:rsidRPr="00372231" w:rsidRDefault="008F439C">
      <w:pPr>
        <w:jc w:val="both"/>
        <w:rPr>
          <w:rFonts w:ascii="Times New Roman" w:eastAsia="Times New Roman" w:hAnsi="Times New Roman" w:cs="Times New Roman"/>
          <w:sz w:val="24"/>
          <w:szCs w:val="24"/>
        </w:rPr>
      </w:pPr>
      <w:r w:rsidRPr="00372231">
        <w:rPr>
          <w:rFonts w:ascii="Times New Roman" w:eastAsia="Times New Roman" w:hAnsi="Times New Roman" w:cs="Times New Roman"/>
          <w:b/>
          <w:bCs/>
          <w:sz w:val="24"/>
          <w:szCs w:val="24"/>
        </w:rPr>
        <w:lastRenderedPageBreak/>
        <w:t xml:space="preserve">Table 2. </w:t>
      </w:r>
      <w:r w:rsidRPr="00372231">
        <w:rPr>
          <w:rFonts w:ascii="Times New Roman" w:eastAsia="Times New Roman" w:hAnsi="Times New Roman" w:cs="Times New Roman"/>
          <w:sz w:val="24"/>
          <w:szCs w:val="24"/>
        </w:rPr>
        <w:t>Produce-Associated Outbreaks Linked to Soil, Manure, or Irrigation Pathways, and AMR Relevance</w:t>
      </w:r>
    </w:p>
    <w:tbl>
      <w:tblPr>
        <w:tblStyle w:val="TableGrid"/>
        <w:tblW w:w="0" w:type="auto"/>
        <w:tblLook w:val="04A0" w:firstRow="1" w:lastRow="0" w:firstColumn="1" w:lastColumn="0" w:noHBand="0" w:noVBand="1"/>
      </w:tblPr>
      <w:tblGrid>
        <w:gridCol w:w="1035"/>
        <w:gridCol w:w="1242"/>
        <w:gridCol w:w="1463"/>
        <w:gridCol w:w="1475"/>
        <w:gridCol w:w="1298"/>
        <w:gridCol w:w="1500"/>
        <w:gridCol w:w="1242"/>
      </w:tblGrid>
      <w:tr w:rsidR="00290206" w:rsidRPr="00372231" w14:paraId="4DBB4D8D" w14:textId="77777777">
        <w:trPr>
          <w:trHeight w:val="1045"/>
        </w:trPr>
        <w:tc>
          <w:tcPr>
            <w:tcW w:w="1035" w:type="dxa"/>
            <w:tcBorders>
              <w:top w:val="single" w:sz="4" w:space="0" w:color="auto"/>
              <w:left w:val="nil"/>
              <w:bottom w:val="single" w:sz="4" w:space="0" w:color="auto"/>
              <w:right w:val="nil"/>
            </w:tcBorders>
          </w:tcPr>
          <w:p w14:paraId="2BAD994E"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b/>
                <w:bCs/>
                <w:sz w:val="22"/>
                <w:szCs w:val="22"/>
              </w:rPr>
              <w:t>Year, location</w:t>
            </w:r>
          </w:p>
        </w:tc>
        <w:tc>
          <w:tcPr>
            <w:tcW w:w="1242" w:type="dxa"/>
            <w:tcBorders>
              <w:top w:val="single" w:sz="4" w:space="0" w:color="auto"/>
              <w:left w:val="nil"/>
              <w:bottom w:val="single" w:sz="4" w:space="0" w:color="auto"/>
              <w:right w:val="nil"/>
            </w:tcBorders>
          </w:tcPr>
          <w:p w14:paraId="3DDF1476" w14:textId="77777777" w:rsidR="00290206" w:rsidRPr="00372231" w:rsidRDefault="008F439C">
            <w:pPr>
              <w:jc w:val="center"/>
              <w:rPr>
                <w:rFonts w:ascii="Times New Roman" w:hAnsi="Times New Roman"/>
                <w:b/>
                <w:bCs/>
                <w:sz w:val="22"/>
                <w:szCs w:val="22"/>
              </w:rPr>
            </w:pPr>
            <w:r w:rsidRPr="00372231">
              <w:rPr>
                <w:rFonts w:ascii="Times New Roman" w:eastAsia="Times New Roman" w:hAnsi="Times New Roman"/>
                <w:b/>
                <w:bCs/>
                <w:sz w:val="22"/>
                <w:szCs w:val="22"/>
              </w:rPr>
              <w:t>Vehicle</w:t>
            </w:r>
          </w:p>
        </w:tc>
        <w:tc>
          <w:tcPr>
            <w:tcW w:w="1463" w:type="dxa"/>
            <w:tcBorders>
              <w:top w:val="single" w:sz="4" w:space="0" w:color="auto"/>
              <w:left w:val="nil"/>
              <w:bottom w:val="single" w:sz="4" w:space="0" w:color="auto"/>
              <w:right w:val="nil"/>
            </w:tcBorders>
          </w:tcPr>
          <w:p w14:paraId="3220C584"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b/>
                <w:bCs/>
                <w:sz w:val="22"/>
                <w:szCs w:val="22"/>
              </w:rPr>
              <w:t>Pathogen</w:t>
            </w:r>
          </w:p>
        </w:tc>
        <w:tc>
          <w:tcPr>
            <w:tcW w:w="1475" w:type="dxa"/>
            <w:tcBorders>
              <w:top w:val="single" w:sz="4" w:space="0" w:color="auto"/>
              <w:left w:val="nil"/>
              <w:bottom w:val="single" w:sz="4" w:space="0" w:color="auto"/>
              <w:right w:val="nil"/>
            </w:tcBorders>
          </w:tcPr>
          <w:p w14:paraId="2E4619D8" w14:textId="77777777" w:rsidR="00290206" w:rsidRPr="00372231" w:rsidRDefault="008F439C">
            <w:pPr>
              <w:jc w:val="both"/>
              <w:rPr>
                <w:rFonts w:ascii="Times New Roman" w:eastAsia="Times New Roman" w:hAnsi="Times New Roman"/>
                <w:b/>
                <w:bCs/>
                <w:sz w:val="22"/>
                <w:szCs w:val="22"/>
              </w:rPr>
            </w:pPr>
            <w:r w:rsidRPr="00372231">
              <w:rPr>
                <w:rFonts w:ascii="Times New Roman" w:eastAsia="Times New Roman" w:hAnsi="Times New Roman"/>
                <w:b/>
                <w:bCs/>
                <w:sz w:val="22"/>
                <w:szCs w:val="22"/>
              </w:rPr>
              <w:t>Soil, manure, or irrigation pathway</w:t>
            </w:r>
          </w:p>
        </w:tc>
        <w:tc>
          <w:tcPr>
            <w:tcW w:w="1298" w:type="dxa"/>
            <w:tcBorders>
              <w:top w:val="single" w:sz="4" w:space="0" w:color="auto"/>
              <w:left w:val="nil"/>
              <w:bottom w:val="single" w:sz="4" w:space="0" w:color="auto"/>
              <w:right w:val="nil"/>
            </w:tcBorders>
          </w:tcPr>
          <w:p w14:paraId="525A327C"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b/>
                <w:bCs/>
                <w:sz w:val="22"/>
                <w:szCs w:val="22"/>
              </w:rPr>
              <w:t>AMR relevance (as reported)</w:t>
            </w:r>
          </w:p>
        </w:tc>
        <w:tc>
          <w:tcPr>
            <w:tcW w:w="1500" w:type="dxa"/>
            <w:tcBorders>
              <w:top w:val="single" w:sz="4" w:space="0" w:color="auto"/>
              <w:left w:val="nil"/>
              <w:bottom w:val="single" w:sz="4" w:space="0" w:color="auto"/>
              <w:right w:val="nil"/>
            </w:tcBorders>
          </w:tcPr>
          <w:p w14:paraId="694F8FAB"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b/>
                <w:bCs/>
                <w:sz w:val="22"/>
                <w:szCs w:val="22"/>
              </w:rPr>
              <w:t>Public health impact (reported)</w:t>
            </w:r>
          </w:p>
        </w:tc>
        <w:tc>
          <w:tcPr>
            <w:tcW w:w="1242" w:type="dxa"/>
            <w:tcBorders>
              <w:top w:val="single" w:sz="4" w:space="0" w:color="auto"/>
              <w:left w:val="nil"/>
              <w:bottom w:val="single" w:sz="4" w:space="0" w:color="auto"/>
              <w:right w:val="nil"/>
            </w:tcBorders>
          </w:tcPr>
          <w:p w14:paraId="2C477E0C" w14:textId="77777777" w:rsidR="00290206" w:rsidRPr="00372231" w:rsidRDefault="008F439C">
            <w:pPr>
              <w:jc w:val="both"/>
              <w:rPr>
                <w:rFonts w:ascii="Times New Roman" w:hAnsi="Times New Roman"/>
                <w:b/>
                <w:sz w:val="22"/>
                <w:szCs w:val="22"/>
              </w:rPr>
            </w:pPr>
            <w:r w:rsidRPr="00372231">
              <w:rPr>
                <w:rFonts w:ascii="Times New Roman" w:eastAsia="Calibri" w:hAnsi="Times New Roman"/>
                <w:b/>
                <w:sz w:val="22"/>
                <w:szCs w:val="22"/>
              </w:rPr>
              <w:t>References</w:t>
            </w:r>
          </w:p>
        </w:tc>
      </w:tr>
      <w:tr w:rsidR="00290206" w:rsidRPr="00372231" w14:paraId="76B2783F" w14:textId="77777777">
        <w:trPr>
          <w:trHeight w:val="2924"/>
        </w:trPr>
        <w:tc>
          <w:tcPr>
            <w:tcW w:w="1035" w:type="dxa"/>
            <w:tcBorders>
              <w:top w:val="single" w:sz="4" w:space="0" w:color="auto"/>
              <w:left w:val="nil"/>
              <w:bottom w:val="nil"/>
              <w:right w:val="nil"/>
            </w:tcBorders>
          </w:tcPr>
          <w:p w14:paraId="259B0718"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sz w:val="22"/>
                <w:szCs w:val="22"/>
              </w:rPr>
              <w:t>2011, Germany</w:t>
            </w:r>
          </w:p>
        </w:tc>
        <w:tc>
          <w:tcPr>
            <w:tcW w:w="1242" w:type="dxa"/>
            <w:tcBorders>
              <w:top w:val="single" w:sz="4" w:space="0" w:color="auto"/>
              <w:left w:val="nil"/>
              <w:bottom w:val="nil"/>
              <w:right w:val="nil"/>
            </w:tcBorders>
          </w:tcPr>
          <w:p w14:paraId="476BFAA3" w14:textId="77777777" w:rsidR="00290206" w:rsidRPr="00372231" w:rsidRDefault="008F439C">
            <w:pPr>
              <w:jc w:val="both"/>
              <w:rPr>
                <w:rFonts w:ascii="Times New Roman" w:eastAsia="Times New Roman" w:hAnsi="Times New Roman"/>
                <w:sz w:val="22"/>
                <w:szCs w:val="22"/>
              </w:rPr>
            </w:pPr>
            <w:r w:rsidRPr="00372231">
              <w:rPr>
                <w:rFonts w:ascii="Times New Roman" w:eastAsia="Times New Roman" w:hAnsi="Times New Roman"/>
                <w:sz w:val="22"/>
                <w:szCs w:val="22"/>
              </w:rPr>
              <w:t>Sprouts (fenugreek-related supply chain)</w:t>
            </w:r>
          </w:p>
          <w:p w14:paraId="147B0DAB" w14:textId="77777777" w:rsidR="00290206" w:rsidRPr="00372231" w:rsidRDefault="00290206">
            <w:pPr>
              <w:rPr>
                <w:rFonts w:ascii="Times New Roman" w:hAnsi="Times New Roman"/>
                <w:b/>
                <w:bCs/>
                <w:sz w:val="22"/>
                <w:szCs w:val="22"/>
              </w:rPr>
            </w:pPr>
          </w:p>
        </w:tc>
        <w:tc>
          <w:tcPr>
            <w:tcW w:w="1463" w:type="dxa"/>
            <w:tcBorders>
              <w:top w:val="single" w:sz="4" w:space="0" w:color="auto"/>
              <w:left w:val="nil"/>
              <w:bottom w:val="nil"/>
              <w:right w:val="nil"/>
            </w:tcBorders>
          </w:tcPr>
          <w:p w14:paraId="4FC8136A" w14:textId="77777777" w:rsidR="00290206" w:rsidRPr="00372231" w:rsidRDefault="008F439C">
            <w:pPr>
              <w:jc w:val="both"/>
              <w:rPr>
                <w:rFonts w:ascii="Times New Roman" w:eastAsia="Times New Roman" w:hAnsi="Times New Roman"/>
                <w:sz w:val="22"/>
                <w:szCs w:val="22"/>
              </w:rPr>
            </w:pPr>
            <w:r w:rsidRPr="00372231">
              <w:rPr>
                <w:rFonts w:ascii="Times New Roman" w:eastAsia="Times New Roman" w:hAnsi="Times New Roman"/>
                <w:i/>
                <w:iCs/>
                <w:sz w:val="22"/>
                <w:szCs w:val="22"/>
              </w:rPr>
              <w:t>Escherichia coli</w:t>
            </w:r>
            <w:r w:rsidRPr="00372231">
              <w:rPr>
                <w:rFonts w:ascii="Times New Roman" w:eastAsia="Times New Roman" w:hAnsi="Times New Roman"/>
                <w:sz w:val="22"/>
                <w:szCs w:val="22"/>
              </w:rPr>
              <w:t xml:space="preserve"> O104:H4</w:t>
            </w:r>
          </w:p>
          <w:p w14:paraId="499DAF7C"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(EAEC/STEC hybrid)</w:t>
            </w:r>
          </w:p>
        </w:tc>
        <w:tc>
          <w:tcPr>
            <w:tcW w:w="1475" w:type="dxa"/>
            <w:tcBorders>
              <w:top w:val="single" w:sz="4" w:space="0" w:color="auto"/>
              <w:left w:val="nil"/>
              <w:bottom w:val="nil"/>
              <w:right w:val="nil"/>
            </w:tcBorders>
          </w:tcPr>
          <w:p w14:paraId="41620A0E"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Sprout production and supply chain, plausible contamination via agricultural environment and water inputs</w:t>
            </w:r>
          </w:p>
        </w:tc>
        <w:tc>
          <w:tcPr>
            <w:tcW w:w="1298" w:type="dxa"/>
            <w:tcBorders>
              <w:top w:val="single" w:sz="4" w:space="0" w:color="auto"/>
              <w:left w:val="nil"/>
              <w:bottom w:val="nil"/>
              <w:right w:val="nil"/>
            </w:tcBorders>
          </w:tcPr>
          <w:p w14:paraId="6928850A" w14:textId="77777777" w:rsidR="00290206" w:rsidRPr="00372231" w:rsidRDefault="00290206">
            <w:pPr>
              <w:jc w:val="both"/>
              <w:rPr>
                <w:rFonts w:ascii="Times New Roman" w:eastAsia="Times New Roman" w:hAnsi="Times New Roman"/>
                <w:sz w:val="22"/>
                <w:szCs w:val="22"/>
              </w:rPr>
            </w:pPr>
          </w:p>
          <w:p w14:paraId="5284B530"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Widely discussed as high-virulence and treatment-challenging, resistance features reported in scientific analyses</w:t>
            </w:r>
          </w:p>
        </w:tc>
        <w:tc>
          <w:tcPr>
            <w:tcW w:w="1500" w:type="dxa"/>
            <w:tcBorders>
              <w:top w:val="single" w:sz="4" w:space="0" w:color="auto"/>
              <w:left w:val="nil"/>
              <w:bottom w:val="nil"/>
              <w:right w:val="nil"/>
            </w:tcBorders>
          </w:tcPr>
          <w:p w14:paraId="4827C323" w14:textId="77777777" w:rsidR="00290206" w:rsidRPr="00372231" w:rsidRDefault="00290206">
            <w:pPr>
              <w:jc w:val="both"/>
              <w:rPr>
                <w:rFonts w:ascii="Times New Roman" w:eastAsia="Times New Roman" w:hAnsi="Times New Roman"/>
                <w:sz w:val="22"/>
                <w:szCs w:val="22"/>
              </w:rPr>
            </w:pPr>
          </w:p>
          <w:p w14:paraId="3875E13E"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Large outbreak with extensive HUS and deaths</w:t>
            </w:r>
          </w:p>
        </w:tc>
        <w:tc>
          <w:tcPr>
            <w:tcW w:w="1242" w:type="dxa"/>
            <w:tcBorders>
              <w:top w:val="single" w:sz="4" w:space="0" w:color="auto"/>
              <w:left w:val="nil"/>
              <w:bottom w:val="nil"/>
              <w:right w:val="nil"/>
            </w:tcBorders>
          </w:tcPr>
          <w:p w14:paraId="1D4EE4F6"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Beutin and Martin (2012)</w:t>
            </w:r>
          </w:p>
        </w:tc>
      </w:tr>
      <w:tr w:rsidR="00290206" w:rsidRPr="00372231" w14:paraId="6B17A1F7" w14:textId="77777777">
        <w:trPr>
          <w:trHeight w:val="2164"/>
        </w:trPr>
        <w:tc>
          <w:tcPr>
            <w:tcW w:w="1035" w:type="dxa"/>
            <w:tcBorders>
              <w:top w:val="nil"/>
              <w:left w:val="nil"/>
              <w:bottom w:val="nil"/>
              <w:right w:val="nil"/>
            </w:tcBorders>
          </w:tcPr>
          <w:p w14:paraId="37BC02A5"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sz w:val="22"/>
                <w:szCs w:val="22"/>
              </w:rPr>
              <w:t>2006, USA and Canada</w:t>
            </w:r>
          </w:p>
        </w:tc>
        <w:tc>
          <w:tcPr>
            <w:tcW w:w="1242" w:type="dxa"/>
            <w:tcBorders>
              <w:top w:val="nil"/>
              <w:left w:val="nil"/>
              <w:bottom w:val="nil"/>
              <w:right w:val="nil"/>
            </w:tcBorders>
          </w:tcPr>
          <w:p w14:paraId="42BE5439"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Bagged spinach</w:t>
            </w:r>
          </w:p>
        </w:tc>
        <w:tc>
          <w:tcPr>
            <w:tcW w:w="1463" w:type="dxa"/>
            <w:tcBorders>
              <w:top w:val="nil"/>
              <w:left w:val="nil"/>
              <w:bottom w:val="nil"/>
              <w:right w:val="nil"/>
            </w:tcBorders>
          </w:tcPr>
          <w:p w14:paraId="1AB1F835"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i/>
                <w:iCs/>
                <w:sz w:val="22"/>
                <w:szCs w:val="22"/>
              </w:rPr>
              <w:t>Escherichia coli</w:t>
            </w:r>
            <w:r w:rsidRPr="00372231">
              <w:rPr>
                <w:rFonts w:ascii="Times New Roman" w:eastAsia="Times New Roman" w:hAnsi="Times New Roman"/>
                <w:sz w:val="22"/>
                <w:szCs w:val="22"/>
              </w:rPr>
              <w:t xml:space="preserve"> O157:H7</w:t>
            </w:r>
          </w:p>
        </w:tc>
        <w:tc>
          <w:tcPr>
            <w:tcW w:w="1475" w:type="dxa"/>
            <w:tcBorders>
              <w:top w:val="nil"/>
              <w:left w:val="nil"/>
              <w:bottom w:val="nil"/>
              <w:right w:val="nil"/>
            </w:tcBorders>
          </w:tcPr>
          <w:p w14:paraId="388BD981"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Farm-environment contamination suspected, including manure or water influences near production</w:t>
            </w:r>
          </w:p>
        </w:tc>
        <w:tc>
          <w:tcPr>
            <w:tcW w:w="1298" w:type="dxa"/>
            <w:tcBorders>
              <w:top w:val="nil"/>
              <w:left w:val="nil"/>
              <w:bottom w:val="nil"/>
              <w:right w:val="nil"/>
            </w:tcBorders>
          </w:tcPr>
          <w:p w14:paraId="6823F1F1" w14:textId="77777777" w:rsidR="00290206" w:rsidRPr="00372231" w:rsidRDefault="00290206">
            <w:pPr>
              <w:jc w:val="both"/>
              <w:rPr>
                <w:rFonts w:ascii="Times New Roman" w:eastAsia="Times New Roman" w:hAnsi="Times New Roman"/>
                <w:sz w:val="22"/>
                <w:szCs w:val="22"/>
              </w:rPr>
            </w:pPr>
          </w:p>
          <w:p w14:paraId="4605A0B6"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AMR not emphasised in CDC outbreak summary</w:t>
            </w:r>
          </w:p>
        </w:tc>
        <w:tc>
          <w:tcPr>
            <w:tcW w:w="1500" w:type="dxa"/>
            <w:tcBorders>
              <w:top w:val="nil"/>
              <w:left w:val="nil"/>
              <w:bottom w:val="nil"/>
              <w:right w:val="nil"/>
            </w:tcBorders>
          </w:tcPr>
          <w:p w14:paraId="60F3511D" w14:textId="77777777" w:rsidR="00290206" w:rsidRPr="00372231" w:rsidRDefault="00290206">
            <w:pPr>
              <w:jc w:val="both"/>
              <w:rPr>
                <w:rFonts w:ascii="Times New Roman" w:eastAsia="Times New Roman" w:hAnsi="Times New Roman"/>
                <w:sz w:val="22"/>
                <w:szCs w:val="22"/>
              </w:rPr>
            </w:pPr>
          </w:p>
          <w:p w14:paraId="717BAE0F"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High hospitalisation and HUS reported, deaths reported</w:t>
            </w:r>
          </w:p>
        </w:tc>
        <w:tc>
          <w:tcPr>
            <w:tcW w:w="1242" w:type="dxa"/>
            <w:tcBorders>
              <w:top w:val="nil"/>
              <w:left w:val="nil"/>
              <w:bottom w:val="nil"/>
              <w:right w:val="nil"/>
            </w:tcBorders>
          </w:tcPr>
          <w:p w14:paraId="30D15E33"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CDC (2006)</w:t>
            </w:r>
          </w:p>
        </w:tc>
      </w:tr>
      <w:tr w:rsidR="00290206" w:rsidRPr="00372231" w14:paraId="51C5EAFE" w14:textId="77777777">
        <w:trPr>
          <w:trHeight w:val="1779"/>
        </w:trPr>
        <w:tc>
          <w:tcPr>
            <w:tcW w:w="1035" w:type="dxa"/>
            <w:tcBorders>
              <w:top w:val="nil"/>
              <w:left w:val="nil"/>
              <w:bottom w:val="nil"/>
              <w:right w:val="nil"/>
            </w:tcBorders>
          </w:tcPr>
          <w:p w14:paraId="04AD7FF6"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sz w:val="22"/>
                <w:szCs w:val="22"/>
              </w:rPr>
              <w:t>2018, USA (Yuma region)</w:t>
            </w:r>
          </w:p>
        </w:tc>
        <w:tc>
          <w:tcPr>
            <w:tcW w:w="1242" w:type="dxa"/>
            <w:tcBorders>
              <w:top w:val="nil"/>
              <w:left w:val="nil"/>
              <w:bottom w:val="nil"/>
              <w:right w:val="nil"/>
            </w:tcBorders>
          </w:tcPr>
          <w:p w14:paraId="0F12C455"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Romaine lettuce</w:t>
            </w:r>
          </w:p>
        </w:tc>
        <w:tc>
          <w:tcPr>
            <w:tcW w:w="1463" w:type="dxa"/>
            <w:tcBorders>
              <w:top w:val="nil"/>
              <w:left w:val="nil"/>
              <w:bottom w:val="nil"/>
              <w:right w:val="nil"/>
            </w:tcBorders>
          </w:tcPr>
          <w:p w14:paraId="5E029AB0"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i/>
                <w:iCs/>
                <w:sz w:val="22"/>
                <w:szCs w:val="22"/>
              </w:rPr>
              <w:t>Escherichia coli</w:t>
            </w:r>
            <w:r w:rsidRPr="00372231">
              <w:rPr>
                <w:rFonts w:ascii="Times New Roman" w:eastAsia="Times New Roman" w:hAnsi="Times New Roman"/>
                <w:sz w:val="22"/>
                <w:szCs w:val="22"/>
              </w:rPr>
              <w:t xml:space="preserve"> O157:H7</w:t>
            </w:r>
          </w:p>
        </w:tc>
        <w:tc>
          <w:tcPr>
            <w:tcW w:w="1475" w:type="dxa"/>
            <w:tcBorders>
              <w:top w:val="nil"/>
              <w:left w:val="nil"/>
              <w:bottom w:val="nil"/>
              <w:right w:val="nil"/>
            </w:tcBorders>
          </w:tcPr>
          <w:p w14:paraId="24F5396A"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Outbreak strain identified in irrigation canal water used near production region</w:t>
            </w:r>
          </w:p>
        </w:tc>
        <w:tc>
          <w:tcPr>
            <w:tcW w:w="1298" w:type="dxa"/>
            <w:tcBorders>
              <w:top w:val="nil"/>
              <w:left w:val="nil"/>
              <w:bottom w:val="nil"/>
              <w:right w:val="nil"/>
            </w:tcBorders>
          </w:tcPr>
          <w:p w14:paraId="6EA86B6D" w14:textId="77777777" w:rsidR="00290206" w:rsidRPr="00372231" w:rsidRDefault="00290206">
            <w:pPr>
              <w:jc w:val="both"/>
              <w:rPr>
                <w:rFonts w:ascii="Times New Roman" w:eastAsia="Times New Roman" w:hAnsi="Times New Roman"/>
                <w:sz w:val="22"/>
                <w:szCs w:val="22"/>
              </w:rPr>
            </w:pPr>
          </w:p>
          <w:p w14:paraId="4E2E1F38"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AMR not emphasised in CDC outbreak summary</w:t>
            </w:r>
          </w:p>
        </w:tc>
        <w:tc>
          <w:tcPr>
            <w:tcW w:w="1500" w:type="dxa"/>
            <w:tcBorders>
              <w:top w:val="nil"/>
              <w:left w:val="nil"/>
              <w:bottom w:val="nil"/>
              <w:right w:val="nil"/>
            </w:tcBorders>
          </w:tcPr>
          <w:p w14:paraId="5A709377"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Multistate outbreak, strong environmental water signal reported</w:t>
            </w:r>
          </w:p>
        </w:tc>
        <w:tc>
          <w:tcPr>
            <w:tcW w:w="1242" w:type="dxa"/>
            <w:tcBorders>
              <w:top w:val="nil"/>
              <w:left w:val="nil"/>
              <w:bottom w:val="nil"/>
              <w:right w:val="nil"/>
            </w:tcBorders>
          </w:tcPr>
          <w:p w14:paraId="2BD61A31" w14:textId="77777777" w:rsidR="00290206" w:rsidRPr="00372231" w:rsidRDefault="00290206">
            <w:pPr>
              <w:jc w:val="both"/>
              <w:rPr>
                <w:rFonts w:ascii="Times New Roman" w:eastAsia="Times New Roman" w:hAnsi="Times New Roman"/>
                <w:sz w:val="22"/>
                <w:szCs w:val="22"/>
              </w:rPr>
            </w:pPr>
          </w:p>
          <w:p w14:paraId="4FB79B19"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CDC (2018)</w:t>
            </w:r>
          </w:p>
        </w:tc>
      </w:tr>
      <w:tr w:rsidR="00290206" w:rsidRPr="00372231" w14:paraId="6C654FFC" w14:textId="77777777">
        <w:trPr>
          <w:trHeight w:val="360"/>
        </w:trPr>
        <w:tc>
          <w:tcPr>
            <w:tcW w:w="1035" w:type="dxa"/>
            <w:tcBorders>
              <w:top w:val="nil"/>
              <w:left w:val="nil"/>
              <w:right w:val="nil"/>
            </w:tcBorders>
          </w:tcPr>
          <w:p w14:paraId="30D4F51B" w14:textId="77777777" w:rsidR="00290206" w:rsidRPr="00372231" w:rsidRDefault="008F439C">
            <w:pPr>
              <w:jc w:val="both"/>
              <w:rPr>
                <w:rFonts w:ascii="Times New Roman" w:hAnsi="Times New Roman"/>
                <w:b/>
                <w:bCs/>
                <w:sz w:val="22"/>
                <w:szCs w:val="22"/>
              </w:rPr>
            </w:pPr>
            <w:r w:rsidRPr="00372231">
              <w:rPr>
                <w:rFonts w:ascii="Times New Roman" w:eastAsia="Times New Roman" w:hAnsi="Times New Roman"/>
                <w:sz w:val="22"/>
                <w:szCs w:val="22"/>
              </w:rPr>
              <w:t>2024, USA</w:t>
            </w:r>
          </w:p>
        </w:tc>
        <w:tc>
          <w:tcPr>
            <w:tcW w:w="1242" w:type="dxa"/>
            <w:tcBorders>
              <w:top w:val="nil"/>
              <w:left w:val="nil"/>
              <w:bottom w:val="single" w:sz="4" w:space="0" w:color="auto"/>
              <w:right w:val="nil"/>
            </w:tcBorders>
          </w:tcPr>
          <w:p w14:paraId="74CBD6AF" w14:textId="77777777" w:rsidR="00290206" w:rsidRPr="00372231" w:rsidRDefault="008F439C">
            <w:pPr>
              <w:jc w:val="both"/>
              <w:rPr>
                <w:rFonts w:ascii="Times New Roman" w:eastAsia="Times New Roman" w:hAnsi="Times New Roman"/>
                <w:sz w:val="22"/>
                <w:szCs w:val="22"/>
              </w:rPr>
            </w:pPr>
            <w:r w:rsidRPr="00372231">
              <w:rPr>
                <w:rFonts w:ascii="Times New Roman" w:eastAsia="Times New Roman" w:hAnsi="Times New Roman"/>
                <w:sz w:val="22"/>
                <w:szCs w:val="22"/>
              </w:rPr>
              <w:t>Cucumbers</w:t>
            </w:r>
          </w:p>
          <w:p w14:paraId="4AF7FB86" w14:textId="77777777" w:rsidR="00290206" w:rsidRPr="00372231" w:rsidRDefault="00290206">
            <w:pPr>
              <w:rPr>
                <w:rFonts w:ascii="Times New Roman" w:hAnsi="Times New Roman"/>
                <w:b/>
                <w:bCs/>
                <w:sz w:val="22"/>
                <w:szCs w:val="22"/>
              </w:rPr>
            </w:pPr>
          </w:p>
        </w:tc>
        <w:tc>
          <w:tcPr>
            <w:tcW w:w="1463" w:type="dxa"/>
            <w:tcBorders>
              <w:top w:val="nil"/>
              <w:left w:val="nil"/>
              <w:bottom w:val="single" w:sz="4" w:space="0" w:color="auto"/>
              <w:right w:val="nil"/>
            </w:tcBorders>
          </w:tcPr>
          <w:p w14:paraId="26791893" w14:textId="77777777" w:rsidR="00290206" w:rsidRPr="00372231" w:rsidRDefault="008F439C">
            <w:pPr>
              <w:jc w:val="both"/>
              <w:rPr>
                <w:rFonts w:ascii="Times New Roman" w:eastAsia="Times New Roman" w:hAnsi="Times New Roman"/>
                <w:sz w:val="22"/>
                <w:szCs w:val="22"/>
              </w:rPr>
            </w:pPr>
            <w:r w:rsidRPr="00372231">
              <w:rPr>
                <w:rFonts w:ascii="Times New Roman" w:eastAsia="Times New Roman" w:hAnsi="Times New Roman"/>
                <w:i/>
                <w:iCs/>
                <w:sz w:val="22"/>
                <w:szCs w:val="22"/>
              </w:rPr>
              <w:t>Salmonella</w:t>
            </w:r>
            <w:r w:rsidRPr="00372231">
              <w:rPr>
                <w:rFonts w:ascii="Times New Roman" w:eastAsia="Times New Roman" w:hAnsi="Times New Roman"/>
                <w:sz w:val="22"/>
                <w:szCs w:val="22"/>
              </w:rPr>
              <w:t xml:space="preserve"> Africana and </w:t>
            </w:r>
            <w:r w:rsidRPr="00372231">
              <w:rPr>
                <w:rFonts w:ascii="Times New Roman" w:eastAsia="Times New Roman" w:hAnsi="Times New Roman"/>
                <w:i/>
                <w:iCs/>
                <w:sz w:val="22"/>
                <w:szCs w:val="22"/>
              </w:rPr>
              <w:t>Salmonella</w:t>
            </w:r>
            <w:r w:rsidRPr="00372231">
              <w:rPr>
                <w:rFonts w:ascii="Times New Roman" w:eastAsia="Times New Roman" w:hAnsi="Times New Roman"/>
                <w:sz w:val="22"/>
                <w:szCs w:val="22"/>
              </w:rPr>
              <w:t xml:space="preserve"> Braenderup</w:t>
            </w:r>
          </w:p>
          <w:p w14:paraId="0EB09187" w14:textId="77777777" w:rsidR="00290206" w:rsidRPr="00372231" w:rsidRDefault="00290206">
            <w:pPr>
              <w:rPr>
                <w:rFonts w:ascii="Times New Roman" w:hAnsi="Times New Roman"/>
                <w:b/>
                <w:bCs/>
                <w:sz w:val="22"/>
                <w:szCs w:val="22"/>
              </w:rPr>
            </w:pPr>
          </w:p>
        </w:tc>
        <w:tc>
          <w:tcPr>
            <w:tcW w:w="1475" w:type="dxa"/>
            <w:tcBorders>
              <w:top w:val="nil"/>
              <w:left w:val="nil"/>
              <w:bottom w:val="single" w:sz="4" w:space="0" w:color="auto"/>
              <w:right w:val="nil"/>
            </w:tcBorders>
          </w:tcPr>
          <w:p w14:paraId="26CB9E85"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Untreated canal water used by a grower linked to outbreak strain detection</w:t>
            </w:r>
          </w:p>
        </w:tc>
        <w:tc>
          <w:tcPr>
            <w:tcW w:w="1298" w:type="dxa"/>
            <w:tcBorders>
              <w:top w:val="nil"/>
              <w:left w:val="nil"/>
              <w:bottom w:val="single" w:sz="4" w:space="0" w:color="auto"/>
              <w:right w:val="nil"/>
            </w:tcBorders>
          </w:tcPr>
          <w:p w14:paraId="6C8D09D0"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CDC WGS reporting included predicted resistance information for some isolates</w:t>
            </w:r>
          </w:p>
        </w:tc>
        <w:tc>
          <w:tcPr>
            <w:tcW w:w="1500" w:type="dxa"/>
            <w:tcBorders>
              <w:top w:val="nil"/>
              <w:left w:val="nil"/>
              <w:bottom w:val="single" w:sz="4" w:space="0" w:color="auto"/>
              <w:right w:val="nil"/>
            </w:tcBorders>
          </w:tcPr>
          <w:p w14:paraId="79BE64EC"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551 illnesses reported across many states</w:t>
            </w:r>
          </w:p>
        </w:tc>
        <w:tc>
          <w:tcPr>
            <w:tcW w:w="1242" w:type="dxa"/>
            <w:tcBorders>
              <w:top w:val="nil"/>
              <w:left w:val="nil"/>
              <w:bottom w:val="single" w:sz="4" w:space="0" w:color="auto"/>
              <w:right w:val="nil"/>
            </w:tcBorders>
          </w:tcPr>
          <w:p w14:paraId="1832B563" w14:textId="77777777" w:rsidR="00290206" w:rsidRPr="00372231" w:rsidRDefault="008F439C">
            <w:pPr>
              <w:rPr>
                <w:rFonts w:ascii="Times New Roman" w:hAnsi="Times New Roman"/>
                <w:b/>
                <w:bCs/>
                <w:sz w:val="22"/>
                <w:szCs w:val="22"/>
              </w:rPr>
            </w:pPr>
            <w:r w:rsidRPr="00372231">
              <w:rPr>
                <w:rFonts w:ascii="Times New Roman" w:eastAsia="Times New Roman" w:hAnsi="Times New Roman"/>
                <w:sz w:val="22"/>
                <w:szCs w:val="22"/>
              </w:rPr>
              <w:t>CDC (2024)</w:t>
            </w:r>
          </w:p>
        </w:tc>
      </w:tr>
    </w:tbl>
    <w:p w14:paraId="05BA5928" w14:textId="77777777" w:rsidR="00290206" w:rsidRPr="00372231" w:rsidRDefault="00290206">
      <w:pPr>
        <w:jc w:val="both"/>
        <w:rPr>
          <w:rFonts w:ascii="Times New Roman" w:hAnsi="Times New Roman" w:cs="Times New Roman"/>
          <w:b/>
          <w:bCs/>
          <w:sz w:val="24"/>
          <w:szCs w:val="24"/>
        </w:rPr>
      </w:pPr>
    </w:p>
    <w:p w14:paraId="58FB0881" w14:textId="77777777" w:rsidR="00623185" w:rsidRDefault="00623185">
      <w:pPr>
        <w:jc w:val="both"/>
        <w:rPr>
          <w:rFonts w:ascii="Times New Roman" w:hAnsi="Times New Roman" w:cs="Times New Roman"/>
          <w:b/>
          <w:bCs/>
          <w:sz w:val="24"/>
          <w:szCs w:val="24"/>
        </w:rPr>
      </w:pPr>
    </w:p>
    <w:p w14:paraId="318226D0"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lastRenderedPageBreak/>
        <w:t>STRATEGIES FOR MITIGATING AMR SPREAD IN AGRICULTURAL SOILS</w:t>
      </w:r>
    </w:p>
    <w:p w14:paraId="6917CD41"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sz w:val="24"/>
          <w:szCs w:val="24"/>
        </w:rPr>
        <w:t>Prolonged, non-therapeutic antibiotic use at subtherapeutic concentrations in agriculture has been recognised as a major driver of ARB and resistance gene transfer to humans. Antimicrobial stewardship in food animals aims to ensure judicious antibiotic use, preserve antimicrobial efficacy and minimise residues in animal-derived food products (WHO, 2024). Within agriculture, this involves coordinated action across clinical microbiology, biosecurity and infection control, regulation, prudent antibiotic use and resistance monitoring, as well as improved animal management and the adoption of antibiotic alternatives (Pinho et al., 2025). Effective stewardship requires collaboration between veterinarians, livestock producers, pharmacists, pharmaceutical companies and regulatory agencies to limit unnecessary antibiotic use. Several regions have restricted antimicrobial growth promoters in livestock, and international bodies have updated maximum residue limits for veterinary drugs in foods of animal origin to support resistance control. National measures, such as regulatory amendments specifying withdrawal periods and labelling requirements for veterinary drugs, complement the broader Global Action Plan on Antimicrobial Resistance and the Global Principles for the containment of resistance in food-producing animals, which call on countries to align policies for responsible antibiotic use in livestock (FAO, 2024).</w:t>
      </w:r>
    </w:p>
    <w:p w14:paraId="512A32B2"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Manure processing can substantially influence the fate of antibiotic residues, ARB and ARGs before land application. Comparative studies suggest that, relative to simple storage in lagoons, composting can more rapidly reduce many antibiotic residues, enteric bacteria, ARB and common ARGs (Marutescu et al., 2022). However, the performance of manure treatments in lowering AMR is still poorly characterised under commercial farm conditions, and systematic studies using harmonised methodologies across regions are needed to evaluate impacts on soil microbiomes and AMR levels before and after application (Wang et al., 2024). Current manure processing technologies are rarely designed or assessed with ARG and ARB removal as a key performance criterion, and many systems do not fully eliminate these targets, allowing further dissemination of resistance in the environment. Thermophilic anaerobic digestion and aerobic thermophilic composting, especially when followed by post digestion composting, can reduce ARG abundances by more than 80%, whereas mesophilic digestion is generally less effective (Liu et al., 2024). Solid manure fractions may be composted, dried, pelletised or burned, while liquid fractions are often applied directly as fertilizer or only lightly treated, which can spread antibiotic residues, ARGs and zoonotic bacteria if management is inadequate.</w:t>
      </w:r>
    </w:p>
    <w:p w14:paraId="5AE7A8B6"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Safe irrigation practices and water control are equally central to AMR mitigation. Many countries reuse treated wastewater for irrigation, with quality control measures intended to limit AMR risks (Ortega-Pozo et al., 2022). Irrigation with treated effluents can introduce ARB into soils, where these bacteria may survive and multiply in organic-rich microsites (Marano et al., 2021). Evidence on whether treated wastewater irrigation increases ARG levels compared with freshwater irrigation is mixed, and some studies report no major differences, although wastewater clearly functions as </w:t>
      </w:r>
      <w:r w:rsidRPr="00372231">
        <w:rPr>
          <w:rFonts w:ascii="Times New Roman" w:hAnsi="Times New Roman" w:cs="Times New Roman"/>
          <w:sz w:val="24"/>
          <w:szCs w:val="24"/>
        </w:rPr>
        <w:lastRenderedPageBreak/>
        <w:t>a reservoir and conduit for ARB and ARGs (Zhao et al., 2022). Wastewater environments support dense and diverse bacterial communities, facilitate ARG exchange among human, animal and environmental bacteria and can foster the emergence of new resistance variants (La Rosa et al., 2025). To reduce these risks, the European Union has proposed minimum quality standards for wastewater reuse, and harmonisation across member states is expected to improve the safety of irrigated products and reduce trade barriers. The World Health Organization promotes the use of a risk management-based approach that emphasises early detection and mitigation of AMR risks, and a strong implementation mechanism (Drechsel et al., 2024). Runoff and pollution may be reduced through good water management, which involves efficient irrigation technology systems like drip systems, controlled storage and distribution, and water use monitoring. To limit the spread of AMR by irrigation, the availability of recycled water of sufficient treatment, and discouragement of uncontrolled small-scale use of untreated wastewater in the immediate vicinity of streams are important.</w:t>
      </w:r>
    </w:p>
    <w:p w14:paraId="044023FD"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Regulatory frameworks and policy interventions form an essential foundation for AMR mitigation. Environmental monitoring and regulations in relation to public health can help to decrease the improper use of antibiotics in human and veterinary practice, control pharmaceutical/industrial discharges and strengthen infection avoidance and control in medical facilities. It can also aid in facilitating the establishment of national and global AMR action plans that expressly embrace the One Health approach, which entails a combination of human, animal and environmental health (WHO, 2024; Woolhouse et al., 2024). The regulatory frameworks can restrict over the counter sales of antibiotics, demand prescription, regulate their use in the agricultural sector and promote alternatives which do not interfere with the health and productivity of livestock without encouraging resistance.</w:t>
      </w:r>
    </w:p>
    <w:p w14:paraId="2BB15A88"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Integrated One Health approaches therefore remain imperative. In 2015, the WHO Global Action Plan on Antimicrobial Resistance, created in collaboration with FAO and OIE, was endorsed at the World Health Assembly, to offer a coordinated approach to addressing AMR across sectors. The objectives of the Action Plan were the enhancement of awareness and understanding of AMR, reducing the occurrence of infection through hygiene and infection prevention, maximisation of utilisation of antimicrobials in human and animal health, as well as sustainable investment and innovation in diagnostics, vaccines and therapeutic (Adefisoye &amp; Olaniran, 2023). The Global Action Plan has stimulated the development of national action plans in many countries, which adapt its objectives to local contexts while maintaining a One Health orientation (FAO, 2024). Since all the compartments of the human body, animals and the environment can harbour resistant microorganisms, some form of integrated approaches are needed to take care of the transmission pathways between them. This involves regulating environmental dispersion, the control of antimicrobial use and putting into consideration antibiotic  alternatives in a rather interconnected relationship of human, animal and ecosystem health (Craddock et al., 2025). Effective AMR mitigation measures must therefore be designed and implemented collaboratively by professionals </w:t>
      </w:r>
      <w:r w:rsidRPr="00372231">
        <w:rPr>
          <w:rFonts w:ascii="Times New Roman" w:hAnsi="Times New Roman" w:cs="Times New Roman"/>
          <w:sz w:val="24"/>
          <w:szCs w:val="24"/>
        </w:rPr>
        <w:lastRenderedPageBreak/>
        <w:t>and researchers across human and veterinary medicine, agriculture and environmental sciences (Woolhouse et al., 2024).</w:t>
      </w:r>
    </w:p>
    <w:p w14:paraId="4DEAE108"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CONCLUSION</w:t>
      </w:r>
    </w:p>
    <w:p w14:paraId="46C7D0A3"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magnitude and scale of AMR are important health concerns that need urgent interventions as a critical global health challenge. Antibiotic misuse and over use in human health, agriculture and livestock production has increased the spread of AMR with animal production playing a significant role by introducing antibiotic residues, ARB and ARGs to the environment through manure, sewage sludge and wastewater irrigation. Soil and water system serve as the main environmental reservoirs and routes of transmission, in which resistance genes can persist, undergo HGTs and selections due to the continued anthropogenic pressures. Addressing AMR in agricultural soil is pertinent, and requires a complex but appropriately coordinated response that combines responsible antibiotics utilization, enhanced waste and water management and sustainable agricultural practices in a unified One Health framework. The remedies to curbing AMR and ensuring the health of both the people and the environment have been based on the international partnership and strong national action plans and increased antimicrobial stewardship programmes.</w:t>
      </w:r>
    </w:p>
    <w:p w14:paraId="7A9BEA28"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RECOMMENDATION AND FUTURE DIRECTION</w:t>
      </w:r>
    </w:p>
    <w:p w14:paraId="4A7304C8" w14:textId="168901B8"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 xml:space="preserve">To curb the problem of antibiotic resistance, rational use of antibiotics in both human and veterinary medicine should be given priority, preference of narrow spectrum agents where feasible and avoidance of unnecessary exposure should be considered. There is a need to have strong antimicrobial stewardship programmes to oversee and manage AMR and promote evidence-based prescribing. To reduce the emission of antibiotics and drug resistant bacteria to the environment, agricultural practices should reduce the waste products released to the environment through management of livestock waste products, improve the outcome of treatment and quality of wastewater and good management of manure to be utilised as a fertiliser. It is necessary to further integrate healthcare, agriculture, and environmental sectors into one health strategy through the assistance of the population and education about the proper usage of antibiotics and hygiene. At the same time, new antimicrobials will require long term research and innovation to develop alternative treatments and sustainable agricultural practices to reduce the utilization of antibiotics without affecting productivity and ecosystem </w:t>
      </w:r>
      <w:r w:rsidR="00693F74" w:rsidRPr="00372231">
        <w:rPr>
          <w:rFonts w:ascii="Times New Roman" w:hAnsi="Times New Roman" w:cs="Times New Roman"/>
          <w:sz w:val="24"/>
          <w:szCs w:val="24"/>
        </w:rPr>
        <w:t>well-being</w:t>
      </w:r>
      <w:r w:rsidRPr="00372231">
        <w:rPr>
          <w:rFonts w:ascii="Times New Roman" w:hAnsi="Times New Roman" w:cs="Times New Roman"/>
          <w:sz w:val="24"/>
          <w:szCs w:val="24"/>
        </w:rPr>
        <w:t xml:space="preserve">. </w:t>
      </w:r>
    </w:p>
    <w:p w14:paraId="398B3710"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List of Abbreviations</w:t>
      </w:r>
    </w:p>
    <w:p w14:paraId="2CCC2274"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AMR - Antimicrobial Resistance</w:t>
      </w:r>
    </w:p>
    <w:p w14:paraId="2E52741D"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ARGs - Antibiotic Resistance Genes</w:t>
      </w:r>
    </w:p>
    <w:p w14:paraId="2C3D4A50"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HGT - Horizontal Gene Transfer</w:t>
      </w:r>
    </w:p>
    <w:p w14:paraId="4658A75E"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MGEs - Mobile Genetic Elements</w:t>
      </w:r>
    </w:p>
    <w:p w14:paraId="5219A5DA"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lastRenderedPageBreak/>
        <w:t>Acknowledgments</w:t>
      </w:r>
    </w:p>
    <w:p w14:paraId="3CFC7AD5"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We are grateful to the Department of Research, Innovation and International Cooperation (RIIC), Babcock University, for their support.</w:t>
      </w:r>
    </w:p>
    <w:p w14:paraId="3D0100AA"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Conflicts of Interest</w:t>
      </w:r>
    </w:p>
    <w:p w14:paraId="6A8357F1" w14:textId="77777777" w:rsidR="00290206" w:rsidRPr="00372231" w:rsidRDefault="008F439C">
      <w:pPr>
        <w:jc w:val="both"/>
        <w:rPr>
          <w:rFonts w:ascii="Times New Roman" w:hAnsi="Times New Roman" w:cs="Times New Roman"/>
          <w:sz w:val="24"/>
          <w:szCs w:val="24"/>
        </w:rPr>
      </w:pPr>
      <w:r w:rsidRPr="00372231">
        <w:rPr>
          <w:rFonts w:ascii="Times New Roman" w:hAnsi="Times New Roman" w:cs="Times New Roman"/>
          <w:sz w:val="24"/>
          <w:szCs w:val="24"/>
        </w:rPr>
        <w:t>The author declares no conflicts of interest.</w:t>
      </w:r>
    </w:p>
    <w:p w14:paraId="4BD19EC1" w14:textId="77777777" w:rsidR="00290206" w:rsidRPr="00372231" w:rsidRDefault="008F439C">
      <w:pPr>
        <w:jc w:val="both"/>
        <w:rPr>
          <w:rFonts w:ascii="Times New Roman" w:hAnsi="Times New Roman" w:cs="Times New Roman"/>
          <w:b/>
          <w:bCs/>
          <w:sz w:val="24"/>
          <w:szCs w:val="24"/>
        </w:rPr>
      </w:pPr>
      <w:r w:rsidRPr="00372231">
        <w:rPr>
          <w:rFonts w:ascii="Times New Roman" w:hAnsi="Times New Roman" w:cs="Times New Roman"/>
          <w:b/>
          <w:bCs/>
          <w:sz w:val="24"/>
          <w:szCs w:val="24"/>
        </w:rPr>
        <w:t>Funding</w:t>
      </w:r>
    </w:p>
    <w:p w14:paraId="43C422A9" w14:textId="6683F41F" w:rsidR="00290206" w:rsidRPr="00EF668C" w:rsidRDefault="008F439C" w:rsidP="00EF668C">
      <w:pPr>
        <w:spacing w:line="360" w:lineRule="auto"/>
        <w:jc w:val="both"/>
        <w:rPr>
          <w:rFonts w:ascii="Times New Roman" w:hAnsi="Times New Roman" w:cs="Times New Roman"/>
          <w:sz w:val="24"/>
          <w:szCs w:val="24"/>
        </w:rPr>
      </w:pPr>
      <w:r w:rsidRPr="00EF668C">
        <w:rPr>
          <w:rFonts w:ascii="Times New Roman" w:hAnsi="Times New Roman" w:cs="Times New Roman"/>
          <w:sz w:val="24"/>
          <w:szCs w:val="24"/>
        </w:rPr>
        <w:t>The review article is self-sponsored</w:t>
      </w:r>
    </w:p>
    <w:p w14:paraId="14B53C43" w14:textId="77777777" w:rsidR="00EF668C" w:rsidRPr="00EF668C" w:rsidRDefault="00EF668C" w:rsidP="00EF668C">
      <w:pPr>
        <w:spacing w:line="360" w:lineRule="auto"/>
        <w:jc w:val="both"/>
        <w:rPr>
          <w:rFonts w:ascii="Times New Roman" w:hAnsi="Times New Roman" w:cs="Times New Roman"/>
          <w:b/>
          <w:bCs/>
          <w:sz w:val="24"/>
          <w:szCs w:val="24"/>
        </w:rPr>
      </w:pPr>
      <w:r w:rsidRPr="00EF668C">
        <w:rPr>
          <w:rFonts w:ascii="Times New Roman" w:hAnsi="Times New Roman" w:cs="Times New Roman"/>
          <w:b/>
          <w:bCs/>
          <w:sz w:val="24"/>
          <w:szCs w:val="24"/>
        </w:rPr>
        <w:t>Ethical Statement</w:t>
      </w:r>
    </w:p>
    <w:p w14:paraId="7E2CAC4E" w14:textId="507E349D" w:rsidR="00EF668C" w:rsidRPr="00EF668C" w:rsidRDefault="00EF668C" w:rsidP="00EF668C">
      <w:pPr>
        <w:spacing w:line="360" w:lineRule="auto"/>
        <w:jc w:val="both"/>
        <w:rPr>
          <w:rFonts w:ascii="Times New Roman" w:hAnsi="Times New Roman" w:cs="Times New Roman"/>
        </w:rPr>
      </w:pPr>
      <w:r w:rsidRPr="00EF668C">
        <w:rPr>
          <w:rFonts w:ascii="Times New Roman" w:hAnsi="Times New Roman" w:cs="Times New Roman"/>
        </w:rPr>
        <w:t>Ethical approval was not required for this study because it is a review article based solely on previously published literature and did not involve human participants, animal subjects, or unpublished personal data.</w:t>
      </w:r>
    </w:p>
    <w:p w14:paraId="39E67F84" w14:textId="77777777" w:rsidR="00EF668C" w:rsidRPr="00EF668C" w:rsidRDefault="00693F74" w:rsidP="00EF668C">
      <w:pPr>
        <w:spacing w:line="360" w:lineRule="auto"/>
        <w:jc w:val="both"/>
        <w:rPr>
          <w:rFonts w:ascii="Times New Roman" w:hAnsi="Times New Roman" w:cs="Times New Roman"/>
          <w:b/>
          <w:bCs/>
          <w:sz w:val="24"/>
          <w:szCs w:val="24"/>
        </w:rPr>
      </w:pPr>
      <w:r w:rsidRPr="00EF668C">
        <w:rPr>
          <w:rFonts w:ascii="Times New Roman" w:hAnsi="Times New Roman" w:cs="Times New Roman"/>
          <w:b/>
          <w:bCs/>
          <w:sz w:val="24"/>
          <w:szCs w:val="24"/>
        </w:rPr>
        <w:t>Data Availability</w:t>
      </w:r>
      <w:r w:rsidR="00EF668C" w:rsidRPr="00EF668C">
        <w:rPr>
          <w:rFonts w:ascii="Times New Roman" w:hAnsi="Times New Roman" w:cs="Times New Roman"/>
          <w:b/>
          <w:bCs/>
          <w:sz w:val="24"/>
          <w:szCs w:val="24"/>
        </w:rPr>
        <w:t xml:space="preserve"> </w:t>
      </w:r>
      <w:r w:rsidR="00EF668C" w:rsidRPr="00EF668C">
        <w:rPr>
          <w:rFonts w:ascii="Times New Roman" w:hAnsi="Times New Roman" w:cs="Times New Roman"/>
          <w:b/>
          <w:bCs/>
          <w:sz w:val="24"/>
          <w:szCs w:val="24"/>
        </w:rPr>
        <w:t>Statement</w:t>
      </w:r>
    </w:p>
    <w:p w14:paraId="3C69770B" w14:textId="608A6F8E" w:rsidR="00EF668C" w:rsidRPr="00EF668C" w:rsidRDefault="00EF668C" w:rsidP="00EF668C">
      <w:pPr>
        <w:spacing w:line="360" w:lineRule="auto"/>
        <w:jc w:val="both"/>
        <w:rPr>
          <w:rFonts w:ascii="Times New Roman" w:hAnsi="Times New Roman" w:cs="Times New Roman"/>
          <w:b/>
          <w:bCs/>
          <w:sz w:val="24"/>
          <w:szCs w:val="24"/>
        </w:rPr>
      </w:pPr>
      <w:r w:rsidRPr="00EF668C">
        <w:rPr>
          <w:rFonts w:ascii="Times New Roman" w:hAnsi="Times New Roman" w:cs="Times New Roman"/>
        </w:rPr>
        <w:t>No new data were generated or analysed in support of this review. All information discussed in this manuscript is derived from previously published studies cited in the reference list.</w:t>
      </w:r>
    </w:p>
    <w:p w14:paraId="043EE904" w14:textId="78887D5E" w:rsidR="006701F4" w:rsidRPr="00EF668C" w:rsidRDefault="008F439C" w:rsidP="00EF668C">
      <w:pPr>
        <w:jc w:val="both"/>
        <w:rPr>
          <w:rFonts w:ascii="Times New Roman" w:hAnsi="Times New Roman" w:cs="Times New Roman"/>
          <w:b/>
          <w:bCs/>
          <w:sz w:val="24"/>
          <w:szCs w:val="24"/>
        </w:rPr>
      </w:pPr>
      <w:r w:rsidRPr="00372231">
        <w:rPr>
          <w:rFonts w:ascii="Times New Roman" w:hAnsi="Times New Roman" w:cs="Times New Roman"/>
          <w:b/>
          <w:bCs/>
          <w:sz w:val="24"/>
          <w:szCs w:val="24"/>
        </w:rPr>
        <w:t>REFERENCES</w:t>
      </w:r>
      <w:bookmarkStart w:id="1" w:name="_GoBack"/>
      <w:bookmarkEnd w:id="1"/>
    </w:p>
    <w:p w14:paraId="7C7DDE3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Abate, T.A., &amp; Birhanu, A.G. (2025). Antibiotic Use in Livestock and Environmental Antibiotic Resistance: A Narrative Review. </w:t>
      </w:r>
      <w:r w:rsidRPr="00372231">
        <w:rPr>
          <w:rFonts w:ascii="Times New Roman" w:hAnsi="Times New Roman" w:cs="Times New Roman"/>
          <w:i/>
          <w:iCs/>
          <w:sz w:val="24"/>
          <w:szCs w:val="24"/>
        </w:rPr>
        <w:t>Environmental health insights, 19</w:t>
      </w:r>
      <w:r w:rsidRPr="00372231">
        <w:rPr>
          <w:rFonts w:ascii="Times New Roman" w:hAnsi="Times New Roman" w:cs="Times New Roman"/>
          <w:sz w:val="24"/>
          <w:szCs w:val="24"/>
        </w:rPr>
        <w:t xml:space="preserve">, 11786302251357775. </w:t>
      </w:r>
      <w:hyperlink r:id="rId10" w:history="1">
        <w:r w:rsidRPr="00372231">
          <w:rPr>
            <w:rStyle w:val="Hyperlink"/>
            <w:sz w:val="24"/>
            <w:szCs w:val="24"/>
          </w:rPr>
          <w:t>https://doi.org/10.1177/11786302251357775</w:t>
        </w:r>
      </w:hyperlink>
    </w:p>
    <w:p w14:paraId="03C30B26"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bookmarkStart w:id="2" w:name="_Hlk218784836"/>
      <w:r w:rsidRPr="00372231">
        <w:rPr>
          <w:rFonts w:ascii="Times New Roman" w:hAnsi="Times New Roman" w:cs="Times New Roman"/>
          <w:sz w:val="24"/>
          <w:szCs w:val="24"/>
        </w:rPr>
        <w:t>Adefisoye, M.A., &amp; Olaniran,</w:t>
      </w:r>
      <w:bookmarkEnd w:id="2"/>
      <w:r w:rsidRPr="00372231">
        <w:rPr>
          <w:rFonts w:ascii="Times New Roman" w:hAnsi="Times New Roman" w:cs="Times New Roman"/>
          <w:sz w:val="24"/>
          <w:szCs w:val="24"/>
        </w:rPr>
        <w:t xml:space="preserve"> A.O. (2022). Does Chlorination Promote Antimicrobial Resistance in Waterborne Pathogens? Mechanistic Insight into Co-Resistance and Its Implication for Public Health. </w:t>
      </w:r>
      <w:r w:rsidRPr="00372231">
        <w:rPr>
          <w:rFonts w:ascii="Times New Roman" w:hAnsi="Times New Roman" w:cs="Times New Roman"/>
          <w:i/>
          <w:iCs/>
          <w:sz w:val="24"/>
          <w:szCs w:val="24"/>
        </w:rPr>
        <w:t>Antibiotics.11</w:t>
      </w:r>
      <w:r w:rsidRPr="00372231">
        <w:rPr>
          <w:rFonts w:ascii="Times New Roman" w:hAnsi="Times New Roman" w:cs="Times New Roman"/>
          <w:sz w:val="24"/>
          <w:szCs w:val="24"/>
        </w:rPr>
        <w:t xml:space="preserve">(5):564. </w:t>
      </w:r>
      <w:hyperlink r:id="rId11" w:history="1">
        <w:r w:rsidRPr="00372231">
          <w:rPr>
            <w:rStyle w:val="Hyperlink"/>
            <w:rFonts w:eastAsia="Calibri"/>
            <w:sz w:val="24"/>
            <w:szCs w:val="24"/>
          </w:rPr>
          <w:t>https://doi.org/10.3390/antibiotics11050564</w:t>
        </w:r>
      </w:hyperlink>
    </w:p>
    <w:p w14:paraId="6C8F6D92"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t xml:space="preserve">Adefisoye, M.A., &amp; Olaniran, A.O. (2023). Antimicrobial resistance expansion in pathogens: A review of current mitigation strategies and advances towards innovative therapy. </w:t>
      </w:r>
      <w:r w:rsidRPr="00372231">
        <w:rPr>
          <w:rFonts w:ascii="Times New Roman" w:hAnsi="Times New Roman" w:cs="Times New Roman"/>
          <w:i/>
          <w:iCs/>
          <w:sz w:val="24"/>
          <w:szCs w:val="24"/>
        </w:rPr>
        <w:t>JAC-Antimicrobial Resistance, 5</w:t>
      </w:r>
      <w:r w:rsidRPr="00372231">
        <w:rPr>
          <w:rFonts w:ascii="Times New Roman" w:hAnsi="Times New Roman" w:cs="Times New Roman"/>
          <w:sz w:val="24"/>
          <w:szCs w:val="24"/>
        </w:rPr>
        <w:t xml:space="preserve">(6), dlad127. </w:t>
      </w:r>
      <w:hyperlink r:id="rId12" w:history="1">
        <w:r w:rsidRPr="00372231">
          <w:rPr>
            <w:rStyle w:val="Hyperlink"/>
            <w:rFonts w:eastAsia="Calibri"/>
            <w:sz w:val="24"/>
            <w:szCs w:val="24"/>
          </w:rPr>
          <w:t>https://doi.org/10.1093/jacamr/dlad127</w:t>
        </w:r>
      </w:hyperlink>
    </w:p>
    <w:p w14:paraId="556B5FCA" w14:textId="77777777" w:rsidR="006701F4" w:rsidRPr="00372231" w:rsidRDefault="006701F4">
      <w:pPr>
        <w:pStyle w:val="ListParagraph"/>
        <w:numPr>
          <w:ilvl w:val="0"/>
          <w:numId w:val="1"/>
        </w:numPr>
        <w:jc w:val="both"/>
        <w:rPr>
          <w:rStyle w:val="Hyperlink"/>
          <w:rFonts w:eastAsia="Calibri"/>
          <w:color w:val="auto"/>
          <w:sz w:val="24"/>
          <w:szCs w:val="24"/>
          <w:u w:val="none"/>
        </w:rPr>
      </w:pPr>
      <w:r w:rsidRPr="00372231">
        <w:rPr>
          <w:rFonts w:ascii="Times New Roman" w:hAnsi="Times New Roman" w:cs="Times New Roman"/>
          <w:sz w:val="24"/>
          <w:szCs w:val="24"/>
        </w:rPr>
        <w:t xml:space="preserve">Ahmed, S.K., Hussein, S., Qurbani, K., Ibrahim, R.H., Fareeq, A., Mahmood, K.A., &amp; Shukur, F.O. (2024). Antimicrobial resistance: Impacts, challenges, and future prospects. </w:t>
      </w:r>
      <w:r w:rsidRPr="00372231">
        <w:rPr>
          <w:rFonts w:ascii="Times New Roman" w:hAnsi="Times New Roman" w:cs="Times New Roman"/>
          <w:i/>
          <w:iCs/>
          <w:sz w:val="24"/>
          <w:szCs w:val="24"/>
        </w:rPr>
        <w:t>Journal of Medicine, Surgery, and Public Health, 2</w:t>
      </w:r>
      <w:r w:rsidRPr="00372231">
        <w:rPr>
          <w:rFonts w:ascii="Times New Roman" w:hAnsi="Times New Roman" w:cs="Times New Roman"/>
          <w:sz w:val="24"/>
          <w:szCs w:val="24"/>
        </w:rPr>
        <w:t xml:space="preserve">, 100081. </w:t>
      </w:r>
      <w:hyperlink r:id="rId13" w:history="1">
        <w:r w:rsidRPr="00372231">
          <w:rPr>
            <w:rStyle w:val="Hyperlink"/>
            <w:sz w:val="24"/>
            <w:szCs w:val="24"/>
          </w:rPr>
          <w:t>https://doi.org/10.1016/j.glmedi.2024.100081</w:t>
        </w:r>
      </w:hyperlink>
    </w:p>
    <w:p w14:paraId="1346BC00"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lastRenderedPageBreak/>
        <w:t xml:space="preserve">Aijaz, M., Ahmad, M., Ansari, M.A., &amp; Ahmad, S. (2023). Antimicrobial resistance in a globalized world: Current challenges and future perspectives.  </w:t>
      </w:r>
      <w:r w:rsidRPr="00372231">
        <w:rPr>
          <w:rFonts w:ascii="Times New Roman" w:hAnsi="Times New Roman" w:cs="Times New Roman"/>
          <w:i/>
          <w:iCs/>
          <w:sz w:val="24"/>
          <w:szCs w:val="24"/>
        </w:rPr>
        <w:t>International Journal of Pharmaceutical &amp; Drug Design, 1</w:t>
      </w:r>
      <w:r w:rsidRPr="00372231">
        <w:rPr>
          <w:rFonts w:ascii="Times New Roman" w:hAnsi="Times New Roman" w:cs="Times New Roman"/>
          <w:sz w:val="24"/>
          <w:szCs w:val="24"/>
        </w:rPr>
        <w:t>, 7–22.</w:t>
      </w:r>
    </w:p>
    <w:p w14:paraId="1BA709E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Alabi, M.A., Chenia, H.Y., &amp; Lin, J. (2025). Antibiotic use in livestock: A driver of resistance in Africa and the path to safer alternatives. </w:t>
      </w:r>
      <w:r w:rsidRPr="00372231">
        <w:rPr>
          <w:rFonts w:ascii="Times New Roman" w:hAnsi="Times New Roman" w:cs="Times New Roman"/>
          <w:i/>
          <w:iCs/>
          <w:sz w:val="24"/>
          <w:szCs w:val="24"/>
        </w:rPr>
        <w:t>MicrobiologyOpen, 14</w:t>
      </w:r>
      <w:r w:rsidRPr="00372231">
        <w:rPr>
          <w:rFonts w:ascii="Times New Roman" w:hAnsi="Times New Roman" w:cs="Times New Roman"/>
          <w:sz w:val="24"/>
          <w:szCs w:val="24"/>
        </w:rPr>
        <w:t xml:space="preserve">(6), e70122. </w:t>
      </w:r>
      <w:hyperlink r:id="rId14" w:history="1">
        <w:r w:rsidRPr="00372231">
          <w:rPr>
            <w:rStyle w:val="Hyperlink"/>
            <w:sz w:val="24"/>
            <w:szCs w:val="24"/>
          </w:rPr>
          <w:t>https://doi.org/10.1002/mbo3.70122</w:t>
        </w:r>
      </w:hyperlink>
    </w:p>
    <w:p w14:paraId="72334B0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Ali, N., Ali, I., Din, A.U., Akhtar, K., He, B., Wen, R. (2024). Integrons in the Age of Antibiotic Resistance: Evolution, Mechanisms, and Environmental Implications: A Review. </w:t>
      </w:r>
      <w:r w:rsidRPr="00372231">
        <w:rPr>
          <w:rFonts w:ascii="Times New Roman" w:hAnsi="Times New Roman" w:cs="Times New Roman"/>
          <w:i/>
          <w:iCs/>
          <w:sz w:val="24"/>
          <w:szCs w:val="24"/>
        </w:rPr>
        <w:t>Microorganisms, 12</w:t>
      </w:r>
      <w:r w:rsidRPr="00372231">
        <w:rPr>
          <w:rFonts w:ascii="Times New Roman" w:hAnsi="Times New Roman" w:cs="Times New Roman"/>
          <w:sz w:val="24"/>
          <w:szCs w:val="24"/>
        </w:rPr>
        <w:t>, 2579.</w:t>
      </w:r>
    </w:p>
    <w:p w14:paraId="34D1B47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Alshwaikh, R.M., Ahmed, R.Z.T. (2024). Detection of Integron Classes and Agr Group in </w:t>
      </w:r>
      <w:r w:rsidRPr="00372231">
        <w:rPr>
          <w:rFonts w:ascii="Times New Roman" w:hAnsi="Times New Roman" w:cs="Times New Roman"/>
          <w:i/>
          <w:iCs/>
          <w:sz w:val="24"/>
          <w:szCs w:val="24"/>
        </w:rPr>
        <w:t>Staphylococcus aureus</w:t>
      </w:r>
      <w:r w:rsidRPr="00372231">
        <w:rPr>
          <w:rFonts w:ascii="Times New Roman" w:hAnsi="Times New Roman" w:cs="Times New Roman"/>
          <w:sz w:val="24"/>
          <w:szCs w:val="24"/>
        </w:rPr>
        <w:t xml:space="preserve"> Isolated from Different Clinical Samples. </w:t>
      </w:r>
      <w:r w:rsidRPr="00372231">
        <w:rPr>
          <w:rFonts w:ascii="Times New Roman" w:hAnsi="Times New Roman" w:cs="Times New Roman"/>
          <w:i/>
          <w:iCs/>
          <w:sz w:val="24"/>
          <w:szCs w:val="24"/>
        </w:rPr>
        <w:t>IBN AL-Haitham Journal for Pure and Applied Science, 37</w:t>
      </w:r>
      <w:r w:rsidRPr="00372231">
        <w:rPr>
          <w:rFonts w:ascii="Times New Roman" w:hAnsi="Times New Roman" w:cs="Times New Roman"/>
          <w:sz w:val="24"/>
          <w:szCs w:val="24"/>
        </w:rPr>
        <w:t>, 112–128.</w:t>
      </w:r>
    </w:p>
    <w:p w14:paraId="6C05152A"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Aslam, B., Khurshid, M., Arshad, M.I., Muzammil, S., Rasool, M., Yasmeen, N., Shah, T., Chaudhry, T.H., Rasool, M.H., Shahid, A., Xueshan, X., &amp; Baloch, Z. (2021). Antibiotic resistance: One Health One World outlook. </w:t>
      </w:r>
      <w:r w:rsidRPr="00372231">
        <w:rPr>
          <w:rFonts w:ascii="Times New Roman" w:hAnsi="Times New Roman" w:cs="Times New Roman"/>
          <w:i/>
          <w:iCs/>
          <w:sz w:val="24"/>
          <w:szCs w:val="24"/>
        </w:rPr>
        <w:t>Frontiers in Cellular and Infection Microbiology</w:t>
      </w:r>
      <w:r w:rsidRPr="00372231">
        <w:rPr>
          <w:rFonts w:ascii="Times New Roman" w:hAnsi="Times New Roman" w:cs="Times New Roman"/>
          <w:sz w:val="24"/>
          <w:szCs w:val="24"/>
        </w:rPr>
        <w:t xml:space="preserve">, 11, 771510. </w:t>
      </w:r>
      <w:hyperlink r:id="rId15" w:history="1">
        <w:r w:rsidRPr="00372231">
          <w:rPr>
            <w:rStyle w:val="Hyperlink"/>
            <w:sz w:val="24"/>
            <w:szCs w:val="24"/>
          </w:rPr>
          <w:t>https://doi.org/10.3389/fcimb.2021.771510</w:t>
        </w:r>
      </w:hyperlink>
    </w:p>
    <w:p w14:paraId="1A09E798"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t xml:space="preserve">Baćmaga, M., Wyszkowska, J., &amp; Kucharski, J. (2024). Response of Soil Microbiota, Enzymes, and Plants to the Fungicide </w:t>
      </w:r>
      <w:r w:rsidRPr="00372231">
        <w:rPr>
          <w:rFonts w:ascii="Times New Roman" w:hAnsi="Times New Roman" w:cs="Times New Roman"/>
          <w:i/>
          <w:iCs/>
          <w:sz w:val="24"/>
          <w:szCs w:val="24"/>
        </w:rPr>
        <w:t>Azoxystrobin</w:t>
      </w:r>
      <w:r w:rsidRPr="00372231">
        <w:rPr>
          <w:rFonts w:ascii="Times New Roman" w:hAnsi="Times New Roman" w:cs="Times New Roman"/>
          <w:sz w:val="24"/>
          <w:szCs w:val="24"/>
        </w:rPr>
        <w:t xml:space="preserve">. </w:t>
      </w:r>
      <w:r w:rsidRPr="00372231">
        <w:rPr>
          <w:rFonts w:ascii="Times New Roman" w:hAnsi="Times New Roman" w:cs="Times New Roman"/>
          <w:i/>
          <w:iCs/>
          <w:sz w:val="24"/>
          <w:szCs w:val="24"/>
        </w:rPr>
        <w:t>International journal of molecular sciences, 25</w:t>
      </w:r>
      <w:r w:rsidRPr="00372231">
        <w:rPr>
          <w:rFonts w:ascii="Times New Roman" w:hAnsi="Times New Roman" w:cs="Times New Roman"/>
          <w:sz w:val="24"/>
          <w:szCs w:val="24"/>
        </w:rPr>
        <w:t xml:space="preserve">(15), 8104. </w:t>
      </w:r>
      <w:hyperlink r:id="rId16" w:history="1">
        <w:r w:rsidRPr="00372231">
          <w:rPr>
            <w:rStyle w:val="Hyperlink"/>
            <w:sz w:val="24"/>
            <w:szCs w:val="24"/>
          </w:rPr>
          <w:t>https://doi.org/10.3390/ijms25158104</w:t>
        </w:r>
      </w:hyperlink>
    </w:p>
    <w:p w14:paraId="09066519"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Barrero-Canosa, J., Ebeling, J., Kenny, E.F., Marx-Stoelting, P., Paege, N., Feustel, S., &amp; Leme, D.M. (2025). Human health risk assessment for microbial pesticides in the EU: challenges and perspectives. Environmental health: </w:t>
      </w:r>
      <w:r w:rsidRPr="00372231">
        <w:rPr>
          <w:rFonts w:ascii="Times New Roman" w:hAnsi="Times New Roman" w:cs="Times New Roman"/>
          <w:i/>
          <w:iCs/>
          <w:sz w:val="24"/>
          <w:szCs w:val="24"/>
        </w:rPr>
        <w:t>A global access science source, 24</w:t>
      </w:r>
      <w:r w:rsidRPr="00372231">
        <w:rPr>
          <w:rFonts w:ascii="Times New Roman" w:hAnsi="Times New Roman" w:cs="Times New Roman"/>
          <w:sz w:val="24"/>
          <w:szCs w:val="24"/>
        </w:rPr>
        <w:t xml:space="preserve">(1), 43. </w:t>
      </w:r>
      <w:hyperlink r:id="rId17" w:history="1">
        <w:r w:rsidRPr="00372231">
          <w:rPr>
            <w:rStyle w:val="Hyperlink"/>
            <w:sz w:val="24"/>
            <w:szCs w:val="24"/>
          </w:rPr>
          <w:t>https://doi.org/10.1186/s12940-025-01196-1</w:t>
        </w:r>
      </w:hyperlink>
    </w:p>
    <w:p w14:paraId="5561305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Batuman, O., Britt-Ugartemendia, K., Kunwar, S., Yilmaz, S., Fessler, L., Redondo, A., Chumachenko, K., Chakravarty, S., &amp; Wade, T. (2024). The Use and Impact of Antibiotics in Plant Agriculture: A Review. </w:t>
      </w:r>
      <w:r w:rsidRPr="00372231">
        <w:rPr>
          <w:rFonts w:ascii="Times New Roman" w:hAnsi="Times New Roman" w:cs="Times New Roman"/>
          <w:i/>
          <w:iCs/>
          <w:sz w:val="24"/>
          <w:szCs w:val="24"/>
        </w:rPr>
        <w:t>Phytopathology, 114</w:t>
      </w:r>
      <w:r w:rsidRPr="00372231">
        <w:rPr>
          <w:rFonts w:ascii="Times New Roman" w:hAnsi="Times New Roman" w:cs="Times New Roman"/>
          <w:sz w:val="24"/>
          <w:szCs w:val="24"/>
        </w:rPr>
        <w:t xml:space="preserve">(5), 885–909. </w:t>
      </w:r>
      <w:hyperlink r:id="rId18" w:history="1">
        <w:r w:rsidRPr="00372231">
          <w:rPr>
            <w:rStyle w:val="Hyperlink"/>
            <w:sz w:val="24"/>
            <w:szCs w:val="24"/>
          </w:rPr>
          <w:t>https://doi.org/10.1094/PHYTO-10-23-0357-IA</w:t>
        </w:r>
      </w:hyperlink>
    </w:p>
    <w:p w14:paraId="0C89808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Bava, R., Castagna, F., Lupia, C., Poerio, G., Liguori, G., Lombardi, R., Naturale, M.D., Mercuri, C., Bulotta, R.M., Britti, D., &amp; Palma, E. (2024). Antimicrobial Resistance in Livestock: A Serious Threat to Public Health. </w:t>
      </w:r>
      <w:r w:rsidRPr="00372231">
        <w:rPr>
          <w:rFonts w:ascii="Times New Roman" w:hAnsi="Times New Roman" w:cs="Times New Roman"/>
          <w:i/>
          <w:iCs/>
          <w:sz w:val="24"/>
          <w:szCs w:val="24"/>
        </w:rPr>
        <w:t>Antibiotics (Basel, Switzerland), 13</w:t>
      </w:r>
      <w:r w:rsidRPr="00372231">
        <w:rPr>
          <w:rFonts w:ascii="Times New Roman" w:hAnsi="Times New Roman" w:cs="Times New Roman"/>
          <w:sz w:val="24"/>
          <w:szCs w:val="24"/>
        </w:rPr>
        <w:t xml:space="preserve">(6), 551. </w:t>
      </w:r>
      <w:hyperlink r:id="rId19" w:history="1">
        <w:r w:rsidRPr="00372231">
          <w:rPr>
            <w:rStyle w:val="Hyperlink"/>
            <w:sz w:val="24"/>
            <w:szCs w:val="24"/>
          </w:rPr>
          <w:t>https://doi.org/10.3390/antibiotics13060551</w:t>
        </w:r>
      </w:hyperlink>
    </w:p>
    <w:p w14:paraId="1213C67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Beutin, L., &amp; Martin, A. (2012). Outbreak of Shiga toxin-producing </w:t>
      </w:r>
      <w:r w:rsidRPr="00372231">
        <w:rPr>
          <w:rFonts w:ascii="Times New Roman" w:eastAsia="Times New Roman" w:hAnsi="Times New Roman" w:cs="Times New Roman"/>
          <w:i/>
          <w:iCs/>
          <w:sz w:val="24"/>
          <w:szCs w:val="24"/>
        </w:rPr>
        <w:t>Escherichia coli</w:t>
      </w:r>
      <w:r w:rsidRPr="00372231">
        <w:rPr>
          <w:rFonts w:ascii="Times New Roman" w:eastAsia="Times New Roman" w:hAnsi="Times New Roman" w:cs="Times New Roman"/>
          <w:sz w:val="24"/>
          <w:szCs w:val="24"/>
        </w:rPr>
        <w:t xml:space="preserve"> (STEC) O104:H4 infection in Germany causes a paradigm shift with regard to human pathogenicity of STEC strains. </w:t>
      </w:r>
      <w:r w:rsidRPr="00372231">
        <w:rPr>
          <w:rFonts w:ascii="Times New Roman" w:eastAsia="Times New Roman" w:hAnsi="Times New Roman" w:cs="Times New Roman"/>
          <w:i/>
          <w:iCs/>
          <w:sz w:val="24"/>
          <w:szCs w:val="24"/>
        </w:rPr>
        <w:t>Journal of food protection, 75</w:t>
      </w:r>
      <w:r w:rsidRPr="00372231">
        <w:rPr>
          <w:rFonts w:ascii="Times New Roman" w:eastAsia="Times New Roman" w:hAnsi="Times New Roman" w:cs="Times New Roman"/>
          <w:sz w:val="24"/>
          <w:szCs w:val="24"/>
        </w:rPr>
        <w:t xml:space="preserve">(2), 408–418. </w:t>
      </w:r>
      <w:hyperlink r:id="rId20" w:history="1">
        <w:r w:rsidRPr="00372231">
          <w:rPr>
            <w:rStyle w:val="Hyperlink"/>
            <w:rFonts w:eastAsia="Times New Roman"/>
            <w:sz w:val="24"/>
            <w:szCs w:val="24"/>
          </w:rPr>
          <w:t>https://doi.org/10.4315/0362-028X.JFP-11-452</w:t>
        </w:r>
      </w:hyperlink>
    </w:p>
    <w:p w14:paraId="1BB13812"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Bhat, B.A., Mir, R.A., Qadri, H., Dhiman, R., Almilaibary, A., Alkhanani, M., Mir, M.A. (2023). Integrons in the development of antimicrobial resistance: Critical review and perspectives. </w:t>
      </w:r>
      <w:r w:rsidRPr="00372231">
        <w:rPr>
          <w:rFonts w:ascii="Times New Roman" w:hAnsi="Times New Roman" w:cs="Times New Roman"/>
          <w:i/>
          <w:iCs/>
          <w:sz w:val="24"/>
          <w:szCs w:val="24"/>
        </w:rPr>
        <w:t>Frontiers in Microbiology, 14</w:t>
      </w:r>
      <w:r w:rsidRPr="00372231">
        <w:rPr>
          <w:rFonts w:ascii="Times New Roman" w:hAnsi="Times New Roman" w:cs="Times New Roman"/>
          <w:sz w:val="24"/>
          <w:szCs w:val="24"/>
        </w:rPr>
        <w:t xml:space="preserve">, 1231938. </w:t>
      </w:r>
    </w:p>
    <w:p w14:paraId="78C0BB8A"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lastRenderedPageBreak/>
        <w:t xml:space="preserve">Bougnom, B.P., Thiele-Bruhn, S., Ricci, V., Zongo, C., Piddock, L.J.V. (2020). Raw wastewater irrigation for urban agriculture in three African cities increases the abundance of transferable antibiotic resistance genes in soil, including those encoding extended spectrum β-lactamases (ESBLs). </w:t>
      </w:r>
      <w:r w:rsidRPr="00372231">
        <w:rPr>
          <w:rFonts w:ascii="Times New Roman" w:hAnsi="Times New Roman" w:cs="Times New Roman"/>
          <w:i/>
          <w:iCs/>
          <w:sz w:val="24"/>
          <w:szCs w:val="24"/>
        </w:rPr>
        <w:t>Science of the Total Environment, 698</w:t>
      </w:r>
      <w:r w:rsidRPr="00372231">
        <w:rPr>
          <w:rFonts w:ascii="Times New Roman" w:hAnsi="Times New Roman" w:cs="Times New Roman"/>
          <w:sz w:val="24"/>
          <w:szCs w:val="24"/>
        </w:rPr>
        <w:t>, 134201.</w:t>
      </w:r>
    </w:p>
    <w:p w14:paraId="14E7956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eastAsia="Times New Roman" w:hAnsi="Times New Roman" w:cs="Times New Roman"/>
          <w:sz w:val="24"/>
          <w:szCs w:val="24"/>
          <w:lang w:val="de-DE"/>
        </w:rPr>
        <w:t xml:space="preserve">Brouwir, L., KleinJan, H., Balent, C., Quabron, G., Salmerón, I., Venditti, S., &amp; Gritten, F. (2025). </w:t>
      </w:r>
      <w:r w:rsidRPr="00372231">
        <w:rPr>
          <w:rFonts w:ascii="Times New Roman" w:eastAsia="Times New Roman" w:hAnsi="Times New Roman" w:cs="Times New Roman"/>
          <w:sz w:val="24"/>
          <w:szCs w:val="24"/>
        </w:rPr>
        <w:t xml:space="preserve">Fate and Removal of Antibiotics and Antibiotic Resistance Genes in a Rural Wastewater Treatment Plant: A Microbial Perspective of Nature-Based Versus Advanced Technologies. </w:t>
      </w:r>
      <w:r w:rsidRPr="00372231">
        <w:rPr>
          <w:rFonts w:ascii="Times New Roman" w:eastAsia="Times New Roman" w:hAnsi="Times New Roman" w:cs="Times New Roman"/>
          <w:i/>
          <w:iCs/>
          <w:sz w:val="24"/>
          <w:szCs w:val="24"/>
        </w:rPr>
        <w:t>Microorganisms, 13</w:t>
      </w:r>
      <w:r w:rsidRPr="00372231">
        <w:rPr>
          <w:rFonts w:ascii="Times New Roman" w:eastAsia="Times New Roman" w:hAnsi="Times New Roman" w:cs="Times New Roman"/>
          <w:sz w:val="24"/>
          <w:szCs w:val="24"/>
        </w:rPr>
        <w:t xml:space="preserve">(12), 2663. </w:t>
      </w:r>
      <w:hyperlink r:id="rId21" w:history="1">
        <w:r w:rsidRPr="00372231">
          <w:rPr>
            <w:rStyle w:val="Hyperlink"/>
            <w:rFonts w:eastAsia="Times New Roman"/>
            <w:sz w:val="24"/>
            <w:szCs w:val="24"/>
          </w:rPr>
          <w:t>https://doi.org/10.3390/microorganisms13122663</w:t>
        </w:r>
      </w:hyperlink>
    </w:p>
    <w:p w14:paraId="135B0BB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Centers for Disease Control and Prevention. (2006). </w:t>
      </w:r>
      <w:r w:rsidRPr="00372231">
        <w:rPr>
          <w:rFonts w:ascii="Times New Roman" w:eastAsia="Times New Roman" w:hAnsi="Times New Roman" w:cs="Times New Roman"/>
          <w:i/>
          <w:iCs/>
          <w:sz w:val="24"/>
          <w:szCs w:val="24"/>
        </w:rPr>
        <w:t>Update on multi-state outbreak of E. coli O157:H7 infections from fresh spinach (archived outbreak update).</w:t>
      </w:r>
    </w:p>
    <w:p w14:paraId="26DC9ADC" w14:textId="77777777" w:rsidR="006701F4" w:rsidRPr="00372231" w:rsidRDefault="006701F4">
      <w:pPr>
        <w:pStyle w:val="ListParagraph"/>
        <w:numPr>
          <w:ilvl w:val="0"/>
          <w:numId w:val="1"/>
        </w:numPr>
        <w:jc w:val="both"/>
        <w:rPr>
          <w:rFonts w:ascii="Times New Roman" w:eastAsia="Times New Roman" w:hAnsi="Times New Roman" w:cs="Times New Roman"/>
          <w:i/>
          <w:iCs/>
          <w:sz w:val="24"/>
          <w:szCs w:val="24"/>
        </w:rPr>
      </w:pPr>
      <w:r w:rsidRPr="00372231">
        <w:rPr>
          <w:rFonts w:ascii="Times New Roman" w:eastAsia="Times New Roman" w:hAnsi="Times New Roman" w:cs="Times New Roman"/>
          <w:sz w:val="24"/>
          <w:szCs w:val="24"/>
        </w:rPr>
        <w:t xml:space="preserve">Centers for Disease Control and Prevention. (2018). </w:t>
      </w:r>
      <w:r w:rsidRPr="00372231">
        <w:rPr>
          <w:rFonts w:ascii="Times New Roman" w:eastAsia="Times New Roman" w:hAnsi="Times New Roman" w:cs="Times New Roman"/>
          <w:i/>
          <w:iCs/>
          <w:sz w:val="24"/>
          <w:szCs w:val="24"/>
        </w:rPr>
        <w:t>2018 E. coli outbreak linked to romaine lettuce (archived outbreak investigation update).</w:t>
      </w:r>
    </w:p>
    <w:p w14:paraId="782DB2AD"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Centers for Disease Control and Prevention. (2024). </w:t>
      </w:r>
      <w:r w:rsidRPr="00372231">
        <w:rPr>
          <w:rFonts w:ascii="Times New Roman" w:eastAsia="Times New Roman" w:hAnsi="Times New Roman" w:cs="Times New Roman"/>
          <w:i/>
          <w:iCs/>
          <w:sz w:val="24"/>
          <w:szCs w:val="24"/>
        </w:rPr>
        <w:t>Salmonella outbreak linked to cucumbers (outbreak investigation summary and updates).</w:t>
      </w:r>
    </w:p>
    <w:p w14:paraId="0C2C7F00"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Craddock, H.A., Kearney, A., Fitzpatrick, F., Finn, C., Pryce, M.T., &amp; Fitzgerald-Hughes, D. (2025). The challenge of reducing antimicrobial resistance (AMR) across the one health landscape: Diverse perspectives on AMR risks and their mitigation in sinks, drains, and wastewater. </w:t>
      </w:r>
      <w:r w:rsidRPr="00372231">
        <w:rPr>
          <w:rFonts w:ascii="Times New Roman" w:hAnsi="Times New Roman" w:cs="Times New Roman"/>
          <w:i/>
          <w:iCs/>
          <w:sz w:val="24"/>
          <w:szCs w:val="24"/>
        </w:rPr>
        <w:t>The Science of the total environment, 992</w:t>
      </w:r>
      <w:r w:rsidRPr="00372231">
        <w:rPr>
          <w:rFonts w:ascii="Times New Roman" w:hAnsi="Times New Roman" w:cs="Times New Roman"/>
          <w:sz w:val="24"/>
          <w:szCs w:val="24"/>
        </w:rPr>
        <w:t xml:space="preserve">, 179935. </w:t>
      </w:r>
      <w:hyperlink r:id="rId22" w:history="1">
        <w:r w:rsidRPr="00372231">
          <w:rPr>
            <w:rStyle w:val="Hyperlink"/>
            <w:sz w:val="24"/>
            <w:szCs w:val="24"/>
          </w:rPr>
          <w:t>https://doi.org/10.1016/j.scitotenv.2025.179935</w:t>
        </w:r>
      </w:hyperlink>
    </w:p>
    <w:p w14:paraId="2210E90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da Silva Souza, C.A., Gatica, E.A.T., da Silva, M.V., &amp; de Souza, J.A. (2020). </w:t>
      </w:r>
      <w:r w:rsidRPr="00372231">
        <w:rPr>
          <w:rFonts w:ascii="Times New Roman" w:hAnsi="Times New Roman" w:cs="Times New Roman"/>
          <w:sz w:val="24"/>
          <w:szCs w:val="24"/>
        </w:rPr>
        <w:t>Occurrence of multiple antibiotic resistance in Enterococcus spp. isolated from soil used for agricultural purposes</w:t>
      </w:r>
      <w:r w:rsidRPr="00372231">
        <w:rPr>
          <w:rFonts w:ascii="Times New Roman" w:hAnsi="Times New Roman" w:cs="Times New Roman"/>
          <w:i/>
          <w:iCs/>
          <w:sz w:val="24"/>
          <w:szCs w:val="24"/>
        </w:rPr>
        <w:t>. International Journal of Antimicrobial Agents, 56</w:t>
      </w:r>
      <w:r w:rsidRPr="00372231">
        <w:rPr>
          <w:rFonts w:ascii="Times New Roman" w:hAnsi="Times New Roman" w:cs="Times New Roman"/>
          <w:sz w:val="24"/>
          <w:szCs w:val="24"/>
        </w:rPr>
        <w:t>(2), 106034.</w:t>
      </w:r>
    </w:p>
    <w:p w14:paraId="7DC9B7EA"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De Oliveira, D.M.P., Forde, B.M., Kidd, T.J., Harris, P.N.A., Schembri, M.A., Beatson, S.A., Paterson, D.L., &amp; Walker, M.J. (2020). Antimicrobial resistance in ESKAPE pathogens. </w:t>
      </w:r>
      <w:r w:rsidRPr="00372231">
        <w:rPr>
          <w:rFonts w:ascii="Times New Roman" w:hAnsi="Times New Roman" w:cs="Times New Roman"/>
          <w:i/>
          <w:iCs/>
          <w:sz w:val="24"/>
          <w:szCs w:val="24"/>
        </w:rPr>
        <w:t>Clinical Microbiology Reviews, 33</w:t>
      </w:r>
      <w:r w:rsidRPr="00372231">
        <w:rPr>
          <w:rFonts w:ascii="Times New Roman" w:hAnsi="Times New Roman" w:cs="Times New Roman"/>
          <w:sz w:val="24"/>
          <w:szCs w:val="24"/>
        </w:rPr>
        <w:t xml:space="preserve">(3), e00181-19. </w:t>
      </w:r>
    </w:p>
    <w:p w14:paraId="3EA1998C"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Despotovic, M., de Nies, L., Busi, S.B., &amp; Wilmes, P. (2023). Reservoirs of antimicrobial resistance in the context of One Health. </w:t>
      </w:r>
      <w:r w:rsidRPr="00372231">
        <w:rPr>
          <w:rFonts w:ascii="Times New Roman" w:hAnsi="Times New Roman" w:cs="Times New Roman"/>
          <w:i/>
          <w:iCs/>
          <w:sz w:val="24"/>
          <w:szCs w:val="24"/>
        </w:rPr>
        <w:t>Current Opinion in Microbiology, 73</w:t>
      </w:r>
      <w:r w:rsidRPr="00372231">
        <w:rPr>
          <w:rFonts w:ascii="Times New Roman" w:hAnsi="Times New Roman" w:cs="Times New Roman"/>
          <w:sz w:val="24"/>
          <w:szCs w:val="24"/>
        </w:rPr>
        <w:t xml:space="preserve">, 102291. </w:t>
      </w:r>
    </w:p>
    <w:p w14:paraId="588C6E5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Drechsel, P., Bartram, J., Qadir, M., &amp; Medlicott, K.O. (2024). </w:t>
      </w:r>
      <w:r w:rsidRPr="00372231">
        <w:rPr>
          <w:rFonts w:ascii="Times New Roman" w:hAnsi="Times New Roman" w:cs="Times New Roman"/>
          <w:sz w:val="24"/>
          <w:szCs w:val="24"/>
        </w:rPr>
        <w:t xml:space="preserve">The challenge of supporting and monitoring safe wastewater use in agriculture in LMIC. </w:t>
      </w:r>
      <w:r w:rsidRPr="00372231">
        <w:rPr>
          <w:rFonts w:ascii="Times New Roman" w:hAnsi="Times New Roman" w:cs="Times New Roman"/>
          <w:i/>
          <w:iCs/>
          <w:sz w:val="24"/>
          <w:szCs w:val="24"/>
        </w:rPr>
        <w:t>npj Clean Water, 7</w:t>
      </w:r>
      <w:r w:rsidRPr="00372231">
        <w:rPr>
          <w:rFonts w:ascii="Times New Roman" w:hAnsi="Times New Roman" w:cs="Times New Roman"/>
          <w:sz w:val="24"/>
          <w:szCs w:val="24"/>
        </w:rPr>
        <w:t xml:space="preserve">, 67. </w:t>
      </w:r>
      <w:hyperlink r:id="rId23" w:history="1">
        <w:r w:rsidRPr="00372231">
          <w:rPr>
            <w:rStyle w:val="Hyperlink"/>
            <w:sz w:val="24"/>
            <w:szCs w:val="24"/>
          </w:rPr>
          <w:t>https://doi.org/10.1038/s41545-024-00364-z</w:t>
        </w:r>
      </w:hyperlink>
    </w:p>
    <w:p w14:paraId="1E7201AF" w14:textId="77777777" w:rsidR="006701F4" w:rsidRDefault="006701F4" w:rsidP="00623185">
      <w:pPr>
        <w:pStyle w:val="ListParagraph"/>
        <w:numPr>
          <w:ilvl w:val="0"/>
          <w:numId w:val="1"/>
        </w:numPr>
        <w:jc w:val="both"/>
        <w:rPr>
          <w:rFonts w:ascii="Times New Roman" w:hAnsi="Times New Roman" w:cs="Times New Roman"/>
          <w:sz w:val="24"/>
          <w:szCs w:val="24"/>
        </w:rPr>
      </w:pPr>
      <w:r w:rsidRPr="00623185">
        <w:rPr>
          <w:rFonts w:ascii="Times New Roman" w:hAnsi="Times New Roman" w:cs="Times New Roman"/>
          <w:sz w:val="24"/>
          <w:szCs w:val="24"/>
        </w:rPr>
        <w:t xml:space="preserve">Duffey, M., Jumde, R. P., da Costa, R. M. A., Ropponen, H. K., Blasco, B., &amp; Piddock, L. J. V. (2024). Extending the Potency and Lifespan of Antibiotics: Inhibitors of Gram-Negative Bacterial Efflux Pumps. </w:t>
      </w:r>
      <w:r w:rsidRPr="00623185">
        <w:rPr>
          <w:rFonts w:ascii="Times New Roman" w:hAnsi="Times New Roman" w:cs="Times New Roman"/>
          <w:i/>
          <w:iCs/>
          <w:sz w:val="24"/>
          <w:szCs w:val="24"/>
        </w:rPr>
        <w:t>ACS infectious diseases, 10</w:t>
      </w:r>
      <w:r w:rsidRPr="00623185">
        <w:rPr>
          <w:rFonts w:ascii="Times New Roman" w:hAnsi="Times New Roman" w:cs="Times New Roman"/>
          <w:sz w:val="24"/>
          <w:szCs w:val="24"/>
        </w:rPr>
        <w:t xml:space="preserve">(5), 1458–1482. </w:t>
      </w:r>
      <w:hyperlink r:id="rId24" w:history="1">
        <w:r w:rsidRPr="009973F2">
          <w:rPr>
            <w:rStyle w:val="Hyperlink"/>
            <w:rFonts w:eastAsia="Calibri"/>
            <w:sz w:val="24"/>
            <w:szCs w:val="24"/>
          </w:rPr>
          <w:t>https://doi.org/10.1021/acsinfecdis.4c00091</w:t>
        </w:r>
      </w:hyperlink>
    </w:p>
    <w:p w14:paraId="16B756A4"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Elbehiry, A., Marzouk, E., Alzaben, F., Almuaither, A., Abead, B., Alamri, M., Almuzaini, A. M., &amp; Abu-Okail, A. (2025). Emerging Technologies and Integrated Strategies for Microbial Detection and Control in Fresh Produce. </w:t>
      </w:r>
      <w:r w:rsidRPr="00372231">
        <w:rPr>
          <w:rFonts w:ascii="Times New Roman" w:eastAsia="Times New Roman" w:hAnsi="Times New Roman" w:cs="Times New Roman"/>
          <w:i/>
          <w:iCs/>
          <w:sz w:val="24"/>
          <w:szCs w:val="24"/>
        </w:rPr>
        <w:t>Microorganisms, 13</w:t>
      </w:r>
      <w:r w:rsidRPr="00372231">
        <w:rPr>
          <w:rFonts w:ascii="Times New Roman" w:eastAsia="Times New Roman" w:hAnsi="Times New Roman" w:cs="Times New Roman"/>
          <w:sz w:val="24"/>
          <w:szCs w:val="24"/>
        </w:rPr>
        <w:t xml:space="preserve">(7), 1447. </w:t>
      </w:r>
      <w:hyperlink r:id="rId25" w:history="1">
        <w:r w:rsidRPr="00372231">
          <w:rPr>
            <w:rStyle w:val="Hyperlink"/>
            <w:rFonts w:eastAsia="Times New Roman"/>
            <w:sz w:val="24"/>
            <w:szCs w:val="24"/>
          </w:rPr>
          <w:t>https://doi.org/10.3390/microorganisms13071447</w:t>
        </w:r>
      </w:hyperlink>
    </w:p>
    <w:p w14:paraId="128390AC"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lastRenderedPageBreak/>
        <w:t xml:space="preserve">Enshaie, E., Nigam, S., Patel, S., &amp; Rai, V. (2025). Livestock Antibiotics Use and Antimicrobial Resistance. </w:t>
      </w:r>
      <w:r w:rsidRPr="00372231">
        <w:rPr>
          <w:rFonts w:ascii="Times New Roman" w:eastAsia="Times New Roman" w:hAnsi="Times New Roman" w:cs="Times New Roman"/>
          <w:i/>
          <w:iCs/>
          <w:sz w:val="24"/>
          <w:szCs w:val="24"/>
        </w:rPr>
        <w:t>Antibiotics (Basel, Switzerland), 14</w:t>
      </w:r>
      <w:r w:rsidRPr="00372231">
        <w:rPr>
          <w:rFonts w:ascii="Times New Roman" w:eastAsia="Times New Roman" w:hAnsi="Times New Roman" w:cs="Times New Roman"/>
          <w:sz w:val="24"/>
          <w:szCs w:val="24"/>
        </w:rPr>
        <w:t xml:space="preserve">(6), 621. </w:t>
      </w:r>
      <w:hyperlink r:id="rId26" w:history="1">
        <w:r w:rsidRPr="00372231">
          <w:rPr>
            <w:rStyle w:val="Hyperlink"/>
            <w:rFonts w:eastAsia="Times New Roman"/>
            <w:sz w:val="24"/>
            <w:szCs w:val="24"/>
          </w:rPr>
          <w:t>https://doi.org/10.3390/antibiotics14060621</w:t>
        </w:r>
      </w:hyperlink>
    </w:p>
    <w:p w14:paraId="5C51C7B6"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t xml:space="preserve">Food and Agriculture Organization of the United Nations. (2024). The State of Food and Agriculture 2024: </w:t>
      </w:r>
      <w:r w:rsidRPr="00372231">
        <w:rPr>
          <w:rFonts w:ascii="Times New Roman" w:hAnsi="Times New Roman" w:cs="Times New Roman"/>
          <w:i/>
          <w:iCs/>
          <w:sz w:val="24"/>
          <w:szCs w:val="24"/>
        </w:rPr>
        <w:t>Value-driven transformation of agrifood systems. FAO</w:t>
      </w:r>
      <w:r w:rsidRPr="00372231">
        <w:rPr>
          <w:rFonts w:ascii="Times New Roman" w:hAnsi="Times New Roman" w:cs="Times New Roman"/>
          <w:sz w:val="24"/>
          <w:szCs w:val="24"/>
        </w:rPr>
        <w:t xml:space="preserve">. </w:t>
      </w:r>
      <w:hyperlink r:id="rId27" w:history="1">
        <w:r w:rsidRPr="00372231">
          <w:rPr>
            <w:rStyle w:val="Hyperlink"/>
            <w:sz w:val="24"/>
            <w:szCs w:val="24"/>
          </w:rPr>
          <w:t>https://doi.org/10.4060/cd2616en</w:t>
        </w:r>
      </w:hyperlink>
    </w:p>
    <w:p w14:paraId="486777EB"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Food and Agriculture Organization of the United Nations. (2025). </w:t>
      </w:r>
      <w:r w:rsidRPr="00372231">
        <w:rPr>
          <w:rFonts w:ascii="Times New Roman" w:hAnsi="Times New Roman" w:cs="Times New Roman"/>
          <w:i/>
          <w:iCs/>
          <w:sz w:val="24"/>
          <w:szCs w:val="24"/>
        </w:rPr>
        <w:t>New study projects a rise in global livestock antibiotic use.</w:t>
      </w:r>
      <w:r w:rsidRPr="00372231">
        <w:rPr>
          <w:rFonts w:ascii="Times New Roman" w:hAnsi="Times New Roman" w:cs="Times New Roman"/>
          <w:sz w:val="24"/>
          <w:szCs w:val="24"/>
        </w:rPr>
        <w:t xml:space="preserve"> FAO. </w:t>
      </w:r>
    </w:p>
    <w:p w14:paraId="4470544D"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Food and Agriculture Organization of the United Nations. (2025, December 1). </w:t>
      </w:r>
      <w:r w:rsidRPr="00372231">
        <w:rPr>
          <w:rFonts w:ascii="Times New Roman" w:eastAsia="Times New Roman" w:hAnsi="Times New Roman" w:cs="Times New Roman"/>
          <w:i/>
          <w:iCs/>
          <w:sz w:val="24"/>
          <w:szCs w:val="24"/>
        </w:rPr>
        <w:t>Better land, soil and water management key to feeding 10 billion people, FAO warns.</w:t>
      </w:r>
      <w:r w:rsidRPr="00372231">
        <w:rPr>
          <w:rFonts w:ascii="Times New Roman" w:eastAsia="Times New Roman" w:hAnsi="Times New Roman" w:cs="Times New Roman"/>
          <w:sz w:val="24"/>
          <w:szCs w:val="24"/>
        </w:rPr>
        <w:t xml:space="preserve"> </w:t>
      </w:r>
      <w:hyperlink r:id="rId28" w:history="1">
        <w:r w:rsidRPr="00372231">
          <w:rPr>
            <w:rStyle w:val="Hyperlink"/>
            <w:rFonts w:eastAsia="Times New Roman"/>
            <w:sz w:val="24"/>
            <w:szCs w:val="24"/>
          </w:rPr>
          <w:t>https://www.fao.org/newsroom/detail/better-land--soil-and-water-management-key-to-feeding-10-billion-people--fao-warns/en</w:t>
        </w:r>
      </w:hyperlink>
    </w:p>
    <w:p w14:paraId="245EF75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Galanakis C.M. (2024). The Future of Food. </w:t>
      </w:r>
      <w:r w:rsidRPr="00372231">
        <w:rPr>
          <w:rFonts w:ascii="Times New Roman" w:eastAsia="Times New Roman" w:hAnsi="Times New Roman" w:cs="Times New Roman"/>
          <w:i/>
          <w:iCs/>
          <w:sz w:val="24"/>
          <w:szCs w:val="24"/>
        </w:rPr>
        <w:t>Foods (Basel, Switzerland), 13</w:t>
      </w:r>
      <w:r w:rsidRPr="00372231">
        <w:rPr>
          <w:rFonts w:ascii="Times New Roman" w:eastAsia="Times New Roman" w:hAnsi="Times New Roman" w:cs="Times New Roman"/>
          <w:sz w:val="24"/>
          <w:szCs w:val="24"/>
        </w:rPr>
        <w:t xml:space="preserve">(4), 506. </w:t>
      </w:r>
      <w:hyperlink r:id="rId29" w:history="1">
        <w:r w:rsidRPr="00372231">
          <w:rPr>
            <w:rStyle w:val="Hyperlink"/>
            <w:rFonts w:eastAsia="Times New Roman"/>
            <w:sz w:val="24"/>
            <w:szCs w:val="24"/>
          </w:rPr>
          <w:t>https://doi.org/10.3390/foods13040506</w:t>
        </w:r>
      </w:hyperlink>
    </w:p>
    <w:p w14:paraId="6A42ED76"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Gauba, A., &amp; Rahman, K.M. (2023). </w:t>
      </w:r>
      <w:r w:rsidRPr="00372231">
        <w:rPr>
          <w:rFonts w:ascii="Times New Roman" w:hAnsi="Times New Roman" w:cs="Times New Roman"/>
          <w:sz w:val="24"/>
          <w:szCs w:val="24"/>
        </w:rPr>
        <w:t xml:space="preserve">Evaluation of antibiotic resistance mechanisms in Gram-negative bacteria. </w:t>
      </w:r>
      <w:r w:rsidRPr="00372231">
        <w:rPr>
          <w:rFonts w:ascii="Times New Roman" w:hAnsi="Times New Roman" w:cs="Times New Roman"/>
          <w:i/>
          <w:iCs/>
          <w:sz w:val="24"/>
          <w:szCs w:val="24"/>
        </w:rPr>
        <w:t>Antibiotics, 12</w:t>
      </w:r>
      <w:r w:rsidRPr="00372231">
        <w:rPr>
          <w:rFonts w:ascii="Times New Roman" w:hAnsi="Times New Roman" w:cs="Times New Roman"/>
          <w:sz w:val="24"/>
          <w:szCs w:val="24"/>
        </w:rPr>
        <w:t>(11), 1590.</w:t>
      </w:r>
    </w:p>
    <w:p w14:paraId="249CBE8E"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Gillieatt, B.F., &amp; Coleman, N.V. (2024). </w:t>
      </w:r>
      <w:r w:rsidRPr="00372231">
        <w:rPr>
          <w:rFonts w:ascii="Times New Roman" w:hAnsi="Times New Roman" w:cs="Times New Roman"/>
          <w:sz w:val="24"/>
          <w:szCs w:val="24"/>
        </w:rPr>
        <w:t xml:space="preserve">Unravelling the mechanisms of antibiotic and heavy metal resistance co-selection in environmental bacteria. </w:t>
      </w:r>
      <w:r w:rsidRPr="00372231">
        <w:rPr>
          <w:rFonts w:ascii="Times New Roman" w:hAnsi="Times New Roman" w:cs="Times New Roman"/>
          <w:i/>
          <w:iCs/>
          <w:sz w:val="24"/>
          <w:szCs w:val="24"/>
        </w:rPr>
        <w:t>FEMS microbiology reviews, 48</w:t>
      </w:r>
      <w:r w:rsidRPr="00372231">
        <w:rPr>
          <w:rFonts w:ascii="Times New Roman" w:hAnsi="Times New Roman" w:cs="Times New Roman"/>
          <w:sz w:val="24"/>
          <w:szCs w:val="24"/>
        </w:rPr>
        <w:t xml:space="preserve">(4), fuae017. </w:t>
      </w:r>
      <w:hyperlink r:id="rId30" w:history="1">
        <w:r w:rsidRPr="00372231">
          <w:rPr>
            <w:rStyle w:val="Hyperlink"/>
            <w:sz w:val="24"/>
            <w:szCs w:val="24"/>
          </w:rPr>
          <w:t>https://doi.org/10.1093/femsre/fuae017</w:t>
        </w:r>
      </w:hyperlink>
    </w:p>
    <w:p w14:paraId="2C471CA3"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t xml:space="preserve">Godijk, N.G., Bootsma, M.C.J., &amp; Bonten, M.J.M. (2022). Transmission routes of antibiotic resistant bacteria: a systematic review. </w:t>
      </w:r>
      <w:r w:rsidRPr="00372231">
        <w:rPr>
          <w:rFonts w:ascii="Times New Roman" w:hAnsi="Times New Roman" w:cs="Times New Roman"/>
          <w:i/>
          <w:iCs/>
          <w:sz w:val="24"/>
          <w:szCs w:val="24"/>
        </w:rPr>
        <w:t>BMC infectious diseases, 22</w:t>
      </w:r>
      <w:r w:rsidRPr="00372231">
        <w:rPr>
          <w:rFonts w:ascii="Times New Roman" w:hAnsi="Times New Roman" w:cs="Times New Roman"/>
          <w:sz w:val="24"/>
          <w:szCs w:val="24"/>
        </w:rPr>
        <w:t xml:space="preserve">(1), 482. </w:t>
      </w:r>
      <w:hyperlink r:id="rId31" w:history="1">
        <w:r w:rsidRPr="00372231">
          <w:rPr>
            <w:rStyle w:val="Hyperlink"/>
            <w:sz w:val="24"/>
            <w:szCs w:val="24"/>
          </w:rPr>
          <w:t>https://doi.org/10.1186/s12879-022-07360-z</w:t>
        </w:r>
      </w:hyperlink>
    </w:p>
    <w:p w14:paraId="3F2264E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Gomes, B., Dias, M., Cervantes, R., Pena, P., Santos, J., Vasconcelos Pinto, M., Viegas, C. (2023). One health approach to tackle microbial contamination on poultries—A systematic review. </w:t>
      </w:r>
      <w:r w:rsidRPr="00372231">
        <w:rPr>
          <w:rFonts w:ascii="Times New Roman" w:hAnsi="Times New Roman" w:cs="Times New Roman"/>
          <w:i/>
          <w:iCs/>
          <w:sz w:val="24"/>
          <w:szCs w:val="24"/>
        </w:rPr>
        <w:t>Toxics, 11</w:t>
      </w:r>
      <w:r w:rsidRPr="00372231">
        <w:rPr>
          <w:rFonts w:ascii="Times New Roman" w:hAnsi="Times New Roman" w:cs="Times New Roman"/>
          <w:sz w:val="24"/>
          <w:szCs w:val="24"/>
        </w:rPr>
        <w:t>, 374.</w:t>
      </w:r>
    </w:p>
    <w:p w14:paraId="25856A34"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Gufe, C., Chari, T.A., Jambwa, P., Dinginya, L., Mahlangu, P., Marowero, S.T., … Machakwa, J. (2025). A review on the occurrence of antibiotic-resistant bacteria found in abattoir effluent from resource-limited settings: The necessity of a robust One Health framework. </w:t>
      </w:r>
      <w:r w:rsidRPr="00372231">
        <w:rPr>
          <w:rFonts w:ascii="Times New Roman" w:hAnsi="Times New Roman" w:cs="Times New Roman"/>
          <w:i/>
          <w:iCs/>
          <w:sz w:val="24"/>
          <w:szCs w:val="24"/>
        </w:rPr>
        <w:t>Sustainable Environment, 11</w:t>
      </w:r>
      <w:r w:rsidRPr="00372231">
        <w:rPr>
          <w:rFonts w:ascii="Times New Roman" w:hAnsi="Times New Roman" w:cs="Times New Roman"/>
          <w:sz w:val="24"/>
          <w:szCs w:val="24"/>
        </w:rPr>
        <w:t xml:space="preserve">(1). </w:t>
      </w:r>
      <w:hyperlink r:id="rId32" w:history="1">
        <w:r w:rsidRPr="00372231">
          <w:rPr>
            <w:rStyle w:val="Hyperlink"/>
            <w:sz w:val="24"/>
            <w:szCs w:val="24"/>
          </w:rPr>
          <w:t>https://doi.org/10.1080/27658511.2025.2464419</w:t>
        </w:r>
      </w:hyperlink>
    </w:p>
    <w:p w14:paraId="0A480B89"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Gurmessa, B., Pedretti, E.F., Cocco, S., Cardelli, V., &amp; Corti, G. (2020). Manure anaerobic digestion effects and the role of pre- and post-treatments on veterinary antibiotics and antibiotic resistance genes removal efficiency. </w:t>
      </w:r>
      <w:r w:rsidRPr="00372231">
        <w:rPr>
          <w:rFonts w:ascii="Times New Roman" w:hAnsi="Times New Roman" w:cs="Times New Roman"/>
          <w:i/>
          <w:iCs/>
          <w:sz w:val="24"/>
          <w:szCs w:val="24"/>
        </w:rPr>
        <w:t>Science of the Total Environment, 721</w:t>
      </w:r>
      <w:r w:rsidRPr="00372231">
        <w:rPr>
          <w:rFonts w:ascii="Times New Roman" w:hAnsi="Times New Roman" w:cs="Times New Roman"/>
          <w:sz w:val="24"/>
          <w:szCs w:val="24"/>
        </w:rPr>
        <w:t>, 137532.</w:t>
      </w:r>
    </w:p>
    <w:p w14:paraId="08EF348E"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Hendiani, S., Carbajo, C., Caicedo, P.N.A., Verma, T., Hansen, M.F., Agbaje, O.B.A., Mulec, I.M., Burmølle, M., &amp; Sand, K.K. (2025). Reconciling the role of mineral surfaces for bacterial evolution: Importance of minerals in the dissemination of antibiotic resistance. </w:t>
      </w:r>
      <w:r w:rsidRPr="00372231">
        <w:rPr>
          <w:rFonts w:ascii="Times New Roman" w:hAnsi="Times New Roman" w:cs="Times New Roman"/>
          <w:i/>
          <w:iCs/>
          <w:sz w:val="24"/>
          <w:szCs w:val="24"/>
        </w:rPr>
        <w:lastRenderedPageBreak/>
        <w:t>The Science of the total environment, 962</w:t>
      </w:r>
      <w:r w:rsidRPr="00372231">
        <w:rPr>
          <w:rFonts w:ascii="Times New Roman" w:hAnsi="Times New Roman" w:cs="Times New Roman"/>
          <w:sz w:val="24"/>
          <w:szCs w:val="24"/>
        </w:rPr>
        <w:t xml:space="preserve">, 178301. </w:t>
      </w:r>
      <w:hyperlink r:id="rId33" w:history="1">
        <w:r w:rsidRPr="00372231">
          <w:rPr>
            <w:rStyle w:val="Hyperlink"/>
            <w:sz w:val="24"/>
            <w:szCs w:val="24"/>
          </w:rPr>
          <w:t>https://doi.org/10.1016/j.scitotenv.2024.178301</w:t>
        </w:r>
      </w:hyperlink>
    </w:p>
    <w:p w14:paraId="5BBFDE6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Ho, C.S., Wong, C.T.H., Aung, T.T., Lakshminarayanan, R., Mehta, J.S., Rauz, S., McNally, A., Kintses, B., Peacock, S.J., de la Fuente-Nunez, C., Hancock, R.E.W., &amp; Ting, D.S.J. (2025). Antimicrobial resistance: a concise update. </w:t>
      </w:r>
      <w:r w:rsidRPr="00372231">
        <w:rPr>
          <w:rFonts w:ascii="Times New Roman" w:hAnsi="Times New Roman" w:cs="Times New Roman"/>
          <w:i/>
          <w:iCs/>
          <w:sz w:val="24"/>
          <w:szCs w:val="24"/>
        </w:rPr>
        <w:t>The Lancet. Microbe, 6</w:t>
      </w:r>
      <w:r w:rsidRPr="00372231">
        <w:rPr>
          <w:rFonts w:ascii="Times New Roman" w:hAnsi="Times New Roman" w:cs="Times New Roman"/>
          <w:sz w:val="24"/>
          <w:szCs w:val="24"/>
        </w:rPr>
        <w:t xml:space="preserve">(1), 100947. </w:t>
      </w:r>
      <w:hyperlink r:id="rId34" w:history="1">
        <w:r w:rsidRPr="00372231">
          <w:rPr>
            <w:rStyle w:val="Hyperlink"/>
            <w:sz w:val="24"/>
            <w:szCs w:val="24"/>
          </w:rPr>
          <w:t>https://doi.org/10.1016/j.lanmic.2024.07.010</w:t>
        </w:r>
      </w:hyperlink>
    </w:p>
    <w:p w14:paraId="6AC35BA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Ifedinezi, O.V., Nnaji, N.D., Anumudu, C.K., Ekwueme, C.T., Uhegwu, C.C., Ihenetu, F.C., Obioha, P., Simon, B.O., Ezechukwu, P.S., Onyeaka, H. (2024). Environmental Antimicrobial Resistance: Implications for Food Safety and Public Health. </w:t>
      </w:r>
      <w:r w:rsidRPr="00372231">
        <w:rPr>
          <w:rFonts w:ascii="Times New Roman" w:hAnsi="Times New Roman" w:cs="Times New Roman"/>
          <w:i/>
          <w:iCs/>
          <w:sz w:val="24"/>
          <w:szCs w:val="24"/>
        </w:rPr>
        <w:t>Antibiotics, 13</w:t>
      </w:r>
      <w:r w:rsidRPr="00372231">
        <w:rPr>
          <w:rFonts w:ascii="Times New Roman" w:hAnsi="Times New Roman" w:cs="Times New Roman"/>
          <w:sz w:val="24"/>
          <w:szCs w:val="24"/>
        </w:rPr>
        <w:t xml:space="preserve">, 1087. </w:t>
      </w:r>
      <w:hyperlink r:id="rId35" w:history="1">
        <w:r w:rsidRPr="00372231">
          <w:rPr>
            <w:rStyle w:val="Hyperlink"/>
            <w:sz w:val="24"/>
            <w:szCs w:val="24"/>
          </w:rPr>
          <w:t>https://doi.org/10.3390/antibiotics13111087</w:t>
        </w:r>
      </w:hyperlink>
    </w:p>
    <w:p w14:paraId="639FC76B"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Jian, Z., Zeng, L., Xu, T., Sun, S., Yan, S., Yang, L., Huang, Y., Jia, J., &amp; Dou, T. (2021). Antibiotic resistance genes in bacteria: Occurrence, spread, and control. </w:t>
      </w:r>
      <w:r w:rsidRPr="00372231">
        <w:rPr>
          <w:rFonts w:ascii="Times New Roman" w:hAnsi="Times New Roman" w:cs="Times New Roman"/>
          <w:i/>
          <w:iCs/>
          <w:sz w:val="24"/>
          <w:szCs w:val="24"/>
        </w:rPr>
        <w:t>Journal of Basic Microbiology</w:t>
      </w:r>
      <w:r w:rsidRPr="00372231">
        <w:rPr>
          <w:rFonts w:ascii="Times New Roman" w:hAnsi="Times New Roman" w:cs="Times New Roman"/>
          <w:sz w:val="24"/>
          <w:szCs w:val="24"/>
        </w:rPr>
        <w:t xml:space="preserve">, </w:t>
      </w:r>
      <w:r w:rsidRPr="00372231">
        <w:rPr>
          <w:rFonts w:ascii="Times New Roman" w:hAnsi="Times New Roman" w:cs="Times New Roman"/>
          <w:i/>
          <w:iCs/>
          <w:sz w:val="24"/>
          <w:szCs w:val="24"/>
        </w:rPr>
        <w:t>61</w:t>
      </w:r>
      <w:r w:rsidRPr="00372231">
        <w:rPr>
          <w:rFonts w:ascii="Times New Roman" w:hAnsi="Times New Roman" w:cs="Times New Roman"/>
          <w:sz w:val="24"/>
          <w:szCs w:val="24"/>
        </w:rPr>
        <w:t xml:space="preserve">(12), 1049–1070. </w:t>
      </w:r>
      <w:hyperlink r:id="rId36" w:history="1">
        <w:r w:rsidRPr="00372231">
          <w:rPr>
            <w:rStyle w:val="Hyperlink"/>
            <w:sz w:val="24"/>
            <w:szCs w:val="24"/>
          </w:rPr>
          <w:t>https://doi.org/10.1002/jobm.202100201</w:t>
        </w:r>
      </w:hyperlink>
    </w:p>
    <w:p w14:paraId="03B2451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Joseph, M.W., Moturi, W.N., &amp; Ogendi, G.M. (2024). Assessment of veterinary antibiotic use and occurrence of veterinary antibiotics in livestock manure from farms in Rongai Sub-County, </w:t>
      </w:r>
      <w:r w:rsidRPr="00372231">
        <w:rPr>
          <w:rFonts w:ascii="Times New Roman" w:hAnsi="Times New Roman" w:cs="Times New Roman"/>
          <w:i/>
          <w:iCs/>
          <w:sz w:val="24"/>
          <w:szCs w:val="24"/>
        </w:rPr>
        <w:t>Kenya. Current World Environment, 19</w:t>
      </w:r>
      <w:r w:rsidRPr="00372231">
        <w:rPr>
          <w:rFonts w:ascii="Times New Roman" w:hAnsi="Times New Roman" w:cs="Times New Roman"/>
          <w:sz w:val="24"/>
          <w:szCs w:val="24"/>
        </w:rPr>
        <w:t xml:space="preserve">(2), 778–792. </w:t>
      </w:r>
      <w:hyperlink r:id="rId37" w:history="1">
        <w:r w:rsidRPr="00372231">
          <w:rPr>
            <w:rStyle w:val="Hyperlink"/>
            <w:sz w:val="24"/>
            <w:szCs w:val="24"/>
          </w:rPr>
          <w:t>https://doi.org/10.12944/CWE.19.2.21</w:t>
        </w:r>
      </w:hyperlink>
    </w:p>
    <w:p w14:paraId="69114870"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eastAsia="Times New Roman" w:hAnsi="Times New Roman" w:cs="Times New Roman"/>
          <w:sz w:val="24"/>
          <w:szCs w:val="24"/>
          <w:lang w:val="de-DE"/>
        </w:rPr>
        <w:t xml:space="preserve">Kalli, M., Kontogiannatos, D., &amp; Koi, A.M. (2025). </w:t>
      </w:r>
      <w:r w:rsidRPr="00372231">
        <w:rPr>
          <w:rFonts w:ascii="Times New Roman" w:eastAsia="Times New Roman" w:hAnsi="Times New Roman" w:cs="Times New Roman"/>
          <w:sz w:val="24"/>
          <w:szCs w:val="24"/>
        </w:rPr>
        <w:t xml:space="preserve">Removal of antibiotic resistant bacteria and genes by conventional and nature-based municipal wastewater treatment systems. </w:t>
      </w:r>
      <w:r w:rsidRPr="00372231">
        <w:rPr>
          <w:rFonts w:ascii="Times New Roman" w:eastAsia="Times New Roman" w:hAnsi="Times New Roman" w:cs="Times New Roman"/>
          <w:i/>
          <w:iCs/>
          <w:sz w:val="24"/>
          <w:szCs w:val="24"/>
        </w:rPr>
        <w:t>Environmental Processes</w:t>
      </w:r>
      <w:r w:rsidRPr="00372231">
        <w:rPr>
          <w:rFonts w:ascii="Times New Roman" w:eastAsia="Times New Roman" w:hAnsi="Times New Roman" w:cs="Times New Roman"/>
          <w:sz w:val="24"/>
          <w:szCs w:val="24"/>
        </w:rPr>
        <w:t xml:space="preserve">. </w:t>
      </w:r>
      <w:hyperlink r:id="rId38" w:history="1">
        <w:r w:rsidRPr="00372231">
          <w:rPr>
            <w:rStyle w:val="Hyperlink"/>
            <w:rFonts w:eastAsia="Times New Roman"/>
            <w:sz w:val="24"/>
            <w:szCs w:val="24"/>
          </w:rPr>
          <w:t>https://doi.org/10.1007/s40710-025-00779-x</w:t>
        </w:r>
      </w:hyperlink>
    </w:p>
    <w:p w14:paraId="5714DCA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Karwowska, E. (2024). Antibiotic Resistance in the Farming Environment. </w:t>
      </w:r>
      <w:r w:rsidRPr="00372231">
        <w:rPr>
          <w:rFonts w:ascii="Times New Roman" w:hAnsi="Times New Roman" w:cs="Times New Roman"/>
          <w:i/>
          <w:iCs/>
          <w:sz w:val="24"/>
          <w:szCs w:val="24"/>
        </w:rPr>
        <w:t>Applied Sciences, 14</w:t>
      </w:r>
      <w:r w:rsidRPr="00372231">
        <w:rPr>
          <w:rFonts w:ascii="Times New Roman" w:hAnsi="Times New Roman" w:cs="Times New Roman"/>
          <w:sz w:val="24"/>
          <w:szCs w:val="24"/>
        </w:rPr>
        <w:t>, 5776.</w:t>
      </w:r>
    </w:p>
    <w:p w14:paraId="56620F6B" w14:textId="77777777" w:rsidR="006701F4" w:rsidRPr="00372231" w:rsidRDefault="006701F4">
      <w:pPr>
        <w:pStyle w:val="ListParagraph"/>
        <w:numPr>
          <w:ilvl w:val="0"/>
          <w:numId w:val="1"/>
        </w:numPr>
        <w:jc w:val="both"/>
        <w:rPr>
          <w:rFonts w:ascii="Times New Roman" w:hAnsi="Times New Roman" w:cs="Times New Roman"/>
          <w:sz w:val="24"/>
          <w:szCs w:val="24"/>
        </w:rPr>
      </w:pPr>
      <w:bookmarkStart w:id="3" w:name="_Hlk193898409"/>
      <w:r w:rsidRPr="00372231">
        <w:rPr>
          <w:rFonts w:ascii="Times New Roman" w:hAnsi="Times New Roman" w:cs="Times New Roman"/>
          <w:sz w:val="24"/>
          <w:szCs w:val="24"/>
          <w:lang w:val="de-DE"/>
        </w:rPr>
        <w:t xml:space="preserve">Kelbrick, M., Hesse, E., &amp; O’Brien, S. (2023). </w:t>
      </w:r>
      <w:r w:rsidRPr="00372231">
        <w:rPr>
          <w:rFonts w:ascii="Times New Roman" w:hAnsi="Times New Roman" w:cs="Times New Roman"/>
          <w:sz w:val="24"/>
          <w:szCs w:val="24"/>
        </w:rPr>
        <w:t xml:space="preserve">Cultivating antimicrobial resistance: how intensive agriculture ploughs the way for antibiotic resistance. </w:t>
      </w:r>
      <w:r w:rsidRPr="00372231">
        <w:rPr>
          <w:rFonts w:ascii="Times New Roman" w:hAnsi="Times New Roman" w:cs="Times New Roman"/>
          <w:i/>
          <w:iCs/>
          <w:sz w:val="24"/>
          <w:szCs w:val="24"/>
        </w:rPr>
        <w:t>Microbiology, 169</w:t>
      </w:r>
      <w:r w:rsidRPr="00372231">
        <w:rPr>
          <w:rFonts w:ascii="Times New Roman" w:hAnsi="Times New Roman" w:cs="Times New Roman"/>
          <w:sz w:val="24"/>
          <w:szCs w:val="24"/>
        </w:rPr>
        <w:t>(9), 001384.</w:t>
      </w:r>
    </w:p>
    <w:p w14:paraId="0AF6556A"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Kilonzo-Nthenge, A., Thompson, A., &amp; Nthenge, M.J. (2024). Comparative metagenomics of microbial communities and resistome in southern farming systems: Implications for antimicrobial stewardship and public health. </w:t>
      </w:r>
      <w:r w:rsidRPr="00372231">
        <w:rPr>
          <w:rFonts w:ascii="Times New Roman" w:eastAsia="Times New Roman" w:hAnsi="Times New Roman" w:cs="Times New Roman"/>
          <w:i/>
          <w:iCs/>
          <w:sz w:val="24"/>
          <w:szCs w:val="24"/>
        </w:rPr>
        <w:t>Frontiers in Microbiology, 15</w:t>
      </w:r>
      <w:r w:rsidRPr="00372231">
        <w:rPr>
          <w:rFonts w:ascii="Times New Roman" w:eastAsia="Times New Roman" w:hAnsi="Times New Roman" w:cs="Times New Roman"/>
          <w:sz w:val="24"/>
          <w:szCs w:val="24"/>
        </w:rPr>
        <w:t xml:space="preserve">, 1443292. </w:t>
      </w:r>
      <w:hyperlink r:id="rId39" w:history="1">
        <w:r w:rsidRPr="00372231">
          <w:rPr>
            <w:rStyle w:val="Hyperlink"/>
            <w:rFonts w:eastAsia="Times New Roman"/>
            <w:sz w:val="24"/>
            <w:szCs w:val="24"/>
          </w:rPr>
          <w:t>https://doi.org/10.3389/fmicb.2024.1443292</w:t>
        </w:r>
      </w:hyperlink>
    </w:p>
    <w:p w14:paraId="2737794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Kim, J., &amp; Ahn, J. (2022). Emergence and spread of antibiotic-resistant foodborne pathogens from farm to table. </w:t>
      </w:r>
      <w:r w:rsidRPr="00372231">
        <w:rPr>
          <w:rFonts w:ascii="Times New Roman" w:hAnsi="Times New Roman" w:cs="Times New Roman"/>
          <w:i/>
          <w:iCs/>
          <w:sz w:val="24"/>
          <w:szCs w:val="24"/>
        </w:rPr>
        <w:t>Food Science and Biotechnology, 31</w:t>
      </w:r>
      <w:r w:rsidRPr="00372231">
        <w:rPr>
          <w:rFonts w:ascii="Times New Roman" w:hAnsi="Times New Roman" w:cs="Times New Roman"/>
          <w:sz w:val="24"/>
          <w:szCs w:val="24"/>
        </w:rPr>
        <w:t>, 1481–1499.</w:t>
      </w:r>
    </w:p>
    <w:p w14:paraId="16358F36"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372231">
        <w:rPr>
          <w:rFonts w:ascii="Times New Roman" w:hAnsi="Times New Roman" w:cs="Times New Roman"/>
          <w:sz w:val="24"/>
          <w:szCs w:val="24"/>
        </w:rPr>
        <w:t xml:space="preserve">Krzemiński, P., Markiewicz, Z., &amp; Popowska, M. (2020). Entry routes of antibiotics and antimicrobial resistance in the environment. </w:t>
      </w:r>
      <w:r w:rsidRPr="00372231">
        <w:rPr>
          <w:rFonts w:ascii="Times New Roman" w:hAnsi="Times New Roman" w:cs="Times New Roman"/>
          <w:i/>
          <w:iCs/>
          <w:sz w:val="24"/>
          <w:szCs w:val="24"/>
        </w:rPr>
        <w:t>In M.Z. Hashmi (Ed.), Antibiotics and Antimicrobial Resistance Genes: Environmental Occurrence and Treatment Technologies (pp. 1–26). Springer, Cham</w:t>
      </w:r>
      <w:r w:rsidRPr="00372231">
        <w:rPr>
          <w:rFonts w:ascii="Times New Roman" w:hAnsi="Times New Roman" w:cs="Times New Roman"/>
          <w:sz w:val="24"/>
          <w:szCs w:val="24"/>
        </w:rPr>
        <w:t xml:space="preserve">. </w:t>
      </w:r>
      <w:hyperlink r:id="rId40" w:history="1">
        <w:r w:rsidRPr="00372231">
          <w:rPr>
            <w:rStyle w:val="Hyperlink"/>
            <w:sz w:val="24"/>
            <w:szCs w:val="24"/>
          </w:rPr>
          <w:t>https://doi.org/10.1007/978-3-030-40422-2_1</w:t>
        </w:r>
      </w:hyperlink>
    </w:p>
    <w:p w14:paraId="1FC3D759"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La Rosa, M. C., Maugeri, A., Favara, G., La Mastra, C., Magnano San Lio, R., Barchitta, M., &amp; Agodi, A. (2025). The Impact of Wastewater on Antimicrobial Resistance: A Scoping Review of Transmission Pathways and Contributing Factors. </w:t>
      </w:r>
      <w:r w:rsidRPr="00372231">
        <w:rPr>
          <w:rFonts w:ascii="Times New Roman" w:eastAsia="Times New Roman" w:hAnsi="Times New Roman" w:cs="Times New Roman"/>
          <w:i/>
          <w:iCs/>
          <w:sz w:val="24"/>
          <w:szCs w:val="24"/>
        </w:rPr>
        <w:t>Antibiotics (Basel, Switzerland), 14</w:t>
      </w:r>
      <w:r w:rsidRPr="00372231">
        <w:rPr>
          <w:rFonts w:ascii="Times New Roman" w:eastAsia="Times New Roman" w:hAnsi="Times New Roman" w:cs="Times New Roman"/>
          <w:sz w:val="24"/>
          <w:szCs w:val="24"/>
        </w:rPr>
        <w:t>(2), 131. https://doi.org/10.3390/antibiotics14020131</w:t>
      </w:r>
    </w:p>
    <w:p w14:paraId="372924C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lastRenderedPageBreak/>
        <w:t xml:space="preserve">Li, Z., Tang, J., Wang, X., Ma, X., Yuan, H., Gao, C., Guo, Q., Guo, X., Wan, J., &amp; Dagot, C. (2025). </w:t>
      </w:r>
      <w:r w:rsidRPr="00372231">
        <w:rPr>
          <w:rFonts w:ascii="Times New Roman" w:hAnsi="Times New Roman" w:cs="Times New Roman"/>
          <w:sz w:val="24"/>
          <w:szCs w:val="24"/>
        </w:rPr>
        <w:t xml:space="preserve">The Environmental Lifecycle of Antibiotics and Resistance Genes: Transmission Mechanisms, Challenges, and Control Strategies. </w:t>
      </w:r>
      <w:r w:rsidRPr="00372231">
        <w:rPr>
          <w:rFonts w:ascii="Times New Roman" w:hAnsi="Times New Roman" w:cs="Times New Roman"/>
          <w:i/>
          <w:iCs/>
          <w:sz w:val="24"/>
          <w:szCs w:val="24"/>
        </w:rPr>
        <w:t>Microorganisms, 13</w:t>
      </w:r>
      <w:r w:rsidRPr="00372231">
        <w:rPr>
          <w:rFonts w:ascii="Times New Roman" w:hAnsi="Times New Roman" w:cs="Times New Roman"/>
          <w:sz w:val="24"/>
          <w:szCs w:val="24"/>
        </w:rPr>
        <w:t xml:space="preserve">(9), 2113. </w:t>
      </w:r>
      <w:hyperlink r:id="rId41" w:history="1">
        <w:r w:rsidRPr="00372231">
          <w:rPr>
            <w:rStyle w:val="Hyperlink"/>
            <w:sz w:val="24"/>
            <w:szCs w:val="24"/>
          </w:rPr>
          <w:t>https://doi.org/10.3390/microorganisms13092113</w:t>
        </w:r>
      </w:hyperlink>
    </w:p>
    <w:p w14:paraId="4075EAD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Liao, H., Li, X., Yang, Q., Bai, Y., Cui, P., Wen, C., Liu, C., Chen, Z., Tang, J., Che, J., Yu, Z., Geisen, S., Zhou, S., Friman, V.P., &amp; Zhu, Y.G. (2021). Herbicide Selection Promotes Antibiotic Resistance in Soil Microbiomes</w:t>
      </w:r>
      <w:r w:rsidRPr="00372231">
        <w:rPr>
          <w:rFonts w:ascii="Times New Roman" w:hAnsi="Times New Roman" w:cs="Times New Roman"/>
          <w:i/>
          <w:iCs/>
          <w:sz w:val="24"/>
          <w:szCs w:val="24"/>
        </w:rPr>
        <w:t>. Molecular biology and evolution, 38</w:t>
      </w:r>
      <w:r w:rsidRPr="00372231">
        <w:rPr>
          <w:rFonts w:ascii="Times New Roman" w:hAnsi="Times New Roman" w:cs="Times New Roman"/>
          <w:sz w:val="24"/>
          <w:szCs w:val="24"/>
        </w:rPr>
        <w:t xml:space="preserve">(6), 2337–2350. </w:t>
      </w:r>
      <w:hyperlink r:id="rId42" w:history="1">
        <w:r w:rsidRPr="00372231">
          <w:rPr>
            <w:rStyle w:val="Hyperlink"/>
            <w:sz w:val="24"/>
            <w:szCs w:val="24"/>
          </w:rPr>
          <w:t>https://doi.org/10.1093/molbev/msab029</w:t>
        </w:r>
      </w:hyperlink>
    </w:p>
    <w:p w14:paraId="06C0466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eastAsia="Times New Roman" w:hAnsi="Times New Roman" w:cs="Times New Roman"/>
          <w:sz w:val="24"/>
          <w:szCs w:val="24"/>
          <w:lang w:val="de-DE"/>
        </w:rPr>
        <w:t xml:space="preserve">Lin, D., Xu, J. Y., Wang, L., Du, S., &amp; Zhu, D. (2024). </w:t>
      </w:r>
      <w:r w:rsidRPr="00372231">
        <w:rPr>
          <w:rFonts w:ascii="Times New Roman" w:eastAsia="Times New Roman" w:hAnsi="Times New Roman" w:cs="Times New Roman"/>
          <w:sz w:val="24"/>
          <w:szCs w:val="24"/>
        </w:rPr>
        <w:t xml:space="preserve">Long-term application of organic fertilizer prompting the dispersal of antibiotic resistance genes and their health risks in the soil plastisphere. Environment international, 183, 108431. </w:t>
      </w:r>
      <w:hyperlink r:id="rId43" w:history="1">
        <w:r w:rsidRPr="00372231">
          <w:rPr>
            <w:rStyle w:val="Hyperlink"/>
            <w:rFonts w:eastAsia="Times New Roman"/>
            <w:sz w:val="24"/>
            <w:szCs w:val="24"/>
          </w:rPr>
          <w:t>https://doi.org/10.1016/j.envint.2024.108431</w:t>
        </w:r>
      </w:hyperlink>
    </w:p>
    <w:p w14:paraId="1959ABA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Liu, B., Shen, Z., Zhou, Q., Ren, J., Wang, H., Zhang, D., &amp; Pan, X. (2025). </w:t>
      </w:r>
      <w:r w:rsidRPr="00372231">
        <w:rPr>
          <w:rFonts w:ascii="Times New Roman" w:hAnsi="Times New Roman" w:cs="Times New Roman"/>
          <w:sz w:val="24"/>
          <w:szCs w:val="24"/>
        </w:rPr>
        <w:t xml:space="preserve">Antibiotic resistance genes in the animal manure-amended soil-plant system: Occurrence, transmission, bacterial hosts, and human health risks. </w:t>
      </w:r>
      <w:r w:rsidRPr="00372231">
        <w:rPr>
          <w:rFonts w:ascii="Times New Roman" w:hAnsi="Times New Roman" w:cs="Times New Roman"/>
          <w:i/>
          <w:iCs/>
          <w:sz w:val="24"/>
          <w:szCs w:val="24"/>
        </w:rPr>
        <w:t>Ecotoxicology and Environmental Safety, 303</w:t>
      </w:r>
      <w:r w:rsidRPr="00372231">
        <w:rPr>
          <w:rFonts w:ascii="Times New Roman" w:hAnsi="Times New Roman" w:cs="Times New Roman"/>
          <w:sz w:val="24"/>
          <w:szCs w:val="24"/>
        </w:rPr>
        <w:t xml:space="preserve">, 118890. </w:t>
      </w:r>
      <w:hyperlink r:id="rId44" w:history="1">
        <w:r w:rsidRPr="00372231">
          <w:rPr>
            <w:rStyle w:val="Hyperlink"/>
            <w:sz w:val="24"/>
            <w:szCs w:val="24"/>
          </w:rPr>
          <w:t>https://doi.org/10.1016/j.ecoenv.2025.118890</w:t>
        </w:r>
      </w:hyperlink>
    </w:p>
    <w:p w14:paraId="201AA4B2"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Liu, H., Zhang, Z., Li, X., Zhou, T., Wang, Z., Li, J., Li, Y., &amp; Wang, Q. (2024). </w:t>
      </w:r>
      <w:r w:rsidRPr="00372231">
        <w:rPr>
          <w:rFonts w:ascii="Times New Roman" w:hAnsi="Times New Roman" w:cs="Times New Roman"/>
          <w:sz w:val="24"/>
          <w:szCs w:val="24"/>
        </w:rPr>
        <w:t xml:space="preserve">Temperature-phased anaerobic sludge digestion effectively removes antibiotic resistance genes in a full-scale wastewater treatment plant. </w:t>
      </w:r>
      <w:r w:rsidRPr="00372231">
        <w:rPr>
          <w:rFonts w:ascii="Times New Roman" w:hAnsi="Times New Roman" w:cs="Times New Roman"/>
          <w:i/>
          <w:iCs/>
          <w:sz w:val="24"/>
          <w:szCs w:val="24"/>
        </w:rPr>
        <w:t>The Science of the total environment, 924</w:t>
      </w:r>
      <w:r w:rsidRPr="00372231">
        <w:rPr>
          <w:rFonts w:ascii="Times New Roman" w:hAnsi="Times New Roman" w:cs="Times New Roman"/>
          <w:sz w:val="24"/>
          <w:szCs w:val="24"/>
        </w:rPr>
        <w:t xml:space="preserve">, 171555. </w:t>
      </w:r>
      <w:hyperlink r:id="rId45" w:history="1">
        <w:r w:rsidRPr="00372231">
          <w:rPr>
            <w:rStyle w:val="Hyperlink"/>
            <w:sz w:val="24"/>
            <w:szCs w:val="24"/>
          </w:rPr>
          <w:t>https://doi.org/10.1016/j.scitotenv.2024.171555</w:t>
        </w:r>
      </w:hyperlink>
    </w:p>
    <w:p w14:paraId="392D0CA4"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Macesic, N., Uhlemann, A.C., &amp; Peleg, A.Y. (2025). </w:t>
      </w:r>
      <w:r w:rsidRPr="00372231">
        <w:rPr>
          <w:rFonts w:ascii="Times New Roman" w:hAnsi="Times New Roman" w:cs="Times New Roman"/>
          <w:sz w:val="24"/>
          <w:szCs w:val="24"/>
        </w:rPr>
        <w:t xml:space="preserve">Multidrug-resistant Gram-negative bacterial infections. </w:t>
      </w:r>
      <w:r w:rsidRPr="00372231">
        <w:rPr>
          <w:rFonts w:ascii="Times New Roman" w:hAnsi="Times New Roman" w:cs="Times New Roman"/>
          <w:i/>
          <w:iCs/>
          <w:sz w:val="24"/>
          <w:szCs w:val="24"/>
        </w:rPr>
        <w:t>The Lancet, 405</w:t>
      </w:r>
      <w:r w:rsidRPr="00372231">
        <w:rPr>
          <w:rFonts w:ascii="Times New Roman" w:hAnsi="Times New Roman" w:cs="Times New Roman"/>
          <w:sz w:val="24"/>
          <w:szCs w:val="24"/>
        </w:rPr>
        <w:t xml:space="preserve">(10474), 257–272. </w:t>
      </w:r>
      <w:hyperlink r:id="rId46" w:history="1">
        <w:r w:rsidRPr="00372231">
          <w:rPr>
            <w:rStyle w:val="Hyperlink"/>
            <w:sz w:val="24"/>
            <w:szCs w:val="24"/>
          </w:rPr>
          <w:t>https://doi.org/10.1016/S0140-6736(24)02081-6</w:t>
        </w:r>
      </w:hyperlink>
    </w:p>
    <w:p w14:paraId="104AD07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Marano, R.B., Gupta, C.L., Cozer, T., Jurkevitch, E., &amp; Cytryn, E. (2021). Hidden resistome: Enrichment reveals the presence of clinically relevant antibiotic resistance determinants in treated wastewater-irrigated soils. </w:t>
      </w:r>
      <w:r w:rsidRPr="00372231">
        <w:rPr>
          <w:rFonts w:ascii="Times New Roman" w:hAnsi="Times New Roman" w:cs="Times New Roman"/>
          <w:i/>
          <w:iCs/>
          <w:sz w:val="24"/>
          <w:szCs w:val="24"/>
        </w:rPr>
        <w:t>Environmental Science &amp; Technology, 55</w:t>
      </w:r>
      <w:r w:rsidRPr="00372231">
        <w:rPr>
          <w:rFonts w:ascii="Times New Roman" w:hAnsi="Times New Roman" w:cs="Times New Roman"/>
          <w:sz w:val="24"/>
          <w:szCs w:val="24"/>
        </w:rPr>
        <w:t>(10), 6814–6827.</w:t>
      </w:r>
    </w:p>
    <w:p w14:paraId="212C136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Markowicz, A., Bondarczuk, K., Cycoń, M., Sułowicz, S. (2021). Land application of sewage sludge: Response of soil microbial communities and potential spread of antibiotic resistance. </w:t>
      </w:r>
      <w:r w:rsidRPr="00372231">
        <w:rPr>
          <w:rFonts w:ascii="Times New Roman" w:hAnsi="Times New Roman" w:cs="Times New Roman"/>
          <w:i/>
          <w:iCs/>
          <w:sz w:val="24"/>
          <w:szCs w:val="24"/>
        </w:rPr>
        <w:t>Environmental Pollution, 271</w:t>
      </w:r>
      <w:r w:rsidRPr="00372231">
        <w:rPr>
          <w:rFonts w:ascii="Times New Roman" w:hAnsi="Times New Roman" w:cs="Times New Roman"/>
          <w:sz w:val="24"/>
          <w:szCs w:val="24"/>
        </w:rPr>
        <w:t>, 116317.</w:t>
      </w:r>
    </w:p>
    <w:p w14:paraId="32F0929C" w14:textId="77777777" w:rsidR="006701F4" w:rsidRPr="00372231" w:rsidRDefault="006701F4">
      <w:pPr>
        <w:pStyle w:val="ListParagraph"/>
        <w:numPr>
          <w:ilvl w:val="0"/>
          <w:numId w:val="1"/>
        </w:numPr>
        <w:jc w:val="both"/>
        <w:rPr>
          <w:rFonts w:ascii="Times New Roman" w:hAnsi="Times New Roman" w:cs="Times New Roman"/>
          <w:sz w:val="24"/>
          <w:szCs w:val="24"/>
        </w:rPr>
      </w:pPr>
      <w:bookmarkStart w:id="4" w:name="_Hlk193895970"/>
      <w:r w:rsidRPr="00372231">
        <w:rPr>
          <w:rFonts w:ascii="Times New Roman" w:hAnsi="Times New Roman" w:cs="Times New Roman"/>
          <w:sz w:val="24"/>
          <w:szCs w:val="24"/>
        </w:rPr>
        <w:t>Marutescu, L.G., Jaga, M., Postolache, C., Barbuceanu, F., Milita, N.M., Romascu, L.M., Schmitt, H., de Roda Husman, A.M., Sefeedpari, P., Glaeser, S., Kämpfer, P., Boerlin, P., Topp, E., Gradisteanu Pircalabioru, G., Chifiriuc, M.C., &amp; Popa, M. (2022). Insights into the impact of manure on the environmental antibiotic residues and resistance pool. </w:t>
      </w:r>
      <w:r w:rsidRPr="00372231">
        <w:rPr>
          <w:rFonts w:ascii="Times New Roman" w:hAnsi="Times New Roman" w:cs="Times New Roman"/>
          <w:i/>
          <w:iCs/>
          <w:sz w:val="24"/>
          <w:szCs w:val="24"/>
        </w:rPr>
        <w:t>Frontiers in microbiology, 13</w:t>
      </w:r>
      <w:r w:rsidRPr="00372231">
        <w:rPr>
          <w:rFonts w:ascii="Times New Roman" w:hAnsi="Times New Roman" w:cs="Times New Roman"/>
          <w:sz w:val="24"/>
          <w:szCs w:val="24"/>
        </w:rPr>
        <w:t xml:space="preserve">, 965132. </w:t>
      </w:r>
      <w:hyperlink r:id="rId47" w:history="1">
        <w:r w:rsidRPr="00372231">
          <w:rPr>
            <w:rStyle w:val="Hyperlink"/>
            <w:sz w:val="24"/>
            <w:szCs w:val="24"/>
          </w:rPr>
          <w:t>https://doi.org/10.3389/fmicb.2022.965132</w:t>
        </w:r>
      </w:hyperlink>
    </w:p>
    <w:p w14:paraId="523535C0"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Massaccesi, L., Albini, E., Massacci, F.R., Giusepponi, D., Paoletti, F., Sdogati, S., Morena, F., Agnelli, A., Leccese, A., Magistrali, C.F., &amp; Galarini, R. (2024). Impact of Soil Fertilization with Pig Slurry on Antibiotic Residues and Resistance Genes: A Longitudinal Study. </w:t>
      </w:r>
      <w:r w:rsidRPr="00372231">
        <w:rPr>
          <w:rFonts w:ascii="Times New Roman" w:hAnsi="Times New Roman" w:cs="Times New Roman"/>
          <w:i/>
          <w:iCs/>
          <w:sz w:val="24"/>
          <w:szCs w:val="24"/>
        </w:rPr>
        <w:t>Antibiotics</w:t>
      </w:r>
      <w:r w:rsidRPr="00372231">
        <w:rPr>
          <w:rFonts w:ascii="Times New Roman" w:hAnsi="Times New Roman" w:cs="Times New Roman"/>
          <w:sz w:val="24"/>
          <w:szCs w:val="24"/>
        </w:rPr>
        <w:t xml:space="preserve"> (Basel, Switzerland), 13(6), 486. </w:t>
      </w:r>
      <w:hyperlink r:id="rId48" w:history="1">
        <w:r w:rsidRPr="00372231">
          <w:rPr>
            <w:rStyle w:val="Hyperlink"/>
            <w:sz w:val="24"/>
            <w:szCs w:val="24"/>
          </w:rPr>
          <w:t>https://doi.org/10.3390/antibiotics13060486</w:t>
        </w:r>
      </w:hyperlink>
    </w:p>
    <w:p w14:paraId="5E5BE0BD"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lastRenderedPageBreak/>
        <w:t xml:space="preserve">Mbuthia, C.W., &amp; Hoza, A.S. (2025). Wild birds as potential reservoirs of antimicrobial-resistant </w:t>
      </w:r>
      <w:r w:rsidRPr="00372231">
        <w:rPr>
          <w:rFonts w:ascii="Times New Roman" w:eastAsia="Times New Roman" w:hAnsi="Times New Roman" w:cs="Times New Roman"/>
          <w:i/>
          <w:iCs/>
          <w:sz w:val="24"/>
          <w:szCs w:val="24"/>
        </w:rPr>
        <w:t>Escherichia coli</w:t>
      </w:r>
      <w:r w:rsidRPr="00372231">
        <w:rPr>
          <w:rFonts w:ascii="Times New Roman" w:eastAsia="Times New Roman" w:hAnsi="Times New Roman" w:cs="Times New Roman"/>
          <w:sz w:val="24"/>
          <w:szCs w:val="24"/>
        </w:rPr>
        <w:t xml:space="preserve">: a systematic review. </w:t>
      </w:r>
      <w:r w:rsidRPr="00372231">
        <w:rPr>
          <w:rFonts w:ascii="Times New Roman" w:eastAsia="Times New Roman" w:hAnsi="Times New Roman" w:cs="Times New Roman"/>
          <w:i/>
          <w:iCs/>
          <w:sz w:val="24"/>
          <w:szCs w:val="24"/>
        </w:rPr>
        <w:t>Frontiers in microbiology, 16</w:t>
      </w:r>
      <w:r w:rsidRPr="00372231">
        <w:rPr>
          <w:rFonts w:ascii="Times New Roman" w:eastAsia="Times New Roman" w:hAnsi="Times New Roman" w:cs="Times New Roman"/>
          <w:sz w:val="24"/>
          <w:szCs w:val="24"/>
        </w:rPr>
        <w:t xml:space="preserve">, 1615826. </w:t>
      </w:r>
      <w:hyperlink r:id="rId49" w:history="1">
        <w:r w:rsidRPr="00372231">
          <w:rPr>
            <w:rStyle w:val="Hyperlink"/>
            <w:rFonts w:eastAsia="Times New Roman"/>
            <w:sz w:val="24"/>
            <w:szCs w:val="24"/>
          </w:rPr>
          <w:t>https://doi.org/10.3389/fmicb.2025.1615826</w:t>
        </w:r>
      </w:hyperlink>
    </w:p>
    <w:p w14:paraId="05C99246"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Memesh, R., Yasir, M., Ledder, R.G., Zowawi, H., McBain, A.J., &amp; Azhar, E.I. (2024). An update on the prevalence of colistin and carbapenem-resistant Gram-negative bacteria in aquaculture: an emerging threat to public health</w:t>
      </w:r>
      <w:r w:rsidRPr="00372231">
        <w:rPr>
          <w:rFonts w:ascii="Times New Roman" w:eastAsia="Times New Roman" w:hAnsi="Times New Roman" w:cs="Times New Roman"/>
          <w:i/>
          <w:iCs/>
          <w:sz w:val="24"/>
          <w:szCs w:val="24"/>
        </w:rPr>
        <w:t>. Journal of applied microbiology, 135</w:t>
      </w:r>
      <w:r w:rsidRPr="00372231">
        <w:rPr>
          <w:rFonts w:ascii="Times New Roman" w:eastAsia="Times New Roman" w:hAnsi="Times New Roman" w:cs="Times New Roman"/>
          <w:sz w:val="24"/>
          <w:szCs w:val="24"/>
        </w:rPr>
        <w:t xml:space="preserve">(1), lxad288. </w:t>
      </w:r>
      <w:hyperlink r:id="rId50" w:history="1">
        <w:r w:rsidRPr="00372231">
          <w:rPr>
            <w:rStyle w:val="Hyperlink"/>
            <w:rFonts w:eastAsia="Times New Roman"/>
            <w:sz w:val="24"/>
            <w:szCs w:val="24"/>
          </w:rPr>
          <w:t>https://doi.org/10.1093/jambio/lxad288</w:t>
        </w:r>
      </w:hyperlink>
    </w:p>
    <w:p w14:paraId="20FD323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Meradji, S., Basher, N.S., Sassi, A., Ibrahim, N.A., Idres, T., &amp; Touati, A. (2025). The Role of Water as a Reservoir for Antibiotic-Resistant Bacteria. </w:t>
      </w:r>
      <w:r w:rsidRPr="00372231">
        <w:rPr>
          <w:rFonts w:ascii="Times New Roman" w:hAnsi="Times New Roman" w:cs="Times New Roman"/>
          <w:i/>
          <w:iCs/>
          <w:sz w:val="24"/>
          <w:szCs w:val="24"/>
        </w:rPr>
        <w:t>Antibiotics (Basel, Switzerland), 14</w:t>
      </w:r>
      <w:r w:rsidRPr="00372231">
        <w:rPr>
          <w:rFonts w:ascii="Times New Roman" w:hAnsi="Times New Roman" w:cs="Times New Roman"/>
          <w:sz w:val="24"/>
          <w:szCs w:val="24"/>
        </w:rPr>
        <w:t xml:space="preserve">(8), 763. </w:t>
      </w:r>
      <w:hyperlink r:id="rId51" w:history="1">
        <w:r w:rsidRPr="00372231">
          <w:rPr>
            <w:rStyle w:val="Hyperlink"/>
            <w:sz w:val="24"/>
            <w:szCs w:val="24"/>
          </w:rPr>
          <w:t>https://doi.org/10.3390/antibiotics14080763</w:t>
        </w:r>
      </w:hyperlink>
    </w:p>
    <w:p w14:paraId="2C7C36F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Mihrete, T.B., &amp; Mihretu, F.B. (2025). </w:t>
      </w:r>
      <w:r w:rsidRPr="00372231">
        <w:rPr>
          <w:rFonts w:ascii="Times New Roman" w:hAnsi="Times New Roman" w:cs="Times New Roman"/>
          <w:sz w:val="24"/>
          <w:szCs w:val="24"/>
        </w:rPr>
        <w:t>Crop Diversification for Ensuring Sustainable Agriculture, Risk Management and Food Security. </w:t>
      </w:r>
      <w:r w:rsidRPr="00372231">
        <w:rPr>
          <w:rFonts w:ascii="Times New Roman" w:hAnsi="Times New Roman" w:cs="Times New Roman"/>
          <w:i/>
          <w:iCs/>
          <w:sz w:val="24"/>
          <w:szCs w:val="24"/>
        </w:rPr>
        <w:t>Global challenges (Hoboken, NJ), 9</w:t>
      </w:r>
      <w:r w:rsidRPr="00372231">
        <w:rPr>
          <w:rFonts w:ascii="Times New Roman" w:hAnsi="Times New Roman" w:cs="Times New Roman"/>
          <w:sz w:val="24"/>
          <w:szCs w:val="24"/>
        </w:rPr>
        <w:t xml:space="preserve">(2), 2400267. </w:t>
      </w:r>
      <w:hyperlink r:id="rId52" w:history="1">
        <w:r w:rsidRPr="00372231">
          <w:rPr>
            <w:rStyle w:val="Hyperlink"/>
            <w:sz w:val="24"/>
            <w:szCs w:val="24"/>
          </w:rPr>
          <w:t>https://doi.org/10.1002/gch2.202400267</w:t>
        </w:r>
      </w:hyperlink>
    </w:p>
    <w:p w14:paraId="345519B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Mohammed, E.A.H., Kovács, B., Kuunya, R., Mustafa, E.O.A., Abbo, A.S.H., &amp; Pál, K. (2025). Antibiotic Resistance in Aquaculture: Challenges, Trends Analysis, and Alternative Approaches. </w:t>
      </w:r>
      <w:r w:rsidRPr="00372231">
        <w:rPr>
          <w:rFonts w:ascii="Times New Roman" w:hAnsi="Times New Roman" w:cs="Times New Roman"/>
          <w:i/>
          <w:iCs/>
          <w:sz w:val="24"/>
          <w:szCs w:val="24"/>
        </w:rPr>
        <w:t>Antibiotics (Basel, Switzerland), 14</w:t>
      </w:r>
      <w:r w:rsidRPr="00372231">
        <w:rPr>
          <w:rFonts w:ascii="Times New Roman" w:hAnsi="Times New Roman" w:cs="Times New Roman"/>
          <w:sz w:val="24"/>
          <w:szCs w:val="24"/>
        </w:rPr>
        <w:t xml:space="preserve">(6), 598. </w:t>
      </w:r>
      <w:hyperlink r:id="rId53" w:history="1">
        <w:r w:rsidRPr="00372231">
          <w:rPr>
            <w:rStyle w:val="Hyperlink"/>
            <w:sz w:val="24"/>
            <w:szCs w:val="24"/>
          </w:rPr>
          <w:t>https://doi.org/10.3390/antibiotics14060598</w:t>
        </w:r>
      </w:hyperlink>
    </w:p>
    <w:p w14:paraId="3FC84A9C"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Murray, L.M., Hayes, A., Snape, J., Kasprzyk-Hordern, B., Gaze, W.H., &amp; Murray, A.K. (2024). Co-selection for antibiotic resistance by environmental contaminants. </w:t>
      </w:r>
      <w:r w:rsidRPr="00372231">
        <w:rPr>
          <w:rFonts w:ascii="Times New Roman" w:hAnsi="Times New Roman" w:cs="Times New Roman"/>
          <w:i/>
          <w:iCs/>
          <w:sz w:val="24"/>
          <w:szCs w:val="24"/>
        </w:rPr>
        <w:t>npj antimicrobials and resistance, 2</w:t>
      </w:r>
      <w:r w:rsidRPr="00372231">
        <w:rPr>
          <w:rFonts w:ascii="Times New Roman" w:hAnsi="Times New Roman" w:cs="Times New Roman"/>
          <w:sz w:val="24"/>
          <w:szCs w:val="24"/>
        </w:rPr>
        <w:t xml:space="preserve">(1), 9. </w:t>
      </w:r>
      <w:hyperlink r:id="rId54" w:history="1">
        <w:r w:rsidRPr="00372231">
          <w:rPr>
            <w:rStyle w:val="Hyperlink"/>
            <w:sz w:val="24"/>
            <w:szCs w:val="24"/>
          </w:rPr>
          <w:t>https://doi.org/10.1038/s44259-024-00026-7</w:t>
        </w:r>
      </w:hyperlink>
    </w:p>
    <w:p w14:paraId="01E3274E"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Mustafa, S.S., Batool, R., Kamran, M., Javed, H., Jamil, N. (2022). Evaluating the Role of Waste waters as Reservoirs of Antibiotic-Resistant ESKAPEE Bacteria Using Phenotypic and Molecular Methods. </w:t>
      </w:r>
      <w:r w:rsidRPr="00372231">
        <w:rPr>
          <w:rFonts w:ascii="Times New Roman" w:hAnsi="Times New Roman" w:cs="Times New Roman"/>
          <w:i/>
          <w:iCs/>
          <w:sz w:val="24"/>
          <w:szCs w:val="24"/>
        </w:rPr>
        <w:t>Infection and Drug Resistance, 15</w:t>
      </w:r>
      <w:r w:rsidRPr="00372231">
        <w:rPr>
          <w:rFonts w:ascii="Times New Roman" w:hAnsi="Times New Roman" w:cs="Times New Roman"/>
          <w:sz w:val="24"/>
          <w:szCs w:val="24"/>
        </w:rPr>
        <w:t>, 5715–5728.</w:t>
      </w:r>
    </w:p>
    <w:p w14:paraId="02678CA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Mustapha, A., Allamin, I.A., Ismail, H.Y., Eze, U.A., Ibrahim, M.M., Bello, R.Y., &amp; Faruq, A.U. (2021). Environmental contribution to antimicrobial resistance: A largely ignored global health issue. </w:t>
      </w:r>
      <w:r w:rsidRPr="00372231">
        <w:rPr>
          <w:rFonts w:ascii="Times New Roman" w:hAnsi="Times New Roman" w:cs="Times New Roman"/>
          <w:i/>
          <w:iCs/>
          <w:sz w:val="24"/>
          <w:szCs w:val="24"/>
        </w:rPr>
        <w:t>The Proceedings of the Nigerian Academy of Science, 14</w:t>
      </w:r>
      <w:r w:rsidRPr="00372231">
        <w:rPr>
          <w:rFonts w:ascii="Times New Roman" w:hAnsi="Times New Roman" w:cs="Times New Roman"/>
          <w:sz w:val="24"/>
          <w:szCs w:val="24"/>
        </w:rPr>
        <w:t>(2), 61–80.</w:t>
      </w:r>
    </w:p>
    <w:p w14:paraId="598B36FC"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Ni, B., Xiao, L., Lin, D., Zhang, T. L., Zhang, Q., Liu, Y., Chen, Q., Zhu, D., Qian, H., Rillig, M.C., &amp; Zhu, Y.G. (2025). Increasing pesticide diversity impairs soil microbial functions. </w:t>
      </w:r>
      <w:r w:rsidRPr="00372231">
        <w:rPr>
          <w:rFonts w:ascii="Times New Roman" w:hAnsi="Times New Roman" w:cs="Times New Roman"/>
          <w:i/>
          <w:iCs/>
          <w:sz w:val="24"/>
          <w:szCs w:val="24"/>
        </w:rPr>
        <w:t>Proceedings of the National Academy of Sciences of the United States of America, 122</w:t>
      </w:r>
      <w:r w:rsidRPr="00372231">
        <w:rPr>
          <w:rFonts w:ascii="Times New Roman" w:hAnsi="Times New Roman" w:cs="Times New Roman"/>
          <w:sz w:val="24"/>
          <w:szCs w:val="24"/>
        </w:rPr>
        <w:t xml:space="preserve">(2), e2419917122. </w:t>
      </w:r>
      <w:hyperlink r:id="rId55" w:history="1">
        <w:r w:rsidRPr="00372231">
          <w:rPr>
            <w:rStyle w:val="Hyperlink"/>
            <w:sz w:val="24"/>
            <w:szCs w:val="24"/>
          </w:rPr>
          <w:t>https://doi.org/10.1073/pnas.2419917122</w:t>
        </w:r>
      </w:hyperlink>
    </w:p>
    <w:p w14:paraId="4CC9565B"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Nickodem, C.A., Tran, P.Q., Neeno-Eckwall, E., Congdon, A.G., Sanford, G.R., Silva, E.M., &amp; Hite, J.L. (2025). Soil management strategies drive divergent impacts on pathogens and environmental resistomes. </w:t>
      </w:r>
      <w:r w:rsidRPr="00372231">
        <w:rPr>
          <w:rFonts w:ascii="Times New Roman" w:hAnsi="Times New Roman" w:cs="Times New Roman"/>
          <w:i/>
          <w:iCs/>
          <w:sz w:val="24"/>
          <w:szCs w:val="24"/>
        </w:rPr>
        <w:t>Scientific reports, 15</w:t>
      </w:r>
      <w:r w:rsidRPr="00372231">
        <w:rPr>
          <w:rFonts w:ascii="Times New Roman" w:hAnsi="Times New Roman" w:cs="Times New Roman"/>
          <w:sz w:val="24"/>
          <w:szCs w:val="24"/>
        </w:rPr>
        <w:t xml:space="preserve">(1), 43215. </w:t>
      </w:r>
      <w:hyperlink r:id="rId56" w:history="1">
        <w:r w:rsidRPr="00372231">
          <w:rPr>
            <w:rStyle w:val="Hyperlink"/>
            <w:sz w:val="24"/>
            <w:szCs w:val="24"/>
          </w:rPr>
          <w:t>https://doi.org/10.1038/s41598-025-27157-9</w:t>
        </w:r>
      </w:hyperlink>
    </w:p>
    <w:p w14:paraId="6302BA12"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Obijianya, C. C., Yakamercan, E., Karimi, M., Veluru, S., Simko, I., Eshkabilov, S., &amp; Simsek, H. (2025). Agricultural Irrigation Using Treated Wastewater: Challenges and Opportunities. </w:t>
      </w:r>
      <w:r w:rsidRPr="00372231">
        <w:rPr>
          <w:rFonts w:ascii="Times New Roman" w:eastAsia="Times New Roman" w:hAnsi="Times New Roman" w:cs="Times New Roman"/>
          <w:i/>
          <w:iCs/>
          <w:sz w:val="24"/>
          <w:szCs w:val="24"/>
        </w:rPr>
        <w:t>Water, 17</w:t>
      </w:r>
      <w:r w:rsidRPr="00372231">
        <w:rPr>
          <w:rFonts w:ascii="Times New Roman" w:eastAsia="Times New Roman" w:hAnsi="Times New Roman" w:cs="Times New Roman"/>
          <w:sz w:val="24"/>
          <w:szCs w:val="24"/>
        </w:rPr>
        <w:t xml:space="preserve">(14), 2083. </w:t>
      </w:r>
      <w:hyperlink r:id="rId57" w:history="1">
        <w:r w:rsidRPr="00372231">
          <w:rPr>
            <w:rStyle w:val="Hyperlink"/>
            <w:rFonts w:eastAsia="Times New Roman"/>
            <w:sz w:val="24"/>
            <w:szCs w:val="24"/>
          </w:rPr>
          <w:t>https://doi.org/10.3390/w17142083</w:t>
        </w:r>
      </w:hyperlink>
    </w:p>
    <w:p w14:paraId="7AA93CA5"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hAnsi="Times New Roman" w:cs="Times New Roman"/>
          <w:sz w:val="24"/>
          <w:szCs w:val="24"/>
        </w:rPr>
        <w:t xml:space="preserve">Olanrewaju, O.S., &amp; Bezuidenhout, C.C. (2025). Harnessing beneficial bacteria to remediate antibiotic-polluted agricultural soils: integrating source diversity, bioavailability </w:t>
      </w:r>
      <w:r w:rsidRPr="00372231">
        <w:rPr>
          <w:rFonts w:ascii="Times New Roman" w:hAnsi="Times New Roman" w:cs="Times New Roman"/>
          <w:sz w:val="24"/>
          <w:szCs w:val="24"/>
        </w:rPr>
        <w:lastRenderedPageBreak/>
        <w:t xml:space="preserve">modulators, and ecological impacts. </w:t>
      </w:r>
      <w:r w:rsidRPr="00372231">
        <w:rPr>
          <w:rFonts w:ascii="Times New Roman" w:hAnsi="Times New Roman" w:cs="Times New Roman"/>
          <w:i/>
          <w:iCs/>
          <w:sz w:val="24"/>
          <w:szCs w:val="24"/>
        </w:rPr>
        <w:t>Frontiers in microbiology, 16</w:t>
      </w:r>
      <w:r w:rsidRPr="00372231">
        <w:rPr>
          <w:rFonts w:ascii="Times New Roman" w:hAnsi="Times New Roman" w:cs="Times New Roman"/>
          <w:sz w:val="24"/>
          <w:szCs w:val="24"/>
        </w:rPr>
        <w:t xml:space="preserve">, 1635233. </w:t>
      </w:r>
      <w:hyperlink r:id="rId58" w:history="1">
        <w:r w:rsidRPr="00372231">
          <w:rPr>
            <w:rStyle w:val="Hyperlink"/>
            <w:sz w:val="24"/>
            <w:szCs w:val="24"/>
          </w:rPr>
          <w:t>https://doi.org/10.3389/fmicb.2025.1635233</w:t>
        </w:r>
      </w:hyperlink>
    </w:p>
    <w:p w14:paraId="49888CAA"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Oliveira, M., Antunes, W., Mota, S., Madureira-Carvalho, Á., Dinis-Oliveira, R. J., &amp; Dias da Silva, D. (2024). An overview of the recent advances in antimicrobial resistance. </w:t>
      </w:r>
      <w:r w:rsidRPr="00372231">
        <w:rPr>
          <w:rFonts w:ascii="Times New Roman" w:hAnsi="Times New Roman" w:cs="Times New Roman"/>
          <w:i/>
          <w:iCs/>
          <w:sz w:val="24"/>
          <w:szCs w:val="24"/>
        </w:rPr>
        <w:t>Microorganisms, 12</w:t>
      </w:r>
      <w:r w:rsidRPr="00372231">
        <w:rPr>
          <w:rFonts w:ascii="Times New Roman" w:hAnsi="Times New Roman" w:cs="Times New Roman"/>
          <w:sz w:val="24"/>
          <w:szCs w:val="24"/>
        </w:rPr>
        <w:t xml:space="preserve">(9), 1920. </w:t>
      </w:r>
      <w:hyperlink r:id="rId59" w:history="1">
        <w:r w:rsidRPr="00372231">
          <w:rPr>
            <w:rStyle w:val="Hyperlink"/>
            <w:sz w:val="24"/>
            <w:szCs w:val="24"/>
          </w:rPr>
          <w:t>https://doi.org/10.3390/microorganisms12091920</w:t>
        </w:r>
      </w:hyperlink>
    </w:p>
    <w:p w14:paraId="16892004"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Ortega-Pozo, J.L., Alcalá, F.J., Poyatos, J.M., &amp; Martín-Pascual, J. (2022). Wastewater reuse for irrigation agriculture in Morocco: Influence of regulation on feasible implementation. </w:t>
      </w:r>
      <w:r w:rsidRPr="00372231">
        <w:rPr>
          <w:rFonts w:ascii="Times New Roman" w:hAnsi="Times New Roman" w:cs="Times New Roman"/>
          <w:i/>
          <w:iCs/>
          <w:sz w:val="24"/>
          <w:szCs w:val="24"/>
        </w:rPr>
        <w:t>Land, 11</w:t>
      </w:r>
      <w:r w:rsidRPr="00372231">
        <w:rPr>
          <w:rFonts w:ascii="Times New Roman" w:hAnsi="Times New Roman" w:cs="Times New Roman"/>
          <w:sz w:val="24"/>
          <w:szCs w:val="24"/>
        </w:rPr>
        <w:t>(12), 2312</w:t>
      </w:r>
    </w:p>
    <w:p w14:paraId="259DED2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Paidi MK, Satapute P, Haider MS, Udikeri S.S, Ramachandra YL. (2021). Mitigation of organophosphorus insecticides from environment: Residual detoxification by bioweapon catalytic scavengers. </w:t>
      </w:r>
      <w:r w:rsidRPr="00372231">
        <w:rPr>
          <w:rFonts w:ascii="Times New Roman" w:hAnsi="Times New Roman" w:cs="Times New Roman"/>
          <w:i/>
          <w:iCs/>
          <w:sz w:val="24"/>
          <w:szCs w:val="24"/>
        </w:rPr>
        <w:t>Environmental Research 200</w:t>
      </w:r>
      <w:r w:rsidRPr="00372231">
        <w:rPr>
          <w:rFonts w:ascii="Times New Roman" w:hAnsi="Times New Roman" w:cs="Times New Roman"/>
          <w:sz w:val="24"/>
          <w:szCs w:val="24"/>
        </w:rPr>
        <w:t>:111368.</w:t>
      </w:r>
    </w:p>
    <w:p w14:paraId="369FD7BF"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bookmarkStart w:id="5" w:name="_Hlk193896764"/>
      <w:r w:rsidRPr="00372231">
        <w:rPr>
          <w:rFonts w:ascii="Times New Roman" w:hAnsi="Times New Roman" w:cs="Times New Roman"/>
          <w:sz w:val="24"/>
          <w:szCs w:val="24"/>
        </w:rPr>
        <w:t xml:space="preserve">Pandey, S., Doo, H., Keum, G. B., Kim, E.S., Kwak, J., Ryu, S., Choi, Y., Kang, J., Kim, S., Lee, N.R., Oh, K.K., Lee, J.H., &amp; Kim, H.B. (2024). Antibiotic resistance in livestock, environment and humans: One Health perspective. </w:t>
      </w:r>
      <w:r w:rsidRPr="00372231">
        <w:rPr>
          <w:rFonts w:ascii="Times New Roman" w:hAnsi="Times New Roman" w:cs="Times New Roman"/>
          <w:i/>
          <w:iCs/>
          <w:sz w:val="24"/>
          <w:szCs w:val="24"/>
        </w:rPr>
        <w:t>Journal of animal science and technology, 66</w:t>
      </w:r>
      <w:r w:rsidRPr="00372231">
        <w:rPr>
          <w:rFonts w:ascii="Times New Roman" w:hAnsi="Times New Roman" w:cs="Times New Roman"/>
          <w:sz w:val="24"/>
          <w:szCs w:val="24"/>
        </w:rPr>
        <w:t xml:space="preserve">(2), 266–278. </w:t>
      </w:r>
      <w:hyperlink r:id="rId60" w:history="1">
        <w:r w:rsidRPr="00372231">
          <w:rPr>
            <w:rStyle w:val="Hyperlink"/>
            <w:sz w:val="24"/>
            <w:szCs w:val="24"/>
          </w:rPr>
          <w:t>https://doi.org/10.5187/jast.2023.e129</w:t>
        </w:r>
      </w:hyperlink>
    </w:p>
    <w:p w14:paraId="2D24876A"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bookmarkStart w:id="6" w:name="_Hlk193896872"/>
      <w:r w:rsidRPr="00372231">
        <w:rPr>
          <w:rFonts w:ascii="Times New Roman" w:eastAsia="Times New Roman" w:hAnsi="Times New Roman" w:cs="Times New Roman"/>
          <w:sz w:val="24"/>
          <w:szCs w:val="24"/>
        </w:rPr>
        <w:t xml:space="preserve">Patra, M., &amp; Dubey, S. K. (2024). Understanding the spread of antibiotic resistance in vegetables cultivated with sewage sludge: Implications for food safety and human health. </w:t>
      </w:r>
      <w:r w:rsidRPr="00372231">
        <w:rPr>
          <w:rFonts w:ascii="Times New Roman" w:eastAsia="Times New Roman" w:hAnsi="Times New Roman" w:cs="Times New Roman"/>
          <w:i/>
          <w:iCs/>
          <w:sz w:val="24"/>
          <w:szCs w:val="24"/>
        </w:rPr>
        <w:t>Environmental Systems Research, 13</w:t>
      </w:r>
      <w:r w:rsidRPr="00372231">
        <w:rPr>
          <w:rFonts w:ascii="Times New Roman" w:eastAsia="Times New Roman" w:hAnsi="Times New Roman" w:cs="Times New Roman"/>
          <w:sz w:val="24"/>
          <w:szCs w:val="24"/>
        </w:rPr>
        <w:t xml:space="preserve">, 21. </w:t>
      </w:r>
      <w:hyperlink r:id="rId61" w:history="1">
        <w:r w:rsidRPr="00372231">
          <w:rPr>
            <w:rStyle w:val="Hyperlink"/>
            <w:rFonts w:eastAsia="Times New Roman"/>
            <w:sz w:val="24"/>
            <w:szCs w:val="24"/>
          </w:rPr>
          <w:t>https://doi.org/10.1186/s40068-024-00347-6</w:t>
        </w:r>
      </w:hyperlink>
    </w:p>
    <w:p w14:paraId="6D6BBCDB"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hAnsi="Times New Roman" w:cs="Times New Roman"/>
          <w:sz w:val="24"/>
          <w:szCs w:val="24"/>
        </w:rPr>
        <w:t xml:space="preserve">Patra, M., Pandey, B., &amp; Dubey, S. K. (2024). Prevalence of diverse antimicrobial resistance genes and bacteria in sewage treatment plant-derived sludge environment. </w:t>
      </w:r>
      <w:r w:rsidRPr="00372231">
        <w:rPr>
          <w:rFonts w:ascii="Times New Roman" w:hAnsi="Times New Roman" w:cs="Times New Roman"/>
          <w:i/>
          <w:iCs/>
          <w:sz w:val="24"/>
          <w:szCs w:val="24"/>
        </w:rPr>
        <w:t>FEMS microbes, 5</w:t>
      </w:r>
      <w:r w:rsidRPr="00372231">
        <w:rPr>
          <w:rFonts w:ascii="Times New Roman" w:hAnsi="Times New Roman" w:cs="Times New Roman"/>
          <w:sz w:val="24"/>
          <w:szCs w:val="24"/>
        </w:rPr>
        <w:t xml:space="preserve">, xtae004. </w:t>
      </w:r>
      <w:hyperlink r:id="rId62" w:history="1">
        <w:r w:rsidRPr="00372231">
          <w:rPr>
            <w:rStyle w:val="Hyperlink"/>
            <w:sz w:val="24"/>
            <w:szCs w:val="24"/>
          </w:rPr>
          <w:t>https://doi.org/10.1093/femsmc/xtae004</w:t>
        </w:r>
      </w:hyperlink>
    </w:p>
    <w:p w14:paraId="5939051C"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hAnsi="Times New Roman" w:cs="Times New Roman"/>
          <w:sz w:val="24"/>
          <w:szCs w:val="24"/>
        </w:rPr>
        <w:t xml:space="preserve">Patyra, E., Osiński, Z., &amp; Kwiatek, K. (2024). Residues of veterinary antibiotics in solid natural and organic fertilizers-method development and sample analysis. </w:t>
      </w:r>
      <w:r w:rsidRPr="00372231">
        <w:rPr>
          <w:rFonts w:ascii="Times New Roman" w:hAnsi="Times New Roman" w:cs="Times New Roman"/>
          <w:i/>
          <w:iCs/>
          <w:sz w:val="24"/>
          <w:szCs w:val="24"/>
        </w:rPr>
        <w:t>Environmental science and pollution research international, 10</w:t>
      </w:r>
      <w:r w:rsidRPr="00372231">
        <w:rPr>
          <w:rFonts w:ascii="Times New Roman" w:hAnsi="Times New Roman" w:cs="Times New Roman"/>
          <w:sz w:val="24"/>
          <w:szCs w:val="24"/>
        </w:rPr>
        <w:t xml:space="preserve">.1007/s11356-024-33956-w. Advance online publication. </w:t>
      </w:r>
      <w:hyperlink r:id="rId63" w:history="1">
        <w:r w:rsidRPr="00372231">
          <w:rPr>
            <w:rStyle w:val="Hyperlink"/>
            <w:sz w:val="24"/>
            <w:szCs w:val="24"/>
          </w:rPr>
          <w:t>https://doi.org/10.1007/s11356-024-33956-w</w:t>
        </w:r>
      </w:hyperlink>
    </w:p>
    <w:p w14:paraId="7B85DE3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Pinho, J.O., Plácido, A.I., Monteiro, A., Nogueira, R., Oliveira, P.A., Coelho, A.C., Figueiras, A., Roque, F., &amp; Herdeiro, M.T. (2025). Evaluation of guidelines on antimicrobials use in food-producing animals: a systematic review. </w:t>
      </w:r>
      <w:r w:rsidRPr="00372231">
        <w:rPr>
          <w:rFonts w:ascii="Times New Roman" w:hAnsi="Times New Roman" w:cs="Times New Roman"/>
          <w:i/>
          <w:iCs/>
          <w:sz w:val="24"/>
          <w:szCs w:val="24"/>
        </w:rPr>
        <w:t>One health outlook, 7</w:t>
      </w:r>
      <w:r w:rsidRPr="00372231">
        <w:rPr>
          <w:rFonts w:ascii="Times New Roman" w:hAnsi="Times New Roman" w:cs="Times New Roman"/>
          <w:sz w:val="24"/>
          <w:szCs w:val="24"/>
        </w:rPr>
        <w:t xml:space="preserve">(1), 39. </w:t>
      </w:r>
      <w:hyperlink r:id="rId64" w:history="1">
        <w:r w:rsidRPr="00372231">
          <w:rPr>
            <w:rStyle w:val="Hyperlink"/>
            <w:sz w:val="24"/>
            <w:szCs w:val="24"/>
          </w:rPr>
          <w:t>https://doi.org/10.1186/s42522-025-00160-w</w:t>
        </w:r>
      </w:hyperlink>
    </w:p>
    <w:p w14:paraId="59AA8BB1"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Punch, R., Azani, R., Ellison, C., Majury, A., Hynds, P.D., Payne, S.J., &amp; Brown, R.S. (2025). The surveillance of antimicrobial resistance in wastewater from a One Health perspective: A global scoping and temporal review (2014–2024). </w:t>
      </w:r>
      <w:r w:rsidRPr="00372231">
        <w:rPr>
          <w:rFonts w:ascii="Times New Roman" w:hAnsi="Times New Roman" w:cs="Times New Roman"/>
          <w:i/>
          <w:iCs/>
          <w:sz w:val="24"/>
          <w:szCs w:val="24"/>
        </w:rPr>
        <w:t>One Health, 21</w:t>
      </w:r>
      <w:r w:rsidRPr="00372231">
        <w:rPr>
          <w:rFonts w:ascii="Times New Roman" w:hAnsi="Times New Roman" w:cs="Times New Roman"/>
          <w:sz w:val="24"/>
          <w:szCs w:val="24"/>
        </w:rPr>
        <w:t xml:space="preserve">, 101139. </w:t>
      </w:r>
      <w:hyperlink r:id="rId65" w:history="1">
        <w:r w:rsidRPr="00372231">
          <w:rPr>
            <w:rStyle w:val="Hyperlink"/>
            <w:sz w:val="24"/>
            <w:szCs w:val="24"/>
          </w:rPr>
          <w:t>https://doi.org/10.1016/j.onehlt.2025.101139</w:t>
        </w:r>
      </w:hyperlink>
    </w:p>
    <w:p w14:paraId="7EBDE9A0" w14:textId="77777777" w:rsidR="006701F4" w:rsidRPr="00372231" w:rsidRDefault="006701F4">
      <w:pPr>
        <w:pStyle w:val="ListParagraph"/>
        <w:numPr>
          <w:ilvl w:val="0"/>
          <w:numId w:val="1"/>
        </w:numPr>
        <w:jc w:val="both"/>
        <w:rPr>
          <w:rFonts w:ascii="Times New Roman" w:hAnsi="Times New Roman" w:cs="Times New Roman"/>
          <w:sz w:val="24"/>
          <w:szCs w:val="24"/>
        </w:rPr>
      </w:pPr>
      <w:bookmarkStart w:id="7" w:name="_Hlk193898476"/>
      <w:r w:rsidRPr="00372231">
        <w:rPr>
          <w:rFonts w:ascii="Times New Roman" w:hAnsi="Times New Roman" w:cs="Times New Roman"/>
          <w:sz w:val="24"/>
          <w:szCs w:val="24"/>
        </w:rPr>
        <w:t xml:space="preserve">Roy, S., Dumont, M.G., Bradley, J.A., &amp; Hernández, M. (2025). Microbial interactions between climate warming and antimicrobial resistance threaten soil carbon storage and global health. </w:t>
      </w:r>
      <w:r w:rsidRPr="00372231">
        <w:rPr>
          <w:rFonts w:ascii="Times New Roman" w:hAnsi="Times New Roman" w:cs="Times New Roman"/>
          <w:i/>
          <w:iCs/>
          <w:sz w:val="24"/>
          <w:szCs w:val="24"/>
        </w:rPr>
        <w:t>The ISME journal, 19</w:t>
      </w:r>
      <w:r w:rsidRPr="00372231">
        <w:rPr>
          <w:rFonts w:ascii="Times New Roman" w:hAnsi="Times New Roman" w:cs="Times New Roman"/>
          <w:sz w:val="24"/>
          <w:szCs w:val="24"/>
        </w:rPr>
        <w:t xml:space="preserve">(1), wraf220. </w:t>
      </w:r>
      <w:hyperlink r:id="rId66" w:history="1">
        <w:r w:rsidRPr="00372231">
          <w:rPr>
            <w:rStyle w:val="Hyperlink"/>
            <w:sz w:val="24"/>
            <w:szCs w:val="24"/>
          </w:rPr>
          <w:t>https://doi.org/10.1093/ismejo/wraf220</w:t>
        </w:r>
      </w:hyperlink>
    </w:p>
    <w:p w14:paraId="56B8A7A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Sassi, A., Basher, N.S., Kirat, H., Meradji, S., Ibrahim, N.A., Idres, T., &amp; Touati, A. (2025). The Role of the Environment (Water, Air, Soil) in the Emergence and Dissemination of Antimicrobial Resistance: A One Health Perspective. </w:t>
      </w:r>
      <w:r w:rsidRPr="00372231">
        <w:rPr>
          <w:rFonts w:ascii="Times New Roman" w:hAnsi="Times New Roman" w:cs="Times New Roman"/>
          <w:i/>
          <w:iCs/>
          <w:sz w:val="24"/>
          <w:szCs w:val="24"/>
        </w:rPr>
        <w:t>Antibiotics (Basel, Switzerland), 14</w:t>
      </w:r>
      <w:r w:rsidRPr="00372231">
        <w:rPr>
          <w:rFonts w:ascii="Times New Roman" w:hAnsi="Times New Roman" w:cs="Times New Roman"/>
          <w:sz w:val="24"/>
          <w:szCs w:val="24"/>
        </w:rPr>
        <w:t xml:space="preserve">(8), 764. </w:t>
      </w:r>
      <w:hyperlink r:id="rId67" w:history="1">
        <w:r w:rsidRPr="00372231">
          <w:rPr>
            <w:rStyle w:val="Hyperlink"/>
            <w:sz w:val="24"/>
            <w:szCs w:val="24"/>
          </w:rPr>
          <w:t>https://doi.org/10.3390/antibiotics14080764</w:t>
        </w:r>
      </w:hyperlink>
    </w:p>
    <w:p w14:paraId="05043CFC"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lastRenderedPageBreak/>
        <w:t xml:space="preserve">Shafiq, M., Obinwanne Okoye, C., Nazar, M., Ali Khattak, W., &amp; Algammal, A.M. (2025). Ecological consequences of antimicrobial residues and bioactive chemicals on antimicrobial resistance in agroecosystems. </w:t>
      </w:r>
      <w:r w:rsidRPr="00372231">
        <w:rPr>
          <w:rFonts w:ascii="Times New Roman" w:hAnsi="Times New Roman" w:cs="Times New Roman"/>
          <w:i/>
          <w:iCs/>
          <w:sz w:val="24"/>
          <w:szCs w:val="24"/>
        </w:rPr>
        <w:t>Journal of advanced research, 74</w:t>
      </w:r>
      <w:r w:rsidRPr="00372231">
        <w:rPr>
          <w:rFonts w:ascii="Times New Roman" w:hAnsi="Times New Roman" w:cs="Times New Roman"/>
          <w:sz w:val="24"/>
          <w:szCs w:val="24"/>
        </w:rPr>
        <w:t xml:space="preserve">, 99–120. </w:t>
      </w:r>
      <w:hyperlink r:id="rId68" w:history="1">
        <w:r w:rsidRPr="00372231">
          <w:rPr>
            <w:rStyle w:val="Hyperlink"/>
            <w:sz w:val="24"/>
            <w:szCs w:val="24"/>
          </w:rPr>
          <w:t>https://doi.org/10.1016/j.jare.2024.10.013</w:t>
        </w:r>
      </w:hyperlink>
    </w:p>
    <w:p w14:paraId="0EA4536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Sharifmand, M., Sepehr, E., Rasouli-Sadaghiani, M., Asri-Rezaei, S., &amp; Rengel, Z. (2024). </w:t>
      </w:r>
      <w:r w:rsidRPr="00372231">
        <w:rPr>
          <w:rFonts w:ascii="Times New Roman" w:hAnsi="Times New Roman" w:cs="Times New Roman"/>
          <w:sz w:val="24"/>
          <w:szCs w:val="24"/>
        </w:rPr>
        <w:t xml:space="preserve">Antibiotics pollutants in agricultural soil: Kinetic, sorption, and thermodynamic of ciprofloxacin. </w:t>
      </w:r>
      <w:r w:rsidRPr="00372231">
        <w:rPr>
          <w:rFonts w:ascii="Times New Roman" w:hAnsi="Times New Roman" w:cs="Times New Roman"/>
          <w:i/>
          <w:iCs/>
          <w:sz w:val="24"/>
          <w:szCs w:val="24"/>
        </w:rPr>
        <w:t>Heliyon, 10</w:t>
      </w:r>
      <w:r w:rsidRPr="00372231">
        <w:rPr>
          <w:rFonts w:ascii="Times New Roman" w:hAnsi="Times New Roman" w:cs="Times New Roman"/>
          <w:sz w:val="24"/>
          <w:szCs w:val="24"/>
        </w:rPr>
        <w:t xml:space="preserve">(18), e37035. </w:t>
      </w:r>
      <w:hyperlink r:id="rId69" w:history="1">
        <w:r w:rsidRPr="00372231">
          <w:rPr>
            <w:rStyle w:val="Hyperlink"/>
            <w:sz w:val="24"/>
            <w:szCs w:val="24"/>
          </w:rPr>
          <w:t>https://doi.org/10.1016/j.heliyon.2024.e37035</w:t>
        </w:r>
      </w:hyperlink>
    </w:p>
    <w:p w14:paraId="5121928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eastAsia="Times New Roman" w:hAnsi="Times New Roman" w:cs="Times New Roman"/>
          <w:sz w:val="24"/>
          <w:szCs w:val="24"/>
        </w:rPr>
        <w:t xml:space="preserve">Shawver, S., Ishii, S., Strickland, M. S., &amp; Badgley, B. (2024). Soil type and moisture content alter soil microbial responses to manure from cattle administered antibiotics. </w:t>
      </w:r>
      <w:r w:rsidRPr="00372231">
        <w:rPr>
          <w:rFonts w:ascii="Times New Roman" w:eastAsia="Times New Roman" w:hAnsi="Times New Roman" w:cs="Times New Roman"/>
          <w:i/>
          <w:iCs/>
          <w:sz w:val="24"/>
          <w:szCs w:val="24"/>
        </w:rPr>
        <w:t>Environmental science and pollution research international, 31</w:t>
      </w:r>
      <w:r w:rsidRPr="00372231">
        <w:rPr>
          <w:rFonts w:ascii="Times New Roman" w:eastAsia="Times New Roman" w:hAnsi="Times New Roman" w:cs="Times New Roman"/>
          <w:sz w:val="24"/>
          <w:szCs w:val="24"/>
        </w:rPr>
        <w:t xml:space="preserve">(18), 27259–27272. </w:t>
      </w:r>
      <w:hyperlink r:id="rId70" w:history="1">
        <w:r w:rsidRPr="00372231">
          <w:rPr>
            <w:rStyle w:val="Hyperlink"/>
            <w:rFonts w:eastAsia="Times New Roman"/>
            <w:sz w:val="24"/>
            <w:szCs w:val="24"/>
          </w:rPr>
          <w:t>https://doi.org/10.1007/s11356-024-32903-z</w:t>
        </w:r>
      </w:hyperlink>
    </w:p>
    <w:p w14:paraId="0FFF30A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Shawver, S., Wepking, C., Ishii, S., Strickland, M.S., &amp; Badgley, B. (2021). Application of manure from cattle administered antibiotics has sustained multi-year impacts on soil resistome and microbial community structure. </w:t>
      </w:r>
      <w:r w:rsidRPr="00372231">
        <w:rPr>
          <w:rFonts w:ascii="Times New Roman" w:hAnsi="Times New Roman" w:cs="Times New Roman"/>
          <w:i/>
          <w:iCs/>
          <w:sz w:val="24"/>
          <w:szCs w:val="24"/>
        </w:rPr>
        <w:t>Soil Biology and Biochemistry, 157,</w:t>
      </w:r>
      <w:r w:rsidRPr="00372231">
        <w:rPr>
          <w:rFonts w:ascii="Times New Roman" w:hAnsi="Times New Roman" w:cs="Times New Roman"/>
          <w:sz w:val="24"/>
          <w:szCs w:val="24"/>
        </w:rPr>
        <w:t xml:space="preserve"> 108252. </w:t>
      </w:r>
      <w:hyperlink r:id="rId71" w:history="1">
        <w:r w:rsidRPr="00372231">
          <w:rPr>
            <w:rStyle w:val="Hyperlink"/>
            <w:sz w:val="24"/>
            <w:szCs w:val="24"/>
          </w:rPr>
          <w:t>https://doi.org/10.1016/j.soilbio.2021.108252</w:t>
        </w:r>
      </w:hyperlink>
    </w:p>
    <w:p w14:paraId="4BF9D71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Shen, L.Q., Lin, D., Ye, Y.Q., Liu, Y., Ni, B., Wu, D., Wang, L., &amp; Zhu, D. (2025). Combined pesticide pollution enhances the dissemination of the phage-encoded antibiotic resistome in the soil under nitrogen deposition. </w:t>
      </w:r>
      <w:r w:rsidRPr="00372231">
        <w:rPr>
          <w:rFonts w:ascii="Times New Roman" w:hAnsi="Times New Roman" w:cs="Times New Roman"/>
          <w:i/>
          <w:iCs/>
          <w:sz w:val="24"/>
          <w:szCs w:val="24"/>
        </w:rPr>
        <w:t>Proceedings of the National Academy of Sciences of the United States of America, 122</w:t>
      </w:r>
      <w:r w:rsidRPr="00372231">
        <w:rPr>
          <w:rFonts w:ascii="Times New Roman" w:hAnsi="Times New Roman" w:cs="Times New Roman"/>
          <w:sz w:val="24"/>
          <w:szCs w:val="24"/>
        </w:rPr>
        <w:t xml:space="preserve">(40), e2516722122. </w:t>
      </w:r>
      <w:hyperlink r:id="rId72" w:history="1">
        <w:r w:rsidRPr="00372231">
          <w:rPr>
            <w:rStyle w:val="Hyperlink"/>
            <w:sz w:val="24"/>
            <w:szCs w:val="24"/>
          </w:rPr>
          <w:t>https://doi.org/10.1073/pnas.2516722122</w:t>
        </w:r>
      </w:hyperlink>
    </w:p>
    <w:p w14:paraId="4ABEAE6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Slobodiuk, S., Niven, C., Arthur, G., Thakur, S., Ercumen, A. (2021). Does Irrigation with Treated and Untreated Wastewater Increase Antimicrobial Resistance in Soil and Water: A Systematic Review. </w:t>
      </w:r>
      <w:r w:rsidRPr="00372231">
        <w:rPr>
          <w:rFonts w:ascii="Times New Roman" w:hAnsi="Times New Roman" w:cs="Times New Roman"/>
          <w:i/>
          <w:iCs/>
          <w:sz w:val="24"/>
          <w:szCs w:val="24"/>
        </w:rPr>
        <w:t>International Journal of Environmental Research and Public Health</w:t>
      </w:r>
      <w:r w:rsidRPr="00372231">
        <w:rPr>
          <w:rFonts w:ascii="Times New Roman" w:hAnsi="Times New Roman" w:cs="Times New Roman"/>
          <w:sz w:val="24"/>
          <w:szCs w:val="24"/>
        </w:rPr>
        <w:t xml:space="preserve">, 18, 11046. </w:t>
      </w:r>
    </w:p>
    <w:p w14:paraId="1035A613"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Sorinolu, A.J., Tyagi, N., Kumar, A., Munir, M. (2021). Antibiotic resistance development and human health risks during wastewater reuse and biosolids application in agriculture. </w:t>
      </w:r>
      <w:r w:rsidRPr="00372231">
        <w:rPr>
          <w:rFonts w:ascii="Times New Roman" w:hAnsi="Times New Roman" w:cs="Times New Roman"/>
          <w:i/>
          <w:iCs/>
          <w:sz w:val="24"/>
          <w:szCs w:val="24"/>
        </w:rPr>
        <w:t>Chemosphere, 265</w:t>
      </w:r>
      <w:r w:rsidRPr="00372231">
        <w:rPr>
          <w:rFonts w:ascii="Times New Roman" w:hAnsi="Times New Roman" w:cs="Times New Roman"/>
          <w:sz w:val="24"/>
          <w:szCs w:val="24"/>
        </w:rPr>
        <w:t>, 129032.</w:t>
      </w:r>
    </w:p>
    <w:p w14:paraId="7530D5A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Ste Marie, J., Mays, C., Guo, B., Radniecki, T.S., Waite-Cusic, J., &amp; Navab-Daneshmand, T. (2025). Longitudinal replicated metagenomic analysis of biosolids-amended soils reveals enrichment of ARGs, virulence factors, and ESKAPE pathogens.</w:t>
      </w:r>
      <w:r w:rsidRPr="00372231">
        <w:rPr>
          <w:rFonts w:ascii="Times New Roman" w:hAnsi="Times New Roman" w:cs="Times New Roman"/>
          <w:i/>
          <w:iCs/>
          <w:sz w:val="24"/>
          <w:szCs w:val="24"/>
        </w:rPr>
        <w:t xml:space="preserve"> npj antimicrobials and resistance, 3</w:t>
      </w:r>
      <w:r w:rsidRPr="00372231">
        <w:rPr>
          <w:rFonts w:ascii="Times New Roman" w:hAnsi="Times New Roman" w:cs="Times New Roman"/>
          <w:sz w:val="24"/>
          <w:szCs w:val="24"/>
        </w:rPr>
        <w:t xml:space="preserve">(1), 96. </w:t>
      </w:r>
      <w:hyperlink r:id="rId73" w:history="1">
        <w:r w:rsidRPr="00372231">
          <w:rPr>
            <w:rStyle w:val="Hyperlink"/>
            <w:sz w:val="24"/>
            <w:szCs w:val="24"/>
          </w:rPr>
          <w:t>https://doi.org/10.1038/s44259-025-00166-4</w:t>
        </w:r>
      </w:hyperlink>
    </w:p>
    <w:p w14:paraId="6D81750E" w14:textId="77777777" w:rsidR="006701F4" w:rsidRDefault="006701F4" w:rsidP="00623185">
      <w:pPr>
        <w:pStyle w:val="ListParagraph"/>
        <w:numPr>
          <w:ilvl w:val="0"/>
          <w:numId w:val="1"/>
        </w:numPr>
        <w:jc w:val="both"/>
        <w:rPr>
          <w:rFonts w:ascii="Times New Roman" w:hAnsi="Times New Roman" w:cs="Times New Roman"/>
          <w:sz w:val="24"/>
          <w:szCs w:val="24"/>
        </w:rPr>
      </w:pPr>
      <w:r w:rsidRPr="00623185">
        <w:rPr>
          <w:rFonts w:ascii="Times New Roman" w:hAnsi="Times New Roman" w:cs="Times New Roman"/>
          <w:sz w:val="24"/>
          <w:szCs w:val="24"/>
        </w:rPr>
        <w:t xml:space="preserve">Tayeb, S. M., Alharbi, J. A., Alattas, B. B., Alotaibi, D. M., Althibaiti, N. M., Alharbi, J. F., SafirAldeen, A. E., Alqurashi, I. R., &amp; Wali, S. M. (2025). Promising Future of Novel Beta-Lactam Antibiotics Against Bacterial Resistance. </w:t>
      </w:r>
      <w:r w:rsidRPr="00623185">
        <w:rPr>
          <w:rFonts w:ascii="Times New Roman" w:hAnsi="Times New Roman" w:cs="Times New Roman"/>
          <w:i/>
          <w:iCs/>
          <w:sz w:val="24"/>
          <w:szCs w:val="24"/>
        </w:rPr>
        <w:t>Drug design, development and therapy, 19</w:t>
      </w:r>
      <w:r w:rsidRPr="00623185">
        <w:rPr>
          <w:rFonts w:ascii="Times New Roman" w:hAnsi="Times New Roman" w:cs="Times New Roman"/>
          <w:sz w:val="24"/>
          <w:szCs w:val="24"/>
        </w:rPr>
        <w:t xml:space="preserve">, 9185–9197. </w:t>
      </w:r>
      <w:hyperlink r:id="rId74" w:history="1">
        <w:r w:rsidRPr="009973F2">
          <w:rPr>
            <w:rStyle w:val="Hyperlink"/>
            <w:rFonts w:eastAsia="Calibri"/>
            <w:sz w:val="24"/>
            <w:szCs w:val="24"/>
          </w:rPr>
          <w:t>https://doi.org/10.2147/DDDT.S551862</w:t>
        </w:r>
      </w:hyperlink>
    </w:p>
    <w:bookmarkEnd w:id="7"/>
    <w:p w14:paraId="1A749100"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Trinchera, M., De Gaetano, S., Sole, E., Midiri, A., Silvestro, S., Mancuso, G., Catalano, T., &amp; Biondo, C. (2025). Antimicrobials in livestock farming and resistance: Public health implications. </w:t>
      </w:r>
      <w:r w:rsidRPr="00372231">
        <w:rPr>
          <w:rFonts w:ascii="Times New Roman" w:hAnsi="Times New Roman" w:cs="Times New Roman"/>
          <w:i/>
          <w:iCs/>
          <w:sz w:val="24"/>
          <w:szCs w:val="24"/>
        </w:rPr>
        <w:t>Antibiotics, 14</w:t>
      </w:r>
      <w:r w:rsidRPr="00372231">
        <w:rPr>
          <w:rFonts w:ascii="Times New Roman" w:hAnsi="Times New Roman" w:cs="Times New Roman"/>
          <w:sz w:val="24"/>
          <w:szCs w:val="24"/>
        </w:rPr>
        <w:t xml:space="preserve">(6), 606. </w:t>
      </w:r>
      <w:hyperlink r:id="rId75" w:history="1">
        <w:r w:rsidRPr="00372231">
          <w:rPr>
            <w:rStyle w:val="Hyperlink"/>
            <w:sz w:val="24"/>
            <w:szCs w:val="24"/>
          </w:rPr>
          <w:t>https://doi.org/10.3390/antibiotics14060606</w:t>
        </w:r>
      </w:hyperlink>
    </w:p>
    <w:p w14:paraId="04EB6AAB"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9D2150">
        <w:rPr>
          <w:rFonts w:ascii="Times New Roman" w:eastAsia="Times New Roman" w:hAnsi="Times New Roman" w:cs="Times New Roman"/>
          <w:sz w:val="24"/>
          <w:szCs w:val="24"/>
          <w:lang w:val="de-DE"/>
        </w:rPr>
        <w:lastRenderedPageBreak/>
        <w:t xml:space="preserve">Trotta, V., Baaloudj, O., &amp; Brienza, M. (2024). </w:t>
      </w:r>
      <w:r w:rsidRPr="00372231">
        <w:rPr>
          <w:rFonts w:ascii="Times New Roman" w:eastAsia="Times New Roman" w:hAnsi="Times New Roman" w:cs="Times New Roman"/>
          <w:sz w:val="24"/>
          <w:szCs w:val="24"/>
        </w:rPr>
        <w:t xml:space="preserve">Risks associated with wastewater reuse in agriculture: Investigating the effects of contaminants in soil, plants, and insects. </w:t>
      </w:r>
      <w:r w:rsidRPr="00372231">
        <w:rPr>
          <w:rFonts w:ascii="Times New Roman" w:eastAsia="Times New Roman" w:hAnsi="Times New Roman" w:cs="Times New Roman"/>
          <w:i/>
          <w:iCs/>
          <w:sz w:val="24"/>
          <w:szCs w:val="24"/>
        </w:rPr>
        <w:t>Frontiers in Environmental Science, 12</w:t>
      </w:r>
      <w:r w:rsidRPr="00372231">
        <w:rPr>
          <w:rFonts w:ascii="Times New Roman" w:eastAsia="Times New Roman" w:hAnsi="Times New Roman" w:cs="Times New Roman"/>
          <w:sz w:val="24"/>
          <w:szCs w:val="24"/>
        </w:rPr>
        <w:t xml:space="preserve">, 1358842. </w:t>
      </w:r>
      <w:hyperlink r:id="rId76" w:history="1">
        <w:r w:rsidRPr="00372231">
          <w:rPr>
            <w:rStyle w:val="Hyperlink"/>
            <w:rFonts w:eastAsia="Times New Roman"/>
            <w:sz w:val="24"/>
            <w:szCs w:val="24"/>
          </w:rPr>
          <w:t>https://doi.org/10.3389/fenvs.2024.1358842</w:t>
        </w:r>
      </w:hyperlink>
    </w:p>
    <w:p w14:paraId="5667E867"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hAnsi="Times New Roman" w:cs="Times New Roman"/>
          <w:sz w:val="24"/>
          <w:szCs w:val="24"/>
        </w:rPr>
        <w:t xml:space="preserve">Van Laere, Y., Fraiture, M.A., Gobbo, A., De Keersmaecker, S.C.J., Marchal, K., Roosens, N.H.C., &amp; Vanneste, K. (2025). Assessing the authenticity and purity of a commercial </w:t>
      </w:r>
      <w:r w:rsidRPr="00372231">
        <w:rPr>
          <w:rFonts w:ascii="Times New Roman" w:hAnsi="Times New Roman" w:cs="Times New Roman"/>
          <w:i/>
          <w:iCs/>
          <w:sz w:val="24"/>
          <w:szCs w:val="24"/>
        </w:rPr>
        <w:t>Bacillus</w:t>
      </w:r>
      <w:r w:rsidRPr="00372231">
        <w:rPr>
          <w:rFonts w:ascii="Times New Roman" w:hAnsi="Times New Roman" w:cs="Times New Roman"/>
          <w:sz w:val="24"/>
          <w:szCs w:val="24"/>
        </w:rPr>
        <w:t xml:space="preserve"> thuringiensis bioinsecticide through whole genome sequencing and metagenomics approaches. </w:t>
      </w:r>
      <w:r w:rsidRPr="00372231">
        <w:rPr>
          <w:rFonts w:ascii="Times New Roman" w:hAnsi="Times New Roman" w:cs="Times New Roman"/>
          <w:i/>
          <w:iCs/>
          <w:sz w:val="24"/>
          <w:szCs w:val="24"/>
        </w:rPr>
        <w:t>Frontiers in microbiology, 16</w:t>
      </w:r>
      <w:r w:rsidRPr="00372231">
        <w:rPr>
          <w:rFonts w:ascii="Times New Roman" w:hAnsi="Times New Roman" w:cs="Times New Roman"/>
          <w:sz w:val="24"/>
          <w:szCs w:val="24"/>
        </w:rPr>
        <w:t xml:space="preserve">, 1532788. </w:t>
      </w:r>
      <w:hyperlink r:id="rId77" w:history="1">
        <w:r w:rsidRPr="00372231">
          <w:rPr>
            <w:rStyle w:val="Hyperlink"/>
            <w:sz w:val="24"/>
            <w:szCs w:val="24"/>
          </w:rPr>
          <w:t>https://doi.org/10.3389/fmicb.2025.1532788</w:t>
        </w:r>
      </w:hyperlink>
    </w:p>
    <w:bookmarkEnd w:id="6"/>
    <w:p w14:paraId="6B4B9FCA" w14:textId="77777777" w:rsidR="006701F4" w:rsidRDefault="006701F4" w:rsidP="00623185">
      <w:pPr>
        <w:pStyle w:val="ListParagraph"/>
        <w:numPr>
          <w:ilvl w:val="0"/>
          <w:numId w:val="1"/>
        </w:numPr>
        <w:spacing w:before="240"/>
        <w:jc w:val="both"/>
        <w:rPr>
          <w:rFonts w:ascii="Times New Roman" w:hAnsi="Times New Roman" w:cs="Times New Roman"/>
          <w:sz w:val="24"/>
          <w:szCs w:val="24"/>
        </w:rPr>
      </w:pPr>
      <w:r w:rsidRPr="00623185">
        <w:rPr>
          <w:rFonts w:ascii="Times New Roman" w:hAnsi="Times New Roman" w:cs="Times New Roman"/>
          <w:sz w:val="24"/>
          <w:szCs w:val="24"/>
        </w:rPr>
        <w:t xml:space="preserve">Wachino J. I. (2025). Horizontal Gene Transfer Systems for Spread of Antibiotic Resistance in Gram-Negative Bacteria. </w:t>
      </w:r>
      <w:r w:rsidRPr="00623185">
        <w:rPr>
          <w:rFonts w:ascii="Times New Roman" w:hAnsi="Times New Roman" w:cs="Times New Roman"/>
          <w:i/>
          <w:iCs/>
          <w:sz w:val="24"/>
          <w:szCs w:val="24"/>
        </w:rPr>
        <w:t>Microbiology and immunology, 69</w:t>
      </w:r>
      <w:r w:rsidRPr="00623185">
        <w:rPr>
          <w:rFonts w:ascii="Times New Roman" w:hAnsi="Times New Roman" w:cs="Times New Roman"/>
          <w:sz w:val="24"/>
          <w:szCs w:val="24"/>
        </w:rPr>
        <w:t xml:space="preserve">(7), 367–376. </w:t>
      </w:r>
      <w:hyperlink r:id="rId78" w:history="1">
        <w:r w:rsidRPr="009973F2">
          <w:rPr>
            <w:rStyle w:val="Hyperlink"/>
            <w:rFonts w:eastAsia="Calibri"/>
            <w:sz w:val="24"/>
            <w:szCs w:val="24"/>
          </w:rPr>
          <w:t>https://doi.org/10.1111/1348-0421.13222</w:t>
        </w:r>
      </w:hyperlink>
    </w:p>
    <w:bookmarkEnd w:id="5"/>
    <w:p w14:paraId="4F3E098F"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9D2150">
        <w:rPr>
          <w:rFonts w:ascii="Times New Roman" w:hAnsi="Times New Roman" w:cs="Times New Roman"/>
          <w:sz w:val="24"/>
          <w:szCs w:val="24"/>
          <w:lang w:val="de-DE"/>
        </w:rPr>
        <w:t xml:space="preserve">Wang, G., Gao, X., Cai, Y., Li, G., Ma, R., &amp; Yuan, J. (2024). </w:t>
      </w:r>
      <w:r w:rsidRPr="00372231">
        <w:rPr>
          <w:rFonts w:ascii="Times New Roman" w:hAnsi="Times New Roman" w:cs="Times New Roman"/>
          <w:sz w:val="24"/>
          <w:szCs w:val="24"/>
        </w:rPr>
        <w:t>Dynamics of antibiotic resistance genes during manure composting: Reduction in herbivores manure and accumulation in carnivores</w:t>
      </w:r>
      <w:r w:rsidRPr="00372231">
        <w:rPr>
          <w:rFonts w:ascii="Times New Roman" w:hAnsi="Times New Roman" w:cs="Times New Roman"/>
          <w:i/>
          <w:iCs/>
          <w:sz w:val="24"/>
          <w:szCs w:val="24"/>
        </w:rPr>
        <w:t>. Environment international, 190</w:t>
      </w:r>
      <w:r w:rsidRPr="00372231">
        <w:rPr>
          <w:rFonts w:ascii="Times New Roman" w:hAnsi="Times New Roman" w:cs="Times New Roman"/>
          <w:sz w:val="24"/>
          <w:szCs w:val="24"/>
        </w:rPr>
        <w:t xml:space="preserve">, 108900. </w:t>
      </w:r>
      <w:hyperlink r:id="rId79" w:history="1">
        <w:r w:rsidRPr="00372231">
          <w:rPr>
            <w:rStyle w:val="Hyperlink"/>
            <w:sz w:val="24"/>
            <w:szCs w:val="24"/>
          </w:rPr>
          <w:t>https://doi.org/10.1016/j.envint.2024.108900</w:t>
        </w:r>
      </w:hyperlink>
    </w:p>
    <w:p w14:paraId="1A01927C" w14:textId="77777777" w:rsidR="006701F4" w:rsidRPr="00372231" w:rsidRDefault="006701F4">
      <w:pPr>
        <w:pStyle w:val="ListParagraph"/>
        <w:numPr>
          <w:ilvl w:val="0"/>
          <w:numId w:val="1"/>
        </w:numPr>
        <w:spacing w:line="360" w:lineRule="auto"/>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Wang, J., Wang, L., Zhu, L., Wang, J., &amp; Xing, B. (2022). </w:t>
      </w:r>
      <w:r w:rsidRPr="00372231">
        <w:rPr>
          <w:rFonts w:ascii="Times New Roman" w:hAnsi="Times New Roman" w:cs="Times New Roman"/>
          <w:sz w:val="24"/>
          <w:szCs w:val="24"/>
        </w:rPr>
        <w:t>Antibiotic resistance in agricultural soils: Source, fate, mechanism and attenuation strategy. </w:t>
      </w:r>
      <w:r w:rsidRPr="00372231">
        <w:rPr>
          <w:rFonts w:ascii="Times New Roman" w:hAnsi="Times New Roman" w:cs="Times New Roman"/>
          <w:i/>
          <w:iCs/>
          <w:sz w:val="24"/>
          <w:szCs w:val="24"/>
        </w:rPr>
        <w:t>Critical Reviews in Environmental Science and Technology, 52</w:t>
      </w:r>
      <w:r w:rsidRPr="00372231">
        <w:rPr>
          <w:rFonts w:ascii="Times New Roman" w:hAnsi="Times New Roman" w:cs="Times New Roman"/>
          <w:sz w:val="24"/>
          <w:szCs w:val="24"/>
        </w:rPr>
        <w:t xml:space="preserve">(6), 847–889. </w:t>
      </w:r>
      <w:hyperlink r:id="rId80" w:history="1">
        <w:r w:rsidRPr="00372231">
          <w:rPr>
            <w:rStyle w:val="Hyperlink"/>
            <w:sz w:val="24"/>
            <w:szCs w:val="24"/>
          </w:rPr>
          <w:t>https://doi.org/10.1080/10643389.2020.1835438</w:t>
        </w:r>
      </w:hyperlink>
    </w:p>
    <w:p w14:paraId="495D693A"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9D2150">
        <w:rPr>
          <w:rFonts w:ascii="Times New Roman" w:hAnsi="Times New Roman" w:cs="Times New Roman"/>
          <w:sz w:val="24"/>
          <w:szCs w:val="24"/>
          <w:lang w:val="de-DE"/>
        </w:rPr>
        <w:t xml:space="preserve">Wang, L., Gu, X., Hui, K., Yu, T., Yuan, Y., Chen, G., &amp; Tan, W. (2025). </w:t>
      </w:r>
      <w:r w:rsidRPr="00372231">
        <w:rPr>
          <w:rFonts w:ascii="Times New Roman" w:hAnsi="Times New Roman" w:cs="Times New Roman"/>
          <w:sz w:val="24"/>
          <w:szCs w:val="24"/>
        </w:rPr>
        <w:t xml:space="preserve">Interactions between antibiotic resistance genes and soil environmental factors: Coupling, antagonism, and synergism. </w:t>
      </w:r>
      <w:r w:rsidRPr="00372231">
        <w:rPr>
          <w:rFonts w:ascii="Times New Roman" w:hAnsi="Times New Roman" w:cs="Times New Roman"/>
          <w:i/>
          <w:iCs/>
          <w:sz w:val="24"/>
          <w:szCs w:val="24"/>
        </w:rPr>
        <w:t>Emerging Contaminants, 11</w:t>
      </w:r>
      <w:r w:rsidRPr="00372231">
        <w:rPr>
          <w:rFonts w:ascii="Times New Roman" w:hAnsi="Times New Roman" w:cs="Times New Roman"/>
          <w:sz w:val="24"/>
          <w:szCs w:val="24"/>
        </w:rPr>
        <w:t xml:space="preserve">(4), 100578. https://doi.org/10.1016/j.emcon.2025.100578 </w:t>
      </w:r>
    </w:p>
    <w:p w14:paraId="1F9AA92B"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Wang, Y., Liu, Q., Ran, H., Peng, P., Wang, Y., Peng, G., Wu, Y., &amp; Wen, X. (2025). </w:t>
      </w:r>
      <w:r w:rsidRPr="00372231">
        <w:rPr>
          <w:rFonts w:ascii="Times New Roman" w:hAnsi="Times New Roman" w:cs="Times New Roman"/>
          <w:sz w:val="24"/>
          <w:szCs w:val="24"/>
        </w:rPr>
        <w:t xml:space="preserve">Residual ciprofloxacin in chicken manure inhibits methane production in an anaerobic digestion system. </w:t>
      </w:r>
      <w:r w:rsidRPr="00372231">
        <w:rPr>
          <w:rFonts w:ascii="Times New Roman" w:hAnsi="Times New Roman" w:cs="Times New Roman"/>
          <w:i/>
          <w:iCs/>
          <w:sz w:val="24"/>
          <w:szCs w:val="24"/>
        </w:rPr>
        <w:t>Poultry science, 104</w:t>
      </w:r>
      <w:r w:rsidRPr="00372231">
        <w:rPr>
          <w:rFonts w:ascii="Times New Roman" w:hAnsi="Times New Roman" w:cs="Times New Roman"/>
          <w:sz w:val="24"/>
          <w:szCs w:val="24"/>
        </w:rPr>
        <w:t xml:space="preserve">(1), 104539. </w:t>
      </w:r>
      <w:hyperlink r:id="rId81" w:history="1">
        <w:r w:rsidRPr="00372231">
          <w:rPr>
            <w:rStyle w:val="Hyperlink"/>
            <w:sz w:val="24"/>
            <w:szCs w:val="24"/>
          </w:rPr>
          <w:t>https://doi.org/10.1016/j.psj.2024.104539</w:t>
        </w:r>
      </w:hyperlink>
    </w:p>
    <w:p w14:paraId="0B589AF6"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Wasan, H., Singh, D., Reeta, K.H., &amp; Gupta, Y.K. (2023). Landscape of push funding in antibiotic research: Current status and way forward. </w:t>
      </w:r>
      <w:r w:rsidRPr="00372231">
        <w:rPr>
          <w:rFonts w:ascii="Times New Roman" w:hAnsi="Times New Roman" w:cs="Times New Roman"/>
          <w:i/>
          <w:iCs/>
          <w:sz w:val="24"/>
          <w:szCs w:val="24"/>
        </w:rPr>
        <w:t>Biology, 12</w:t>
      </w:r>
      <w:r w:rsidRPr="00372231">
        <w:rPr>
          <w:rFonts w:ascii="Times New Roman" w:hAnsi="Times New Roman" w:cs="Times New Roman"/>
          <w:sz w:val="24"/>
          <w:szCs w:val="24"/>
        </w:rPr>
        <w:t xml:space="preserve">(1), 101. </w:t>
      </w:r>
      <w:hyperlink r:id="rId82" w:history="1">
        <w:r w:rsidRPr="00372231">
          <w:rPr>
            <w:rStyle w:val="Hyperlink"/>
            <w:sz w:val="24"/>
            <w:szCs w:val="24"/>
          </w:rPr>
          <w:t>https://doi.org/10.3390/biology12010101</w:t>
        </w:r>
      </w:hyperlink>
    </w:p>
    <w:p w14:paraId="613D75A7"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eastAsia="Times New Roman" w:hAnsi="Times New Roman" w:cs="Times New Roman"/>
          <w:sz w:val="24"/>
          <w:szCs w:val="24"/>
        </w:rPr>
        <w:t xml:space="preserve">Woolhouse M.E.J. (2024). One Health approaches to tackling antimicrobial resistance. </w:t>
      </w:r>
      <w:r w:rsidRPr="00372231">
        <w:rPr>
          <w:rFonts w:ascii="Times New Roman" w:eastAsia="Times New Roman" w:hAnsi="Times New Roman" w:cs="Times New Roman"/>
          <w:i/>
          <w:iCs/>
          <w:sz w:val="24"/>
          <w:szCs w:val="24"/>
        </w:rPr>
        <w:t>Science in One Health, 3</w:t>
      </w:r>
      <w:r w:rsidRPr="00372231">
        <w:rPr>
          <w:rFonts w:ascii="Times New Roman" w:eastAsia="Times New Roman" w:hAnsi="Times New Roman" w:cs="Times New Roman"/>
          <w:sz w:val="24"/>
          <w:szCs w:val="24"/>
        </w:rPr>
        <w:t xml:space="preserve">, 100082. </w:t>
      </w:r>
      <w:hyperlink r:id="rId83" w:history="1">
        <w:r w:rsidRPr="00372231">
          <w:rPr>
            <w:rStyle w:val="Hyperlink"/>
            <w:rFonts w:eastAsia="Times New Roman"/>
            <w:sz w:val="24"/>
            <w:szCs w:val="24"/>
          </w:rPr>
          <w:t>https://doi.org/10.1016/j.soh.2024.100082</w:t>
        </w:r>
      </w:hyperlink>
    </w:p>
    <w:bookmarkEnd w:id="4"/>
    <w:p w14:paraId="0DD780E8"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World Health Organization. (2023). </w:t>
      </w:r>
      <w:r w:rsidRPr="00372231">
        <w:rPr>
          <w:rFonts w:ascii="Times New Roman" w:hAnsi="Times New Roman" w:cs="Times New Roman"/>
          <w:i/>
          <w:iCs/>
          <w:sz w:val="24"/>
          <w:szCs w:val="24"/>
        </w:rPr>
        <w:t>Antimicrobial resistance</w:t>
      </w:r>
      <w:r w:rsidRPr="00372231">
        <w:rPr>
          <w:rFonts w:ascii="Times New Roman" w:hAnsi="Times New Roman" w:cs="Times New Roman"/>
          <w:sz w:val="24"/>
          <w:szCs w:val="24"/>
        </w:rPr>
        <w:t xml:space="preserve"> (Fact sheet).</w:t>
      </w:r>
    </w:p>
    <w:p w14:paraId="1F78F3B7" w14:textId="77777777" w:rsidR="006701F4" w:rsidRPr="00372231" w:rsidRDefault="006701F4">
      <w:pPr>
        <w:pStyle w:val="ListParagraph"/>
        <w:numPr>
          <w:ilvl w:val="0"/>
          <w:numId w:val="1"/>
        </w:numPr>
        <w:jc w:val="both"/>
        <w:rPr>
          <w:rFonts w:ascii="Times New Roman" w:eastAsia="Times New Roman" w:hAnsi="Times New Roman" w:cs="Times New Roman"/>
          <w:sz w:val="24"/>
          <w:szCs w:val="24"/>
        </w:rPr>
      </w:pPr>
      <w:r w:rsidRPr="00372231">
        <w:rPr>
          <w:rFonts w:ascii="Times New Roman" w:hAnsi="Times New Roman" w:cs="Times New Roman"/>
          <w:sz w:val="24"/>
          <w:szCs w:val="24"/>
        </w:rPr>
        <w:t xml:space="preserve">World Health Organization. (2024). </w:t>
      </w:r>
      <w:r w:rsidRPr="00372231">
        <w:rPr>
          <w:rFonts w:ascii="Times New Roman" w:hAnsi="Times New Roman" w:cs="Times New Roman"/>
          <w:i/>
          <w:iCs/>
          <w:sz w:val="24"/>
          <w:szCs w:val="24"/>
        </w:rPr>
        <w:t xml:space="preserve">Supporting countries with national action plan implementation and monitoring. </w:t>
      </w:r>
    </w:p>
    <w:p w14:paraId="7E2A6621"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World Organisation for Animal Health. (2024). Terrestrial Animal Health Code: Chapter 6.10. </w:t>
      </w:r>
      <w:r w:rsidRPr="00372231">
        <w:rPr>
          <w:rFonts w:ascii="Times New Roman" w:hAnsi="Times New Roman" w:cs="Times New Roman"/>
          <w:i/>
          <w:iCs/>
          <w:sz w:val="24"/>
          <w:szCs w:val="24"/>
        </w:rPr>
        <w:t>Responsible and prudent use of antimicrobial agents in veterinary medicine</w:t>
      </w:r>
      <w:r w:rsidRPr="00372231">
        <w:rPr>
          <w:rFonts w:ascii="Times New Roman" w:hAnsi="Times New Roman" w:cs="Times New Roman"/>
          <w:sz w:val="24"/>
          <w:szCs w:val="24"/>
        </w:rPr>
        <w:t xml:space="preserve">. </w:t>
      </w:r>
    </w:p>
    <w:p w14:paraId="3B9CF819" w14:textId="77777777" w:rsidR="006701F4" w:rsidRPr="00372231" w:rsidRDefault="006701F4">
      <w:pPr>
        <w:pStyle w:val="ListParagraph"/>
        <w:numPr>
          <w:ilvl w:val="0"/>
          <w:numId w:val="1"/>
        </w:numPr>
        <w:jc w:val="both"/>
        <w:rPr>
          <w:rFonts w:ascii="Times New Roman" w:hAnsi="Times New Roman" w:cs="Times New Roman"/>
          <w:sz w:val="24"/>
          <w:szCs w:val="24"/>
        </w:rPr>
      </w:pPr>
      <w:r w:rsidRPr="009D2150">
        <w:rPr>
          <w:rFonts w:ascii="Times New Roman" w:eastAsia="Times New Roman" w:hAnsi="Times New Roman" w:cs="Times New Roman"/>
          <w:sz w:val="24"/>
          <w:szCs w:val="24"/>
          <w:lang w:val="de-DE"/>
        </w:rPr>
        <w:t xml:space="preserve">Wu, R., Fang, J., Yang, Y., Liu, L., Liu, H., &amp; Du, S. (2025). </w:t>
      </w:r>
      <w:r w:rsidRPr="00372231">
        <w:rPr>
          <w:rFonts w:ascii="Times New Roman" w:eastAsia="Times New Roman" w:hAnsi="Times New Roman" w:cs="Times New Roman"/>
          <w:sz w:val="24"/>
          <w:szCs w:val="24"/>
        </w:rPr>
        <w:t xml:space="preserve">Transmission pathways and intrinsic mechanisms of antibiotic resistance genes in soil-plant systems: A </w:t>
      </w:r>
      <w:r w:rsidRPr="00372231">
        <w:rPr>
          <w:rFonts w:ascii="Times New Roman" w:eastAsia="Times New Roman" w:hAnsi="Times New Roman" w:cs="Times New Roman"/>
          <w:sz w:val="24"/>
          <w:szCs w:val="24"/>
        </w:rPr>
        <w:lastRenderedPageBreak/>
        <w:t xml:space="preserve">review. </w:t>
      </w:r>
      <w:r w:rsidRPr="00372231">
        <w:rPr>
          <w:rFonts w:ascii="Times New Roman" w:eastAsia="Times New Roman" w:hAnsi="Times New Roman" w:cs="Times New Roman"/>
          <w:i/>
          <w:iCs/>
          <w:sz w:val="24"/>
          <w:szCs w:val="24"/>
        </w:rPr>
        <w:t>Environmental Technology &amp; Innovation, 37</w:t>
      </w:r>
      <w:r w:rsidRPr="00372231">
        <w:rPr>
          <w:rFonts w:ascii="Times New Roman" w:eastAsia="Times New Roman" w:hAnsi="Times New Roman" w:cs="Times New Roman"/>
          <w:sz w:val="24"/>
          <w:szCs w:val="24"/>
        </w:rPr>
        <w:t xml:space="preserve">, 103985. </w:t>
      </w:r>
      <w:hyperlink r:id="rId84" w:history="1">
        <w:r w:rsidRPr="00372231">
          <w:rPr>
            <w:rStyle w:val="Hyperlink"/>
            <w:rFonts w:eastAsia="Times New Roman"/>
            <w:sz w:val="24"/>
            <w:szCs w:val="24"/>
          </w:rPr>
          <w:t>https://doi.org/10.1016/j.eti.2024.103985</w:t>
        </w:r>
      </w:hyperlink>
    </w:p>
    <w:p w14:paraId="0FE6B785"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Yordanova, R., Platikanova, M., &amp; Hristova, P. (2024). The use of antibiotics in food animals: A threat to human health. </w:t>
      </w:r>
      <w:r w:rsidRPr="00372231">
        <w:rPr>
          <w:rFonts w:ascii="Times New Roman" w:hAnsi="Times New Roman" w:cs="Times New Roman"/>
          <w:i/>
          <w:iCs/>
          <w:sz w:val="24"/>
          <w:szCs w:val="24"/>
        </w:rPr>
        <w:t>Journal of IMAB – Annual Proceeding (Scientific Papers), 30</w:t>
      </w:r>
      <w:r w:rsidRPr="00372231">
        <w:rPr>
          <w:rFonts w:ascii="Times New Roman" w:hAnsi="Times New Roman" w:cs="Times New Roman"/>
          <w:sz w:val="24"/>
          <w:szCs w:val="24"/>
        </w:rPr>
        <w:t xml:space="preserve">(2), 5495–5499. </w:t>
      </w:r>
      <w:hyperlink r:id="rId85" w:history="1">
        <w:r w:rsidRPr="00372231">
          <w:rPr>
            <w:rStyle w:val="Hyperlink"/>
            <w:sz w:val="24"/>
            <w:szCs w:val="24"/>
          </w:rPr>
          <w:t>https://doi.org/10.5272/jimab.2024302</w:t>
        </w:r>
      </w:hyperlink>
    </w:p>
    <w:p w14:paraId="211B140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Zalewska, M., Bła˙zejewska, A., Czapko, A., Popowska, M. (2021). Antibiotics and antibiotic resistance genes in animal manure–consequences of its application in agriculture. </w:t>
      </w:r>
      <w:r w:rsidRPr="00372231">
        <w:rPr>
          <w:rFonts w:ascii="Times New Roman" w:hAnsi="Times New Roman" w:cs="Times New Roman"/>
          <w:i/>
          <w:iCs/>
          <w:sz w:val="24"/>
          <w:szCs w:val="24"/>
        </w:rPr>
        <w:t>Frontiers in</w:t>
      </w:r>
      <w:r w:rsidRPr="00372231">
        <w:rPr>
          <w:rFonts w:ascii="Times New Roman" w:hAnsi="Times New Roman" w:cs="Times New Roman"/>
          <w:sz w:val="24"/>
          <w:szCs w:val="24"/>
        </w:rPr>
        <w:t xml:space="preserve"> </w:t>
      </w:r>
      <w:r w:rsidRPr="00372231">
        <w:rPr>
          <w:rFonts w:ascii="Times New Roman" w:hAnsi="Times New Roman" w:cs="Times New Roman"/>
          <w:i/>
          <w:iCs/>
          <w:sz w:val="24"/>
          <w:szCs w:val="24"/>
        </w:rPr>
        <w:t>Microbiology, 12</w:t>
      </w:r>
      <w:r w:rsidRPr="00372231">
        <w:rPr>
          <w:rFonts w:ascii="Times New Roman" w:hAnsi="Times New Roman" w:cs="Times New Roman"/>
          <w:sz w:val="24"/>
          <w:szCs w:val="24"/>
        </w:rPr>
        <w:t>, 610656.</w:t>
      </w:r>
    </w:p>
    <w:p w14:paraId="26DC188D"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Zhang, X., Li, X., Wang, Y., Zhang, T., &amp; Li, A. (2022). </w:t>
      </w:r>
      <w:r w:rsidRPr="00372231">
        <w:rPr>
          <w:rFonts w:ascii="Times New Roman" w:hAnsi="Times New Roman" w:cs="Times New Roman"/>
          <w:sz w:val="24"/>
          <w:szCs w:val="24"/>
        </w:rPr>
        <w:t xml:space="preserve">Occurrence and distribution of antibiotic resistance genes in reclaimed water irrigation systems and their potential risks. </w:t>
      </w:r>
      <w:r w:rsidRPr="00372231">
        <w:rPr>
          <w:rFonts w:ascii="Times New Roman" w:hAnsi="Times New Roman" w:cs="Times New Roman"/>
          <w:i/>
          <w:iCs/>
          <w:sz w:val="24"/>
          <w:szCs w:val="24"/>
        </w:rPr>
        <w:t>Journal of Hazardous Materials, 424</w:t>
      </w:r>
      <w:r w:rsidRPr="00372231">
        <w:rPr>
          <w:rFonts w:ascii="Times New Roman" w:hAnsi="Times New Roman" w:cs="Times New Roman"/>
          <w:sz w:val="24"/>
          <w:szCs w:val="24"/>
        </w:rPr>
        <w:t>, 127265.</w:t>
      </w:r>
    </w:p>
    <w:p w14:paraId="64A6A20D"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Zhang, Y., Cheng, D., Zhang, Y., Xie, J., Xiong, H., Wan, Y. (2021). </w:t>
      </w:r>
      <w:r w:rsidRPr="00372231">
        <w:rPr>
          <w:rFonts w:ascii="Times New Roman" w:hAnsi="Times New Roman" w:cs="Times New Roman"/>
          <w:sz w:val="24"/>
          <w:szCs w:val="24"/>
        </w:rPr>
        <w:t xml:space="preserve">Soil type shapes the antibiotic resistome profiles of long-term manured soil. </w:t>
      </w:r>
      <w:r w:rsidRPr="00372231">
        <w:rPr>
          <w:rFonts w:ascii="Times New Roman" w:hAnsi="Times New Roman" w:cs="Times New Roman"/>
          <w:i/>
          <w:iCs/>
          <w:sz w:val="24"/>
          <w:szCs w:val="24"/>
        </w:rPr>
        <w:t>Science of the Total Environment, 786</w:t>
      </w:r>
      <w:r w:rsidRPr="00372231">
        <w:rPr>
          <w:rFonts w:ascii="Times New Roman" w:hAnsi="Times New Roman" w:cs="Times New Roman"/>
          <w:sz w:val="24"/>
          <w:szCs w:val="24"/>
        </w:rPr>
        <w:t>, 147361.</w:t>
      </w:r>
    </w:p>
    <w:p w14:paraId="67A3BBD7"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Zhang, Y., Hao, X., Thomas, B. W., McAllister, T.A., Workentine, M., Jin, L., Shi, X., &amp; Alexander, T.W. (2023). Soil antibiotic resistance genes accumulate at different rates over four decades of manure application. </w:t>
      </w:r>
      <w:r w:rsidRPr="00372231">
        <w:rPr>
          <w:rFonts w:ascii="Times New Roman" w:hAnsi="Times New Roman" w:cs="Times New Roman"/>
          <w:i/>
          <w:iCs/>
          <w:sz w:val="24"/>
          <w:szCs w:val="24"/>
        </w:rPr>
        <w:t>Journal of Hazardous Materials, 443</w:t>
      </w:r>
      <w:r w:rsidRPr="00372231">
        <w:rPr>
          <w:rFonts w:ascii="Times New Roman" w:hAnsi="Times New Roman" w:cs="Times New Roman"/>
          <w:sz w:val="24"/>
          <w:szCs w:val="24"/>
        </w:rPr>
        <w:t xml:space="preserve">, 130136. </w:t>
      </w:r>
      <w:hyperlink r:id="rId86" w:history="1">
        <w:r w:rsidRPr="00372231">
          <w:rPr>
            <w:rStyle w:val="Hyperlink"/>
            <w:sz w:val="24"/>
            <w:szCs w:val="24"/>
          </w:rPr>
          <w:t>https://doi.org/10.1016/j.jhazmat.2022.130136</w:t>
        </w:r>
      </w:hyperlink>
    </w:p>
    <w:bookmarkEnd w:id="3"/>
    <w:p w14:paraId="0F6A0F42"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Zhao, B., Zhang, R., Jin, B., Yu, Z., Wen, W., Zhao, T., Quan, Y., &amp; Zhou, J. (2025). Sludge water: a potential pathway for the spread of antibiotic resistance and pathogenic bacteria from hospitals to the environment. </w:t>
      </w:r>
      <w:r w:rsidRPr="00372231">
        <w:rPr>
          <w:rFonts w:ascii="Times New Roman" w:hAnsi="Times New Roman" w:cs="Times New Roman"/>
          <w:i/>
          <w:iCs/>
          <w:sz w:val="24"/>
          <w:szCs w:val="24"/>
        </w:rPr>
        <w:t>Frontiers in microbiology, 16</w:t>
      </w:r>
      <w:r w:rsidRPr="00372231">
        <w:rPr>
          <w:rFonts w:ascii="Times New Roman" w:hAnsi="Times New Roman" w:cs="Times New Roman"/>
          <w:sz w:val="24"/>
          <w:szCs w:val="24"/>
        </w:rPr>
        <w:t xml:space="preserve">, 1492128. </w:t>
      </w:r>
      <w:hyperlink r:id="rId87" w:history="1">
        <w:r w:rsidRPr="00372231">
          <w:rPr>
            <w:rStyle w:val="Hyperlink"/>
            <w:rFonts w:eastAsia="Calibri"/>
            <w:sz w:val="24"/>
            <w:szCs w:val="24"/>
          </w:rPr>
          <w:t>https://doi.org/10.3389/fmicb.2025.1492128</w:t>
        </w:r>
      </w:hyperlink>
    </w:p>
    <w:p w14:paraId="72D81CE2"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lang w:val="de-DE"/>
        </w:rPr>
        <w:t xml:space="preserve">Zhao, P., Ma, M., Hu, Y., Wu, W., &amp; Xiao, J. (2022). </w:t>
      </w:r>
      <w:r w:rsidRPr="00372231">
        <w:rPr>
          <w:rFonts w:ascii="Times New Roman" w:hAnsi="Times New Roman" w:cs="Times New Roman"/>
          <w:sz w:val="24"/>
          <w:szCs w:val="24"/>
        </w:rPr>
        <w:t xml:space="preserve">Comparison of international standards for irrigation with reclaimed water. </w:t>
      </w:r>
      <w:r w:rsidRPr="00372231">
        <w:rPr>
          <w:rFonts w:ascii="Times New Roman" w:hAnsi="Times New Roman" w:cs="Times New Roman"/>
          <w:i/>
          <w:iCs/>
          <w:sz w:val="24"/>
          <w:szCs w:val="24"/>
        </w:rPr>
        <w:t>Agricultural Water Management, 274</w:t>
      </w:r>
      <w:r w:rsidRPr="00372231">
        <w:rPr>
          <w:rFonts w:ascii="Times New Roman" w:hAnsi="Times New Roman" w:cs="Times New Roman"/>
          <w:sz w:val="24"/>
          <w:szCs w:val="24"/>
        </w:rPr>
        <w:t xml:space="preserve">, 107974. </w:t>
      </w:r>
    </w:p>
    <w:p w14:paraId="67D8F5F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Zhao, Y., Cocerva, T., Cox, S., Tardif, S., Su, J. Q., Zhu, Y.G. (2019). Evidence for co-selection of antibiotic resistance genes and mobile genetic elements in metal polluted urban soils. </w:t>
      </w:r>
      <w:r w:rsidRPr="00372231">
        <w:rPr>
          <w:rFonts w:ascii="Times New Roman" w:hAnsi="Times New Roman" w:cs="Times New Roman"/>
          <w:i/>
          <w:iCs/>
          <w:sz w:val="24"/>
          <w:szCs w:val="24"/>
        </w:rPr>
        <w:t>Science of the Total Environment, 656</w:t>
      </w:r>
      <w:r w:rsidRPr="00372231">
        <w:rPr>
          <w:rFonts w:ascii="Times New Roman" w:hAnsi="Times New Roman" w:cs="Times New Roman"/>
          <w:sz w:val="24"/>
          <w:szCs w:val="24"/>
        </w:rPr>
        <w:t xml:space="preserve">, 512–520. </w:t>
      </w:r>
      <w:hyperlink r:id="rId88" w:history="1">
        <w:r w:rsidRPr="00372231">
          <w:rPr>
            <w:rStyle w:val="Hyperlink"/>
            <w:sz w:val="24"/>
            <w:szCs w:val="24"/>
          </w:rPr>
          <w:t>https://doi.org/10.1016</w:t>
        </w:r>
      </w:hyperlink>
    </w:p>
    <w:p w14:paraId="0962270F"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 xml:space="preserve">Zhao, Y., Li, L., Huang, Y. (2025). Global soil antibiotic resistance genes are associated with increasing risk and connectivity to human resistome. </w:t>
      </w:r>
      <w:r w:rsidRPr="00372231">
        <w:rPr>
          <w:rFonts w:ascii="Times New Roman" w:hAnsi="Times New Roman" w:cs="Times New Roman"/>
          <w:i/>
          <w:iCs/>
          <w:sz w:val="24"/>
          <w:szCs w:val="24"/>
        </w:rPr>
        <w:t>Nature Communications, 16</w:t>
      </w:r>
      <w:r w:rsidRPr="00372231">
        <w:rPr>
          <w:rFonts w:ascii="Times New Roman" w:hAnsi="Times New Roman" w:cs="Times New Roman"/>
          <w:sz w:val="24"/>
          <w:szCs w:val="24"/>
        </w:rPr>
        <w:t xml:space="preserve">, 7141. </w:t>
      </w:r>
      <w:hyperlink r:id="rId89" w:history="1">
        <w:r w:rsidRPr="00372231">
          <w:rPr>
            <w:rStyle w:val="Hyperlink"/>
            <w:sz w:val="24"/>
            <w:szCs w:val="24"/>
          </w:rPr>
          <w:t>https://doi.org/10.1038/s41467-025-61606-3</w:t>
        </w:r>
      </w:hyperlink>
    </w:p>
    <w:p w14:paraId="158121C0" w14:textId="77777777" w:rsidR="006701F4" w:rsidRPr="00372231" w:rsidRDefault="006701F4">
      <w:pPr>
        <w:pStyle w:val="ListParagraph"/>
        <w:numPr>
          <w:ilvl w:val="0"/>
          <w:numId w:val="1"/>
        </w:numPr>
        <w:jc w:val="both"/>
        <w:rPr>
          <w:rFonts w:ascii="Times New Roman" w:hAnsi="Times New Roman" w:cs="Times New Roman"/>
          <w:sz w:val="24"/>
          <w:szCs w:val="24"/>
        </w:rPr>
      </w:pPr>
      <w:r w:rsidRPr="00372231">
        <w:rPr>
          <w:rFonts w:ascii="Times New Roman" w:hAnsi="Times New Roman" w:cs="Times New Roman"/>
          <w:sz w:val="24"/>
          <w:szCs w:val="24"/>
        </w:rPr>
        <w:t>Zhao, Y., Li, L., Huang, Y., Xu, X., Liu, Z., Li, S., Zhu, L., Hu, B., &amp; Zhang, T. (2025). Global soil antibiotic resistance genes are associated with increasing risk and connectivity to human resistome. </w:t>
      </w:r>
      <w:r w:rsidRPr="00372231">
        <w:rPr>
          <w:rFonts w:ascii="Times New Roman" w:hAnsi="Times New Roman" w:cs="Times New Roman"/>
          <w:i/>
          <w:iCs/>
          <w:sz w:val="24"/>
          <w:szCs w:val="24"/>
        </w:rPr>
        <w:t>Nature communications, 16</w:t>
      </w:r>
      <w:r w:rsidRPr="00372231">
        <w:rPr>
          <w:rFonts w:ascii="Times New Roman" w:hAnsi="Times New Roman" w:cs="Times New Roman"/>
          <w:sz w:val="24"/>
          <w:szCs w:val="24"/>
        </w:rPr>
        <w:t xml:space="preserve">(1), 7141. </w:t>
      </w:r>
      <w:hyperlink r:id="rId90" w:history="1">
        <w:r w:rsidRPr="00372231">
          <w:rPr>
            <w:rStyle w:val="Hyperlink"/>
            <w:sz w:val="24"/>
            <w:szCs w:val="24"/>
          </w:rPr>
          <w:t>https://doi.org/10.1038/s41467-025-61606-3</w:t>
        </w:r>
      </w:hyperlink>
    </w:p>
    <w:p w14:paraId="15F8782D" w14:textId="77777777" w:rsidR="006701F4" w:rsidRDefault="006701F4" w:rsidP="00623185">
      <w:pPr>
        <w:pStyle w:val="ListParagraph"/>
        <w:numPr>
          <w:ilvl w:val="0"/>
          <w:numId w:val="1"/>
        </w:numPr>
        <w:spacing w:before="240"/>
        <w:jc w:val="both"/>
        <w:rPr>
          <w:rFonts w:ascii="Times New Roman" w:hAnsi="Times New Roman" w:cs="Times New Roman"/>
          <w:sz w:val="24"/>
          <w:szCs w:val="24"/>
        </w:rPr>
      </w:pPr>
      <w:r w:rsidRPr="009D2150">
        <w:rPr>
          <w:rFonts w:ascii="Times New Roman" w:hAnsi="Times New Roman" w:cs="Times New Roman"/>
          <w:sz w:val="24"/>
          <w:szCs w:val="24"/>
          <w:lang w:val="de-DE"/>
        </w:rPr>
        <w:t xml:space="preserve">Zhou, G., Wang, Q., Wang, Y., Wen, X., Peng, H., Peng, R., Shi, Q., Xie, X., &amp; Li, L. (2023). </w:t>
      </w:r>
      <w:r w:rsidRPr="00623185">
        <w:rPr>
          <w:rFonts w:ascii="Times New Roman" w:hAnsi="Times New Roman" w:cs="Times New Roman"/>
          <w:sz w:val="24"/>
          <w:szCs w:val="24"/>
        </w:rPr>
        <w:t xml:space="preserve">Outer Membrane Porins Contribute to Antimicrobial Resistance in Gram-Negative Bacteria. </w:t>
      </w:r>
      <w:r w:rsidRPr="00623185">
        <w:rPr>
          <w:rFonts w:ascii="Times New Roman" w:hAnsi="Times New Roman" w:cs="Times New Roman"/>
          <w:i/>
          <w:iCs/>
          <w:sz w:val="24"/>
          <w:szCs w:val="24"/>
        </w:rPr>
        <w:t>Microorganisms, 11</w:t>
      </w:r>
      <w:r w:rsidRPr="00623185">
        <w:rPr>
          <w:rFonts w:ascii="Times New Roman" w:hAnsi="Times New Roman" w:cs="Times New Roman"/>
          <w:sz w:val="24"/>
          <w:szCs w:val="24"/>
        </w:rPr>
        <w:t xml:space="preserve">(7), 1690. </w:t>
      </w:r>
      <w:hyperlink r:id="rId91" w:history="1">
        <w:r w:rsidRPr="009973F2">
          <w:rPr>
            <w:rStyle w:val="Hyperlink"/>
            <w:rFonts w:eastAsia="Calibri"/>
            <w:sz w:val="24"/>
            <w:szCs w:val="24"/>
          </w:rPr>
          <w:t>https://doi.org/10.3390/microorganisms11071690</w:t>
        </w:r>
      </w:hyperlink>
    </w:p>
    <w:p w14:paraId="78271D60" w14:textId="77777777" w:rsidR="006701F4" w:rsidRPr="00623185" w:rsidRDefault="006701F4" w:rsidP="00623185">
      <w:pPr>
        <w:pStyle w:val="ListParagraph"/>
        <w:numPr>
          <w:ilvl w:val="0"/>
          <w:numId w:val="1"/>
        </w:numPr>
        <w:jc w:val="both"/>
        <w:rPr>
          <w:rFonts w:ascii="Times New Roman" w:hAnsi="Times New Roman" w:cs="Times New Roman"/>
          <w:sz w:val="24"/>
          <w:szCs w:val="24"/>
        </w:rPr>
      </w:pPr>
      <w:r w:rsidRPr="009D2150">
        <w:rPr>
          <w:rFonts w:ascii="Times New Roman" w:hAnsi="Times New Roman" w:cs="Times New Roman"/>
          <w:sz w:val="24"/>
          <w:szCs w:val="24"/>
          <w:lang w:val="de-DE"/>
        </w:rPr>
        <w:lastRenderedPageBreak/>
        <w:t xml:space="preserve">Zhu, S., Yang, B., Yu, F., Zhang, J., Wang, Z., &amp; Liu, Y. (2024). </w:t>
      </w:r>
      <w:r w:rsidRPr="00372231">
        <w:rPr>
          <w:rFonts w:ascii="Times New Roman" w:hAnsi="Times New Roman" w:cs="Times New Roman"/>
          <w:sz w:val="24"/>
          <w:szCs w:val="24"/>
        </w:rPr>
        <w:t xml:space="preserve">Investigation of the impact of widely used pesticides on conjugative transfer of multidrug resistance plasmids. </w:t>
      </w:r>
      <w:r w:rsidRPr="00372231">
        <w:rPr>
          <w:rFonts w:ascii="Times New Roman" w:hAnsi="Times New Roman" w:cs="Times New Roman"/>
          <w:i/>
          <w:iCs/>
          <w:sz w:val="24"/>
          <w:szCs w:val="24"/>
        </w:rPr>
        <w:t>Journal of hazardous materials, 478</w:t>
      </w:r>
      <w:r w:rsidRPr="00372231">
        <w:rPr>
          <w:rFonts w:ascii="Times New Roman" w:hAnsi="Times New Roman" w:cs="Times New Roman"/>
          <w:sz w:val="24"/>
          <w:szCs w:val="24"/>
        </w:rPr>
        <w:t xml:space="preserve">, 135436. </w:t>
      </w:r>
      <w:hyperlink r:id="rId92" w:history="1">
        <w:r w:rsidRPr="00372231">
          <w:rPr>
            <w:rStyle w:val="Hyperlink"/>
            <w:sz w:val="24"/>
            <w:szCs w:val="24"/>
          </w:rPr>
          <w:t>https://doi.org/10.1016/j.jhazmat.2024.135436</w:t>
        </w:r>
      </w:hyperlink>
    </w:p>
    <w:sectPr w:rsidR="006701F4" w:rsidRPr="00623185">
      <w:headerReference w:type="default" r:id="rId93"/>
      <w:footerReference w:type="default" r:id="rId9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573C8" w14:textId="77777777" w:rsidR="009B31EA" w:rsidRDefault="009B31EA">
      <w:pPr>
        <w:spacing w:after="0" w:line="240" w:lineRule="auto"/>
      </w:pPr>
      <w:r>
        <w:separator/>
      </w:r>
    </w:p>
  </w:endnote>
  <w:endnote w:type="continuationSeparator" w:id="0">
    <w:p w14:paraId="667C8199" w14:textId="77777777" w:rsidR="009B31EA" w:rsidRDefault="009B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8D84C0-8109-43EA-BF99-A2DB9220A3E0}"/>
    <w:embedBold r:id="rId2" w:fontKey="{B75D278E-09A6-42A9-B44B-470C725CCE70}"/>
    <w:embedItalic r:id="rId3" w:fontKey="{ACAA019F-923F-4D06-831D-33687A3A8CE9}"/>
  </w:font>
  <w:font w:name="Georgia">
    <w:altName w:val="Georgia"/>
    <w:panose1 w:val="02040502050405020303"/>
    <w:charset w:val="00"/>
    <w:family w:val="roman"/>
    <w:pitch w:val="variable"/>
    <w:sig w:usb0="00000287" w:usb1="00000000" w:usb2="00000000" w:usb3="00000000" w:csb0="0000009F" w:csb1="00000000"/>
    <w:embedItalic r:id="rId4" w:fontKey="{5D7B86F3-6360-4FBB-8320-56BAD2C4574C}"/>
  </w:font>
  <w:font w:name="Segoe UI">
    <w:altName w:val="Segoe UI"/>
    <w:panose1 w:val="020B0502040204020203"/>
    <w:charset w:val="00"/>
    <w:family w:val="swiss"/>
    <w:pitch w:val="variable"/>
    <w:sig w:usb0="E4002EFF" w:usb1="C000E47F" w:usb2="00000009" w:usb3="00000000" w:csb0="000001FF" w:csb1="00000000"/>
    <w:embedRegular r:id="rId5" w:fontKey="{95DE1950-1B17-4C75-9C41-A3574776DC8E}"/>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embedRegular r:id="rId6" w:fontKey="{09146379-ABA6-4D3D-9652-97ED5C5AB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22C45" w14:textId="77777777" w:rsidR="00290206" w:rsidRDefault="008F439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428F5FC" w14:textId="77777777" w:rsidR="00290206" w:rsidRDefault="0029020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ECF07" w14:textId="77777777" w:rsidR="009B31EA" w:rsidRDefault="009B31EA">
      <w:pPr>
        <w:spacing w:after="0" w:line="240" w:lineRule="auto"/>
      </w:pPr>
      <w:r>
        <w:separator/>
      </w:r>
    </w:p>
  </w:footnote>
  <w:footnote w:type="continuationSeparator" w:id="0">
    <w:p w14:paraId="1DBA8EFA" w14:textId="77777777" w:rsidR="009B31EA" w:rsidRDefault="009B3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0DC7" w14:textId="77777777" w:rsidR="00290206" w:rsidRDefault="0029020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7D0B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A6883864"/>
    <w:lvl w:ilvl="0" w:tplc="6866A64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057FE1"/>
    <w:multiLevelType w:val="multilevel"/>
    <w:tmpl w:val="0314699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06"/>
    <w:rsid w:val="00035D78"/>
    <w:rsid w:val="00090626"/>
    <w:rsid w:val="00164970"/>
    <w:rsid w:val="001D55F2"/>
    <w:rsid w:val="002830DD"/>
    <w:rsid w:val="00290206"/>
    <w:rsid w:val="00330F98"/>
    <w:rsid w:val="0034590F"/>
    <w:rsid w:val="00372231"/>
    <w:rsid w:val="003B76A2"/>
    <w:rsid w:val="005D579B"/>
    <w:rsid w:val="00623185"/>
    <w:rsid w:val="00637253"/>
    <w:rsid w:val="006701F4"/>
    <w:rsid w:val="00693F74"/>
    <w:rsid w:val="0076733E"/>
    <w:rsid w:val="00825F2D"/>
    <w:rsid w:val="008F439C"/>
    <w:rsid w:val="009B31EA"/>
    <w:rsid w:val="009C6B56"/>
    <w:rsid w:val="009D2150"/>
    <w:rsid w:val="00EF6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60D59"/>
  <w15:docId w15:val="{5E1A8F07-BC5F-48B7-8429-224CF661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rFonts w:ascii="Times New Roman" w:eastAsia="SimSun" w:hAnsi="Times New Roman" w:cs="Times New Roman"/>
      <w:color w:val="0563C1"/>
      <w:sz w:val="21"/>
      <w:u w:val="single"/>
    </w:r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62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oi.org/10.3390/antibiotics14060621" TargetMode="External"/><Relationship Id="rId21" Type="http://schemas.openxmlformats.org/officeDocument/2006/relationships/hyperlink" Target="https://doi.org/10.3390/microorganisms13122663" TargetMode="External"/><Relationship Id="rId42" Type="http://schemas.openxmlformats.org/officeDocument/2006/relationships/hyperlink" Target="https://doi.org/10.1093/molbev/msab029" TargetMode="External"/><Relationship Id="rId47" Type="http://schemas.openxmlformats.org/officeDocument/2006/relationships/hyperlink" Target="https://doi.org/10.3389/fmicb.2022.965132" TargetMode="External"/><Relationship Id="rId63" Type="http://schemas.openxmlformats.org/officeDocument/2006/relationships/hyperlink" Target="https://doi.org/10.1007/s11356-024-33956-w" TargetMode="External"/><Relationship Id="rId68" Type="http://schemas.openxmlformats.org/officeDocument/2006/relationships/hyperlink" Target="https://doi.org/10.1016/j.jare.2024.10.013" TargetMode="External"/><Relationship Id="rId84" Type="http://schemas.openxmlformats.org/officeDocument/2006/relationships/hyperlink" Target="https://doi.org/10.1016/j.eti.2024.103985" TargetMode="External"/><Relationship Id="rId89" Type="http://schemas.openxmlformats.org/officeDocument/2006/relationships/hyperlink" Target="https://doi.org/10.1038/s41467-025-61606-3" TargetMode="External"/><Relationship Id="rId16" Type="http://schemas.openxmlformats.org/officeDocument/2006/relationships/hyperlink" Target="https://doi.org/10.3390/ijms25158104" TargetMode="External"/><Relationship Id="rId11" Type="http://schemas.openxmlformats.org/officeDocument/2006/relationships/hyperlink" Target="https://doi.org/10.3390/antibiotics11050564" TargetMode="External"/><Relationship Id="rId32" Type="http://schemas.openxmlformats.org/officeDocument/2006/relationships/hyperlink" Target="https://doi.org/10.1080/27658511.2025.2464419" TargetMode="External"/><Relationship Id="rId37" Type="http://schemas.openxmlformats.org/officeDocument/2006/relationships/hyperlink" Target="https://doi.org/10.12944/CWE.19.2.21" TargetMode="External"/><Relationship Id="rId53" Type="http://schemas.openxmlformats.org/officeDocument/2006/relationships/hyperlink" Target="https://doi.org/10.3390/antibiotics14060598" TargetMode="External"/><Relationship Id="rId58" Type="http://schemas.openxmlformats.org/officeDocument/2006/relationships/hyperlink" Target="https://doi.org/10.3389/fmicb.2025.1635233" TargetMode="External"/><Relationship Id="rId74" Type="http://schemas.openxmlformats.org/officeDocument/2006/relationships/hyperlink" Target="https://doi.org/10.2147/DDDT.S551862" TargetMode="External"/><Relationship Id="rId79" Type="http://schemas.openxmlformats.org/officeDocument/2006/relationships/hyperlink" Target="https://doi.org/10.1016/j.envint.2024.108900" TargetMode="External"/><Relationship Id="rId5" Type="http://schemas.openxmlformats.org/officeDocument/2006/relationships/footnotes" Target="footnotes.xml"/><Relationship Id="rId90" Type="http://schemas.openxmlformats.org/officeDocument/2006/relationships/hyperlink" Target="https://doi.org/10.1038/s41467-025-61606-3" TargetMode="External"/><Relationship Id="rId95" Type="http://schemas.openxmlformats.org/officeDocument/2006/relationships/fontTable" Target="fontTable.xml"/><Relationship Id="rId22" Type="http://schemas.openxmlformats.org/officeDocument/2006/relationships/hyperlink" Target="https://doi.org/10.1016/j.scitotenv.2025.179935" TargetMode="External"/><Relationship Id="rId27" Type="http://schemas.openxmlformats.org/officeDocument/2006/relationships/hyperlink" Target="https://doi.org/10.4060/cd2616en" TargetMode="External"/><Relationship Id="rId43" Type="http://schemas.openxmlformats.org/officeDocument/2006/relationships/hyperlink" Target="https://doi.org/10.1016/j.envint.2024.108431" TargetMode="External"/><Relationship Id="rId48" Type="http://schemas.openxmlformats.org/officeDocument/2006/relationships/hyperlink" Target="https://doi.org/10.3390/antibiotics13060486" TargetMode="External"/><Relationship Id="rId64" Type="http://schemas.openxmlformats.org/officeDocument/2006/relationships/hyperlink" Target="https://doi.org/10.1186/s42522-025-00160-w" TargetMode="External"/><Relationship Id="rId69" Type="http://schemas.openxmlformats.org/officeDocument/2006/relationships/hyperlink" Target="https://doi.org/10.1016/j.heliyon.2024.e37035" TargetMode="External"/><Relationship Id="rId8" Type="http://schemas.openxmlformats.org/officeDocument/2006/relationships/image" Target="media/image2.png"/><Relationship Id="rId51" Type="http://schemas.openxmlformats.org/officeDocument/2006/relationships/hyperlink" Target="https://doi.org/10.3390/antibiotics14080763" TargetMode="External"/><Relationship Id="rId72" Type="http://schemas.openxmlformats.org/officeDocument/2006/relationships/hyperlink" Target="https://doi.org/10.1073/pnas.2516722122" TargetMode="External"/><Relationship Id="rId80" Type="http://schemas.openxmlformats.org/officeDocument/2006/relationships/hyperlink" Target="https://doi.org/10.1080/10643389.2020.1835438" TargetMode="External"/><Relationship Id="rId85" Type="http://schemas.openxmlformats.org/officeDocument/2006/relationships/hyperlink" Target="https://doi.org/10.5272/jimab.2024302"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doi.org/10.1093/jacamr/dlad127" TargetMode="External"/><Relationship Id="rId17" Type="http://schemas.openxmlformats.org/officeDocument/2006/relationships/hyperlink" Target="https://doi.org/10.1186/s12940-025-01196-1" TargetMode="External"/><Relationship Id="rId25" Type="http://schemas.openxmlformats.org/officeDocument/2006/relationships/hyperlink" Target="https://doi.org/10.3390/microorganisms13071447" TargetMode="External"/><Relationship Id="rId33" Type="http://schemas.openxmlformats.org/officeDocument/2006/relationships/hyperlink" Target="https://doi.org/10.1016/j.scitotenv.2024.178301" TargetMode="External"/><Relationship Id="rId38" Type="http://schemas.openxmlformats.org/officeDocument/2006/relationships/hyperlink" Target="https://doi.org/10.1007/s40710-025-00779-x" TargetMode="External"/><Relationship Id="rId46" Type="http://schemas.openxmlformats.org/officeDocument/2006/relationships/hyperlink" Target="https://doi.org/10.1016/S0140-6736(24)02081-6" TargetMode="External"/><Relationship Id="rId59" Type="http://schemas.openxmlformats.org/officeDocument/2006/relationships/hyperlink" Target="https://doi.org/10.3390/microorganisms12091920" TargetMode="External"/><Relationship Id="rId67" Type="http://schemas.openxmlformats.org/officeDocument/2006/relationships/hyperlink" Target="https://doi.org/10.3390/antibiotics14080764" TargetMode="External"/><Relationship Id="rId20" Type="http://schemas.openxmlformats.org/officeDocument/2006/relationships/hyperlink" Target="https://doi.org/10.4315/0362-028X.JFP-11-452" TargetMode="External"/><Relationship Id="rId41" Type="http://schemas.openxmlformats.org/officeDocument/2006/relationships/hyperlink" Target="https://doi.org/10.3390/microorganisms13092113" TargetMode="External"/><Relationship Id="rId54" Type="http://schemas.openxmlformats.org/officeDocument/2006/relationships/hyperlink" Target="https://doi.org/10.1038/s44259-024-00026-7" TargetMode="External"/><Relationship Id="rId62" Type="http://schemas.openxmlformats.org/officeDocument/2006/relationships/hyperlink" Target="https://doi.org/10.1093/femsmc/xtae004" TargetMode="External"/><Relationship Id="rId70" Type="http://schemas.openxmlformats.org/officeDocument/2006/relationships/hyperlink" Target="https://doi.org/10.1007/s11356-024-32903-z" TargetMode="External"/><Relationship Id="rId75" Type="http://schemas.openxmlformats.org/officeDocument/2006/relationships/hyperlink" Target="https://doi.org/10.3390/antibiotics14060606" TargetMode="External"/><Relationship Id="rId83" Type="http://schemas.openxmlformats.org/officeDocument/2006/relationships/hyperlink" Target="https://doi.org/10.1016/j.soh.2024.100082" TargetMode="External"/><Relationship Id="rId88" Type="http://schemas.openxmlformats.org/officeDocument/2006/relationships/hyperlink" Target="https://doi.org/10.1016" TargetMode="External"/><Relationship Id="rId91" Type="http://schemas.openxmlformats.org/officeDocument/2006/relationships/hyperlink" Target="https://doi.org/10.3390/microorganisms11071690"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89/fcimb.2021.771510" TargetMode="External"/><Relationship Id="rId23" Type="http://schemas.openxmlformats.org/officeDocument/2006/relationships/hyperlink" Target="https://doi.org/10.1038/s41545-024-00364-z" TargetMode="External"/><Relationship Id="rId28" Type="http://schemas.openxmlformats.org/officeDocument/2006/relationships/hyperlink" Target="https://www.fao.org/newsroom/detail/better-land--soil-and-water-management-key-to-feeding-10-billion-people--fao-warns/en" TargetMode="External"/><Relationship Id="rId36" Type="http://schemas.openxmlformats.org/officeDocument/2006/relationships/hyperlink" Target="https://doi.org/10.1002/jobm.202100201" TargetMode="External"/><Relationship Id="rId49" Type="http://schemas.openxmlformats.org/officeDocument/2006/relationships/hyperlink" Target="https://doi.org/10.3389/fmicb.2025.1615826" TargetMode="External"/><Relationship Id="rId57" Type="http://schemas.openxmlformats.org/officeDocument/2006/relationships/hyperlink" Target="https://doi.org/10.3390/w17142083" TargetMode="External"/><Relationship Id="rId10" Type="http://schemas.openxmlformats.org/officeDocument/2006/relationships/hyperlink" Target="https://doi.org/10.1177/11786302251357775" TargetMode="External"/><Relationship Id="rId31" Type="http://schemas.openxmlformats.org/officeDocument/2006/relationships/hyperlink" Target="https://doi.org/10.1186/s12879-022-07360-z" TargetMode="External"/><Relationship Id="rId44" Type="http://schemas.openxmlformats.org/officeDocument/2006/relationships/hyperlink" Target="https://doi.org/10.1016/j.ecoenv.2025.118890" TargetMode="External"/><Relationship Id="rId52" Type="http://schemas.openxmlformats.org/officeDocument/2006/relationships/hyperlink" Target="https://doi.org/10.1002/gch2.202400267" TargetMode="External"/><Relationship Id="rId60" Type="http://schemas.openxmlformats.org/officeDocument/2006/relationships/hyperlink" Target="https://doi.org/10.5187/jast.2023.e129" TargetMode="External"/><Relationship Id="rId65" Type="http://schemas.openxmlformats.org/officeDocument/2006/relationships/hyperlink" Target="https://doi.org/10.1016/j.onehlt.2025.101139" TargetMode="External"/><Relationship Id="rId73" Type="http://schemas.openxmlformats.org/officeDocument/2006/relationships/hyperlink" Target="https://doi.org/10.1038/s44259-025-00166-4" TargetMode="External"/><Relationship Id="rId78" Type="http://schemas.openxmlformats.org/officeDocument/2006/relationships/hyperlink" Target="https://doi.org/10.1111/1348-0421.13222" TargetMode="External"/><Relationship Id="rId81" Type="http://schemas.openxmlformats.org/officeDocument/2006/relationships/hyperlink" Target="https://doi.org/10.1016/j.psj.2024.104539" TargetMode="External"/><Relationship Id="rId86" Type="http://schemas.openxmlformats.org/officeDocument/2006/relationships/hyperlink" Target="https://doi.org/10.1016/j.jhazmat.2022.130136"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16/j.glmedi.2024.100081" TargetMode="External"/><Relationship Id="rId18" Type="http://schemas.openxmlformats.org/officeDocument/2006/relationships/hyperlink" Target="https://doi.org/10.1094/PHYTO-10-23-0357-IA" TargetMode="External"/><Relationship Id="rId39" Type="http://schemas.openxmlformats.org/officeDocument/2006/relationships/hyperlink" Target="https://doi.org/10.3389/fmicb.2024.1443292" TargetMode="External"/><Relationship Id="rId34" Type="http://schemas.openxmlformats.org/officeDocument/2006/relationships/hyperlink" Target="https://doi.org/10.1016/j.lanmic.2024.07.010" TargetMode="External"/><Relationship Id="rId50" Type="http://schemas.openxmlformats.org/officeDocument/2006/relationships/hyperlink" Target="https://doi.org/10.1093/jambio/lxad288" TargetMode="External"/><Relationship Id="rId55" Type="http://schemas.openxmlformats.org/officeDocument/2006/relationships/hyperlink" Target="https://doi.org/10.1073/pnas.2419917122" TargetMode="External"/><Relationship Id="rId76" Type="http://schemas.openxmlformats.org/officeDocument/2006/relationships/hyperlink" Target="https://doi.org/10.3389/fenvs.2024.1358842" TargetMode="External"/><Relationship Id="rId7" Type="http://schemas.openxmlformats.org/officeDocument/2006/relationships/image" Target="media/image1.png"/><Relationship Id="rId71" Type="http://schemas.openxmlformats.org/officeDocument/2006/relationships/hyperlink" Target="https://doi.org/10.1016/j.soilbio.2021.108252" TargetMode="External"/><Relationship Id="rId92" Type="http://schemas.openxmlformats.org/officeDocument/2006/relationships/hyperlink" Target="https://doi.org/10.1016/j.jhazmat.2024.135436" TargetMode="External"/><Relationship Id="rId2" Type="http://schemas.openxmlformats.org/officeDocument/2006/relationships/styles" Target="styles.xml"/><Relationship Id="rId29" Type="http://schemas.openxmlformats.org/officeDocument/2006/relationships/hyperlink" Target="https://doi.org/10.3390/foods13040506" TargetMode="External"/><Relationship Id="rId24" Type="http://schemas.openxmlformats.org/officeDocument/2006/relationships/hyperlink" Target="https://doi.org/10.1021/acsinfecdis.4c00091" TargetMode="External"/><Relationship Id="rId40" Type="http://schemas.openxmlformats.org/officeDocument/2006/relationships/hyperlink" Target="https://doi.org/10.1007/978-3-030-40422-2_1" TargetMode="External"/><Relationship Id="rId45" Type="http://schemas.openxmlformats.org/officeDocument/2006/relationships/hyperlink" Target="https://doi.org/10.1016/j.scitotenv.2024.171555" TargetMode="External"/><Relationship Id="rId66" Type="http://schemas.openxmlformats.org/officeDocument/2006/relationships/hyperlink" Target="https://doi.org/10.1093/ismejo/wraf220" TargetMode="External"/><Relationship Id="rId87" Type="http://schemas.openxmlformats.org/officeDocument/2006/relationships/hyperlink" Target="https://doi.org/10.3389/fmicb.2025.1492128" TargetMode="External"/><Relationship Id="rId61" Type="http://schemas.openxmlformats.org/officeDocument/2006/relationships/hyperlink" Target="https://doi.org/10.1186/s40068-024-00347-6" TargetMode="External"/><Relationship Id="rId82" Type="http://schemas.openxmlformats.org/officeDocument/2006/relationships/hyperlink" Target="https://doi.org/10.3390/biology12010101" TargetMode="External"/><Relationship Id="rId19" Type="http://schemas.openxmlformats.org/officeDocument/2006/relationships/hyperlink" Target="https://doi.org/10.3390/antibiotics13060551" TargetMode="External"/><Relationship Id="rId14" Type="http://schemas.openxmlformats.org/officeDocument/2006/relationships/hyperlink" Target="https://doi.org/10.1002/mbo3.70122" TargetMode="External"/><Relationship Id="rId30" Type="http://schemas.openxmlformats.org/officeDocument/2006/relationships/hyperlink" Target="https://doi.org/10.1093/femsre/fuae017" TargetMode="External"/><Relationship Id="rId35" Type="http://schemas.openxmlformats.org/officeDocument/2006/relationships/hyperlink" Target="https://doi.org/10.3390/antibiotics13111087" TargetMode="External"/><Relationship Id="rId56" Type="http://schemas.openxmlformats.org/officeDocument/2006/relationships/hyperlink" Target="https://doi.org/10.1038/s41598-025-27157-9" TargetMode="External"/><Relationship Id="rId77" Type="http://schemas.openxmlformats.org/officeDocument/2006/relationships/hyperlink" Target="https://doi.org/10.3389/fmicb.2025.153278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TotalTime>
  <Pages>33</Pages>
  <Words>13272</Words>
  <Characters>75655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davidmobolajiolayinka@gmail.com</cp:lastModifiedBy>
  <cp:revision>21</cp:revision>
  <dcterms:created xsi:type="dcterms:W3CDTF">2026-01-08T17:53:00Z</dcterms:created>
  <dcterms:modified xsi:type="dcterms:W3CDTF">2026-04-16T14:11:00Z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fa529bd328b3465dbef4b521e07210d2</vt:lpwstr>
  </property>
</Properties>
</file>