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Title:</w:t>
      </w:r>
      <w:r w:rsidRPr="00F6115D">
        <w:rPr>
          <w:rFonts w:ascii="Segoe UI" w:eastAsia="Times New Roman" w:hAnsi="Segoe UI" w:cs="Segoe UI"/>
          <w:color w:val="0F1115"/>
          <w:sz w:val="24"/>
          <w:szCs w:val="24"/>
        </w:rPr>
        <w:t> Building a Resilient Public Institution: A Holistic Framework for Effective Workplace Management</w:t>
      </w:r>
      <w:r w:rsidR="006A189A">
        <w:rPr>
          <w:rFonts w:ascii="Segoe UI" w:eastAsia="Times New Roman" w:hAnsi="Segoe UI" w:cs="Segoe UI"/>
          <w:color w:val="0F1115"/>
          <w:sz w:val="24"/>
          <w:szCs w:val="24"/>
        </w:rPr>
        <w:t>.</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Authors:</w:t>
      </w:r>
      <w:r w:rsidRPr="00F6115D">
        <w:rPr>
          <w:rFonts w:ascii="Segoe UI" w:eastAsia="Times New Roman" w:hAnsi="Segoe UI" w:cs="Segoe UI"/>
          <w:color w:val="0F1115"/>
          <w:sz w:val="24"/>
          <w:szCs w:val="24"/>
        </w:rPr>
        <w:t xml:space="preserve"> Millicent </w:t>
      </w:r>
      <w:r w:rsidR="005C5AC7">
        <w:rPr>
          <w:rFonts w:ascii="Segoe UI" w:eastAsia="Times New Roman" w:hAnsi="Segoe UI" w:cs="Segoe UI"/>
          <w:color w:val="0F1115"/>
          <w:sz w:val="24"/>
          <w:szCs w:val="24"/>
        </w:rPr>
        <w:t>Biney</w:t>
      </w:r>
      <w:r w:rsidRPr="00F6115D">
        <w:rPr>
          <w:rFonts w:ascii="Segoe UI" w:eastAsia="Times New Roman" w:hAnsi="Segoe UI" w:cs="Segoe UI"/>
          <w:color w:val="0F1115"/>
          <w:sz w:val="24"/>
          <w:szCs w:val="24"/>
        </w:rPr>
        <w:t xml:space="preserve"> &amp; Kenneth Abban</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Institutional Affiliation:</w:t>
      </w:r>
      <w:r w:rsidRPr="00F6115D">
        <w:rPr>
          <w:rFonts w:ascii="Segoe UI" w:eastAsia="Times New Roman" w:hAnsi="Segoe UI" w:cs="Segoe UI"/>
          <w:color w:val="0F1115"/>
          <w:sz w:val="24"/>
          <w:szCs w:val="24"/>
        </w:rPr>
        <w:t> University of Education, Winneba</w:t>
      </w:r>
      <w:r w:rsidR="00235C9D">
        <w:rPr>
          <w:rFonts w:ascii="Segoe UI" w:eastAsia="Times New Roman" w:hAnsi="Segoe UI" w:cs="Segoe UI"/>
          <w:color w:val="0F1115"/>
          <w:sz w:val="24"/>
          <w:szCs w:val="24"/>
        </w:rPr>
        <w:t>- Ghana</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Date:</w:t>
      </w:r>
      <w:r w:rsidRPr="00F6115D">
        <w:rPr>
          <w:rFonts w:ascii="Segoe UI" w:eastAsia="Times New Roman" w:hAnsi="Segoe UI" w:cs="Segoe UI"/>
          <w:color w:val="0F1115"/>
          <w:sz w:val="24"/>
          <w:szCs w:val="24"/>
        </w:rPr>
        <w:t> October</w:t>
      </w:r>
      <w:r>
        <w:rPr>
          <w:rFonts w:ascii="Segoe UI" w:eastAsia="Times New Roman" w:hAnsi="Segoe UI" w:cs="Segoe UI"/>
          <w:color w:val="0F1115"/>
          <w:sz w:val="24"/>
          <w:szCs w:val="24"/>
        </w:rPr>
        <w:t>,</w:t>
      </w:r>
      <w:r w:rsidRPr="00F6115D">
        <w:rPr>
          <w:rFonts w:ascii="Segoe UI" w:eastAsia="Times New Roman" w:hAnsi="Segoe UI" w:cs="Segoe UI"/>
          <w:color w:val="0F1115"/>
          <w:sz w:val="24"/>
          <w:szCs w:val="24"/>
        </w:rPr>
        <w:t xml:space="preserve"> 2024</w:t>
      </w:r>
    </w:p>
    <w:p w:rsidR="00F6115D" w:rsidRPr="00F6115D" w:rsidRDefault="008522DE" w:rsidP="00F6115D">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v:rect id="_x0000_i1025" style="width:0;height:.75pt" o:hralign="center" o:hrstd="t" o:hr="t" fillcolor="#a0a0a0" stroked="f"/>
        </w:pict>
      </w:r>
    </w:p>
    <w:p w:rsidR="00F6115D" w:rsidRPr="00F6115D" w:rsidRDefault="00F6115D" w:rsidP="00F6115D">
      <w:pPr>
        <w:spacing w:before="480" w:after="240" w:line="450" w:lineRule="atLeast"/>
        <w:outlineLvl w:val="2"/>
        <w:rPr>
          <w:rFonts w:ascii="Segoe UI" w:eastAsia="Times New Roman" w:hAnsi="Segoe UI" w:cs="Segoe UI"/>
          <w:b/>
          <w:bCs/>
          <w:color w:val="0F1115"/>
          <w:sz w:val="30"/>
          <w:szCs w:val="30"/>
        </w:rPr>
      </w:pPr>
      <w:r w:rsidRPr="00F6115D">
        <w:rPr>
          <w:rFonts w:ascii="Segoe UI" w:eastAsia="Times New Roman" w:hAnsi="Segoe UI" w:cs="Segoe UI"/>
          <w:b/>
          <w:bCs/>
          <w:color w:val="0F1115"/>
          <w:sz w:val="30"/>
          <w:szCs w:val="30"/>
        </w:rPr>
        <w:t>Abstract</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This paper proposes a comprehensive, integrated six-pillar framework for promoting organizational management within public sector institutions. While contemporary public organizations often excel at implementing discrete management tactics—such as goal-setting protocols or technological adoption—they frequently fail to integrate these components into a cohesive, synergistic system. This position paper argues that true organizational resilience and high performance in the public sector are contingent upon the synthesis of human-centric and process-oriented elements. By expanding upon foundational concepts such as SMART goals, this paper advocates for the adoption of interconnected tools and philosophies, including Objectives and Key Results (OKRs), psychological safety, RACI matrices, and forward-looking performance monitoring. The central thesis posits that public sector leaders must transcend theoretical knowledge of management practices and instead implement a dynamic, employee-centric, and operationally efficient model wherein human and process elements are accorded equal priority. Drawing upon public administration theory and contemporary empirical research, the paper demonstrates that public institutions embracing integrated management approaches achieve enhanced service delivery outcomes, improved employee engagement, and greater institutional resilience.</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lastRenderedPageBreak/>
        <w:t>Keywords:</w:t>
      </w:r>
      <w:r w:rsidRPr="00F6115D">
        <w:rPr>
          <w:rFonts w:ascii="Segoe UI" w:eastAsia="Times New Roman" w:hAnsi="Segoe UI" w:cs="Segoe UI"/>
          <w:color w:val="0F1115"/>
          <w:sz w:val="24"/>
          <w:szCs w:val="24"/>
        </w:rPr>
        <w:t> public institution resilience, integrated management framework, public sector reform, strategic alignment, psychological safety, performance monitoring</w:t>
      </w:r>
    </w:p>
    <w:p w:rsidR="00F6115D" w:rsidRPr="00F6115D" w:rsidRDefault="008522DE" w:rsidP="00F6115D">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v:rect id="_x0000_i1026" style="width:0;height:.75pt" o:hralign="center" o:hrstd="t" o:hr="t" fillcolor="#a0a0a0" stroked="f"/>
        </w:pict>
      </w:r>
    </w:p>
    <w:p w:rsidR="00F6115D" w:rsidRPr="00F6115D" w:rsidRDefault="00F6115D" w:rsidP="00F6115D">
      <w:pPr>
        <w:spacing w:before="480" w:after="240" w:line="450" w:lineRule="atLeast"/>
        <w:outlineLvl w:val="2"/>
        <w:rPr>
          <w:rFonts w:ascii="Segoe UI" w:eastAsia="Times New Roman" w:hAnsi="Segoe UI" w:cs="Segoe UI"/>
          <w:b/>
          <w:bCs/>
          <w:color w:val="0F1115"/>
          <w:sz w:val="30"/>
          <w:szCs w:val="30"/>
        </w:rPr>
      </w:pPr>
      <w:r w:rsidRPr="00F6115D">
        <w:rPr>
          <w:rFonts w:ascii="Segoe UI" w:eastAsia="Times New Roman" w:hAnsi="Segoe UI" w:cs="Segoe UI"/>
          <w:b/>
          <w:bCs/>
          <w:color w:val="0F1115"/>
          <w:sz w:val="30"/>
          <w:szCs w:val="30"/>
        </w:rPr>
        <w:t>1. Introduction: The Integration Imperative in Public Institutions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The landscape of public sector management is replete with well-intentioned yet fragmented initiatives. A prevalent pitfall for contemporary public institutions constitutes the tendency to enhance management by concentrating on isolated areas without due consideration for interdependencies. For instance, leadership might introduce sophisticated technological solutions—such as digital service platforms—without concurrently clarifying corresponding team roles and responsibilities. Alternatively, public institutions may establish ambitious service delivery targets without investing in managerial capacity to support personnel through concomitant pressure.</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 xml:space="preserve">This fragmentation represents a fundamental conceptual error with particularly acute consequences in the public sector. As Osborne and </w:t>
      </w:r>
      <w:proofErr w:type="spellStart"/>
      <w:r w:rsidRPr="00F6115D">
        <w:rPr>
          <w:rFonts w:ascii="Segoe UI" w:eastAsia="Times New Roman" w:hAnsi="Segoe UI" w:cs="Segoe UI"/>
          <w:color w:val="0F1115"/>
          <w:sz w:val="24"/>
          <w:szCs w:val="24"/>
        </w:rPr>
        <w:t>Gaebler</w:t>
      </w:r>
      <w:proofErr w:type="spellEnd"/>
      <w:r w:rsidRPr="00F6115D">
        <w:rPr>
          <w:rFonts w:ascii="Segoe UI" w:eastAsia="Times New Roman" w:hAnsi="Segoe UI" w:cs="Segoe UI"/>
          <w:color w:val="0F1115"/>
          <w:sz w:val="24"/>
          <w:szCs w:val="24"/>
        </w:rPr>
        <w:t xml:space="preserve"> (1992) observed in their seminal work on entrepreneurial government, public institutions must fundamentally rethink their operational paradigms to remain responsive to citizen needs. More recently, Christensen and </w:t>
      </w:r>
      <w:proofErr w:type="spellStart"/>
      <w:r w:rsidRPr="00F6115D">
        <w:rPr>
          <w:rFonts w:ascii="Segoe UI" w:eastAsia="Times New Roman" w:hAnsi="Segoe UI" w:cs="Segoe UI"/>
          <w:color w:val="0F1115"/>
          <w:sz w:val="24"/>
          <w:szCs w:val="24"/>
        </w:rPr>
        <w:t>Lægreid</w:t>
      </w:r>
      <w:proofErr w:type="spellEnd"/>
      <w:r w:rsidRPr="00F6115D">
        <w:rPr>
          <w:rFonts w:ascii="Segoe UI" w:eastAsia="Times New Roman" w:hAnsi="Segoe UI" w:cs="Segoe UI"/>
          <w:color w:val="0F1115"/>
          <w:sz w:val="24"/>
          <w:szCs w:val="24"/>
        </w:rPr>
        <w:t xml:space="preserve"> (2020) have documented how fragmented reform initiatives in public organizations undermine coordination capacity and erode citizen trust.</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 xml:space="preserve">This paper advances the position that effective organizational management in public institutions constitutes not a checklist of best practices but rather a dynamic ecosystem. Each organizational component—goals, leaders, tools, structure, personnel, and metrics—directly influences and depends upon the others. The primary objective is to deconstruct and subsequently reconstruct six key pillars of organizational management specifically contextualized for public sector environments, thereby providing public managers with a practical, integrated blueprint for implementation. The authors assert </w:t>
      </w:r>
      <w:r w:rsidRPr="00F6115D">
        <w:rPr>
          <w:rFonts w:ascii="Segoe UI" w:eastAsia="Times New Roman" w:hAnsi="Segoe UI" w:cs="Segoe UI"/>
          <w:color w:val="0F1115"/>
          <w:sz w:val="24"/>
          <w:szCs w:val="24"/>
        </w:rPr>
        <w:lastRenderedPageBreak/>
        <w:t>that only through this holistic lens can public institutions achieve genuine resilience and sustainable high performance in an era of fiscal constraint and escalating citizen expectations.</w:t>
      </w:r>
    </w:p>
    <w:p w:rsidR="00F6115D" w:rsidRPr="00F6115D" w:rsidRDefault="008522DE" w:rsidP="00F6115D">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v:rect id="_x0000_i1027" style="width:0;height:.75pt" o:hralign="center" o:hrstd="t" o:hr="t" fillcolor="#a0a0a0" stroked="f"/>
        </w:pict>
      </w:r>
    </w:p>
    <w:p w:rsidR="00F6115D" w:rsidRPr="00F6115D" w:rsidRDefault="00F6115D" w:rsidP="00F6115D">
      <w:pPr>
        <w:spacing w:before="480" w:after="240" w:line="450" w:lineRule="atLeast"/>
        <w:outlineLvl w:val="2"/>
        <w:rPr>
          <w:rFonts w:ascii="Segoe UI" w:eastAsia="Times New Roman" w:hAnsi="Segoe UI" w:cs="Segoe UI"/>
          <w:b/>
          <w:bCs/>
          <w:color w:val="0F1115"/>
          <w:sz w:val="30"/>
          <w:szCs w:val="30"/>
        </w:rPr>
      </w:pPr>
      <w:r w:rsidRPr="00F6115D">
        <w:rPr>
          <w:rFonts w:ascii="Segoe UI" w:eastAsia="Times New Roman" w:hAnsi="Segoe UI" w:cs="Segoe UI"/>
          <w:b/>
          <w:bCs/>
          <w:color w:val="0F1115"/>
          <w:sz w:val="30"/>
          <w:szCs w:val="30"/>
        </w:rPr>
        <w:t>2. The Problem of Fragmentation: Theoretical Underpinnings in Public Sector Context</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 xml:space="preserve">Traditional public administration theory has historically compartmentalized organizational functions into discrete domains. Strategic planning is typically relegated to executive leadership, human resources manages personnel development and well-being, and operations </w:t>
      </w:r>
      <w:proofErr w:type="spellStart"/>
      <w:r w:rsidRPr="00F6115D">
        <w:rPr>
          <w:rFonts w:ascii="Segoe UI" w:eastAsia="Times New Roman" w:hAnsi="Segoe UI" w:cs="Segoe UI"/>
          <w:color w:val="0F1115"/>
          <w:sz w:val="24"/>
          <w:szCs w:val="24"/>
        </w:rPr>
        <w:t>oversees</w:t>
      </w:r>
      <w:proofErr w:type="spellEnd"/>
      <w:r w:rsidRPr="00F6115D">
        <w:rPr>
          <w:rFonts w:ascii="Segoe UI" w:eastAsia="Times New Roman" w:hAnsi="Segoe UI" w:cs="Segoe UI"/>
          <w:color w:val="0F1115"/>
          <w:sz w:val="24"/>
          <w:szCs w:val="24"/>
        </w:rPr>
        <w:t xml:space="preserve"> workflow and technology implementation. This siloed approach, while administratively convenient, creates fundamental disconnects that undermine public sector effectiveness.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2.1 The Silos Phenomenon in Public Institutions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A public servant might possess performance targets aligned with departmental objectives yet lack the technological tools or decision-making authority necessary for achievement. This disconnect exemplifies what Hood (1991) identified as the "New Public Management" paradox—the simultaneous push for greater efficiency alongside fragmented implementation that inhibits coordinated action.</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Furthermore, contemporary public sector workforce demographics demand more than mere procedural clarity; employees require psychological safety and meaningful public service purpose. The failure to integrate human-centric pillars with process-driven pillars precipitates employee burnout, elevated turnover intentions among skilled professionals, and ultimately, service delivery failure (</w:t>
      </w:r>
      <w:proofErr w:type="spellStart"/>
      <w:r w:rsidRPr="00F6115D">
        <w:rPr>
          <w:rFonts w:ascii="Segoe UI" w:eastAsia="Times New Roman" w:hAnsi="Segoe UI" w:cs="Segoe UI"/>
          <w:color w:val="0F1115"/>
          <w:sz w:val="24"/>
          <w:szCs w:val="24"/>
        </w:rPr>
        <w:t>Eldor</w:t>
      </w:r>
      <w:proofErr w:type="spellEnd"/>
      <w:r w:rsidRPr="00F6115D">
        <w:rPr>
          <w:rFonts w:ascii="Segoe UI" w:eastAsia="Times New Roman" w:hAnsi="Segoe UI" w:cs="Segoe UI"/>
          <w:color w:val="0F1115"/>
          <w:sz w:val="24"/>
          <w:szCs w:val="24"/>
        </w:rPr>
        <w:t>, 2018).</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2.2 Distinctive Characteristics of Public Sector Management</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Public institutions face unique challenges that amplify the integration imperative:</w:t>
      </w:r>
    </w:p>
    <w:p w:rsidR="00F6115D" w:rsidRPr="00F6115D" w:rsidRDefault="00F6115D" w:rsidP="00F6115D">
      <w:pPr>
        <w:numPr>
          <w:ilvl w:val="0"/>
          <w:numId w:val="1"/>
        </w:numPr>
        <w:spacing w:before="100" w:beforeAutospacing="1" w:after="0" w:line="420" w:lineRule="atLeast"/>
        <w:ind w:left="0"/>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lastRenderedPageBreak/>
        <w:t>Multiple and Often Conflicting Goals:</w:t>
      </w:r>
      <w:r w:rsidRPr="00F6115D">
        <w:rPr>
          <w:rFonts w:ascii="Segoe UI" w:eastAsia="Times New Roman" w:hAnsi="Segoe UI" w:cs="Segoe UI"/>
          <w:color w:val="0F1115"/>
          <w:sz w:val="24"/>
          <w:szCs w:val="24"/>
        </w:rPr>
        <w:t> Unlike private sector organizations focused primarily on profitability, public institutions must balance efficiency, equity, transparency, and political accountability (Rainey &amp; Bozeman, 2000).</w:t>
      </w:r>
    </w:p>
    <w:p w:rsidR="00F6115D" w:rsidRPr="00F6115D" w:rsidRDefault="00F6115D" w:rsidP="00F6115D">
      <w:pPr>
        <w:numPr>
          <w:ilvl w:val="0"/>
          <w:numId w:val="1"/>
        </w:numPr>
        <w:spacing w:before="100" w:beforeAutospacing="1" w:after="0" w:line="420" w:lineRule="atLeast"/>
        <w:ind w:left="0"/>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Political Oversight and Scrutiny:</w:t>
      </w:r>
      <w:r w:rsidRPr="00F6115D">
        <w:rPr>
          <w:rFonts w:ascii="Segoe UI" w:eastAsia="Times New Roman" w:hAnsi="Segoe UI" w:cs="Segoe UI"/>
          <w:color w:val="0F1115"/>
          <w:sz w:val="24"/>
          <w:szCs w:val="24"/>
        </w:rPr>
        <w:t> Public managers operate within complex governance structures involving legislative oversight, media scrutiny, and citizen engagement (Pierre &amp; Peters, 2020).</w:t>
      </w:r>
    </w:p>
    <w:p w:rsidR="00F6115D" w:rsidRPr="00F6115D" w:rsidRDefault="00F6115D" w:rsidP="00F6115D">
      <w:pPr>
        <w:numPr>
          <w:ilvl w:val="0"/>
          <w:numId w:val="1"/>
        </w:numPr>
        <w:spacing w:before="100" w:beforeAutospacing="1" w:after="0" w:line="420" w:lineRule="atLeast"/>
        <w:ind w:left="0"/>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Personnel System Constraints:</w:t>
      </w:r>
      <w:r w:rsidRPr="00F6115D">
        <w:rPr>
          <w:rFonts w:ascii="Segoe UI" w:eastAsia="Times New Roman" w:hAnsi="Segoe UI" w:cs="Segoe UI"/>
          <w:color w:val="0F1115"/>
          <w:sz w:val="24"/>
          <w:szCs w:val="24"/>
        </w:rPr>
        <w:t> Civil service regulations, while protecting against patronage, can inhibit flexible responses to changing circumstances (</w:t>
      </w:r>
      <w:proofErr w:type="spellStart"/>
      <w:r w:rsidRPr="00F6115D">
        <w:rPr>
          <w:rFonts w:ascii="Segoe UI" w:eastAsia="Times New Roman" w:hAnsi="Segoe UI" w:cs="Segoe UI"/>
          <w:color w:val="0F1115"/>
          <w:sz w:val="24"/>
          <w:szCs w:val="24"/>
        </w:rPr>
        <w:t>Kellough</w:t>
      </w:r>
      <w:proofErr w:type="spellEnd"/>
      <w:r w:rsidRPr="00F6115D">
        <w:rPr>
          <w:rFonts w:ascii="Segoe UI" w:eastAsia="Times New Roman" w:hAnsi="Segoe UI" w:cs="Segoe UI"/>
          <w:color w:val="0F1115"/>
          <w:sz w:val="24"/>
          <w:szCs w:val="24"/>
        </w:rPr>
        <w:t xml:space="preserve"> &amp; Nigro, 2006).</w:t>
      </w:r>
    </w:p>
    <w:p w:rsidR="00F6115D" w:rsidRPr="00F6115D" w:rsidRDefault="00F6115D" w:rsidP="00F6115D">
      <w:pPr>
        <w:numPr>
          <w:ilvl w:val="0"/>
          <w:numId w:val="1"/>
        </w:numPr>
        <w:spacing w:before="100" w:beforeAutospacing="1" w:after="0" w:line="420" w:lineRule="atLeast"/>
        <w:ind w:left="0"/>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Resource Scarcity:</w:t>
      </w:r>
      <w:r w:rsidRPr="00F6115D">
        <w:rPr>
          <w:rFonts w:ascii="Segoe UI" w:eastAsia="Times New Roman" w:hAnsi="Segoe UI" w:cs="Segoe UI"/>
          <w:color w:val="0F1115"/>
          <w:sz w:val="24"/>
          <w:szCs w:val="24"/>
        </w:rPr>
        <w:t xml:space="preserve"> Public institutions increasingly face fiscal constraints requiring innovative approaches to service delivery (Pollitt &amp; </w:t>
      </w:r>
      <w:proofErr w:type="spellStart"/>
      <w:r w:rsidRPr="00F6115D">
        <w:rPr>
          <w:rFonts w:ascii="Segoe UI" w:eastAsia="Times New Roman" w:hAnsi="Segoe UI" w:cs="Segoe UI"/>
          <w:color w:val="0F1115"/>
          <w:sz w:val="24"/>
          <w:szCs w:val="24"/>
        </w:rPr>
        <w:t>Bouckaert</w:t>
      </w:r>
      <w:proofErr w:type="spellEnd"/>
      <w:r w:rsidRPr="00F6115D">
        <w:rPr>
          <w:rFonts w:ascii="Segoe UI" w:eastAsia="Times New Roman" w:hAnsi="Segoe UI" w:cs="Segoe UI"/>
          <w:color w:val="0F1115"/>
          <w:sz w:val="24"/>
          <w:szCs w:val="24"/>
        </w:rPr>
        <w:t>, 2017).</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2.3 Empirical Evidence Supporting Integration</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Recent systematic reviews substantiate the integration imperative for public institutions. Andrews, Beynon, and McDermott (2016), analyzing leadership configurations in public sector organizations across multiple countries, demonstrated that integrated leadership approaches significantly outperform fragmented leadership structures in predicting organizational performance.</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 xml:space="preserve">Similarly, </w:t>
      </w:r>
      <w:proofErr w:type="spellStart"/>
      <w:r w:rsidRPr="00F6115D">
        <w:rPr>
          <w:rFonts w:ascii="Segoe UI" w:eastAsia="Times New Roman" w:hAnsi="Segoe UI" w:cs="Segoe UI"/>
          <w:color w:val="0F1115"/>
          <w:sz w:val="24"/>
          <w:szCs w:val="24"/>
        </w:rPr>
        <w:t>Trong</w:t>
      </w:r>
      <w:proofErr w:type="spellEnd"/>
      <w:r w:rsidRPr="00F6115D">
        <w:rPr>
          <w:rFonts w:ascii="Segoe UI" w:eastAsia="Times New Roman" w:hAnsi="Segoe UI" w:cs="Segoe UI"/>
          <w:color w:val="0F1115"/>
          <w:sz w:val="24"/>
          <w:szCs w:val="24"/>
        </w:rPr>
        <w:t xml:space="preserve"> Tuan (2017), in a study of Vietnamese public hospitals, found that organizations embracing integrated management approaches—particularly those combining clear goal-setting with robust employee development—achieved approximately 35% higher service quality scores compared to those maintaining traditional siloed methods.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This paper positions itself against the fragmented status quo, arguing unequivocally for convergence between people strategy and operational strategy as a prerequisite for contemporary public sector success.</w:t>
      </w:r>
    </w:p>
    <w:p w:rsidR="00F6115D" w:rsidRPr="00F6115D" w:rsidRDefault="008522DE" w:rsidP="00F6115D">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v:rect id="_x0000_i1028" style="width:0;height:.75pt" o:hralign="center" o:hrstd="t" o:hr="t" fillcolor="#a0a0a0" stroked="f"/>
        </w:pict>
      </w:r>
    </w:p>
    <w:p w:rsidR="00F6115D" w:rsidRPr="00F6115D" w:rsidRDefault="00F6115D" w:rsidP="00F6115D">
      <w:pPr>
        <w:spacing w:before="480" w:after="240" w:line="450" w:lineRule="atLeast"/>
        <w:outlineLvl w:val="2"/>
        <w:rPr>
          <w:rFonts w:ascii="Segoe UI" w:eastAsia="Times New Roman" w:hAnsi="Segoe UI" w:cs="Segoe UI"/>
          <w:b/>
          <w:bCs/>
          <w:color w:val="0F1115"/>
          <w:sz w:val="30"/>
          <w:szCs w:val="30"/>
        </w:rPr>
      </w:pPr>
      <w:r w:rsidRPr="00F6115D">
        <w:rPr>
          <w:rFonts w:ascii="Segoe UI" w:eastAsia="Times New Roman" w:hAnsi="Segoe UI" w:cs="Segoe UI"/>
          <w:b/>
          <w:bCs/>
          <w:color w:val="0F1115"/>
          <w:sz w:val="30"/>
          <w:szCs w:val="30"/>
        </w:rPr>
        <w:lastRenderedPageBreak/>
        <w:t>3. The Position: A Six-Pillar Framework for Holistic Public Sector Management</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We posit that a resilient public institution is constructed upon six distinct yet inherently interdependent pillars. To treat any single pillar as optional or standalone fundamentally weakens the entire organizational structure. Table 1 presents a synthesis of the framework, integrating established theoretical foundations with contemporary empirical validation contextualized for public sector environments.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Table 1: The Six-Pillar Framework for Public Sector Institutional Resilience</w:t>
      </w:r>
    </w:p>
    <w:tbl>
      <w:tblPr>
        <w:tblW w:w="0" w:type="auto"/>
        <w:tblCellMar>
          <w:top w:w="15" w:type="dxa"/>
          <w:left w:w="15" w:type="dxa"/>
          <w:bottom w:w="15" w:type="dxa"/>
          <w:right w:w="15" w:type="dxa"/>
        </w:tblCellMar>
        <w:tblLook w:val="04A0" w:firstRow="1" w:lastRow="0" w:firstColumn="1" w:lastColumn="0" w:noHBand="0" w:noVBand="1"/>
      </w:tblPr>
      <w:tblGrid>
        <w:gridCol w:w="1805"/>
        <w:gridCol w:w="1874"/>
        <w:gridCol w:w="1820"/>
        <w:gridCol w:w="2107"/>
        <w:gridCol w:w="1754"/>
      </w:tblGrid>
      <w:tr w:rsidR="00F6115D" w:rsidRPr="00F6115D" w:rsidTr="00F6115D">
        <w:trPr>
          <w:tblHeader/>
        </w:trPr>
        <w:tc>
          <w:tcPr>
            <w:tcW w:w="0" w:type="auto"/>
            <w:tcBorders>
              <w:top w:val="nil"/>
            </w:tcBorders>
            <w:tcMar>
              <w:top w:w="150" w:type="dxa"/>
              <w:left w:w="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b/>
                <w:bCs/>
                <w:sz w:val="23"/>
                <w:szCs w:val="23"/>
              </w:rPr>
              <w:t>Pillar</w:t>
            </w:r>
          </w:p>
        </w:tc>
        <w:tc>
          <w:tcPr>
            <w:tcW w:w="0" w:type="auto"/>
            <w:tcBorders>
              <w:top w:val="nil"/>
            </w:tcBorders>
            <w:tcMar>
              <w:top w:w="150" w:type="dxa"/>
              <w:left w:w="24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b/>
                <w:bCs/>
                <w:sz w:val="23"/>
                <w:szCs w:val="23"/>
              </w:rPr>
              <w:t>Metaphorical Function</w:t>
            </w:r>
          </w:p>
        </w:tc>
        <w:tc>
          <w:tcPr>
            <w:tcW w:w="0" w:type="auto"/>
            <w:tcBorders>
              <w:top w:val="nil"/>
            </w:tcBorders>
            <w:tcMar>
              <w:top w:w="150" w:type="dxa"/>
              <w:left w:w="24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b/>
                <w:bCs/>
                <w:sz w:val="23"/>
                <w:szCs w:val="23"/>
              </w:rPr>
              <w:t>Core Focus</w:t>
            </w:r>
          </w:p>
        </w:tc>
        <w:tc>
          <w:tcPr>
            <w:tcW w:w="0" w:type="auto"/>
            <w:tcBorders>
              <w:top w:val="nil"/>
            </w:tcBorders>
            <w:tcMar>
              <w:top w:w="150" w:type="dxa"/>
              <w:left w:w="24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b/>
                <w:bCs/>
                <w:sz w:val="23"/>
                <w:szCs w:val="23"/>
              </w:rPr>
              <w:t>Key Tools/Concepts</w:t>
            </w:r>
          </w:p>
        </w:tc>
        <w:tc>
          <w:tcPr>
            <w:tcW w:w="0" w:type="auto"/>
            <w:tcBorders>
              <w:top w:val="nil"/>
            </w:tcBorders>
            <w:tcMar>
              <w:top w:w="150" w:type="dxa"/>
              <w:left w:w="24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b/>
                <w:bCs/>
                <w:sz w:val="23"/>
                <w:szCs w:val="23"/>
              </w:rPr>
              <w:t>Public Sector Application</w:t>
            </w:r>
          </w:p>
        </w:tc>
      </w:tr>
      <w:tr w:rsidR="00F6115D" w:rsidRPr="00F6115D" w:rsidTr="00F6115D">
        <w:tc>
          <w:tcPr>
            <w:tcW w:w="0" w:type="auto"/>
            <w:tcMar>
              <w:top w:w="150" w:type="dxa"/>
              <w:left w:w="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1. Goal Setting</w:t>
            </w:r>
          </w:p>
        </w:tc>
        <w:tc>
          <w:tcPr>
            <w:tcW w:w="0" w:type="auto"/>
            <w:tcMar>
              <w:top w:w="150" w:type="dxa"/>
              <w:left w:w="24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Foundation</w:t>
            </w:r>
          </w:p>
        </w:tc>
        <w:tc>
          <w:tcPr>
            <w:tcW w:w="0" w:type="auto"/>
            <w:tcMar>
              <w:top w:w="150" w:type="dxa"/>
              <w:left w:w="24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Strategic alignment and public service purpose clarity</w:t>
            </w:r>
          </w:p>
        </w:tc>
        <w:tc>
          <w:tcPr>
            <w:tcW w:w="0" w:type="auto"/>
            <w:tcMar>
              <w:top w:w="150" w:type="dxa"/>
              <w:left w:w="24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SMART goals, OKRs, cascading objectives</w:t>
            </w:r>
          </w:p>
        </w:tc>
        <w:tc>
          <w:tcPr>
            <w:tcW w:w="0" w:type="auto"/>
            <w:tcMar>
              <w:top w:w="150" w:type="dxa"/>
              <w:left w:w="240" w:type="dxa"/>
              <w:bottom w:w="150" w:type="dxa"/>
              <w:right w:w="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Aligning departmental targets with national development priorities; citizen-centric outcome measurement</w:t>
            </w:r>
          </w:p>
        </w:tc>
      </w:tr>
      <w:tr w:rsidR="00F6115D" w:rsidRPr="00F6115D" w:rsidTr="00F6115D">
        <w:tc>
          <w:tcPr>
            <w:tcW w:w="0" w:type="auto"/>
            <w:tcMar>
              <w:top w:w="150" w:type="dxa"/>
              <w:left w:w="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2. Leadership &amp; Communication</w:t>
            </w:r>
          </w:p>
        </w:tc>
        <w:tc>
          <w:tcPr>
            <w:tcW w:w="0" w:type="auto"/>
            <w:tcMar>
              <w:top w:w="150" w:type="dxa"/>
              <w:left w:w="24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Engine</w:t>
            </w:r>
          </w:p>
        </w:tc>
        <w:tc>
          <w:tcPr>
            <w:tcW w:w="0" w:type="auto"/>
            <w:tcMar>
              <w:top w:w="150" w:type="dxa"/>
              <w:left w:w="24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Culture cultivation and psychological safety</w:t>
            </w:r>
          </w:p>
        </w:tc>
        <w:tc>
          <w:tcPr>
            <w:tcW w:w="0" w:type="auto"/>
            <w:tcMar>
              <w:top w:w="150" w:type="dxa"/>
              <w:left w:w="24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MBWA, psychological safety, communicating "the why"</w:t>
            </w:r>
          </w:p>
        </w:tc>
        <w:tc>
          <w:tcPr>
            <w:tcW w:w="0" w:type="auto"/>
            <w:tcMar>
              <w:top w:w="150" w:type="dxa"/>
              <w:left w:w="240" w:type="dxa"/>
              <w:bottom w:w="150" w:type="dxa"/>
              <w:right w:w="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Building trust across political-appointee and career civil service divides; fostering ethical climate</w:t>
            </w:r>
          </w:p>
        </w:tc>
      </w:tr>
      <w:tr w:rsidR="00F6115D" w:rsidRPr="00F6115D" w:rsidTr="00F6115D">
        <w:tc>
          <w:tcPr>
            <w:tcW w:w="0" w:type="auto"/>
            <w:tcMar>
              <w:top w:w="150" w:type="dxa"/>
              <w:left w:w="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lastRenderedPageBreak/>
              <w:t>3. Technology &amp; Tools</w:t>
            </w:r>
          </w:p>
        </w:tc>
        <w:tc>
          <w:tcPr>
            <w:tcW w:w="0" w:type="auto"/>
            <w:tcMar>
              <w:top w:w="150" w:type="dxa"/>
              <w:left w:w="24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Accelerator</w:t>
            </w:r>
          </w:p>
        </w:tc>
        <w:tc>
          <w:tcPr>
            <w:tcW w:w="0" w:type="auto"/>
            <w:tcMar>
              <w:top w:w="150" w:type="dxa"/>
              <w:left w:w="24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Workflow enhancement and problem-solving</w:t>
            </w:r>
          </w:p>
        </w:tc>
        <w:tc>
          <w:tcPr>
            <w:tcW w:w="0" w:type="auto"/>
            <w:tcMar>
              <w:top w:w="150" w:type="dxa"/>
              <w:left w:w="24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Problem-first approach, integration, adoption</w:t>
            </w:r>
          </w:p>
        </w:tc>
        <w:tc>
          <w:tcPr>
            <w:tcW w:w="0" w:type="auto"/>
            <w:tcMar>
              <w:top w:w="150" w:type="dxa"/>
              <w:left w:w="240" w:type="dxa"/>
              <w:bottom w:w="150" w:type="dxa"/>
              <w:right w:w="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Digital government transformation; e-service delivery platforms; interoperability standards</w:t>
            </w:r>
          </w:p>
        </w:tc>
      </w:tr>
      <w:tr w:rsidR="00F6115D" w:rsidRPr="00F6115D" w:rsidTr="00F6115D">
        <w:tc>
          <w:tcPr>
            <w:tcW w:w="0" w:type="auto"/>
            <w:tcMar>
              <w:top w:w="150" w:type="dxa"/>
              <w:left w:w="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4. Workflow &amp; Structure</w:t>
            </w:r>
          </w:p>
        </w:tc>
        <w:tc>
          <w:tcPr>
            <w:tcW w:w="0" w:type="auto"/>
            <w:tcMar>
              <w:top w:w="150" w:type="dxa"/>
              <w:left w:w="24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Blueprint</w:t>
            </w:r>
          </w:p>
        </w:tc>
        <w:tc>
          <w:tcPr>
            <w:tcW w:w="0" w:type="auto"/>
            <w:tcMar>
              <w:top w:w="150" w:type="dxa"/>
              <w:left w:w="24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Role clarity and process optimization</w:t>
            </w:r>
          </w:p>
        </w:tc>
        <w:tc>
          <w:tcPr>
            <w:tcW w:w="0" w:type="auto"/>
            <w:tcMar>
              <w:top w:w="150" w:type="dxa"/>
              <w:left w:w="24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RACI matrices, SOPs, decision empowerment</w:t>
            </w:r>
          </w:p>
        </w:tc>
        <w:tc>
          <w:tcPr>
            <w:tcW w:w="0" w:type="auto"/>
            <w:tcMar>
              <w:top w:w="150" w:type="dxa"/>
              <w:left w:w="240" w:type="dxa"/>
              <w:bottom w:w="150" w:type="dxa"/>
              <w:right w:w="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Clarifying inter-departmental coordination; reducing bureaucratic duplication</w:t>
            </w:r>
          </w:p>
        </w:tc>
      </w:tr>
      <w:tr w:rsidR="00F6115D" w:rsidRPr="00F6115D" w:rsidTr="00F6115D">
        <w:tc>
          <w:tcPr>
            <w:tcW w:w="0" w:type="auto"/>
            <w:tcMar>
              <w:top w:w="150" w:type="dxa"/>
              <w:left w:w="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5. Employee Development &amp; Well-being</w:t>
            </w:r>
          </w:p>
        </w:tc>
        <w:tc>
          <w:tcPr>
            <w:tcW w:w="0" w:type="auto"/>
            <w:tcMar>
              <w:top w:w="150" w:type="dxa"/>
              <w:left w:w="24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Fuel</w:t>
            </w:r>
          </w:p>
        </w:tc>
        <w:tc>
          <w:tcPr>
            <w:tcW w:w="0" w:type="auto"/>
            <w:tcMar>
              <w:top w:w="150" w:type="dxa"/>
              <w:left w:w="24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Sustainable human capital management</w:t>
            </w:r>
          </w:p>
        </w:tc>
        <w:tc>
          <w:tcPr>
            <w:tcW w:w="0" w:type="auto"/>
            <w:tcMar>
              <w:top w:w="150" w:type="dxa"/>
              <w:left w:w="24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IDPs, managerial training, well-being as KPI</w:t>
            </w:r>
          </w:p>
        </w:tc>
        <w:tc>
          <w:tcPr>
            <w:tcW w:w="0" w:type="auto"/>
            <w:tcMar>
              <w:top w:w="150" w:type="dxa"/>
              <w:left w:w="240" w:type="dxa"/>
              <w:bottom w:w="150" w:type="dxa"/>
              <w:right w:w="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Addressing public sector burnout; retaining institutional knowledge amid workforce aging</w:t>
            </w:r>
          </w:p>
        </w:tc>
      </w:tr>
      <w:tr w:rsidR="00F6115D" w:rsidRPr="00F6115D" w:rsidTr="00F6115D">
        <w:tc>
          <w:tcPr>
            <w:tcW w:w="0" w:type="auto"/>
            <w:tcMar>
              <w:top w:w="150" w:type="dxa"/>
              <w:left w:w="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6. Performance Monitoring</w:t>
            </w:r>
          </w:p>
        </w:tc>
        <w:tc>
          <w:tcPr>
            <w:tcW w:w="0" w:type="auto"/>
            <w:tcMar>
              <w:top w:w="150" w:type="dxa"/>
              <w:left w:w="24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Compass</w:t>
            </w:r>
          </w:p>
        </w:tc>
        <w:tc>
          <w:tcPr>
            <w:tcW w:w="0" w:type="auto"/>
            <w:tcMar>
              <w:top w:w="150" w:type="dxa"/>
              <w:left w:w="24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t>Real-time steering and forward-</w:t>
            </w:r>
            <w:r w:rsidRPr="00F6115D">
              <w:rPr>
                <w:rFonts w:ascii="Segoe UI" w:eastAsia="Times New Roman" w:hAnsi="Segoe UI" w:cs="Segoe UI"/>
                <w:sz w:val="23"/>
                <w:szCs w:val="23"/>
              </w:rPr>
              <w:lastRenderedPageBreak/>
              <w:t>looking feedback</w:t>
            </w:r>
          </w:p>
        </w:tc>
        <w:tc>
          <w:tcPr>
            <w:tcW w:w="0" w:type="auto"/>
            <w:tcMar>
              <w:top w:w="150" w:type="dxa"/>
              <w:left w:w="240" w:type="dxa"/>
              <w:bottom w:w="150" w:type="dxa"/>
              <w:right w:w="24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lastRenderedPageBreak/>
              <w:t xml:space="preserve">Real-time dashboards, citizen </w:t>
            </w:r>
            <w:r w:rsidRPr="00F6115D">
              <w:rPr>
                <w:rFonts w:ascii="Segoe UI" w:eastAsia="Times New Roman" w:hAnsi="Segoe UI" w:cs="Segoe UI"/>
                <w:sz w:val="23"/>
                <w:szCs w:val="23"/>
              </w:rPr>
              <w:lastRenderedPageBreak/>
              <w:t>feedback integration</w:t>
            </w:r>
          </w:p>
        </w:tc>
        <w:tc>
          <w:tcPr>
            <w:tcW w:w="0" w:type="auto"/>
            <w:tcMar>
              <w:top w:w="150" w:type="dxa"/>
              <w:left w:w="240" w:type="dxa"/>
              <w:bottom w:w="150" w:type="dxa"/>
              <w:right w:w="0" w:type="dxa"/>
            </w:tcMar>
            <w:vAlign w:val="center"/>
            <w:hideMark/>
          </w:tcPr>
          <w:p w:rsidR="00F6115D" w:rsidRPr="00F6115D" w:rsidRDefault="00F6115D" w:rsidP="00F6115D">
            <w:pPr>
              <w:spacing w:after="0" w:line="375" w:lineRule="atLeast"/>
              <w:rPr>
                <w:rFonts w:ascii="Segoe UI" w:eastAsia="Times New Roman" w:hAnsi="Segoe UI" w:cs="Segoe UI"/>
                <w:sz w:val="23"/>
                <w:szCs w:val="23"/>
              </w:rPr>
            </w:pPr>
            <w:r w:rsidRPr="00F6115D">
              <w:rPr>
                <w:rFonts w:ascii="Segoe UI" w:eastAsia="Times New Roman" w:hAnsi="Segoe UI" w:cs="Segoe UI"/>
                <w:sz w:val="23"/>
                <w:szCs w:val="23"/>
              </w:rPr>
              <w:lastRenderedPageBreak/>
              <w:t xml:space="preserve">Public service charter compliance; </w:t>
            </w:r>
            <w:r w:rsidRPr="00F6115D">
              <w:rPr>
                <w:rFonts w:ascii="Segoe UI" w:eastAsia="Times New Roman" w:hAnsi="Segoe UI" w:cs="Segoe UI"/>
                <w:sz w:val="23"/>
                <w:szCs w:val="23"/>
              </w:rPr>
              <w:lastRenderedPageBreak/>
              <w:t>citizen satisfaction tracking; transparent accountability</w:t>
            </w:r>
          </w:p>
        </w:tc>
      </w:tr>
    </w:tbl>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lastRenderedPageBreak/>
        <w:t>3.1 Pillar 1: Goal Setting as the Foundation</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While SMART goals provide essential clarity regarding specific, measurable, achievable, relevant, and time-bound parameters, they lack contextual power when deployed in isolation. This paper positions the OKR framework as a superior methodology for bridging the gap between high-level public policy objectives and daily operational tasks in public institutions.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Objectives constitute inspirational "what" statements aligned with public service mandates, while Key Results provide quantifiable SMART metrics that demonstrate progress toward citizen outcomes (</w:t>
      </w:r>
      <w:proofErr w:type="spellStart"/>
      <w:r w:rsidRPr="00F6115D">
        <w:rPr>
          <w:rFonts w:ascii="Segoe UI" w:eastAsia="Times New Roman" w:hAnsi="Segoe UI" w:cs="Segoe UI"/>
          <w:color w:val="0F1115"/>
          <w:sz w:val="24"/>
          <w:szCs w:val="24"/>
        </w:rPr>
        <w:t>Doerr</w:t>
      </w:r>
      <w:proofErr w:type="spellEnd"/>
      <w:r w:rsidRPr="00F6115D">
        <w:rPr>
          <w:rFonts w:ascii="Segoe UI" w:eastAsia="Times New Roman" w:hAnsi="Segoe UI" w:cs="Segoe UI"/>
          <w:color w:val="0F1115"/>
          <w:sz w:val="24"/>
          <w:szCs w:val="24"/>
        </w:rPr>
        <w:t>, 2018). Public institutions must implement systematic goal cascading, ensuring individual efforts constitute direct building blocks of departmental and agency-wide objectives. This cascading mechanism answers the critical public servant question: "How does my work contribute to public value creation?"</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Research by the IBM Center for the Business of Government (2022) indicates that when public employees understand connections between their daily activities and broader societal outcomes, they demonstrate significantly higher engagement levels and reduced turnover intentions. However, a notable implementation gap persists in public institutions: while performance measurement systems exist in most agencies, meaningful goal alignment between individual work and strategic priorities remains elusive (Moynihan, 2008).</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lastRenderedPageBreak/>
        <w:t>3.2 Pillar 2: Leadership and Communication as the Engine</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 xml:space="preserve">This paper challenges the passive "open-door" policy as conceptually insufficient for public sector environments characterized by hierarchical traditions. Instead, we advocate for proactive engagement through practices such as Management </w:t>
      </w:r>
      <w:proofErr w:type="gramStart"/>
      <w:r w:rsidRPr="00F6115D">
        <w:rPr>
          <w:rFonts w:ascii="Segoe UI" w:eastAsia="Times New Roman" w:hAnsi="Segoe UI" w:cs="Segoe UI"/>
          <w:color w:val="0F1115"/>
          <w:sz w:val="24"/>
          <w:szCs w:val="24"/>
        </w:rPr>
        <w:t>By</w:t>
      </w:r>
      <w:proofErr w:type="gramEnd"/>
      <w:r w:rsidRPr="00F6115D">
        <w:rPr>
          <w:rFonts w:ascii="Segoe UI" w:eastAsia="Times New Roman" w:hAnsi="Segoe UI" w:cs="Segoe UI"/>
          <w:color w:val="0F1115"/>
          <w:sz w:val="24"/>
          <w:szCs w:val="24"/>
        </w:rPr>
        <w:t xml:space="preserve"> Walking Around, wherein public managers maintain informal, authentic conversations with frontline personnel. However, the conceptual core of this pillar constitutes psychological safety.</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Edmondson (2019, p. 15) defines psychological safety as "the belief that one will not be punished or humiliated for speaking up with ideas, questions, concerns, or mistakes." For public institutions, psychological safety carries particular significance. Frontline public servants frequently possess critical insights about service delivery gaps and citizen needs; yet hierarchical cultures often inhibit speaking up.</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O'Donovan and McAuliffe (2020), studying psychological safety in Irish public service organizations, found that teams with higher psychological safety demonstrated significantly greater innovation in service delivery and more effective responses to unexpected citizen needs. Conversely, low psychological safety correlated with error concealment and reduced organizational learning.</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Communication, therefore, transcends mere information transmission; it encompasses environmental creation wherein public employees feel safe disagreeing, admitting failure, and proposing innovative solutions without fear of retribution. Public managers must receive systematic training in soliciting dissenting opinions and consistently articulating the rationale—the "why"—underpinning policy decisions and administrative changes.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3.3 Pillar 3: Technology and Tools as the Accelerator</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 xml:space="preserve">This paper adopts a firm stance against "solutionism"—the practice of adopting technology for its own sake without clearly identified problems—a particularly prevalent phenomenon in public sector digital transformation initiatives. Technology must function as a force multiplier rather than a frustration source. We advocate for a </w:t>
      </w:r>
      <w:r w:rsidRPr="00F6115D">
        <w:rPr>
          <w:rFonts w:ascii="Segoe UI" w:eastAsia="Times New Roman" w:hAnsi="Segoe UI" w:cs="Segoe UI"/>
          <w:color w:val="0F1115"/>
          <w:sz w:val="24"/>
          <w:szCs w:val="24"/>
        </w:rPr>
        <w:lastRenderedPageBreak/>
        <w:t>problem-first approach: identify workflow bottlenecks in service delivery, subsequently identify appropriate technological solutions.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The OECD (2020) Digital Government Index emphasizes that successful public sector digital transformation depends less on technology sophistication and more on organizational capabilities, including leadership commitment, workforce skills, and cross-agency coordination. Furthermore, prioritizing interoperability over novelty combats system fragmentation that inhibits seamless citizen services.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Technology adoption proves as critical as the technology itself; consequently, investment in training and digital champions constitutes a non-negotiable implementation requirement for public institutions pursuing e-government initiatives (</w:t>
      </w:r>
      <w:proofErr w:type="spellStart"/>
      <w:r w:rsidRPr="00F6115D">
        <w:rPr>
          <w:rFonts w:ascii="Segoe UI" w:eastAsia="Times New Roman" w:hAnsi="Segoe UI" w:cs="Segoe UI"/>
          <w:color w:val="0F1115"/>
          <w:sz w:val="24"/>
          <w:szCs w:val="24"/>
        </w:rPr>
        <w:t>Mergel</w:t>
      </w:r>
      <w:proofErr w:type="spellEnd"/>
      <w:r w:rsidRPr="00F6115D">
        <w:rPr>
          <w:rFonts w:ascii="Segoe UI" w:eastAsia="Times New Roman" w:hAnsi="Segoe UI" w:cs="Segoe UI"/>
          <w:color w:val="0F1115"/>
          <w:sz w:val="24"/>
          <w:szCs w:val="24"/>
        </w:rPr>
        <w:t xml:space="preserve">, </w:t>
      </w:r>
      <w:proofErr w:type="spellStart"/>
      <w:r w:rsidRPr="00F6115D">
        <w:rPr>
          <w:rFonts w:ascii="Segoe UI" w:eastAsia="Times New Roman" w:hAnsi="Segoe UI" w:cs="Segoe UI"/>
          <w:color w:val="0F1115"/>
          <w:sz w:val="24"/>
          <w:szCs w:val="24"/>
        </w:rPr>
        <w:t>Edelmann</w:t>
      </w:r>
      <w:proofErr w:type="spellEnd"/>
      <w:r w:rsidRPr="00F6115D">
        <w:rPr>
          <w:rFonts w:ascii="Segoe UI" w:eastAsia="Times New Roman" w:hAnsi="Segoe UI" w:cs="Segoe UI"/>
          <w:color w:val="0F1115"/>
          <w:sz w:val="24"/>
          <w:szCs w:val="24"/>
        </w:rPr>
        <w:t xml:space="preserve">, &amp; </w:t>
      </w:r>
      <w:proofErr w:type="spellStart"/>
      <w:r w:rsidRPr="00F6115D">
        <w:rPr>
          <w:rFonts w:ascii="Segoe UI" w:eastAsia="Times New Roman" w:hAnsi="Segoe UI" w:cs="Segoe UI"/>
          <w:color w:val="0F1115"/>
          <w:sz w:val="24"/>
          <w:szCs w:val="24"/>
        </w:rPr>
        <w:t>Haug</w:t>
      </w:r>
      <w:proofErr w:type="spellEnd"/>
      <w:r w:rsidRPr="00F6115D">
        <w:rPr>
          <w:rFonts w:ascii="Segoe UI" w:eastAsia="Times New Roman" w:hAnsi="Segoe UI" w:cs="Segoe UI"/>
          <w:color w:val="0F1115"/>
          <w:sz w:val="24"/>
          <w:szCs w:val="24"/>
        </w:rPr>
        <w:t>, 2019).</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3.4 Pillar 4: Workflow and Structure as the Blueprint</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Structure eliminates organizational chaos, particularly critical in public institutions where overlapping jurisdictions and unclear accountabilities frequently impede service delivery. This paper positions the RACI matrix as an essential tool for cross-departmental public sector projects, explicitly defining:</w:t>
      </w:r>
    </w:p>
    <w:p w:rsidR="00F6115D" w:rsidRPr="00F6115D" w:rsidRDefault="00F6115D" w:rsidP="00F6115D">
      <w:pPr>
        <w:numPr>
          <w:ilvl w:val="0"/>
          <w:numId w:val="2"/>
        </w:numPr>
        <w:spacing w:before="100" w:beforeAutospacing="1" w:after="0" w:line="420" w:lineRule="atLeast"/>
        <w:ind w:left="0"/>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Responsible:</w:t>
      </w:r>
      <w:r w:rsidRPr="00F6115D">
        <w:rPr>
          <w:rFonts w:ascii="Segoe UI" w:eastAsia="Times New Roman" w:hAnsi="Segoe UI" w:cs="Segoe UI"/>
          <w:color w:val="0F1115"/>
          <w:sz w:val="24"/>
          <w:szCs w:val="24"/>
        </w:rPr>
        <w:t> Individuals performing the work</w:t>
      </w:r>
    </w:p>
    <w:p w:rsidR="00F6115D" w:rsidRPr="00F6115D" w:rsidRDefault="00F6115D" w:rsidP="00F6115D">
      <w:pPr>
        <w:numPr>
          <w:ilvl w:val="0"/>
          <w:numId w:val="2"/>
        </w:numPr>
        <w:spacing w:before="100" w:beforeAutospacing="1" w:after="0" w:line="420" w:lineRule="atLeast"/>
        <w:ind w:left="0"/>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Accountable:</w:t>
      </w:r>
      <w:r w:rsidRPr="00F6115D">
        <w:rPr>
          <w:rFonts w:ascii="Segoe UI" w:eastAsia="Times New Roman" w:hAnsi="Segoe UI" w:cs="Segoe UI"/>
          <w:color w:val="0F1115"/>
          <w:sz w:val="24"/>
          <w:szCs w:val="24"/>
        </w:rPr>
        <w:t> The approver ultimately answerable for correct completion</w:t>
      </w:r>
    </w:p>
    <w:p w:rsidR="00F6115D" w:rsidRPr="00F6115D" w:rsidRDefault="00F6115D" w:rsidP="00F6115D">
      <w:pPr>
        <w:numPr>
          <w:ilvl w:val="0"/>
          <w:numId w:val="2"/>
        </w:numPr>
        <w:spacing w:before="100" w:beforeAutospacing="1" w:after="0" w:line="420" w:lineRule="atLeast"/>
        <w:ind w:left="0"/>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Consulted:</w:t>
      </w:r>
      <w:r w:rsidRPr="00F6115D">
        <w:rPr>
          <w:rFonts w:ascii="Segoe UI" w:eastAsia="Times New Roman" w:hAnsi="Segoe UI" w:cs="Segoe UI"/>
          <w:color w:val="0F1115"/>
          <w:sz w:val="24"/>
          <w:szCs w:val="24"/>
        </w:rPr>
        <w:t> Subject matter experts providing input (including citizen representatives where appropriate)</w:t>
      </w:r>
    </w:p>
    <w:p w:rsidR="00F6115D" w:rsidRPr="00F6115D" w:rsidRDefault="00F6115D" w:rsidP="00F6115D">
      <w:pPr>
        <w:numPr>
          <w:ilvl w:val="0"/>
          <w:numId w:val="2"/>
        </w:numPr>
        <w:spacing w:before="100" w:beforeAutospacing="1" w:after="0" w:line="420" w:lineRule="atLeast"/>
        <w:ind w:left="0"/>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Informed:</w:t>
      </w:r>
      <w:r w:rsidRPr="00F6115D">
        <w:rPr>
          <w:rFonts w:ascii="Segoe UI" w:eastAsia="Times New Roman" w:hAnsi="Segoe UI" w:cs="Segoe UI"/>
          <w:color w:val="0F1115"/>
          <w:sz w:val="24"/>
          <w:szCs w:val="24"/>
        </w:rPr>
        <w:t> Stakeholders requiring progress updates (including oversight bodies)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This framework eliminates the "I thought you were doing it" syndrome pervasive in complex public organizations. Beyond role clarification, we argue for systematic documentation of Standard Operating Procedures in central repositories, ensuring consistency and preserving institutional knowledge despite personnel changes—particularly crucial given public sector workforce aging and retirement trends.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lastRenderedPageBreak/>
        <w:t>Crucially, we advocate for employee empowerment through explicit definition of decision-making authority boundaries. Moynihan and Pandey (2007) demonstrate that public organizations defining decision rights experience accelerated workflows and enhanced employee confidence while maintaining appropriate accountability mechanisms.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3.5 Pillar 5: Employee Development and Well-being as the Fuel</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This paper advances the definitive position that public servants depart organizations primarily due to managerial relationships and workplace conditions rather than compensation alone. Consequently, the most critical organizational investment constitutes managerial training in soft skills including empathy, coaching, and conflict resolution.</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 xml:space="preserve">Bakker and </w:t>
      </w:r>
      <w:proofErr w:type="spellStart"/>
      <w:r w:rsidRPr="00F6115D">
        <w:rPr>
          <w:rFonts w:ascii="Segoe UI" w:eastAsia="Times New Roman" w:hAnsi="Segoe UI" w:cs="Segoe UI"/>
          <w:color w:val="0F1115"/>
          <w:sz w:val="24"/>
          <w:szCs w:val="24"/>
        </w:rPr>
        <w:t>Demerouti's</w:t>
      </w:r>
      <w:proofErr w:type="spellEnd"/>
      <w:r w:rsidRPr="00F6115D">
        <w:rPr>
          <w:rFonts w:ascii="Segoe UI" w:eastAsia="Times New Roman" w:hAnsi="Segoe UI" w:cs="Segoe UI"/>
          <w:color w:val="0F1115"/>
          <w:sz w:val="24"/>
          <w:szCs w:val="24"/>
        </w:rPr>
        <w:t xml:space="preserve"> (2017) Job Demands-Resources theory demonstrates that work characteristics influence employee well-being through two independent pathways: health impairment and motivational processes. Public sector organizations must therefore address both demands and resources systematically, particularly given evidence of escalating workplace stress among public servants (Hsieh, 2021).</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Furthermore, we argue that well-being must be treated as a Key Performance Indicator in public institutions. Meta-analyses demonstrate that poor work conditions—characterized by high workload, low control, and limited social support—associate with elevated risks of burnout, cardiovascular disease, and mental health disorders (</w:t>
      </w:r>
      <w:proofErr w:type="spellStart"/>
      <w:r w:rsidRPr="00F6115D">
        <w:rPr>
          <w:rFonts w:ascii="Segoe UI" w:eastAsia="Times New Roman" w:hAnsi="Segoe UI" w:cs="Segoe UI"/>
          <w:color w:val="0F1115"/>
          <w:sz w:val="24"/>
          <w:szCs w:val="24"/>
        </w:rPr>
        <w:t>Kivimäki</w:t>
      </w:r>
      <w:proofErr w:type="spellEnd"/>
      <w:r w:rsidRPr="00F6115D">
        <w:rPr>
          <w:rFonts w:ascii="Segoe UI" w:eastAsia="Times New Roman" w:hAnsi="Segoe UI" w:cs="Segoe UI"/>
          <w:color w:val="0F1115"/>
          <w:sz w:val="24"/>
          <w:szCs w:val="24"/>
        </w:rPr>
        <w:t xml:space="preserve"> et al., 2015). Conversely, positive work experiences, meaningful public service, and supportive leadership correlate with enhanced engagement, satisfaction, and retention.</w:t>
      </w:r>
    </w:p>
    <w:p w:rsid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By shifting organizational focus from "what can you do for us?" to "how can we facilitate your growth?" through Individual Development Plans, public institutions cultivate loyalty, preserve institutional knowledge, and sustain performance across leadership transitions.</w:t>
      </w:r>
    </w:p>
    <w:p w:rsidR="00F6115D" w:rsidRPr="00F6115D" w:rsidRDefault="00F6115D" w:rsidP="00F6115D">
      <w:pPr>
        <w:spacing w:before="240" w:after="240" w:line="420" w:lineRule="atLeast"/>
        <w:rPr>
          <w:rFonts w:ascii="Segoe UI" w:eastAsia="Times New Roman" w:hAnsi="Segoe UI" w:cs="Segoe UI"/>
          <w:color w:val="0F1115"/>
          <w:sz w:val="24"/>
          <w:szCs w:val="24"/>
        </w:rPr>
      </w:pP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lastRenderedPageBreak/>
        <w:t>3.6 Pillar 6: Performance Monitoring as the Compass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This paper rejects static, backward-looking annual reviews as the primary performance management tool for public institutions. Instead, we position real-time dashboards as essential for transparency and immediate course correction, particularly for citizen-facing services. Buckingham and Goodall (2019) advocate for frequent, forward-looking conversations rather than retrospective annual evaluations—a principle equally applicable to public sector contexts.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For leadership development, we advocate for 360-degree feedback mechanisms, providing public managers with anonymous, holistic feedback from direct reports, peers, and supervisors. This proves particularly valuable in public institutions where upward feedback mechanisms remain underdeveloped (</w:t>
      </w:r>
      <w:proofErr w:type="spellStart"/>
      <w:r w:rsidRPr="00F6115D">
        <w:rPr>
          <w:rFonts w:ascii="Segoe UI" w:eastAsia="Times New Roman" w:hAnsi="Segoe UI" w:cs="Segoe UI"/>
          <w:color w:val="0F1115"/>
          <w:sz w:val="24"/>
          <w:szCs w:val="24"/>
        </w:rPr>
        <w:t>Alimo</w:t>
      </w:r>
      <w:proofErr w:type="spellEnd"/>
      <w:r w:rsidRPr="00F6115D">
        <w:rPr>
          <w:rFonts w:ascii="Segoe UI" w:eastAsia="Times New Roman" w:hAnsi="Segoe UI" w:cs="Segoe UI"/>
          <w:color w:val="0F1115"/>
          <w:sz w:val="24"/>
          <w:szCs w:val="24"/>
        </w:rPr>
        <w:t>-Metcalfe &amp; Alban-Metcalfe, 2006).</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Crucially, performance monitoring in public institutions must integrate citizen feedback alongside internal metrics. The New Public Service paradigm emphasizes accountability to citizens rather than merely to political principals (Denhardt &amp; Denhardt, 2015). Performance conversations must be reframed from historical critique to forward-looking coaching: "What support do you require to better serve our citizens?"</w:t>
      </w:r>
    </w:p>
    <w:p w:rsidR="00F6115D" w:rsidRPr="00F6115D" w:rsidRDefault="008522DE" w:rsidP="00F6115D">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v:rect id="_x0000_i1029" style="width:0;height:.75pt" o:hralign="center" o:hrstd="t" o:hr="t" fillcolor="#a0a0a0" stroked="f"/>
        </w:pict>
      </w:r>
    </w:p>
    <w:p w:rsidR="00F6115D" w:rsidRPr="00F6115D" w:rsidRDefault="00F6115D" w:rsidP="00F6115D">
      <w:pPr>
        <w:spacing w:before="480" w:after="240" w:line="450" w:lineRule="atLeast"/>
        <w:outlineLvl w:val="2"/>
        <w:rPr>
          <w:rFonts w:ascii="Segoe UI" w:eastAsia="Times New Roman" w:hAnsi="Segoe UI" w:cs="Segoe UI"/>
          <w:b/>
          <w:bCs/>
          <w:color w:val="0F1115"/>
          <w:sz w:val="30"/>
          <w:szCs w:val="30"/>
        </w:rPr>
      </w:pPr>
      <w:r w:rsidRPr="00F6115D">
        <w:rPr>
          <w:rFonts w:ascii="Segoe UI" w:eastAsia="Times New Roman" w:hAnsi="Segoe UI" w:cs="Segoe UI"/>
          <w:b/>
          <w:bCs/>
          <w:color w:val="0F1115"/>
          <w:sz w:val="30"/>
          <w:szCs w:val="30"/>
        </w:rPr>
        <w:t>4. Addressing Counterarguments and Challenges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Critics may argue that implementing this six-pillar framework proves resource-intensive and complex, particularly for resource-constrained public institutions in developing country contexts. Skeptics might suggest that a comprehensive framework demonstrates impracticality for organizations facing immediate service delivery pressures.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lastRenderedPageBreak/>
        <w:t>Rebuttal:</w:t>
      </w:r>
      <w:r w:rsidRPr="00F6115D">
        <w:rPr>
          <w:rFonts w:ascii="Segoe UI" w:eastAsia="Times New Roman" w:hAnsi="Segoe UI" w:cs="Segoe UI"/>
          <w:color w:val="0F1115"/>
          <w:sz w:val="24"/>
          <w:szCs w:val="24"/>
        </w:rPr>
        <w:t xml:space="preserve"> While full-scale implementation may require substantial resources, the principle of integration does not. Resource-constrained public institutions can apply the holistic mindset without expensive consulting engagements or software investments. For example, a district-level government office can practice Management </w:t>
      </w:r>
      <w:proofErr w:type="gramStart"/>
      <w:r w:rsidRPr="00F6115D">
        <w:rPr>
          <w:rFonts w:ascii="Segoe UI" w:eastAsia="Times New Roman" w:hAnsi="Segoe UI" w:cs="Segoe UI"/>
          <w:color w:val="0F1115"/>
          <w:sz w:val="24"/>
          <w:szCs w:val="24"/>
        </w:rPr>
        <w:t>By</w:t>
      </w:r>
      <w:proofErr w:type="gramEnd"/>
      <w:r w:rsidRPr="00F6115D">
        <w:rPr>
          <w:rFonts w:ascii="Segoe UI" w:eastAsia="Times New Roman" w:hAnsi="Segoe UI" w:cs="Segoe UI"/>
          <w:color w:val="0F1115"/>
          <w:sz w:val="24"/>
          <w:szCs w:val="24"/>
        </w:rPr>
        <w:t xml:space="preserve"> Walking Around and create simple RACI charts using whiteboards at zero marginal cost. Furthermore, the costs of integration failure—measured through citizen dissatisfaction, service delivery failures, employee turnover, and wasted effort—substantially exceed integration investments.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An additional potential challenge concerns resistance to transparency, particularly regarding real-time performance dashboards. Public servants may perceive such monitoring as surveillance, potentially triggering defensive behaviors.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Rebuttal:</w:t>
      </w:r>
      <w:r w:rsidRPr="00F6115D">
        <w:rPr>
          <w:rFonts w:ascii="Segoe UI" w:eastAsia="Times New Roman" w:hAnsi="Segoe UI" w:cs="Segoe UI"/>
          <w:color w:val="0F1115"/>
          <w:sz w:val="24"/>
          <w:szCs w:val="24"/>
        </w:rPr>
        <w:t> This concern underscores the necessity of Pillar 2. If public managers cultivate psychological safety and communicate the rationale—framing dashboards as support tools and service improvement mechanisms rather than punishment instruments—resistance substantially diminishes. The OECD (2019) recommendation that public sector performance measurement should primarily serve learning and improvement functions rather than control functions aligns with this perspective. This interdependency validates the holistic model's theoretical coherence.</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A third challenge pertains to political-administrative dynamics. Elected officials may demand performance information for accountability purposes that conflicts with developmental uses.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Rebuttal:</w:t>
      </w:r>
      <w:r w:rsidRPr="00F6115D">
        <w:rPr>
          <w:rFonts w:ascii="Segoe UI" w:eastAsia="Times New Roman" w:hAnsi="Segoe UI" w:cs="Segoe UI"/>
          <w:color w:val="0F1115"/>
          <w:sz w:val="24"/>
          <w:szCs w:val="24"/>
        </w:rPr>
        <w:t> While political dynamics cannot be eliminated, transparent communication about performance information purposes can mitigate tensions. Christensen and L</w:t>
      </w:r>
      <w:r>
        <w:rPr>
          <w:rFonts w:ascii="Segoe UI" w:eastAsia="Times New Roman" w:hAnsi="Segoe UI" w:cs="Segoe UI"/>
          <w:color w:val="0F1115"/>
          <w:sz w:val="24"/>
          <w:szCs w:val="24"/>
        </w:rPr>
        <w:t>ae</w:t>
      </w:r>
      <w:r w:rsidRPr="00F6115D">
        <w:rPr>
          <w:rFonts w:ascii="Segoe UI" w:eastAsia="Times New Roman" w:hAnsi="Segoe UI" w:cs="Segoe UI"/>
          <w:color w:val="0F1115"/>
          <w:sz w:val="24"/>
          <w:szCs w:val="24"/>
        </w:rPr>
        <w:t>greid (2020) advocate for "performance dialogue" approaches wherein political and administrative actors jointly interpret performance information, balancing accountability and learning objectives.</w:t>
      </w:r>
    </w:p>
    <w:p w:rsidR="00F6115D" w:rsidRPr="00F6115D" w:rsidRDefault="008522DE" w:rsidP="00F6115D">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v:rect id="_x0000_i1030" style="width:0;height:.75pt" o:hralign="center" o:hrstd="t" o:hr="t" fillcolor="#a0a0a0" stroked="f"/>
        </w:pict>
      </w:r>
    </w:p>
    <w:p w:rsidR="00F6115D" w:rsidRDefault="00F6115D" w:rsidP="00F6115D">
      <w:pPr>
        <w:spacing w:before="480" w:after="240" w:line="450" w:lineRule="atLeast"/>
        <w:outlineLvl w:val="2"/>
        <w:rPr>
          <w:rFonts w:ascii="Segoe UI" w:eastAsia="Times New Roman" w:hAnsi="Segoe UI" w:cs="Segoe UI"/>
          <w:b/>
          <w:bCs/>
          <w:color w:val="0F1115"/>
          <w:sz w:val="30"/>
          <w:szCs w:val="30"/>
        </w:rPr>
      </w:pPr>
    </w:p>
    <w:p w:rsidR="00F6115D" w:rsidRPr="00F6115D" w:rsidRDefault="00F6115D" w:rsidP="00F6115D">
      <w:pPr>
        <w:spacing w:before="480" w:after="240" w:line="450" w:lineRule="atLeast"/>
        <w:outlineLvl w:val="2"/>
        <w:rPr>
          <w:rFonts w:ascii="Segoe UI" w:eastAsia="Times New Roman" w:hAnsi="Segoe UI" w:cs="Segoe UI"/>
          <w:b/>
          <w:bCs/>
          <w:color w:val="0F1115"/>
          <w:sz w:val="30"/>
          <w:szCs w:val="30"/>
        </w:rPr>
      </w:pPr>
      <w:r w:rsidRPr="00F6115D">
        <w:rPr>
          <w:rFonts w:ascii="Segoe UI" w:eastAsia="Times New Roman" w:hAnsi="Segoe UI" w:cs="Segoe UI"/>
          <w:b/>
          <w:bCs/>
          <w:color w:val="0F1115"/>
          <w:sz w:val="30"/>
          <w:szCs w:val="30"/>
        </w:rPr>
        <w:t>5. Actionable Recommendations for Public Sector Leaders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Based on the position outlined above, we offer the following actionable recommendations for public institution leadership:</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5.1 Conduct Integrated Organizational Audits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Avoid auditing pillars in isolation. When reviewing Technology investments, concurrently assess impacts on Workflow and Employee Well-being. Implement quarterly diagnostic assessments using the framework presented in Table 1. The Government Finance Officers Association (2021) provides guidance on conducting such integrated assessments in public sector contexts.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5.2 Adopt Contextualized OKR Frameworks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Implement quarterly OKR planning sessions connecting daily tasks to strategic public service objectives. Ensure organizational, departmental, and individual objectives demonstrate clear alignment with national development priorities and citizen outcome frameworks. Provide training and templates supporting effective OKR formulation appropriate for public sector environments.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5.3 Invest in Managerial Soft Skills Development</w:t>
      </w:r>
    </w:p>
    <w:p w:rsid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Allocate specific budget allocations for public manager training in psychological safety, active listening, coaching competencies, and ethical leadership. Leverage evidence-based programs such as those developed by the Partnership for Public Service (2023) demonstrating effectiveness in developing emotional intelligence and communication capabilities.</w:t>
      </w:r>
    </w:p>
    <w:p w:rsidR="008522DE" w:rsidRDefault="008522DE" w:rsidP="00F6115D">
      <w:pPr>
        <w:spacing w:before="240" w:after="240" w:line="420" w:lineRule="atLeast"/>
        <w:rPr>
          <w:rFonts w:ascii="Segoe UI" w:eastAsia="Times New Roman" w:hAnsi="Segoe UI" w:cs="Segoe UI"/>
          <w:color w:val="0F1115"/>
          <w:sz w:val="24"/>
          <w:szCs w:val="24"/>
        </w:rPr>
      </w:pPr>
    </w:p>
    <w:p w:rsidR="008522DE" w:rsidRPr="00F6115D" w:rsidRDefault="008522DE" w:rsidP="00F6115D">
      <w:pPr>
        <w:spacing w:before="240" w:after="240" w:line="420" w:lineRule="atLeast"/>
        <w:rPr>
          <w:rFonts w:ascii="Segoe UI" w:eastAsia="Times New Roman" w:hAnsi="Segoe UI" w:cs="Segoe UI"/>
          <w:color w:val="0F1115"/>
          <w:sz w:val="24"/>
          <w:szCs w:val="24"/>
        </w:rPr>
      </w:pP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lastRenderedPageBreak/>
        <w:t>5.4 Implement RACI Protocols for Cross-Agency Initiatives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For new cross-departmental projects or inter-agency collaborations, mandate RACI chart creation before work commencement. Review charts quarterly, adjusting for organizational changes and lessons learned. This proves particularly important for initiatives involving multiple government agencies or levels of government.</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5.5 Redesign Performance Management Systems for Development</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Shift to forward-looking review templates allocating approximately 50% focus to past performance and 50% to future development and support needs. Integrate well-being conversations framed around support rather than surveillance. The U.S. Office of Personnel Management (2022) provides guidance on modernizing public sector performance management.</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5.6 Establish Citizen Feedback Integration Mechanisms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Develop systematic mechanisms for integrating citizen feedback into performance monitoring processes. This may include citizen satisfaction surveys, community advisory boards, and digital feedback platforms. The International City/County Management Association (2021) offers resources for citizen engagement in performance measurement.</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t>5.7 Create Resilience Governance Structures</w:t>
      </w:r>
    </w:p>
    <w:p w:rsid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 xml:space="preserve">Following </w:t>
      </w:r>
      <w:proofErr w:type="spellStart"/>
      <w:r w:rsidRPr="00F6115D">
        <w:rPr>
          <w:rFonts w:ascii="Segoe UI" w:eastAsia="Times New Roman" w:hAnsi="Segoe UI" w:cs="Segoe UI"/>
          <w:color w:val="0F1115"/>
          <w:sz w:val="24"/>
          <w:szCs w:val="24"/>
        </w:rPr>
        <w:t>Balentine's</w:t>
      </w:r>
      <w:proofErr w:type="spellEnd"/>
      <w:r w:rsidRPr="00F6115D">
        <w:rPr>
          <w:rFonts w:ascii="Segoe UI" w:eastAsia="Times New Roman" w:hAnsi="Segoe UI" w:cs="Segoe UI"/>
          <w:color w:val="0F1115"/>
          <w:sz w:val="24"/>
          <w:szCs w:val="24"/>
        </w:rPr>
        <w:t xml:space="preserve"> (2025) recommendations adapted for public sector contexts, consider establishing an institutional resilience council comprising cross-departmental leadership. This governance mechanism ensures coordinated rather than fragmented resilience efforts, bridging gaps between departmental planning and organizational execution. For public institutions, such councils should include citizen representation where appropriate.</w:t>
      </w:r>
    </w:p>
    <w:p w:rsidR="008522DE" w:rsidRPr="00F6115D" w:rsidRDefault="008522DE" w:rsidP="00F6115D">
      <w:pPr>
        <w:spacing w:before="240" w:after="240" w:line="420" w:lineRule="atLeast"/>
        <w:rPr>
          <w:rFonts w:ascii="Segoe UI" w:eastAsia="Times New Roman" w:hAnsi="Segoe UI" w:cs="Segoe UI"/>
          <w:color w:val="0F1115"/>
          <w:sz w:val="24"/>
          <w:szCs w:val="24"/>
        </w:rPr>
      </w:pP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b/>
          <w:bCs/>
          <w:color w:val="0F1115"/>
          <w:sz w:val="24"/>
          <w:szCs w:val="24"/>
        </w:rPr>
        <w:lastRenderedPageBreak/>
        <w:t>5.8 Develop Knowledge Retention Strategies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Given public sector workforce aging trends, implement systematic knowledge retention strategies including mentoring programs, documentation protocols, and phased retirement options that facilitate knowledge transfer before institutional memory departs.</w:t>
      </w:r>
    </w:p>
    <w:p w:rsidR="00F6115D" w:rsidRPr="00F6115D" w:rsidRDefault="008522DE" w:rsidP="00F6115D">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v:rect id="_x0000_i1031" style="width:0;height:.75pt" o:hralign="center" o:hrstd="t" o:hr="t" fillcolor="#a0a0a0" stroked="f"/>
        </w:pict>
      </w:r>
    </w:p>
    <w:p w:rsidR="00F6115D" w:rsidRPr="00F6115D" w:rsidRDefault="00F6115D" w:rsidP="00F6115D">
      <w:pPr>
        <w:spacing w:before="480" w:after="240" w:line="450" w:lineRule="atLeast"/>
        <w:outlineLvl w:val="2"/>
        <w:rPr>
          <w:rFonts w:ascii="Segoe UI" w:eastAsia="Times New Roman" w:hAnsi="Segoe UI" w:cs="Segoe UI"/>
          <w:b/>
          <w:bCs/>
          <w:color w:val="0F1115"/>
          <w:sz w:val="30"/>
          <w:szCs w:val="30"/>
        </w:rPr>
      </w:pPr>
      <w:r w:rsidRPr="00F6115D">
        <w:rPr>
          <w:rFonts w:ascii="Segoe UI" w:eastAsia="Times New Roman" w:hAnsi="Segoe UI" w:cs="Segoe UI"/>
          <w:b/>
          <w:bCs/>
          <w:color w:val="0F1115"/>
          <w:sz w:val="30"/>
          <w:szCs w:val="30"/>
        </w:rPr>
        <w:t>6. Conclusion</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A resilient public institution emerges when six pillars operate in harmonious integration. Clear goals aligned with public value creation are pursued by well-structured teams utilizing appropriate technological tools. Teams are guided by inspiring leaders attentive to personnel development and well-being, with all progress tracked through transparent monitoring mechanisms that incorporate citizen voice.</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Public sector leaders must discontinue treating goal setting, technology, organizational culture, and performance measurement as isolated initiatives. When implementing change—whether introducing new digital service platforms or modifying service delivery protocols—they must consider impacts across all six pillars. Technological changes affect workflow, necessitating leadership communication to support employee well-being and preserve public service motivation.</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We call upon public institution leaders to identify which pillar represents their most significant opportunity and commence integration work today. In an environment of escalating citizen expectations and persistent fiscal constraints, integrated management approaches ensure that institutional resilience constitutes not an aspiration but a tested, trusted capability enabling effective public service delivery.</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 xml:space="preserve">As the University of Education, Winneba, continues its mission of developing public sector leadership capacity, this framework provides a foundation for curriculum </w:t>
      </w:r>
      <w:r w:rsidRPr="00F6115D">
        <w:rPr>
          <w:rFonts w:ascii="Segoe UI" w:eastAsia="Times New Roman" w:hAnsi="Segoe UI" w:cs="Segoe UI"/>
          <w:color w:val="0F1115"/>
          <w:sz w:val="24"/>
          <w:szCs w:val="24"/>
        </w:rPr>
        <w:lastRenderedPageBreak/>
        <w:t>development, executive education, and applied research supporting public institution strengthening across Ghana and beyond.</w:t>
      </w:r>
    </w:p>
    <w:p w:rsidR="00F6115D" w:rsidRPr="00F6115D" w:rsidRDefault="008522DE" w:rsidP="00F6115D">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v:rect id="_x0000_i1032" style="width:0;height:.75pt" o:hralign="center" o:hrstd="t" o:hr="t" fillcolor="#a0a0a0" stroked="f"/>
        </w:pict>
      </w:r>
    </w:p>
    <w:p w:rsidR="00F6115D" w:rsidRPr="00F6115D" w:rsidRDefault="00F6115D" w:rsidP="00F6115D">
      <w:pPr>
        <w:spacing w:before="480" w:after="240" w:line="450" w:lineRule="atLeast"/>
        <w:outlineLvl w:val="2"/>
        <w:rPr>
          <w:rFonts w:ascii="Segoe UI" w:eastAsia="Times New Roman" w:hAnsi="Segoe UI" w:cs="Segoe UI"/>
          <w:b/>
          <w:bCs/>
          <w:color w:val="0F1115"/>
          <w:sz w:val="30"/>
          <w:szCs w:val="30"/>
        </w:rPr>
      </w:pPr>
      <w:bookmarkStart w:id="0" w:name="_GoBack"/>
      <w:bookmarkEnd w:id="0"/>
      <w:r w:rsidRPr="00F6115D">
        <w:rPr>
          <w:rFonts w:ascii="Segoe UI" w:eastAsia="Times New Roman" w:hAnsi="Segoe UI" w:cs="Segoe UI"/>
          <w:b/>
          <w:bCs/>
          <w:color w:val="0F1115"/>
          <w:sz w:val="30"/>
          <w:szCs w:val="30"/>
        </w:rPr>
        <w:t>References</w:t>
      </w:r>
    </w:p>
    <w:p w:rsidR="00F6115D" w:rsidRPr="00F6115D" w:rsidRDefault="00F6115D" w:rsidP="00F6115D">
      <w:pPr>
        <w:spacing w:before="240" w:after="240" w:line="420" w:lineRule="atLeast"/>
        <w:rPr>
          <w:rFonts w:ascii="Segoe UI" w:eastAsia="Times New Roman" w:hAnsi="Segoe UI" w:cs="Segoe UI"/>
          <w:color w:val="0F1115"/>
          <w:sz w:val="24"/>
          <w:szCs w:val="24"/>
        </w:rPr>
      </w:pPr>
      <w:proofErr w:type="spellStart"/>
      <w:r w:rsidRPr="00F6115D">
        <w:rPr>
          <w:rFonts w:ascii="Segoe UI" w:eastAsia="Times New Roman" w:hAnsi="Segoe UI" w:cs="Segoe UI"/>
          <w:color w:val="0F1115"/>
          <w:sz w:val="24"/>
          <w:szCs w:val="24"/>
        </w:rPr>
        <w:t>Alimo</w:t>
      </w:r>
      <w:proofErr w:type="spellEnd"/>
      <w:r w:rsidRPr="00F6115D">
        <w:rPr>
          <w:rFonts w:ascii="Segoe UI" w:eastAsia="Times New Roman" w:hAnsi="Segoe UI" w:cs="Segoe UI"/>
          <w:color w:val="0F1115"/>
          <w:sz w:val="24"/>
          <w:szCs w:val="24"/>
        </w:rPr>
        <w:t>-Metcalfe, B., &amp; Alban-Metcalfe, J. (2006). More (good) leaders for the public sector. </w:t>
      </w:r>
      <w:r w:rsidRPr="00F6115D">
        <w:rPr>
          <w:rFonts w:ascii="Segoe UI" w:eastAsia="Times New Roman" w:hAnsi="Segoe UI" w:cs="Segoe UI"/>
          <w:i/>
          <w:iCs/>
          <w:color w:val="0F1115"/>
          <w:sz w:val="24"/>
          <w:szCs w:val="24"/>
        </w:rPr>
        <w:t>International Journal of Public Sector Management, 19</w:t>
      </w:r>
      <w:r w:rsidRPr="00F6115D">
        <w:rPr>
          <w:rFonts w:ascii="Segoe UI" w:eastAsia="Times New Roman" w:hAnsi="Segoe UI" w:cs="Segoe UI"/>
          <w:color w:val="0F1115"/>
          <w:sz w:val="24"/>
          <w:szCs w:val="24"/>
        </w:rPr>
        <w:t>(4), 293-315.</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Andrews, R., Beynon, M. J., &amp; McDermott, A. M. (2016). Organizational capability in the public sector: A configurational approach. </w:t>
      </w:r>
      <w:r w:rsidRPr="00F6115D">
        <w:rPr>
          <w:rFonts w:ascii="Segoe UI" w:eastAsia="Times New Roman" w:hAnsi="Segoe UI" w:cs="Segoe UI"/>
          <w:i/>
          <w:iCs/>
          <w:color w:val="0F1115"/>
          <w:sz w:val="24"/>
          <w:szCs w:val="24"/>
        </w:rPr>
        <w:t>Journal of Public Administration Research and Theory, 26</w:t>
      </w:r>
      <w:r w:rsidRPr="00F6115D">
        <w:rPr>
          <w:rFonts w:ascii="Segoe UI" w:eastAsia="Times New Roman" w:hAnsi="Segoe UI" w:cs="Segoe UI"/>
          <w:color w:val="0F1115"/>
          <w:sz w:val="24"/>
          <w:szCs w:val="24"/>
        </w:rPr>
        <w:t>(2), 239-258.</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 xml:space="preserve">Bakker, A. B., &amp; </w:t>
      </w:r>
      <w:proofErr w:type="spellStart"/>
      <w:r w:rsidRPr="00F6115D">
        <w:rPr>
          <w:rFonts w:ascii="Segoe UI" w:eastAsia="Times New Roman" w:hAnsi="Segoe UI" w:cs="Segoe UI"/>
          <w:color w:val="0F1115"/>
          <w:sz w:val="24"/>
          <w:szCs w:val="24"/>
        </w:rPr>
        <w:t>Demerouti</w:t>
      </w:r>
      <w:proofErr w:type="spellEnd"/>
      <w:r w:rsidRPr="00F6115D">
        <w:rPr>
          <w:rFonts w:ascii="Segoe UI" w:eastAsia="Times New Roman" w:hAnsi="Segoe UI" w:cs="Segoe UI"/>
          <w:color w:val="0F1115"/>
          <w:sz w:val="24"/>
          <w:szCs w:val="24"/>
        </w:rPr>
        <w:t>, E. (2017). Job demands–resources theory: Taking stock and looking forward. </w:t>
      </w:r>
      <w:r w:rsidRPr="00F6115D">
        <w:rPr>
          <w:rFonts w:ascii="Segoe UI" w:eastAsia="Times New Roman" w:hAnsi="Segoe UI" w:cs="Segoe UI"/>
          <w:i/>
          <w:iCs/>
          <w:color w:val="0F1115"/>
          <w:sz w:val="24"/>
          <w:szCs w:val="24"/>
        </w:rPr>
        <w:t>Journal of Occupational Health Psychology, 22</w:t>
      </w:r>
      <w:r w:rsidRPr="00F6115D">
        <w:rPr>
          <w:rFonts w:ascii="Segoe UI" w:eastAsia="Times New Roman" w:hAnsi="Segoe UI" w:cs="Segoe UI"/>
          <w:color w:val="0F1115"/>
          <w:sz w:val="24"/>
          <w:szCs w:val="24"/>
        </w:rPr>
        <w:t>(3), 273–285.</w:t>
      </w:r>
    </w:p>
    <w:p w:rsidR="00F6115D" w:rsidRPr="00F6115D" w:rsidRDefault="00F6115D" w:rsidP="00F6115D">
      <w:pPr>
        <w:spacing w:before="240" w:after="240" w:line="420" w:lineRule="atLeast"/>
        <w:rPr>
          <w:rFonts w:ascii="Segoe UI" w:eastAsia="Times New Roman" w:hAnsi="Segoe UI" w:cs="Segoe UI"/>
          <w:color w:val="0F1115"/>
          <w:sz w:val="24"/>
          <w:szCs w:val="24"/>
        </w:rPr>
      </w:pPr>
      <w:proofErr w:type="spellStart"/>
      <w:r w:rsidRPr="00F6115D">
        <w:rPr>
          <w:rFonts w:ascii="Segoe UI" w:eastAsia="Times New Roman" w:hAnsi="Segoe UI" w:cs="Segoe UI"/>
          <w:color w:val="0F1115"/>
          <w:sz w:val="24"/>
          <w:szCs w:val="24"/>
        </w:rPr>
        <w:t>Balentine</w:t>
      </w:r>
      <w:proofErr w:type="spellEnd"/>
      <w:r w:rsidRPr="00F6115D">
        <w:rPr>
          <w:rFonts w:ascii="Segoe UI" w:eastAsia="Times New Roman" w:hAnsi="Segoe UI" w:cs="Segoe UI"/>
          <w:color w:val="0F1115"/>
          <w:sz w:val="24"/>
          <w:szCs w:val="24"/>
        </w:rPr>
        <w:t>, S. (2025). Establishing a resilience council: Bridging the gap between strategy and practice. </w:t>
      </w:r>
      <w:r w:rsidRPr="00F6115D">
        <w:rPr>
          <w:rFonts w:ascii="Segoe UI" w:eastAsia="Times New Roman" w:hAnsi="Segoe UI" w:cs="Segoe UI"/>
          <w:i/>
          <w:iCs/>
          <w:color w:val="0F1115"/>
          <w:sz w:val="24"/>
          <w:szCs w:val="24"/>
        </w:rPr>
        <w:t>Disaster Recovery Journal, 38</w:t>
      </w:r>
      <w:r w:rsidRPr="00F6115D">
        <w:rPr>
          <w:rFonts w:ascii="Segoe UI" w:eastAsia="Times New Roman" w:hAnsi="Segoe UI" w:cs="Segoe UI"/>
          <w:color w:val="0F1115"/>
          <w:sz w:val="24"/>
          <w:szCs w:val="24"/>
        </w:rPr>
        <w:t>(4), 22–28.</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Buckingham, M., &amp; Goodall, A. (2019). </w:t>
      </w:r>
      <w:r w:rsidRPr="00F6115D">
        <w:rPr>
          <w:rFonts w:ascii="Segoe UI" w:eastAsia="Times New Roman" w:hAnsi="Segoe UI" w:cs="Segoe UI"/>
          <w:i/>
          <w:iCs/>
          <w:color w:val="0F1115"/>
          <w:sz w:val="24"/>
          <w:szCs w:val="24"/>
        </w:rPr>
        <w:t>Nine lies about work: A freethinking leader's guide to the real world</w:t>
      </w:r>
      <w:r w:rsidRPr="00F6115D">
        <w:rPr>
          <w:rFonts w:ascii="Segoe UI" w:eastAsia="Times New Roman" w:hAnsi="Segoe UI" w:cs="Segoe UI"/>
          <w:color w:val="0F1115"/>
          <w:sz w:val="24"/>
          <w:szCs w:val="24"/>
        </w:rPr>
        <w:t>. Harvard Business Review Press.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 xml:space="preserve">Christensen, T., &amp; </w:t>
      </w:r>
      <w:proofErr w:type="spellStart"/>
      <w:r w:rsidRPr="00F6115D">
        <w:rPr>
          <w:rFonts w:ascii="Segoe UI" w:eastAsia="Times New Roman" w:hAnsi="Segoe UI" w:cs="Segoe UI"/>
          <w:color w:val="0F1115"/>
          <w:sz w:val="24"/>
          <w:szCs w:val="24"/>
        </w:rPr>
        <w:t>Lægreid</w:t>
      </w:r>
      <w:proofErr w:type="spellEnd"/>
      <w:r w:rsidRPr="00F6115D">
        <w:rPr>
          <w:rFonts w:ascii="Segoe UI" w:eastAsia="Times New Roman" w:hAnsi="Segoe UI" w:cs="Segoe UI"/>
          <w:color w:val="0F1115"/>
          <w:sz w:val="24"/>
          <w:szCs w:val="24"/>
        </w:rPr>
        <w:t>, P. (2020). Balancing governance capacity and legitimacy: How the Norwegian government handled the COVID‐19 crisis as a high performer. </w:t>
      </w:r>
      <w:r w:rsidRPr="00F6115D">
        <w:rPr>
          <w:rFonts w:ascii="Segoe UI" w:eastAsia="Times New Roman" w:hAnsi="Segoe UI" w:cs="Segoe UI"/>
          <w:i/>
          <w:iCs/>
          <w:color w:val="0F1115"/>
          <w:sz w:val="24"/>
          <w:szCs w:val="24"/>
        </w:rPr>
        <w:t>Public Administration Review, 80</w:t>
      </w:r>
      <w:r w:rsidRPr="00F6115D">
        <w:rPr>
          <w:rFonts w:ascii="Segoe UI" w:eastAsia="Times New Roman" w:hAnsi="Segoe UI" w:cs="Segoe UI"/>
          <w:color w:val="0F1115"/>
          <w:sz w:val="24"/>
          <w:szCs w:val="24"/>
        </w:rPr>
        <w:t>(5), 774-779.</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Denhardt, J. V., &amp; Denhardt, R. B. (2015). </w:t>
      </w:r>
      <w:r w:rsidRPr="00F6115D">
        <w:rPr>
          <w:rFonts w:ascii="Segoe UI" w:eastAsia="Times New Roman" w:hAnsi="Segoe UI" w:cs="Segoe UI"/>
          <w:i/>
          <w:iCs/>
          <w:color w:val="0F1115"/>
          <w:sz w:val="24"/>
          <w:szCs w:val="24"/>
        </w:rPr>
        <w:t>The new public service: Serving, not steering</w:t>
      </w:r>
      <w:r w:rsidRPr="00F6115D">
        <w:rPr>
          <w:rFonts w:ascii="Segoe UI" w:eastAsia="Times New Roman" w:hAnsi="Segoe UI" w:cs="Segoe UI"/>
          <w:color w:val="0F1115"/>
          <w:sz w:val="24"/>
          <w:szCs w:val="24"/>
        </w:rPr>
        <w:t> (4th ed.). Routledge.</w:t>
      </w:r>
    </w:p>
    <w:p w:rsidR="00F6115D" w:rsidRPr="00F6115D" w:rsidRDefault="00F6115D" w:rsidP="00F6115D">
      <w:pPr>
        <w:spacing w:before="240" w:after="240" w:line="420" w:lineRule="atLeast"/>
        <w:rPr>
          <w:rFonts w:ascii="Segoe UI" w:eastAsia="Times New Roman" w:hAnsi="Segoe UI" w:cs="Segoe UI"/>
          <w:color w:val="0F1115"/>
          <w:sz w:val="24"/>
          <w:szCs w:val="24"/>
        </w:rPr>
      </w:pPr>
      <w:proofErr w:type="spellStart"/>
      <w:r w:rsidRPr="00F6115D">
        <w:rPr>
          <w:rFonts w:ascii="Segoe UI" w:eastAsia="Times New Roman" w:hAnsi="Segoe UI" w:cs="Segoe UI"/>
          <w:color w:val="0F1115"/>
          <w:sz w:val="24"/>
          <w:szCs w:val="24"/>
        </w:rPr>
        <w:t>Doerr</w:t>
      </w:r>
      <w:proofErr w:type="spellEnd"/>
      <w:r w:rsidRPr="00F6115D">
        <w:rPr>
          <w:rFonts w:ascii="Segoe UI" w:eastAsia="Times New Roman" w:hAnsi="Segoe UI" w:cs="Segoe UI"/>
          <w:color w:val="0F1115"/>
          <w:sz w:val="24"/>
          <w:szCs w:val="24"/>
        </w:rPr>
        <w:t>, J. (2018). </w:t>
      </w:r>
      <w:r w:rsidRPr="00F6115D">
        <w:rPr>
          <w:rFonts w:ascii="Segoe UI" w:eastAsia="Times New Roman" w:hAnsi="Segoe UI" w:cs="Segoe UI"/>
          <w:i/>
          <w:iCs/>
          <w:color w:val="0F1115"/>
          <w:sz w:val="24"/>
          <w:szCs w:val="24"/>
        </w:rPr>
        <w:t>Measure what matters: How Google, Bono, and the Gates Foundation rock the world with OKRs</w:t>
      </w:r>
      <w:r w:rsidRPr="00F6115D">
        <w:rPr>
          <w:rFonts w:ascii="Segoe UI" w:eastAsia="Times New Roman" w:hAnsi="Segoe UI" w:cs="Segoe UI"/>
          <w:color w:val="0F1115"/>
          <w:sz w:val="24"/>
          <w:szCs w:val="24"/>
        </w:rPr>
        <w:t>. Portfolio/Penguin.</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lastRenderedPageBreak/>
        <w:t>Edmondson, A. C. (2019). </w:t>
      </w:r>
      <w:r w:rsidRPr="00F6115D">
        <w:rPr>
          <w:rFonts w:ascii="Segoe UI" w:eastAsia="Times New Roman" w:hAnsi="Segoe UI" w:cs="Segoe UI"/>
          <w:i/>
          <w:iCs/>
          <w:color w:val="0F1115"/>
          <w:sz w:val="24"/>
          <w:szCs w:val="24"/>
        </w:rPr>
        <w:t>The fearless organization: Creating psychological safety in the workplace for learning, innovation, and growth</w:t>
      </w:r>
      <w:r w:rsidRPr="00F6115D">
        <w:rPr>
          <w:rFonts w:ascii="Segoe UI" w:eastAsia="Times New Roman" w:hAnsi="Segoe UI" w:cs="Segoe UI"/>
          <w:color w:val="0F1115"/>
          <w:sz w:val="24"/>
          <w:szCs w:val="24"/>
        </w:rPr>
        <w:t>. Wiley.</w:t>
      </w:r>
    </w:p>
    <w:p w:rsidR="00F6115D" w:rsidRPr="00F6115D" w:rsidRDefault="00F6115D" w:rsidP="00F6115D">
      <w:pPr>
        <w:spacing w:before="240" w:after="240" w:line="420" w:lineRule="atLeast"/>
        <w:rPr>
          <w:rFonts w:ascii="Segoe UI" w:eastAsia="Times New Roman" w:hAnsi="Segoe UI" w:cs="Segoe UI"/>
          <w:color w:val="0F1115"/>
          <w:sz w:val="24"/>
          <w:szCs w:val="24"/>
        </w:rPr>
      </w:pPr>
      <w:proofErr w:type="spellStart"/>
      <w:r w:rsidRPr="00F6115D">
        <w:rPr>
          <w:rFonts w:ascii="Segoe UI" w:eastAsia="Times New Roman" w:hAnsi="Segoe UI" w:cs="Segoe UI"/>
          <w:color w:val="0F1115"/>
          <w:sz w:val="24"/>
          <w:szCs w:val="24"/>
        </w:rPr>
        <w:t>Eldor</w:t>
      </w:r>
      <w:proofErr w:type="spellEnd"/>
      <w:r w:rsidRPr="00F6115D">
        <w:rPr>
          <w:rFonts w:ascii="Segoe UI" w:eastAsia="Times New Roman" w:hAnsi="Segoe UI" w:cs="Segoe UI"/>
          <w:color w:val="0F1115"/>
          <w:sz w:val="24"/>
          <w:szCs w:val="24"/>
        </w:rPr>
        <w:t>, L. (2018). Public service sector: The compassionate workplace—The effect of compassion and stress on employee engagement, burnout, and performance. </w:t>
      </w:r>
      <w:r w:rsidRPr="00F6115D">
        <w:rPr>
          <w:rFonts w:ascii="Segoe UI" w:eastAsia="Times New Roman" w:hAnsi="Segoe UI" w:cs="Segoe UI"/>
          <w:i/>
          <w:iCs/>
          <w:color w:val="0F1115"/>
          <w:sz w:val="24"/>
          <w:szCs w:val="24"/>
        </w:rPr>
        <w:t>Journal of Public Administration Research and Theory, 28</w:t>
      </w:r>
      <w:r w:rsidRPr="00F6115D">
        <w:rPr>
          <w:rFonts w:ascii="Segoe UI" w:eastAsia="Times New Roman" w:hAnsi="Segoe UI" w:cs="Segoe UI"/>
          <w:color w:val="0F1115"/>
          <w:sz w:val="24"/>
          <w:szCs w:val="24"/>
        </w:rPr>
        <w:t>(1), 86-103.</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Government Finance Officers Association. (2021). </w:t>
      </w:r>
      <w:r w:rsidRPr="00F6115D">
        <w:rPr>
          <w:rFonts w:ascii="Segoe UI" w:eastAsia="Times New Roman" w:hAnsi="Segoe UI" w:cs="Segoe UI"/>
          <w:i/>
          <w:iCs/>
          <w:color w:val="0F1115"/>
          <w:sz w:val="24"/>
          <w:szCs w:val="24"/>
        </w:rPr>
        <w:t>Strategic planning and organizational assessment guide for public agencies</w:t>
      </w:r>
      <w:r w:rsidRPr="00F6115D">
        <w:rPr>
          <w:rFonts w:ascii="Segoe UI" w:eastAsia="Times New Roman" w:hAnsi="Segoe UI" w:cs="Segoe UI"/>
          <w:color w:val="0F1115"/>
          <w:sz w:val="24"/>
          <w:szCs w:val="24"/>
        </w:rPr>
        <w:t>. GFOA.</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Hood, C. (1991). A public management for all seasons? </w:t>
      </w:r>
      <w:r w:rsidRPr="00F6115D">
        <w:rPr>
          <w:rFonts w:ascii="Segoe UI" w:eastAsia="Times New Roman" w:hAnsi="Segoe UI" w:cs="Segoe UI"/>
          <w:i/>
          <w:iCs/>
          <w:color w:val="0F1115"/>
          <w:sz w:val="24"/>
          <w:szCs w:val="24"/>
        </w:rPr>
        <w:t>Public Administration, 69</w:t>
      </w:r>
      <w:r w:rsidRPr="00F6115D">
        <w:rPr>
          <w:rFonts w:ascii="Segoe UI" w:eastAsia="Times New Roman" w:hAnsi="Segoe UI" w:cs="Segoe UI"/>
          <w:color w:val="0F1115"/>
          <w:sz w:val="24"/>
          <w:szCs w:val="24"/>
        </w:rPr>
        <w:t>(1), 3-19.</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Hsieh, C. W. (2021). Burnout among public servants: A systematic review and agenda for future research. </w:t>
      </w:r>
      <w:r w:rsidRPr="00F6115D">
        <w:rPr>
          <w:rFonts w:ascii="Segoe UI" w:eastAsia="Times New Roman" w:hAnsi="Segoe UI" w:cs="Segoe UI"/>
          <w:i/>
          <w:iCs/>
          <w:color w:val="0F1115"/>
          <w:sz w:val="24"/>
          <w:szCs w:val="24"/>
        </w:rPr>
        <w:t>Review of Public Personnel Administration, 41</w:t>
      </w:r>
      <w:r w:rsidRPr="00F6115D">
        <w:rPr>
          <w:rFonts w:ascii="Segoe UI" w:eastAsia="Times New Roman" w:hAnsi="Segoe UI" w:cs="Segoe UI"/>
          <w:color w:val="0F1115"/>
          <w:sz w:val="24"/>
          <w:szCs w:val="24"/>
        </w:rPr>
        <w:t>(3), 415-440.</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IBM Center for the Business of Government. (2022). </w:t>
      </w:r>
      <w:r w:rsidRPr="00F6115D">
        <w:rPr>
          <w:rFonts w:ascii="Segoe UI" w:eastAsia="Times New Roman" w:hAnsi="Segoe UI" w:cs="Segoe UI"/>
          <w:i/>
          <w:iCs/>
          <w:color w:val="0F1115"/>
          <w:sz w:val="24"/>
          <w:szCs w:val="24"/>
        </w:rPr>
        <w:t>Engaging public sector employees: Strategies for improving motivation and performance</w:t>
      </w:r>
      <w:r w:rsidRPr="00F6115D">
        <w:rPr>
          <w:rFonts w:ascii="Segoe UI" w:eastAsia="Times New Roman" w:hAnsi="Segoe UI" w:cs="Segoe UI"/>
          <w:color w:val="0F1115"/>
          <w:sz w:val="24"/>
          <w:szCs w:val="24"/>
        </w:rPr>
        <w:t>. IBM.</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International City/County Management Association. (2021). </w:t>
      </w:r>
      <w:r w:rsidRPr="00F6115D">
        <w:rPr>
          <w:rFonts w:ascii="Segoe UI" w:eastAsia="Times New Roman" w:hAnsi="Segoe UI" w:cs="Segoe UI"/>
          <w:i/>
          <w:iCs/>
          <w:color w:val="0F1115"/>
          <w:sz w:val="24"/>
          <w:szCs w:val="24"/>
        </w:rPr>
        <w:t>Citizen engagement in performance measurement: A guide for local government</w:t>
      </w:r>
      <w:r w:rsidRPr="00F6115D">
        <w:rPr>
          <w:rFonts w:ascii="Segoe UI" w:eastAsia="Times New Roman" w:hAnsi="Segoe UI" w:cs="Segoe UI"/>
          <w:color w:val="0F1115"/>
          <w:sz w:val="24"/>
          <w:szCs w:val="24"/>
        </w:rPr>
        <w:t>. ICMA Press.</w:t>
      </w:r>
    </w:p>
    <w:p w:rsidR="00F6115D" w:rsidRPr="00F6115D" w:rsidRDefault="00F6115D" w:rsidP="00F6115D">
      <w:pPr>
        <w:spacing w:before="240" w:after="240" w:line="420" w:lineRule="atLeast"/>
        <w:rPr>
          <w:rFonts w:ascii="Segoe UI" w:eastAsia="Times New Roman" w:hAnsi="Segoe UI" w:cs="Segoe UI"/>
          <w:color w:val="0F1115"/>
          <w:sz w:val="24"/>
          <w:szCs w:val="24"/>
        </w:rPr>
      </w:pPr>
      <w:proofErr w:type="spellStart"/>
      <w:r w:rsidRPr="00F6115D">
        <w:rPr>
          <w:rFonts w:ascii="Segoe UI" w:eastAsia="Times New Roman" w:hAnsi="Segoe UI" w:cs="Segoe UI"/>
          <w:color w:val="0F1115"/>
          <w:sz w:val="24"/>
          <w:szCs w:val="24"/>
        </w:rPr>
        <w:t>Kellough</w:t>
      </w:r>
      <w:proofErr w:type="spellEnd"/>
      <w:r w:rsidRPr="00F6115D">
        <w:rPr>
          <w:rFonts w:ascii="Segoe UI" w:eastAsia="Times New Roman" w:hAnsi="Segoe UI" w:cs="Segoe UI"/>
          <w:color w:val="0F1115"/>
          <w:sz w:val="24"/>
          <w:szCs w:val="24"/>
        </w:rPr>
        <w:t>, J. E., &amp; Nigro, L. G. (2006). </w:t>
      </w:r>
      <w:r w:rsidRPr="00F6115D">
        <w:rPr>
          <w:rFonts w:ascii="Segoe UI" w:eastAsia="Times New Roman" w:hAnsi="Segoe UI" w:cs="Segoe UI"/>
          <w:i/>
          <w:iCs/>
          <w:color w:val="0F1115"/>
          <w:sz w:val="24"/>
          <w:szCs w:val="24"/>
        </w:rPr>
        <w:t>Civil service reform in the states: Personnel policy and politics at the subnational level</w:t>
      </w:r>
      <w:r w:rsidRPr="00F6115D">
        <w:rPr>
          <w:rFonts w:ascii="Segoe UI" w:eastAsia="Times New Roman" w:hAnsi="Segoe UI" w:cs="Segoe UI"/>
          <w:color w:val="0F1115"/>
          <w:sz w:val="24"/>
          <w:szCs w:val="24"/>
        </w:rPr>
        <w:t>. State University of New York Press.</w:t>
      </w:r>
    </w:p>
    <w:p w:rsidR="00F6115D" w:rsidRPr="00F6115D" w:rsidRDefault="00F6115D" w:rsidP="00F6115D">
      <w:pPr>
        <w:spacing w:before="240" w:after="240" w:line="420" w:lineRule="atLeast"/>
        <w:rPr>
          <w:rFonts w:ascii="Segoe UI" w:eastAsia="Times New Roman" w:hAnsi="Segoe UI" w:cs="Segoe UI"/>
          <w:color w:val="0F1115"/>
          <w:sz w:val="24"/>
          <w:szCs w:val="24"/>
        </w:rPr>
      </w:pPr>
      <w:proofErr w:type="spellStart"/>
      <w:r w:rsidRPr="00F6115D">
        <w:rPr>
          <w:rFonts w:ascii="Segoe UI" w:eastAsia="Times New Roman" w:hAnsi="Segoe UI" w:cs="Segoe UI"/>
          <w:color w:val="0F1115"/>
          <w:sz w:val="24"/>
          <w:szCs w:val="24"/>
        </w:rPr>
        <w:t>Kivimäki</w:t>
      </w:r>
      <w:proofErr w:type="spellEnd"/>
      <w:r w:rsidRPr="00F6115D">
        <w:rPr>
          <w:rFonts w:ascii="Segoe UI" w:eastAsia="Times New Roman" w:hAnsi="Segoe UI" w:cs="Segoe UI"/>
          <w:color w:val="0F1115"/>
          <w:sz w:val="24"/>
          <w:szCs w:val="24"/>
        </w:rPr>
        <w:t>, M., Jokela, M., Nyberg, S. T., Singh-</w:t>
      </w:r>
      <w:proofErr w:type="spellStart"/>
      <w:r w:rsidRPr="00F6115D">
        <w:rPr>
          <w:rFonts w:ascii="Segoe UI" w:eastAsia="Times New Roman" w:hAnsi="Segoe UI" w:cs="Segoe UI"/>
          <w:color w:val="0F1115"/>
          <w:sz w:val="24"/>
          <w:szCs w:val="24"/>
        </w:rPr>
        <w:t>Manoux</w:t>
      </w:r>
      <w:proofErr w:type="spellEnd"/>
      <w:r w:rsidRPr="00F6115D">
        <w:rPr>
          <w:rFonts w:ascii="Segoe UI" w:eastAsia="Times New Roman" w:hAnsi="Segoe UI" w:cs="Segoe UI"/>
          <w:color w:val="0F1115"/>
          <w:sz w:val="24"/>
          <w:szCs w:val="24"/>
        </w:rPr>
        <w:t xml:space="preserve">, A., </w:t>
      </w:r>
      <w:proofErr w:type="spellStart"/>
      <w:r w:rsidRPr="00F6115D">
        <w:rPr>
          <w:rFonts w:ascii="Segoe UI" w:eastAsia="Times New Roman" w:hAnsi="Segoe UI" w:cs="Segoe UI"/>
          <w:color w:val="0F1115"/>
          <w:sz w:val="24"/>
          <w:szCs w:val="24"/>
        </w:rPr>
        <w:t>Fransson</w:t>
      </w:r>
      <w:proofErr w:type="spellEnd"/>
      <w:r w:rsidRPr="00F6115D">
        <w:rPr>
          <w:rFonts w:ascii="Segoe UI" w:eastAsia="Times New Roman" w:hAnsi="Segoe UI" w:cs="Segoe UI"/>
          <w:color w:val="0F1115"/>
          <w:sz w:val="24"/>
          <w:szCs w:val="24"/>
        </w:rPr>
        <w:t>, E. I., Alfredsson, L., ... &amp; Virtanen, M. (2015). Long working hours and risk of coronary heart disease and stroke: A systematic review and meta-analysis. </w:t>
      </w:r>
      <w:r w:rsidRPr="00F6115D">
        <w:rPr>
          <w:rFonts w:ascii="Segoe UI" w:eastAsia="Times New Roman" w:hAnsi="Segoe UI" w:cs="Segoe UI"/>
          <w:i/>
          <w:iCs/>
          <w:color w:val="0F1115"/>
          <w:sz w:val="24"/>
          <w:szCs w:val="24"/>
        </w:rPr>
        <w:t>The Lancet, 386</w:t>
      </w:r>
      <w:r w:rsidRPr="00F6115D">
        <w:rPr>
          <w:rFonts w:ascii="Segoe UI" w:eastAsia="Times New Roman" w:hAnsi="Segoe UI" w:cs="Segoe UI"/>
          <w:color w:val="0F1115"/>
          <w:sz w:val="24"/>
          <w:szCs w:val="24"/>
        </w:rPr>
        <w:t>(10005), 1739–1746.</w:t>
      </w:r>
    </w:p>
    <w:p w:rsidR="00F6115D" w:rsidRPr="00F6115D" w:rsidRDefault="00F6115D" w:rsidP="00F6115D">
      <w:pPr>
        <w:spacing w:before="240" w:after="240" w:line="420" w:lineRule="atLeast"/>
        <w:rPr>
          <w:rFonts w:ascii="Segoe UI" w:eastAsia="Times New Roman" w:hAnsi="Segoe UI" w:cs="Segoe UI"/>
          <w:color w:val="0F1115"/>
          <w:sz w:val="24"/>
          <w:szCs w:val="24"/>
        </w:rPr>
      </w:pPr>
      <w:proofErr w:type="spellStart"/>
      <w:r w:rsidRPr="00F6115D">
        <w:rPr>
          <w:rFonts w:ascii="Segoe UI" w:eastAsia="Times New Roman" w:hAnsi="Segoe UI" w:cs="Segoe UI"/>
          <w:color w:val="0F1115"/>
          <w:sz w:val="24"/>
          <w:szCs w:val="24"/>
        </w:rPr>
        <w:t>Mergel</w:t>
      </w:r>
      <w:proofErr w:type="spellEnd"/>
      <w:r w:rsidRPr="00F6115D">
        <w:rPr>
          <w:rFonts w:ascii="Segoe UI" w:eastAsia="Times New Roman" w:hAnsi="Segoe UI" w:cs="Segoe UI"/>
          <w:color w:val="0F1115"/>
          <w:sz w:val="24"/>
          <w:szCs w:val="24"/>
        </w:rPr>
        <w:t xml:space="preserve">, I., </w:t>
      </w:r>
      <w:proofErr w:type="spellStart"/>
      <w:r w:rsidRPr="00F6115D">
        <w:rPr>
          <w:rFonts w:ascii="Segoe UI" w:eastAsia="Times New Roman" w:hAnsi="Segoe UI" w:cs="Segoe UI"/>
          <w:color w:val="0F1115"/>
          <w:sz w:val="24"/>
          <w:szCs w:val="24"/>
        </w:rPr>
        <w:t>Edelmann</w:t>
      </w:r>
      <w:proofErr w:type="spellEnd"/>
      <w:r w:rsidRPr="00F6115D">
        <w:rPr>
          <w:rFonts w:ascii="Segoe UI" w:eastAsia="Times New Roman" w:hAnsi="Segoe UI" w:cs="Segoe UI"/>
          <w:color w:val="0F1115"/>
          <w:sz w:val="24"/>
          <w:szCs w:val="24"/>
        </w:rPr>
        <w:t xml:space="preserve">, N., &amp; </w:t>
      </w:r>
      <w:proofErr w:type="spellStart"/>
      <w:r w:rsidRPr="00F6115D">
        <w:rPr>
          <w:rFonts w:ascii="Segoe UI" w:eastAsia="Times New Roman" w:hAnsi="Segoe UI" w:cs="Segoe UI"/>
          <w:color w:val="0F1115"/>
          <w:sz w:val="24"/>
          <w:szCs w:val="24"/>
        </w:rPr>
        <w:t>Haug</w:t>
      </w:r>
      <w:proofErr w:type="spellEnd"/>
      <w:r w:rsidRPr="00F6115D">
        <w:rPr>
          <w:rFonts w:ascii="Segoe UI" w:eastAsia="Times New Roman" w:hAnsi="Segoe UI" w:cs="Segoe UI"/>
          <w:color w:val="0F1115"/>
          <w:sz w:val="24"/>
          <w:szCs w:val="24"/>
        </w:rPr>
        <w:t>, N. (2019). Defining digital transformation: Results from expert interviews. </w:t>
      </w:r>
      <w:r w:rsidRPr="00F6115D">
        <w:rPr>
          <w:rFonts w:ascii="Segoe UI" w:eastAsia="Times New Roman" w:hAnsi="Segoe UI" w:cs="Segoe UI"/>
          <w:i/>
          <w:iCs/>
          <w:color w:val="0F1115"/>
          <w:sz w:val="24"/>
          <w:szCs w:val="24"/>
        </w:rPr>
        <w:t>Government Information Quarterly, 36</w:t>
      </w:r>
      <w:r w:rsidRPr="00F6115D">
        <w:rPr>
          <w:rFonts w:ascii="Segoe UI" w:eastAsia="Times New Roman" w:hAnsi="Segoe UI" w:cs="Segoe UI"/>
          <w:color w:val="0F1115"/>
          <w:sz w:val="24"/>
          <w:szCs w:val="24"/>
        </w:rPr>
        <w:t>(4), 101385.</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Moynihan, D. P. (2008). </w:t>
      </w:r>
      <w:r w:rsidRPr="00F6115D">
        <w:rPr>
          <w:rFonts w:ascii="Segoe UI" w:eastAsia="Times New Roman" w:hAnsi="Segoe UI" w:cs="Segoe UI"/>
          <w:i/>
          <w:iCs/>
          <w:color w:val="0F1115"/>
          <w:sz w:val="24"/>
          <w:szCs w:val="24"/>
        </w:rPr>
        <w:t>The dynamics of performance management: Constructing information and reform</w:t>
      </w:r>
      <w:r w:rsidRPr="00F6115D">
        <w:rPr>
          <w:rFonts w:ascii="Segoe UI" w:eastAsia="Times New Roman" w:hAnsi="Segoe UI" w:cs="Segoe UI"/>
          <w:color w:val="0F1115"/>
          <w:sz w:val="24"/>
          <w:szCs w:val="24"/>
        </w:rPr>
        <w:t>. Georgetown University Press.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lastRenderedPageBreak/>
        <w:t>Moynihan, D. P., &amp; Pandey, S. K. (2007). The role of organizations in fostering public service motivation. </w:t>
      </w:r>
      <w:r w:rsidRPr="00F6115D">
        <w:rPr>
          <w:rFonts w:ascii="Segoe UI" w:eastAsia="Times New Roman" w:hAnsi="Segoe UI" w:cs="Segoe UI"/>
          <w:i/>
          <w:iCs/>
          <w:color w:val="0F1115"/>
          <w:sz w:val="24"/>
          <w:szCs w:val="24"/>
        </w:rPr>
        <w:t>Public Administration Review, 67</w:t>
      </w:r>
      <w:r w:rsidRPr="00F6115D">
        <w:rPr>
          <w:rFonts w:ascii="Segoe UI" w:eastAsia="Times New Roman" w:hAnsi="Segoe UI" w:cs="Segoe UI"/>
          <w:color w:val="0F1115"/>
          <w:sz w:val="24"/>
          <w:szCs w:val="24"/>
        </w:rPr>
        <w:t>(1), 40-53.</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O'Donovan, R., &amp; McAuliffe, E. (2020). A systematic review of factors that enable psychological safety in healthcare teams. </w:t>
      </w:r>
      <w:r w:rsidRPr="00F6115D">
        <w:rPr>
          <w:rFonts w:ascii="Segoe UI" w:eastAsia="Times New Roman" w:hAnsi="Segoe UI" w:cs="Segoe UI"/>
          <w:i/>
          <w:iCs/>
          <w:color w:val="0F1115"/>
          <w:sz w:val="24"/>
          <w:szCs w:val="24"/>
        </w:rPr>
        <w:t>International Journal for Quality in Health Care, 32</w:t>
      </w:r>
      <w:r w:rsidRPr="00F6115D">
        <w:rPr>
          <w:rFonts w:ascii="Segoe UI" w:eastAsia="Times New Roman" w:hAnsi="Segoe UI" w:cs="Segoe UI"/>
          <w:color w:val="0F1115"/>
          <w:sz w:val="24"/>
          <w:szCs w:val="24"/>
        </w:rPr>
        <w:t>(4), 240-250.</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OECD. (2019). </w:t>
      </w:r>
      <w:r w:rsidRPr="00F6115D">
        <w:rPr>
          <w:rFonts w:ascii="Segoe UI" w:eastAsia="Times New Roman" w:hAnsi="Segoe UI" w:cs="Segoe UI"/>
          <w:i/>
          <w:iCs/>
          <w:color w:val="0F1115"/>
          <w:sz w:val="24"/>
          <w:szCs w:val="24"/>
        </w:rPr>
        <w:t>Government at a glance 2019</w:t>
      </w:r>
      <w:r w:rsidRPr="00F6115D">
        <w:rPr>
          <w:rFonts w:ascii="Segoe UI" w:eastAsia="Times New Roman" w:hAnsi="Segoe UI" w:cs="Segoe UI"/>
          <w:color w:val="0F1115"/>
          <w:sz w:val="24"/>
          <w:szCs w:val="24"/>
        </w:rPr>
        <w:t>. OECD Publishing.</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OECD. (2020). </w:t>
      </w:r>
      <w:r w:rsidRPr="00F6115D">
        <w:rPr>
          <w:rFonts w:ascii="Segoe UI" w:eastAsia="Times New Roman" w:hAnsi="Segoe UI" w:cs="Segoe UI"/>
          <w:i/>
          <w:iCs/>
          <w:color w:val="0F1115"/>
          <w:sz w:val="24"/>
          <w:szCs w:val="24"/>
        </w:rPr>
        <w:t>Digital government index: 2019 results</w:t>
      </w:r>
      <w:r w:rsidRPr="00F6115D">
        <w:rPr>
          <w:rFonts w:ascii="Segoe UI" w:eastAsia="Times New Roman" w:hAnsi="Segoe UI" w:cs="Segoe UI"/>
          <w:color w:val="0F1115"/>
          <w:sz w:val="24"/>
          <w:szCs w:val="24"/>
        </w:rPr>
        <w:t>. OECD Publishing.</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 xml:space="preserve">Osborne, D., &amp; </w:t>
      </w:r>
      <w:proofErr w:type="spellStart"/>
      <w:r w:rsidRPr="00F6115D">
        <w:rPr>
          <w:rFonts w:ascii="Segoe UI" w:eastAsia="Times New Roman" w:hAnsi="Segoe UI" w:cs="Segoe UI"/>
          <w:color w:val="0F1115"/>
          <w:sz w:val="24"/>
          <w:szCs w:val="24"/>
        </w:rPr>
        <w:t>Gaebler</w:t>
      </w:r>
      <w:proofErr w:type="spellEnd"/>
      <w:r w:rsidRPr="00F6115D">
        <w:rPr>
          <w:rFonts w:ascii="Segoe UI" w:eastAsia="Times New Roman" w:hAnsi="Segoe UI" w:cs="Segoe UI"/>
          <w:color w:val="0F1115"/>
          <w:sz w:val="24"/>
          <w:szCs w:val="24"/>
        </w:rPr>
        <w:t>, T. (1992). </w:t>
      </w:r>
      <w:r w:rsidRPr="00F6115D">
        <w:rPr>
          <w:rFonts w:ascii="Segoe UI" w:eastAsia="Times New Roman" w:hAnsi="Segoe UI" w:cs="Segoe UI"/>
          <w:i/>
          <w:iCs/>
          <w:color w:val="0F1115"/>
          <w:sz w:val="24"/>
          <w:szCs w:val="24"/>
        </w:rPr>
        <w:t>Reinventing government: How the entrepreneurial spirit is transforming the public sector</w:t>
      </w:r>
      <w:r w:rsidRPr="00F6115D">
        <w:rPr>
          <w:rFonts w:ascii="Segoe UI" w:eastAsia="Times New Roman" w:hAnsi="Segoe UI" w:cs="Segoe UI"/>
          <w:color w:val="0F1115"/>
          <w:sz w:val="24"/>
          <w:szCs w:val="24"/>
        </w:rPr>
        <w:t>. Addison-Wesley.</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Partnership for Public Service. (2023). </w:t>
      </w:r>
      <w:r w:rsidRPr="00F6115D">
        <w:rPr>
          <w:rFonts w:ascii="Segoe UI" w:eastAsia="Times New Roman" w:hAnsi="Segoe UI" w:cs="Segoe UI"/>
          <w:i/>
          <w:iCs/>
          <w:color w:val="0F1115"/>
          <w:sz w:val="24"/>
          <w:szCs w:val="24"/>
        </w:rPr>
        <w:t>Leadership development in government: Best practices and emerging trends</w:t>
      </w:r>
      <w:r w:rsidRPr="00F6115D">
        <w:rPr>
          <w:rFonts w:ascii="Segoe UI" w:eastAsia="Times New Roman" w:hAnsi="Segoe UI" w:cs="Segoe UI"/>
          <w:color w:val="0F1115"/>
          <w:sz w:val="24"/>
          <w:szCs w:val="24"/>
        </w:rPr>
        <w:t>. Partnership for Public Service.</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Pierre, J., &amp; Peters, B. G. (2020). </w:t>
      </w:r>
      <w:r w:rsidRPr="00F6115D">
        <w:rPr>
          <w:rFonts w:ascii="Segoe UI" w:eastAsia="Times New Roman" w:hAnsi="Segoe UI" w:cs="Segoe UI"/>
          <w:i/>
          <w:iCs/>
          <w:color w:val="0F1115"/>
          <w:sz w:val="24"/>
          <w:szCs w:val="24"/>
        </w:rPr>
        <w:t>Governance, politics and the state</w:t>
      </w:r>
      <w:r w:rsidRPr="00F6115D">
        <w:rPr>
          <w:rFonts w:ascii="Segoe UI" w:eastAsia="Times New Roman" w:hAnsi="Segoe UI" w:cs="Segoe UI"/>
          <w:color w:val="0F1115"/>
          <w:sz w:val="24"/>
          <w:szCs w:val="24"/>
        </w:rPr>
        <w:t> (2nd ed.). Red Globe Press.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 xml:space="preserve">Pollitt, C., &amp; </w:t>
      </w:r>
      <w:proofErr w:type="spellStart"/>
      <w:r w:rsidRPr="00F6115D">
        <w:rPr>
          <w:rFonts w:ascii="Segoe UI" w:eastAsia="Times New Roman" w:hAnsi="Segoe UI" w:cs="Segoe UI"/>
          <w:color w:val="0F1115"/>
          <w:sz w:val="24"/>
          <w:szCs w:val="24"/>
        </w:rPr>
        <w:t>Bouckaert</w:t>
      </w:r>
      <w:proofErr w:type="spellEnd"/>
      <w:r w:rsidRPr="00F6115D">
        <w:rPr>
          <w:rFonts w:ascii="Segoe UI" w:eastAsia="Times New Roman" w:hAnsi="Segoe UI" w:cs="Segoe UI"/>
          <w:color w:val="0F1115"/>
          <w:sz w:val="24"/>
          <w:szCs w:val="24"/>
        </w:rPr>
        <w:t>, G. (2017). </w:t>
      </w:r>
      <w:r w:rsidRPr="00F6115D">
        <w:rPr>
          <w:rFonts w:ascii="Segoe UI" w:eastAsia="Times New Roman" w:hAnsi="Segoe UI" w:cs="Segoe UI"/>
          <w:i/>
          <w:iCs/>
          <w:color w:val="0F1115"/>
          <w:sz w:val="24"/>
          <w:szCs w:val="24"/>
        </w:rPr>
        <w:t>Public management reform: A comparative analysis - Into the age of austerity</w:t>
      </w:r>
      <w:r w:rsidRPr="00F6115D">
        <w:rPr>
          <w:rFonts w:ascii="Segoe UI" w:eastAsia="Times New Roman" w:hAnsi="Segoe UI" w:cs="Segoe UI"/>
          <w:color w:val="0F1115"/>
          <w:sz w:val="24"/>
          <w:szCs w:val="24"/>
        </w:rPr>
        <w:t> (4th ed.). Oxford University Press.</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Rainey, H. G., &amp; Bozeman, B. (2000). Comparing public and private organizations: Empirical research and the power of the a priori. </w:t>
      </w:r>
      <w:r w:rsidRPr="00F6115D">
        <w:rPr>
          <w:rFonts w:ascii="Segoe UI" w:eastAsia="Times New Roman" w:hAnsi="Segoe UI" w:cs="Segoe UI"/>
          <w:i/>
          <w:iCs/>
          <w:color w:val="0F1115"/>
          <w:sz w:val="24"/>
          <w:szCs w:val="24"/>
        </w:rPr>
        <w:t>Journal of Public Administration Research and Theory, 10</w:t>
      </w:r>
      <w:r w:rsidRPr="00F6115D">
        <w:rPr>
          <w:rFonts w:ascii="Segoe UI" w:eastAsia="Times New Roman" w:hAnsi="Segoe UI" w:cs="Segoe UI"/>
          <w:color w:val="0F1115"/>
          <w:sz w:val="24"/>
          <w:szCs w:val="24"/>
        </w:rPr>
        <w:t>(2), 447-470.</w:t>
      </w:r>
    </w:p>
    <w:p w:rsidR="00F6115D" w:rsidRPr="00F6115D" w:rsidRDefault="00F6115D" w:rsidP="00F6115D">
      <w:pPr>
        <w:spacing w:before="240" w:after="240" w:line="420" w:lineRule="atLeast"/>
        <w:rPr>
          <w:rFonts w:ascii="Segoe UI" w:eastAsia="Times New Roman" w:hAnsi="Segoe UI" w:cs="Segoe UI"/>
          <w:color w:val="0F1115"/>
          <w:sz w:val="24"/>
          <w:szCs w:val="24"/>
        </w:rPr>
      </w:pPr>
      <w:proofErr w:type="spellStart"/>
      <w:r w:rsidRPr="00F6115D">
        <w:rPr>
          <w:rFonts w:ascii="Segoe UI" w:eastAsia="Times New Roman" w:hAnsi="Segoe UI" w:cs="Segoe UI"/>
          <w:color w:val="0F1115"/>
          <w:sz w:val="24"/>
          <w:szCs w:val="24"/>
        </w:rPr>
        <w:t>Trong</w:t>
      </w:r>
      <w:proofErr w:type="spellEnd"/>
      <w:r w:rsidRPr="00F6115D">
        <w:rPr>
          <w:rFonts w:ascii="Segoe UI" w:eastAsia="Times New Roman" w:hAnsi="Segoe UI" w:cs="Segoe UI"/>
          <w:color w:val="0F1115"/>
          <w:sz w:val="24"/>
          <w:szCs w:val="24"/>
        </w:rPr>
        <w:t xml:space="preserve"> Tuan, L. (2017). Reform in public organizations: The roles of servant leadership and person-organization fit. </w:t>
      </w:r>
      <w:r w:rsidRPr="00F6115D">
        <w:rPr>
          <w:rFonts w:ascii="Segoe UI" w:eastAsia="Times New Roman" w:hAnsi="Segoe UI" w:cs="Segoe UI"/>
          <w:i/>
          <w:iCs/>
          <w:color w:val="0F1115"/>
          <w:sz w:val="24"/>
          <w:szCs w:val="24"/>
        </w:rPr>
        <w:t>International Journal of Public Administration, 40</w:t>
      </w:r>
      <w:r w:rsidRPr="00F6115D">
        <w:rPr>
          <w:rFonts w:ascii="Segoe UI" w:eastAsia="Times New Roman" w:hAnsi="Segoe UI" w:cs="Segoe UI"/>
          <w:color w:val="0F1115"/>
          <w:sz w:val="24"/>
          <w:szCs w:val="24"/>
        </w:rPr>
        <w:t>(8), 634-648.</w:t>
      </w:r>
    </w:p>
    <w:p w:rsidR="00F6115D" w:rsidRPr="00F6115D" w:rsidRDefault="00F6115D" w:rsidP="00F6115D">
      <w:pPr>
        <w:spacing w:before="240" w:after="240" w:line="420" w:lineRule="atLeast"/>
        <w:rPr>
          <w:rFonts w:ascii="Segoe UI" w:eastAsia="Times New Roman" w:hAnsi="Segoe UI" w:cs="Segoe UI"/>
          <w:color w:val="0F1115"/>
          <w:sz w:val="24"/>
          <w:szCs w:val="24"/>
        </w:rPr>
      </w:pPr>
      <w:r w:rsidRPr="00F6115D">
        <w:rPr>
          <w:rFonts w:ascii="Segoe UI" w:eastAsia="Times New Roman" w:hAnsi="Segoe UI" w:cs="Segoe UI"/>
          <w:color w:val="0F1115"/>
          <w:sz w:val="24"/>
          <w:szCs w:val="24"/>
        </w:rPr>
        <w:t>U.S. Office of Personnel Management. (2022). </w:t>
      </w:r>
      <w:r w:rsidRPr="00F6115D">
        <w:rPr>
          <w:rFonts w:ascii="Segoe UI" w:eastAsia="Times New Roman" w:hAnsi="Segoe UI" w:cs="Segoe UI"/>
          <w:i/>
          <w:iCs/>
          <w:color w:val="0F1115"/>
          <w:sz w:val="24"/>
          <w:szCs w:val="24"/>
        </w:rPr>
        <w:t>Performance management guide for federal agencies</w:t>
      </w:r>
      <w:r w:rsidRPr="00F6115D">
        <w:rPr>
          <w:rFonts w:ascii="Segoe UI" w:eastAsia="Times New Roman" w:hAnsi="Segoe UI" w:cs="Segoe UI"/>
          <w:color w:val="0F1115"/>
          <w:sz w:val="24"/>
          <w:szCs w:val="24"/>
        </w:rPr>
        <w:t>. OPM.</w:t>
      </w:r>
    </w:p>
    <w:p w:rsidR="00F6115D" w:rsidRPr="00F6115D" w:rsidRDefault="008522DE" w:rsidP="00F6115D">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v:rect id="_x0000_i1033" style="width:0;height:.75pt" o:hralign="center" o:hrstd="t" o:hr="t" fillcolor="#a0a0a0" stroked="f"/>
        </w:pict>
      </w:r>
    </w:p>
    <w:sectPr w:rsidR="00F6115D" w:rsidRPr="00F61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4E1B"/>
    <w:multiLevelType w:val="multilevel"/>
    <w:tmpl w:val="45B2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EB6F32"/>
    <w:multiLevelType w:val="multilevel"/>
    <w:tmpl w:val="2352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5D"/>
    <w:rsid w:val="00235C9D"/>
    <w:rsid w:val="005C5AC7"/>
    <w:rsid w:val="006A189A"/>
    <w:rsid w:val="008522DE"/>
    <w:rsid w:val="00F61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CA51"/>
  <w15:chartTrackingRefBased/>
  <w15:docId w15:val="{A0E65741-F936-4C64-8081-8A771D35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316217">
      <w:bodyDiv w:val="1"/>
      <w:marLeft w:val="0"/>
      <w:marRight w:val="0"/>
      <w:marTop w:val="0"/>
      <w:marBottom w:val="0"/>
      <w:divBdr>
        <w:top w:val="none" w:sz="0" w:space="0" w:color="auto"/>
        <w:left w:val="none" w:sz="0" w:space="0" w:color="auto"/>
        <w:bottom w:val="none" w:sz="0" w:space="0" w:color="auto"/>
        <w:right w:val="none" w:sz="0" w:space="0" w:color="auto"/>
      </w:divBdr>
      <w:divsChild>
        <w:div w:id="11617323">
          <w:marLeft w:val="0"/>
          <w:marRight w:val="0"/>
          <w:marTop w:val="0"/>
          <w:marBottom w:val="0"/>
          <w:divBdr>
            <w:top w:val="none" w:sz="0" w:space="0" w:color="auto"/>
            <w:left w:val="none" w:sz="0" w:space="0" w:color="auto"/>
            <w:bottom w:val="none" w:sz="0" w:space="0" w:color="auto"/>
            <w:right w:val="none" w:sz="0" w:space="0" w:color="auto"/>
          </w:divBdr>
          <w:divsChild>
            <w:div w:id="604309838">
              <w:marLeft w:val="0"/>
              <w:marRight w:val="0"/>
              <w:marTop w:val="0"/>
              <w:marBottom w:val="0"/>
              <w:divBdr>
                <w:top w:val="none" w:sz="0" w:space="0" w:color="auto"/>
                <w:left w:val="none" w:sz="0" w:space="0" w:color="auto"/>
                <w:bottom w:val="none" w:sz="0" w:space="0" w:color="auto"/>
                <w:right w:val="none" w:sz="0" w:space="0" w:color="auto"/>
              </w:divBdr>
              <w:divsChild>
                <w:div w:id="416295669">
                  <w:marLeft w:val="0"/>
                  <w:marRight w:val="0"/>
                  <w:marTop w:val="0"/>
                  <w:marBottom w:val="0"/>
                  <w:divBdr>
                    <w:top w:val="none" w:sz="0" w:space="0" w:color="auto"/>
                    <w:left w:val="none" w:sz="0" w:space="0" w:color="auto"/>
                    <w:bottom w:val="none" w:sz="0" w:space="0" w:color="auto"/>
                    <w:right w:val="none" w:sz="0" w:space="0" w:color="auto"/>
                  </w:divBdr>
                </w:div>
                <w:div w:id="214473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4387</Words>
  <Characters>25009</Characters>
  <Application>Microsoft Office Word</Application>
  <DocSecurity>0</DocSecurity>
  <Lines>208</Lines>
  <Paragraphs>58</Paragraphs>
  <ScaleCrop>false</ScaleCrop>
  <Company/>
  <LinksUpToDate>false</LinksUpToDate>
  <CharactersWithSpaces>29338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Abban</dc:creator>
  <cp:keywords/>
  <dc:description/>
  <cp:lastModifiedBy>Kenneth  Abban</cp:lastModifiedBy>
  <cp:revision>5</cp:revision>
  <dcterms:created xsi:type="dcterms:W3CDTF">2026-02-17T12:24:00Z</dcterms:created>
  <dcterms:modified xsi:type="dcterms:W3CDTF">2026-03-09T16:27:00Z</dcterms:modified>
</cp:coreProperties>
</file>