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47" w:rsidRPr="00947F47" w:rsidRDefault="00947F47" w:rsidP="00FB18D6">
      <w:pPr>
        <w:spacing w:after="0" w:line="240" w:lineRule="auto"/>
        <w:jc w:val="center"/>
        <w:outlineLvl w:val="0"/>
        <w:rPr>
          <w:rFonts w:ascii="Times New Roman" w:eastAsia="Times New Roman" w:hAnsi="Times New Roman" w:cs="Times New Roman"/>
          <w:b/>
          <w:bCs/>
          <w:kern w:val="36"/>
          <w:sz w:val="28"/>
          <w:szCs w:val="24"/>
        </w:rPr>
      </w:pPr>
      <w:r w:rsidRPr="00947F47">
        <w:rPr>
          <w:rFonts w:ascii="Times New Roman" w:eastAsia="Times New Roman" w:hAnsi="Times New Roman" w:cs="Times New Roman"/>
          <w:b/>
          <w:bCs/>
          <w:kern w:val="36"/>
          <w:sz w:val="28"/>
          <w:szCs w:val="24"/>
        </w:rPr>
        <w:t>ICT Aided Teaching and Learning Process in Higher Education System:</w:t>
      </w:r>
    </w:p>
    <w:p w:rsidR="00947F47" w:rsidRDefault="00947F47" w:rsidP="00FB18D6">
      <w:pPr>
        <w:spacing w:after="0" w:line="240" w:lineRule="auto"/>
        <w:jc w:val="center"/>
        <w:outlineLvl w:val="0"/>
        <w:rPr>
          <w:rFonts w:ascii="Times New Roman" w:eastAsia="Times New Roman" w:hAnsi="Times New Roman" w:cs="Times New Roman"/>
          <w:b/>
          <w:bCs/>
          <w:kern w:val="36"/>
          <w:sz w:val="28"/>
          <w:szCs w:val="24"/>
        </w:rPr>
      </w:pPr>
      <w:r w:rsidRPr="00947F47">
        <w:rPr>
          <w:rFonts w:ascii="Times New Roman" w:eastAsia="Times New Roman" w:hAnsi="Times New Roman" w:cs="Times New Roman"/>
          <w:b/>
          <w:bCs/>
          <w:kern w:val="36"/>
          <w:sz w:val="28"/>
          <w:szCs w:val="24"/>
        </w:rPr>
        <w:t/>
      </w:r>
      <w:r w:rsidR="00273C73">
        <w:rPr>
          <w:rFonts w:ascii="Times New Roman" w:eastAsia="Times New Roman" w:hAnsi="Times New Roman" w:cs="Times New Roman"/>
          <w:b/>
          <w:bCs/>
          <w:kern w:val="36"/>
          <w:sz w:val="28"/>
          <w:szCs w:val="24"/>
        </w:rPr>
        <w:t xml:space="preserve"/>
      </w:r>
      <w:r w:rsidR="00D670C0">
        <w:rPr>
          <w:rFonts w:ascii="Times New Roman" w:eastAsia="Times New Roman" w:hAnsi="Times New Roman" w:cs="Times New Roman"/>
          <w:b/>
          <w:bCs/>
          <w:kern w:val="36"/>
          <w:sz w:val="28"/>
          <w:szCs w:val="24"/>
        </w:rPr>
        <w:t/>
      </w:r>
      <w:r w:rsidR="00273C73">
        <w:rPr>
          <w:rFonts w:ascii="Times New Roman" w:eastAsia="Times New Roman" w:hAnsi="Times New Roman" w:cs="Times New Roman"/>
          <w:b/>
          <w:bCs/>
          <w:kern w:val="36"/>
          <w:sz w:val="28"/>
          <w:szCs w:val="24"/>
        </w:rPr>
        <w:t xml:space="preserve"/>
      </w:r>
      <w:r w:rsidR="00AE5633">
        <w:rPr>
          <w:rFonts w:ascii="Times New Roman" w:eastAsia="Times New Roman" w:hAnsi="Times New Roman" w:cs="Times New Roman"/>
          <w:b/>
          <w:bCs/>
          <w:kern w:val="36"/>
          <w:sz w:val="28"/>
          <w:szCs w:val="24"/>
        </w:rPr>
        <w:t/>
      </w:r>
      <w:r w:rsidR="00273C73">
        <w:rPr>
          <w:rFonts w:ascii="Times New Roman" w:eastAsia="Times New Roman" w:hAnsi="Times New Roman" w:cs="Times New Roman"/>
          <w:b/>
          <w:bCs/>
          <w:kern w:val="36"/>
          <w:sz w:val="28"/>
          <w:szCs w:val="24"/>
        </w:rPr>
        <w:t xml:space="preserve"/>
      </w:r>
      <w:r w:rsidRPr="00947F47">
        <w:rPr>
          <w:rFonts w:ascii="Times New Roman" w:eastAsia="Times New Roman" w:hAnsi="Times New Roman" w:cs="Times New Roman"/>
          <w:b/>
          <w:bCs/>
          <w:kern w:val="36"/>
          <w:sz w:val="28"/>
          <w:szCs w:val="24"/>
        </w:rPr>
        <w:t xml:space="preserve"/>
      </w:r>
      <w:r w:rsidR="00273C73">
        <w:rPr>
          <w:rFonts w:ascii="Times New Roman" w:eastAsia="Times New Roman" w:hAnsi="Times New Roman" w:cs="Times New Roman"/>
          <w:b/>
          <w:bCs/>
          <w:kern w:val="36"/>
          <w:sz w:val="28"/>
          <w:szCs w:val="24"/>
        </w:rPr>
        <w:t xml:space="preserve"/>
      </w:r>
      <w:r w:rsidRPr="00947F47">
        <w:rPr>
          <w:rFonts w:ascii="Times New Roman" w:eastAsia="Times New Roman" w:hAnsi="Times New Roman" w:cs="Times New Roman"/>
          <w:b/>
          <w:bCs/>
          <w:kern w:val="36"/>
          <w:sz w:val="28"/>
          <w:szCs w:val="24"/>
        </w:rPr>
        <w:t/>
      </w:r>
    </w:p>
    <w:p w:rsidR="00A63E9C" w:rsidRDefault="00A63E9C" w:rsidP="00A63E9C">
      <w:pPr>
        <w:pStyle w:val="Default"/>
        <w:jc w:val="center"/>
        <w:rPr>
          <w:b/>
          <w:sz w:val="22"/>
          <w:szCs w:val="22"/>
        </w:rPr>
      </w:pPr>
    </w:p>
    <w:p w:rsidR="00A63E9C" w:rsidRPr="000153FB" w:rsidRDefault="00A63E9C" w:rsidP="00A63E9C">
      <w:pPr>
        <w:pStyle w:val="Default"/>
        <w:jc w:val="center"/>
        <w:rPr>
          <w:b/>
          <w:color w:val="auto"/>
          <w:sz w:val="14"/>
          <w:szCs w:val="14"/>
        </w:rPr>
      </w:pPr>
      <w:r w:rsidRPr="000153FB">
        <w:rPr>
          <w:b/>
          <w:color w:val="auto"/>
          <w:sz w:val="22"/>
          <w:szCs w:val="22"/>
        </w:rPr>
        <w:t/>
      </w:r>
    </w:p>
    <w:p w:rsidR="00A63E9C" w:rsidRPr="000153FB" w:rsidRDefault="00A63E9C" w:rsidP="00A63E9C">
      <w:pPr>
        <w:spacing w:after="0" w:line="240" w:lineRule="auto"/>
        <w:jc w:val="center"/>
        <w:rPr>
          <w:rFonts w:ascii="Times New Roman" w:hAnsi="Times New Roman" w:cs="Times New Roman"/>
          <w:i/>
          <w:iCs/>
        </w:rPr>
      </w:pPr>
      <w:r w:rsidRPr="000153FB">
        <w:rPr>
          <w:rFonts w:ascii="Times New Roman" w:hAnsi="Times New Roman" w:cs="Times New Roman"/>
          <w:i/>
          <w:iCs/>
        </w:rPr>
        <w:t/>
      </w:r>
    </w:p>
    <w:p w:rsidR="00A63E9C" w:rsidRPr="000153FB" w:rsidRDefault="00A63E9C" w:rsidP="00A63E9C">
      <w:pPr>
        <w:spacing w:after="0" w:line="240" w:lineRule="auto"/>
        <w:jc w:val="center"/>
        <w:outlineLvl w:val="0"/>
        <w:rPr>
          <w:rFonts w:ascii="Times New Roman" w:eastAsia="Times New Roman" w:hAnsi="Times New Roman" w:cs="Times New Roman"/>
          <w:b/>
          <w:bCs/>
          <w:kern w:val="36"/>
          <w:sz w:val="28"/>
          <w:szCs w:val="24"/>
        </w:rPr>
      </w:pPr>
      <w:r w:rsidRPr="000153FB">
        <w:rPr>
          <w:rFonts w:ascii="Times New Roman" w:hAnsi="Times New Roman" w:cs="Times New Roman"/>
          <w:i/>
          <w:iCs/>
        </w:rPr>
        <w:t/>
      </w:r>
    </w:p>
    <w:p w:rsidR="00736249" w:rsidRDefault="00736249" w:rsidP="00FB18D6">
      <w:pPr>
        <w:spacing w:after="0" w:line="240" w:lineRule="auto"/>
        <w:jc w:val="center"/>
        <w:outlineLvl w:val="0"/>
        <w:rPr>
          <w:rFonts w:ascii="Times New Roman" w:eastAsia="Times New Roman" w:hAnsi="Times New Roman" w:cs="Times New Roman"/>
          <w:b/>
          <w:bCs/>
          <w:kern w:val="36"/>
          <w:sz w:val="28"/>
          <w:szCs w:val="24"/>
        </w:rPr>
      </w:pPr>
    </w:p>
    <w:p w:rsidR="00CD52C7" w:rsidRPr="00273C73" w:rsidRDefault="00686EB1" w:rsidP="00686EB1">
      <w:pPr>
        <w:spacing w:after="0" w:line="240" w:lineRule="auto"/>
        <w:outlineLvl w:val="0"/>
        <w:rPr>
          <w:rFonts w:ascii="Times New Roman" w:eastAsia="Times New Roman" w:hAnsi="Times New Roman" w:cs="Times New Roman"/>
          <w:b/>
          <w:bCs/>
          <w:kern w:val="36"/>
        </w:rPr>
      </w:pPr>
      <w:r w:rsidRPr="00273C73">
        <w:rPr>
          <w:rFonts w:ascii="Times New Roman" w:eastAsia="Times New Roman" w:hAnsi="Times New Roman" w:cs="Times New Roman"/>
          <w:b/>
          <w:bCs/>
          <w:kern w:val="36"/>
        </w:rPr>
        <w:t>A</w:t>
      </w:r>
      <w:r w:rsidR="00084FBD" w:rsidRPr="00273C73">
        <w:rPr>
          <w:rFonts w:ascii="Times New Roman" w:eastAsia="Times New Roman" w:hAnsi="Times New Roman" w:cs="Times New Roman"/>
          <w:b/>
          <w:bCs/>
          <w:kern w:val="36"/>
        </w:rPr>
        <w:t>bstract</w:t>
      </w:r>
    </w:p>
    <w:p w:rsidR="00273C73" w:rsidRDefault="00736249" w:rsidP="00CD52C7">
      <w:pPr>
        <w:spacing w:line="240" w:lineRule="auto"/>
        <w:ind w:firstLine="720"/>
        <w:jc w:val="both"/>
        <w:rPr>
          <w:rFonts w:ascii="Times New Roman" w:eastAsia="Times New Roman" w:hAnsi="Times New Roman" w:cs="Times New Roman"/>
          <w:bCs/>
          <w:szCs w:val="24"/>
        </w:rPr>
      </w:pPr>
      <w:r w:rsidRPr="00273C73">
        <w:rPr>
          <w:rFonts w:ascii="Times New Roman" w:eastAsia="Times New Roman" w:hAnsi="Times New Roman" w:cs="Times New Roman"/>
          <w:bCs/>
          <w:kern w:val="36"/>
        </w:rPr>
        <w:t xml:space="preserve">With the advancement in modern technology there is a growing need for technological assistance in Higher education. ICT facilities are now an essential part of the teaching and learning process which will further enhance the classroom interaction between the teachers and the learners. Keeping in mind the importance of ICT in learning process, various </w:t>
      </w:r>
      <w:r w:rsidR="00273C73" w:rsidRPr="00273C73">
        <w:rPr>
          <w:rFonts w:ascii="Times New Roman" w:eastAsia="Times New Roman" w:hAnsi="Times New Roman" w:cs="Times New Roman"/>
          <w:bCs/>
          <w:kern w:val="36"/>
        </w:rPr>
        <w:t>initiatives</w:t>
      </w:r>
      <w:r w:rsidRPr="00273C73">
        <w:rPr>
          <w:rFonts w:ascii="Times New Roman" w:eastAsia="Times New Roman" w:hAnsi="Times New Roman" w:cs="Times New Roman"/>
          <w:bCs/>
          <w:kern w:val="36"/>
        </w:rPr>
        <w:t xml:space="preserve"> has been taken up but government such as </w:t>
      </w:r>
      <w:r w:rsidRPr="00273C73">
        <w:rPr>
          <w:rFonts w:ascii="Times New Roman" w:eastAsia="Times New Roman" w:hAnsi="Times New Roman" w:cs="Times New Roman"/>
        </w:rPr>
        <w:t>Digital India, SWAYAM, and the National Education Policy 2020</w:t>
      </w:r>
      <w:r w:rsidR="00273C73" w:rsidRPr="00273C73">
        <w:rPr>
          <w:rFonts w:ascii="Times New Roman" w:eastAsia="Times New Roman" w:hAnsi="Times New Roman" w:cs="Times New Roman"/>
        </w:rPr>
        <w:t xml:space="preserve">. The study reveals that </w:t>
      </w:r>
      <w:r w:rsidR="00273C73" w:rsidRPr="00273C73">
        <w:rPr>
          <w:rFonts w:ascii="Times New Roman" w:eastAsia="Times New Roman" w:hAnsi="Times New Roman" w:cs="Times New Roman"/>
          <w:bCs/>
        </w:rPr>
        <w:t>inadequate infrastructure, digital div</w:t>
      </w:r>
      <w:r w:rsidR="00273C73">
        <w:rPr>
          <w:rFonts w:ascii="Times New Roman" w:eastAsia="Times New Roman" w:hAnsi="Times New Roman" w:cs="Times New Roman"/>
          <w:bCs/>
        </w:rPr>
        <w:t xml:space="preserve">ide and inequality, lack of ICT </w:t>
      </w:r>
      <w:r w:rsidR="00273C73" w:rsidRPr="00273C73">
        <w:rPr>
          <w:rFonts w:ascii="Times New Roman" w:eastAsia="Times New Roman" w:hAnsi="Times New Roman" w:cs="Times New Roman"/>
          <w:bCs/>
        </w:rPr>
        <w:t>skills and training, financial constraints, technical and administrative challenges</w:t>
      </w:r>
      <w:r w:rsidR="00273C73" w:rsidRPr="00273C73">
        <w:t xml:space="preserve"> and </w:t>
      </w:r>
      <w:r w:rsidR="00273C73" w:rsidRPr="00273C73">
        <w:rPr>
          <w:rFonts w:ascii="Times New Roman" w:eastAsia="Times New Roman" w:hAnsi="Times New Roman" w:cs="Times New Roman"/>
          <w:bCs/>
        </w:rPr>
        <w:t>relevance of content and contextual limitations</w:t>
      </w:r>
      <w:r w:rsidR="00273C73">
        <w:rPr>
          <w:rFonts w:ascii="Times New Roman" w:eastAsia="Times New Roman" w:hAnsi="Times New Roman" w:cs="Times New Roman"/>
          <w:bCs/>
        </w:rPr>
        <w:t xml:space="preserve"> were some of the key obstacles to the successful implementation of ICT aided </w:t>
      </w:r>
      <w:r w:rsidR="00273C73" w:rsidRPr="00273C73">
        <w:rPr>
          <w:rFonts w:ascii="Times New Roman" w:eastAsia="Times New Roman" w:hAnsi="Times New Roman" w:cs="Times New Roman"/>
          <w:bCs/>
          <w:kern w:val="36"/>
          <w:szCs w:val="24"/>
        </w:rPr>
        <w:t>teaching and learning process in higher education system</w:t>
      </w:r>
      <w:r w:rsidR="00273C73">
        <w:rPr>
          <w:rFonts w:ascii="Times New Roman" w:eastAsia="Times New Roman" w:hAnsi="Times New Roman" w:cs="Times New Roman"/>
          <w:bCs/>
          <w:kern w:val="36"/>
          <w:szCs w:val="24"/>
        </w:rPr>
        <w:t xml:space="preserve">. However, the study also reveals that </w:t>
      </w:r>
      <w:r w:rsidR="00CD52C7">
        <w:rPr>
          <w:rFonts w:ascii="Times New Roman" w:eastAsia="Times New Roman" w:hAnsi="Times New Roman" w:cs="Times New Roman"/>
          <w:bCs/>
          <w:kern w:val="36"/>
          <w:szCs w:val="24"/>
        </w:rPr>
        <w:t xml:space="preserve">effective use of ICT facilities would improve the </w:t>
      </w:r>
      <w:r w:rsidR="00CD52C7">
        <w:rPr>
          <w:rFonts w:ascii="Times New Roman" w:eastAsia="Times New Roman" w:hAnsi="Times New Roman" w:cs="Times New Roman"/>
          <w:bCs/>
          <w:szCs w:val="24"/>
        </w:rPr>
        <w:t>quality of</w:t>
      </w:r>
      <w:r w:rsidR="00273C73" w:rsidRPr="00273C73">
        <w:rPr>
          <w:rFonts w:ascii="Times New Roman" w:eastAsia="Times New Roman" w:hAnsi="Times New Roman" w:cs="Times New Roman"/>
          <w:bCs/>
          <w:szCs w:val="24"/>
        </w:rPr>
        <w:t xml:space="preserve"> teaching and learning, enhanced accessibility and </w:t>
      </w:r>
      <w:r w:rsidR="00AE5633" w:rsidRPr="00273C73">
        <w:rPr>
          <w:rFonts w:ascii="Times New Roman" w:eastAsia="Times New Roman" w:hAnsi="Times New Roman" w:cs="Times New Roman"/>
          <w:bCs/>
          <w:szCs w:val="24"/>
        </w:rPr>
        <w:t>flexibility</w:t>
      </w:r>
      <w:r w:rsidR="00AE5633">
        <w:rPr>
          <w:rFonts w:ascii="Times New Roman" w:eastAsia="Times New Roman" w:hAnsi="Times New Roman" w:cs="Times New Roman"/>
          <w:bCs/>
          <w:szCs w:val="24"/>
        </w:rPr>
        <w:t xml:space="preserve"> </w:t>
      </w:r>
      <w:r w:rsidR="00CD52C7">
        <w:rPr>
          <w:rFonts w:ascii="Times New Roman" w:eastAsia="Times New Roman" w:hAnsi="Times New Roman" w:cs="Times New Roman"/>
          <w:bCs/>
          <w:szCs w:val="24"/>
        </w:rPr>
        <w:t xml:space="preserve">provide </w:t>
      </w:r>
      <w:r w:rsidR="00273C73" w:rsidRPr="00273C73">
        <w:rPr>
          <w:rFonts w:ascii="Times New Roman" w:eastAsia="Times New Roman" w:hAnsi="Times New Roman" w:cs="Times New Roman"/>
          <w:bCs/>
          <w:szCs w:val="24"/>
        </w:rPr>
        <w:t xml:space="preserve">global learning opportunities, personalized learning and self-paced study and </w:t>
      </w:r>
      <w:r w:rsidR="00CD52C7">
        <w:rPr>
          <w:rFonts w:ascii="Times New Roman" w:eastAsia="Times New Roman" w:hAnsi="Times New Roman" w:cs="Times New Roman"/>
          <w:bCs/>
          <w:szCs w:val="24"/>
        </w:rPr>
        <w:t xml:space="preserve">further create environment for </w:t>
      </w:r>
      <w:r w:rsidR="00273C73" w:rsidRPr="00273C73">
        <w:rPr>
          <w:rFonts w:ascii="Times New Roman" w:eastAsia="Times New Roman" w:hAnsi="Times New Roman" w:cs="Times New Roman"/>
          <w:bCs/>
          <w:szCs w:val="24"/>
        </w:rPr>
        <w:t>inclusive and equitable education</w:t>
      </w:r>
      <w:r w:rsidR="00273C73">
        <w:rPr>
          <w:rFonts w:ascii="Times New Roman" w:eastAsia="Times New Roman" w:hAnsi="Times New Roman" w:cs="Times New Roman"/>
          <w:bCs/>
          <w:szCs w:val="24"/>
        </w:rPr>
        <w:t>.</w:t>
      </w:r>
    </w:p>
    <w:p w:rsidR="00CD52C7" w:rsidRPr="005B4243" w:rsidRDefault="00CD52C7" w:rsidP="00CD52C7">
      <w:pPr>
        <w:spacing w:line="240" w:lineRule="auto"/>
        <w:jc w:val="both"/>
        <w:rPr>
          <w:rFonts w:ascii="Times New Roman" w:eastAsia="Times New Roman" w:hAnsi="Times New Roman" w:cs="Times New Roman"/>
          <w:bCs/>
          <w:i/>
          <w:sz w:val="24"/>
          <w:szCs w:val="24"/>
        </w:rPr>
      </w:pPr>
      <w:r w:rsidRPr="005B4243">
        <w:rPr>
          <w:rFonts w:ascii="Times New Roman" w:eastAsia="Times New Roman" w:hAnsi="Times New Roman" w:cs="Times New Roman"/>
          <w:bCs/>
          <w:i/>
          <w:szCs w:val="24"/>
        </w:rPr>
        <w:t xml:space="preserve">Keywords: ICT, Teaching, learning, higher education, higher education rural </w:t>
      </w:r>
    </w:p>
    <w:p w:rsidR="00273C73" w:rsidRPr="00273C73" w:rsidRDefault="00273C73" w:rsidP="00273C73">
      <w:pPr>
        <w:spacing w:after="0" w:line="240" w:lineRule="auto"/>
        <w:ind w:firstLine="720"/>
        <w:jc w:val="both"/>
        <w:outlineLvl w:val="2"/>
        <w:rPr>
          <w:sz w:val="18"/>
        </w:rPr>
      </w:pPr>
    </w:p>
    <w:p w:rsidR="00FB18D6" w:rsidRDefault="00FB18D6" w:rsidP="00FB18D6">
      <w:pPr>
        <w:spacing w:before="100" w:beforeAutospacing="1" w:after="100" w:afterAutospacing="1" w:line="240" w:lineRule="auto"/>
        <w:jc w:val="both"/>
        <w:outlineLvl w:val="1"/>
        <w:rPr>
          <w:rFonts w:ascii="Times New Roman" w:eastAsia="Times New Roman" w:hAnsi="Times New Roman" w:cs="Times New Roman"/>
          <w:b/>
          <w:bCs/>
          <w:sz w:val="24"/>
          <w:szCs w:val="24"/>
        </w:rPr>
        <w:sectPr w:rsidR="00FB18D6" w:rsidSect="00B1466F">
          <w:footerReference w:type="default" r:id="rId8"/>
          <w:pgSz w:w="12240" w:h="15840"/>
          <w:pgMar w:top="900" w:right="720" w:bottom="1440" w:left="1170" w:header="720" w:footer="720" w:gutter="0"/>
          <w:cols w:space="720"/>
          <w:docGrid w:linePitch="360"/>
        </w:sectPr>
      </w:pPr>
    </w:p>
    <w:p w:rsidR="00947F47" w:rsidRPr="00D670C0" w:rsidRDefault="00947F47" w:rsidP="00A562D1">
      <w:pPr>
        <w:pStyle w:val="ListParagraph"/>
        <w:numPr>
          <w:ilvl w:val="0"/>
          <w:numId w:val="6"/>
        </w:numPr>
        <w:spacing w:after="0" w:line="240" w:lineRule="auto"/>
        <w:ind w:left="360"/>
        <w:jc w:val="both"/>
        <w:outlineLvl w:val="1"/>
        <w:rPr>
          <w:rFonts w:ascii="Times New Roman" w:eastAsia="Times New Roman" w:hAnsi="Times New Roman" w:cs="Times New Roman"/>
          <w:b/>
          <w:bCs/>
          <w:sz w:val="24"/>
          <w:szCs w:val="24"/>
        </w:rPr>
      </w:pPr>
      <w:r w:rsidRPr="00D670C0">
        <w:rPr>
          <w:rFonts w:ascii="Times New Roman" w:eastAsia="Times New Roman" w:hAnsi="Times New Roman" w:cs="Times New Roman"/>
          <w:b/>
          <w:bCs/>
          <w:sz w:val="24"/>
          <w:szCs w:val="24"/>
        </w:rPr>
        <w:lastRenderedPageBreak/>
        <w:t>Introduction</w:t>
      </w:r>
    </w:p>
    <w:p w:rsidR="00B1466F" w:rsidRDefault="00947F47" w:rsidP="00AE5633">
      <w:pPr>
        <w:spacing w:after="0"/>
        <w:ind w:firstLine="720"/>
        <w:jc w:val="both"/>
        <w:rPr>
          <w:rFonts w:ascii="Times New Roman" w:eastAsia="Times New Roman" w:hAnsi="Times New Roman" w:cs="Times New Roman"/>
          <w:sz w:val="24"/>
          <w:szCs w:val="24"/>
        </w:rPr>
      </w:pPr>
      <w:r w:rsidRPr="00A562D1">
        <w:rPr>
          <w:rFonts w:ascii="Times New Roman" w:eastAsia="Times New Roman" w:hAnsi="Times New Roman" w:cs="Times New Roman"/>
          <w:sz w:val="24"/>
          <w:szCs w:val="24"/>
        </w:rPr>
        <w:t xml:space="preserve">India possesses one of the largest and most diverse higher education systems in the world, with a substantial number of institutions operating in rural and semi-rural regions (Government of India, 2020). In recent years, the integration of Information and Communication Technology (ICT) into higher education has emerged as a strategic national priority aimed at enhancing educational quality, promoting equity, and expanding access to learning opportunities. </w:t>
      </w:r>
      <w:r w:rsidR="00736249" w:rsidRPr="00A562D1">
        <w:rPr>
          <w:rFonts w:ascii="Times New Roman" w:eastAsia="Times New Roman" w:hAnsi="Times New Roman" w:cs="Times New Roman"/>
          <w:sz w:val="24"/>
          <w:szCs w:val="24"/>
        </w:rPr>
        <w:t xml:space="preserve">                </w:t>
      </w:r>
      <w:r w:rsidRPr="00A562D1">
        <w:rPr>
          <w:rFonts w:ascii="Times New Roman" w:eastAsia="Times New Roman" w:hAnsi="Times New Roman" w:cs="Times New Roman"/>
          <w:sz w:val="24"/>
          <w:szCs w:val="24"/>
        </w:rPr>
        <w:t xml:space="preserve">ICT-enabled teaching and learning is increasingly viewed as a transformative mechanism capable </w:t>
      </w:r>
      <w:r w:rsidR="00AE5633">
        <w:rPr>
          <w:rFonts w:ascii="Times New Roman" w:eastAsia="Times New Roman" w:hAnsi="Times New Roman" w:cs="Times New Roman"/>
          <w:sz w:val="24"/>
          <w:szCs w:val="24"/>
        </w:rPr>
        <w:t xml:space="preserve">              </w:t>
      </w:r>
      <w:r w:rsidRPr="00A562D1">
        <w:rPr>
          <w:rFonts w:ascii="Times New Roman" w:eastAsia="Times New Roman" w:hAnsi="Times New Roman" w:cs="Times New Roman"/>
          <w:sz w:val="24"/>
          <w:szCs w:val="24"/>
        </w:rPr>
        <w:t xml:space="preserve">of addressing persistent challenges such as limited </w:t>
      </w:r>
    </w:p>
    <w:p w:rsidR="00B1466F" w:rsidRDefault="00B1466F" w:rsidP="00B1466F">
      <w:pPr>
        <w:spacing w:after="0"/>
        <w:jc w:val="both"/>
        <w:rPr>
          <w:rFonts w:ascii="Times New Roman" w:eastAsia="Times New Roman" w:hAnsi="Times New Roman" w:cs="Times New Roman"/>
          <w:sz w:val="24"/>
          <w:szCs w:val="24"/>
        </w:rPr>
      </w:pPr>
    </w:p>
    <w:p w:rsidR="00B1466F" w:rsidRDefault="00947F47" w:rsidP="00B1466F">
      <w:pPr>
        <w:spacing w:after="0"/>
        <w:jc w:val="both"/>
        <w:rPr>
          <w:rFonts w:ascii="Times New Roman" w:eastAsia="Times New Roman" w:hAnsi="Times New Roman" w:cs="Times New Roman"/>
          <w:sz w:val="24"/>
          <w:szCs w:val="24"/>
        </w:rPr>
      </w:pPr>
      <w:proofErr w:type="gramStart"/>
      <w:r w:rsidRPr="00A562D1">
        <w:rPr>
          <w:rFonts w:ascii="Times New Roman" w:eastAsia="Times New Roman" w:hAnsi="Times New Roman" w:cs="Times New Roman"/>
          <w:sz w:val="24"/>
          <w:szCs w:val="24"/>
        </w:rPr>
        <w:t>academic</w:t>
      </w:r>
      <w:proofErr w:type="gramEnd"/>
      <w:r w:rsidRPr="00A562D1">
        <w:rPr>
          <w:rFonts w:ascii="Times New Roman" w:eastAsia="Times New Roman" w:hAnsi="Times New Roman" w:cs="Times New Roman"/>
          <w:sz w:val="24"/>
          <w:szCs w:val="24"/>
        </w:rPr>
        <w:t xml:space="preserve"> resources, faculty shortages, and geographical isolation, particularly in rural contexts (UNESCO, 2021).</w:t>
      </w:r>
    </w:p>
    <w:p w:rsidR="00B1466F" w:rsidRDefault="00AE5633" w:rsidP="00B1466F">
      <w:pPr>
        <w:spacing w:after="0"/>
        <w:ind w:firstLine="720"/>
        <w:jc w:val="both"/>
        <w:rPr>
          <w:rFonts w:ascii="Times New Roman" w:eastAsia="Times New Roman" w:hAnsi="Times New Roman" w:cs="Times New Roman"/>
          <w:sz w:val="24"/>
          <w:szCs w:val="24"/>
        </w:rPr>
      </w:pPr>
      <w:r w:rsidRPr="00A562D1">
        <w:rPr>
          <w:rFonts w:ascii="Times New Roman" w:eastAsia="Times New Roman" w:hAnsi="Times New Roman" w:cs="Times New Roman"/>
          <w:sz w:val="24"/>
          <w:szCs w:val="24"/>
        </w:rPr>
        <w:t>All India</w:t>
      </w:r>
      <w:r w:rsidR="00EC7E4C" w:rsidRPr="00A562D1">
        <w:rPr>
          <w:rFonts w:ascii="Times New Roman" w:eastAsia="Times New Roman" w:hAnsi="Times New Roman" w:cs="Times New Roman"/>
          <w:sz w:val="24"/>
          <w:szCs w:val="24"/>
        </w:rPr>
        <w:t xml:space="preserve"> Survey on Higher education (AISHE) report (2021-22), </w:t>
      </w:r>
      <w:proofErr w:type="gramStart"/>
      <w:r w:rsidR="00EC7E4C" w:rsidRPr="00A562D1">
        <w:rPr>
          <w:rFonts w:ascii="Times New Roman" w:eastAsia="Times New Roman" w:hAnsi="Times New Roman" w:cs="Times New Roman"/>
          <w:sz w:val="24"/>
          <w:szCs w:val="24"/>
        </w:rPr>
        <w:t>revealed  that</w:t>
      </w:r>
      <w:proofErr w:type="gramEnd"/>
      <w:r w:rsidR="00EC7E4C" w:rsidRPr="00A562D1">
        <w:rPr>
          <w:rFonts w:ascii="Times New Roman" w:eastAsia="Times New Roman" w:hAnsi="Times New Roman" w:cs="Times New Roman"/>
          <w:sz w:val="24"/>
          <w:szCs w:val="24"/>
        </w:rPr>
        <w:t xml:space="preserve"> there</w:t>
      </w:r>
      <w:r w:rsidR="00B1466F">
        <w:rPr>
          <w:rFonts w:ascii="Times New Roman" w:eastAsia="Times New Roman" w:hAnsi="Times New Roman" w:cs="Times New Roman"/>
          <w:sz w:val="24"/>
          <w:szCs w:val="24"/>
        </w:rPr>
        <w:t xml:space="preserve">  </w:t>
      </w:r>
      <w:r w:rsidR="00EC7E4C" w:rsidRPr="00A562D1">
        <w:rPr>
          <w:rFonts w:ascii="Times New Roman" w:eastAsia="Times New Roman" w:hAnsi="Times New Roman" w:cs="Times New Roman"/>
          <w:sz w:val="24"/>
          <w:szCs w:val="24"/>
        </w:rPr>
        <w:t xml:space="preserve"> has been a considerable  growth in the number </w:t>
      </w:r>
      <w:r w:rsidR="00A562D1" w:rsidRPr="00A562D1">
        <w:rPr>
          <w:rFonts w:ascii="Times New Roman" w:eastAsia="Times New Roman" w:hAnsi="Times New Roman" w:cs="Times New Roman"/>
          <w:sz w:val="24"/>
          <w:szCs w:val="24"/>
        </w:rPr>
        <w:t xml:space="preserve">                   </w:t>
      </w:r>
      <w:r w:rsidR="00EC7E4C" w:rsidRPr="00A562D1">
        <w:rPr>
          <w:rFonts w:ascii="Times New Roman" w:eastAsia="Times New Roman" w:hAnsi="Times New Roman" w:cs="Times New Roman"/>
          <w:sz w:val="24"/>
          <w:szCs w:val="24"/>
        </w:rPr>
        <w:t xml:space="preserve">of universities from </w:t>
      </w:r>
      <w:r w:rsidR="00A63E9C">
        <w:rPr>
          <w:rFonts w:ascii="Times New Roman" w:eastAsia="Times New Roman" w:hAnsi="Times New Roman" w:cs="Times New Roman"/>
          <w:sz w:val="24"/>
          <w:szCs w:val="24"/>
        </w:rPr>
        <w:t xml:space="preserve">30 in 1950-51 to </w:t>
      </w:r>
      <w:r w:rsidR="00EC7E4C" w:rsidRPr="00A562D1">
        <w:rPr>
          <w:rFonts w:ascii="Times New Roman" w:eastAsia="Times New Roman" w:hAnsi="Times New Roman" w:cs="Times New Roman"/>
          <w:sz w:val="24"/>
          <w:szCs w:val="24"/>
        </w:rPr>
        <w:t xml:space="preserve">800 </w:t>
      </w:r>
      <w:r w:rsidR="00B1466F">
        <w:rPr>
          <w:rFonts w:ascii="Times New Roman" w:eastAsia="Times New Roman" w:hAnsi="Times New Roman" w:cs="Times New Roman"/>
          <w:sz w:val="24"/>
          <w:szCs w:val="24"/>
        </w:rPr>
        <w:t xml:space="preserve">                     </w:t>
      </w:r>
      <w:r w:rsidR="00EC7E4C" w:rsidRPr="00A562D1">
        <w:rPr>
          <w:rFonts w:ascii="Times New Roman" w:eastAsia="Times New Roman" w:hAnsi="Times New Roman" w:cs="Times New Roman"/>
          <w:sz w:val="24"/>
          <w:szCs w:val="24"/>
        </w:rPr>
        <w:t xml:space="preserve">in 2016-17 </w:t>
      </w:r>
      <w:r w:rsidR="00A63E9C">
        <w:rPr>
          <w:rFonts w:ascii="Times New Roman" w:eastAsia="Times New Roman" w:hAnsi="Times New Roman" w:cs="Times New Roman"/>
          <w:sz w:val="24"/>
          <w:szCs w:val="24"/>
        </w:rPr>
        <w:t xml:space="preserve">and further </w:t>
      </w:r>
      <w:r w:rsidR="00EC7E4C" w:rsidRPr="00A562D1">
        <w:rPr>
          <w:rFonts w:ascii="Times New Roman" w:eastAsia="Times New Roman" w:hAnsi="Times New Roman" w:cs="Times New Roman"/>
          <w:sz w:val="24"/>
          <w:szCs w:val="24"/>
        </w:rPr>
        <w:t xml:space="preserve">to 1168 in 2021-22. Also the number of colleges surged from </w:t>
      </w:r>
      <w:r w:rsidR="00A63E9C">
        <w:rPr>
          <w:rFonts w:ascii="Times New Roman" w:eastAsia="Times New Roman" w:hAnsi="Times New Roman" w:cs="Times New Roman"/>
          <w:sz w:val="24"/>
          <w:szCs w:val="24"/>
        </w:rPr>
        <w:t xml:space="preserve">578 in 1950-51 to </w:t>
      </w:r>
      <w:r w:rsidR="00EC7E4C" w:rsidRPr="00A562D1">
        <w:rPr>
          <w:rFonts w:ascii="Times New Roman" w:eastAsia="Times New Roman" w:hAnsi="Times New Roman" w:cs="Times New Roman"/>
          <w:sz w:val="24"/>
          <w:szCs w:val="24"/>
        </w:rPr>
        <w:t xml:space="preserve">40026 in 2016-17 </w:t>
      </w:r>
      <w:r w:rsidR="00A63E9C">
        <w:rPr>
          <w:rFonts w:ascii="Times New Roman" w:eastAsia="Times New Roman" w:hAnsi="Times New Roman" w:cs="Times New Roman"/>
          <w:sz w:val="24"/>
          <w:szCs w:val="24"/>
        </w:rPr>
        <w:t xml:space="preserve">and further </w:t>
      </w:r>
      <w:r w:rsidR="00EC7E4C" w:rsidRPr="00A562D1">
        <w:rPr>
          <w:rFonts w:ascii="Times New Roman" w:eastAsia="Times New Roman" w:hAnsi="Times New Roman" w:cs="Times New Roman"/>
          <w:sz w:val="24"/>
          <w:szCs w:val="24"/>
        </w:rPr>
        <w:t>to 454</w:t>
      </w:r>
      <w:r w:rsidR="00A63E9C">
        <w:rPr>
          <w:rFonts w:ascii="Times New Roman" w:eastAsia="Times New Roman" w:hAnsi="Times New Roman" w:cs="Times New Roman"/>
          <w:sz w:val="24"/>
          <w:szCs w:val="24"/>
        </w:rPr>
        <w:t>7</w:t>
      </w:r>
      <w:r w:rsidR="00EC7E4C" w:rsidRPr="00A562D1">
        <w:rPr>
          <w:rFonts w:ascii="Times New Roman" w:eastAsia="Times New Roman" w:hAnsi="Times New Roman" w:cs="Times New Roman"/>
          <w:sz w:val="24"/>
          <w:szCs w:val="24"/>
        </w:rPr>
        <w:t xml:space="preserve">3 </w:t>
      </w:r>
      <w:r w:rsidR="00B1466F">
        <w:rPr>
          <w:rFonts w:ascii="Times New Roman" w:eastAsia="Times New Roman" w:hAnsi="Times New Roman" w:cs="Times New Roman"/>
          <w:sz w:val="24"/>
          <w:szCs w:val="24"/>
        </w:rPr>
        <w:t xml:space="preserve">               </w:t>
      </w:r>
      <w:r w:rsidR="00EC7E4C" w:rsidRPr="00A562D1">
        <w:rPr>
          <w:rFonts w:ascii="Times New Roman" w:eastAsia="Times New Roman" w:hAnsi="Times New Roman" w:cs="Times New Roman"/>
          <w:sz w:val="24"/>
          <w:szCs w:val="24"/>
        </w:rPr>
        <w:t>in 2021-22.</w:t>
      </w:r>
      <w:r w:rsidR="00983A6E" w:rsidRPr="00A562D1">
        <w:rPr>
          <w:rFonts w:ascii="Times New Roman" w:eastAsia="Times New Roman" w:hAnsi="Times New Roman" w:cs="Times New Roman"/>
          <w:sz w:val="24"/>
          <w:szCs w:val="24"/>
        </w:rPr>
        <w:t xml:space="preserve"> </w:t>
      </w:r>
      <w:r w:rsidR="001450B7" w:rsidRPr="00A562D1">
        <w:rPr>
          <w:rFonts w:ascii="Times New Roman" w:eastAsia="Times New Roman" w:hAnsi="Times New Roman" w:cs="Times New Roman"/>
          <w:sz w:val="24"/>
          <w:szCs w:val="24"/>
        </w:rPr>
        <w:t xml:space="preserve">This reveals a steady and consistent growth in the number of </w:t>
      </w:r>
      <w:r w:rsidR="00983A6E" w:rsidRPr="00A562D1">
        <w:rPr>
          <w:rFonts w:ascii="Times New Roman" w:eastAsia="Times New Roman" w:hAnsi="Times New Roman" w:cs="Times New Roman"/>
          <w:sz w:val="24"/>
          <w:szCs w:val="24"/>
        </w:rPr>
        <w:t>u</w:t>
      </w:r>
      <w:r w:rsidR="001450B7" w:rsidRPr="00A562D1">
        <w:rPr>
          <w:rFonts w:ascii="Times New Roman" w:eastAsia="Times New Roman" w:hAnsi="Times New Roman" w:cs="Times New Roman"/>
          <w:sz w:val="24"/>
          <w:szCs w:val="24"/>
        </w:rPr>
        <w:t xml:space="preserve">niversities </w:t>
      </w:r>
      <w:r w:rsidR="00B1466F">
        <w:rPr>
          <w:rFonts w:ascii="Times New Roman" w:eastAsia="Times New Roman" w:hAnsi="Times New Roman" w:cs="Times New Roman"/>
          <w:sz w:val="24"/>
          <w:szCs w:val="24"/>
        </w:rPr>
        <w:t xml:space="preserve">                        and </w:t>
      </w:r>
      <w:r w:rsidR="00983A6E" w:rsidRPr="00A562D1">
        <w:rPr>
          <w:rFonts w:ascii="Times New Roman" w:eastAsia="Times New Roman" w:hAnsi="Times New Roman" w:cs="Times New Roman"/>
          <w:sz w:val="24"/>
          <w:szCs w:val="24"/>
        </w:rPr>
        <w:t>c</w:t>
      </w:r>
      <w:r w:rsidR="00B1466F">
        <w:rPr>
          <w:rFonts w:ascii="Times New Roman" w:eastAsia="Times New Roman" w:hAnsi="Times New Roman" w:cs="Times New Roman"/>
          <w:sz w:val="24"/>
          <w:szCs w:val="24"/>
        </w:rPr>
        <w:t xml:space="preserve">olleges in </w:t>
      </w:r>
      <w:r w:rsidR="001450B7" w:rsidRPr="00A562D1">
        <w:rPr>
          <w:rFonts w:ascii="Times New Roman" w:eastAsia="Times New Roman" w:hAnsi="Times New Roman" w:cs="Times New Roman"/>
          <w:sz w:val="24"/>
          <w:szCs w:val="24"/>
        </w:rPr>
        <w:t xml:space="preserve">India over the years. </w:t>
      </w:r>
    </w:p>
    <w:p w:rsidR="00B1466F" w:rsidRDefault="00B1466F" w:rsidP="00B1466F">
      <w:pPr>
        <w:spacing w:after="0"/>
        <w:ind w:firstLine="720"/>
        <w:jc w:val="both"/>
        <w:rPr>
          <w:rFonts w:ascii="Times New Roman" w:eastAsia="Times New Roman" w:hAnsi="Times New Roman" w:cs="Times New Roman"/>
          <w:sz w:val="24"/>
          <w:szCs w:val="24"/>
        </w:rPr>
        <w:sectPr w:rsidR="00B1466F" w:rsidSect="00FB18D6">
          <w:type w:val="continuous"/>
          <w:pgSz w:w="12240" w:h="15840"/>
          <w:pgMar w:top="1170" w:right="630" w:bottom="1440" w:left="1170" w:header="720" w:footer="720" w:gutter="0"/>
          <w:cols w:num="2" w:space="720"/>
          <w:docGrid w:linePitch="360"/>
        </w:sectPr>
      </w:pPr>
    </w:p>
    <w:p w:rsidR="00B1466F" w:rsidRDefault="00B1466F" w:rsidP="00B1466F">
      <w:pPr>
        <w:spacing w:after="0"/>
        <w:jc w:val="center"/>
        <w:rPr>
          <w:rFonts w:ascii="Times New Roman" w:eastAsia="Times New Roman" w:hAnsi="Times New Roman" w:cs="Times New Roman"/>
          <w:b/>
          <w:szCs w:val="24"/>
        </w:rPr>
      </w:pPr>
      <w:r w:rsidRPr="00B1466F">
        <w:rPr>
          <w:rFonts w:ascii="Times New Roman" w:eastAsia="Times New Roman" w:hAnsi="Times New Roman" w:cs="Times New Roman"/>
          <w:noProof/>
          <w:sz w:val="24"/>
          <w:szCs w:val="24"/>
        </w:rPr>
        <w:lastRenderedPageBreak/>
        <w:drawing>
          <wp:inline distT="0" distB="0" distL="0" distR="0">
            <wp:extent cx="3113991" cy="1740877"/>
            <wp:effectExtent l="19050" t="0" r="10209"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1466F">
        <w:rPr>
          <w:rFonts w:ascii="Times New Roman" w:eastAsia="Times New Roman" w:hAnsi="Times New Roman" w:cs="Times New Roman"/>
          <w:noProof/>
          <w:sz w:val="24"/>
          <w:szCs w:val="24"/>
        </w:rPr>
        <w:drawing>
          <wp:inline distT="0" distB="0" distL="0" distR="0">
            <wp:extent cx="3155315" cy="1735162"/>
            <wp:effectExtent l="19050" t="0" r="26035"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b/>
          <w:szCs w:val="24"/>
        </w:rPr>
        <w:t xml:space="preserve"> </w:t>
      </w:r>
    </w:p>
    <w:p w:rsidR="00B1466F" w:rsidRPr="00B1466F" w:rsidRDefault="00B1466F" w:rsidP="00B1466F">
      <w:pPr>
        <w:spacing w:after="0"/>
        <w:jc w:val="center"/>
        <w:rPr>
          <w:rFonts w:ascii="Times New Roman" w:eastAsia="Times New Roman" w:hAnsi="Times New Roman" w:cs="Times New Roman"/>
          <w:b/>
          <w:szCs w:val="24"/>
        </w:rPr>
      </w:pPr>
      <w:r w:rsidRPr="00B1466F">
        <w:rPr>
          <w:rFonts w:ascii="Times New Roman" w:eastAsia="Times New Roman" w:hAnsi="Times New Roman" w:cs="Times New Roman"/>
          <w:b/>
          <w:szCs w:val="24"/>
        </w:rPr>
        <w:t>Fig No 1: Growth of Higher education since 1950 (AISHE report 2022)</w:t>
      </w:r>
    </w:p>
    <w:p w:rsidR="00B1466F" w:rsidRDefault="00B1466F" w:rsidP="00B1466F">
      <w:pPr>
        <w:spacing w:after="0"/>
        <w:ind w:firstLine="90"/>
        <w:rPr>
          <w:rFonts w:ascii="Times New Roman" w:eastAsia="Times New Roman" w:hAnsi="Times New Roman" w:cs="Times New Roman"/>
          <w:sz w:val="24"/>
          <w:szCs w:val="24"/>
        </w:rPr>
        <w:sectPr w:rsidR="00B1466F" w:rsidSect="00B1466F">
          <w:type w:val="continuous"/>
          <w:pgSz w:w="12240" w:h="15840"/>
          <w:pgMar w:top="1170" w:right="630" w:bottom="1440" w:left="1170" w:header="720" w:footer="720" w:gutter="0"/>
          <w:cols w:space="720"/>
          <w:docGrid w:linePitch="360"/>
        </w:sectPr>
      </w:pPr>
    </w:p>
    <w:p w:rsidR="00AE5633" w:rsidRDefault="00983A6E" w:rsidP="00E43F68">
      <w:pPr>
        <w:spacing w:after="0"/>
        <w:ind w:firstLine="360"/>
        <w:jc w:val="both"/>
        <w:rPr>
          <w:rFonts w:ascii="Times New Roman" w:eastAsia="Times New Roman" w:hAnsi="Times New Roman" w:cs="Times New Roman"/>
          <w:sz w:val="24"/>
          <w:szCs w:val="24"/>
        </w:rPr>
      </w:pPr>
      <w:r w:rsidRPr="00A562D1">
        <w:rPr>
          <w:rFonts w:ascii="Times New Roman" w:eastAsia="Times New Roman" w:hAnsi="Times New Roman" w:cs="Times New Roman"/>
          <w:sz w:val="24"/>
          <w:szCs w:val="24"/>
        </w:rPr>
        <w:lastRenderedPageBreak/>
        <w:t>Anothe</w:t>
      </w:r>
      <w:r w:rsidR="00A63E9C">
        <w:rPr>
          <w:rFonts w:ascii="Times New Roman" w:eastAsia="Times New Roman" w:hAnsi="Times New Roman" w:cs="Times New Roman"/>
          <w:sz w:val="24"/>
          <w:szCs w:val="24"/>
        </w:rPr>
        <w:t>r important indicator of growth</w:t>
      </w:r>
      <w:r w:rsidRPr="00A562D1">
        <w:rPr>
          <w:rFonts w:ascii="Times New Roman" w:eastAsia="Times New Roman" w:hAnsi="Times New Roman" w:cs="Times New Roman"/>
          <w:sz w:val="24"/>
          <w:szCs w:val="24"/>
        </w:rPr>
        <w:t xml:space="preserve"> in Higher Education is Gross Enrollment </w:t>
      </w:r>
      <w:r w:rsidR="00E43F68">
        <w:rPr>
          <w:rFonts w:ascii="Times New Roman" w:eastAsia="Times New Roman" w:hAnsi="Times New Roman" w:cs="Times New Roman"/>
          <w:sz w:val="24"/>
          <w:szCs w:val="24"/>
        </w:rPr>
        <w:t xml:space="preserve">             </w:t>
      </w:r>
      <w:r w:rsidRPr="00A562D1">
        <w:rPr>
          <w:rFonts w:ascii="Times New Roman" w:eastAsia="Times New Roman" w:hAnsi="Times New Roman" w:cs="Times New Roman"/>
          <w:sz w:val="24"/>
          <w:szCs w:val="24"/>
        </w:rPr>
        <w:t>ratio.</w:t>
      </w:r>
      <w:r w:rsidR="00E43F68">
        <w:rPr>
          <w:rFonts w:ascii="Times New Roman" w:eastAsia="Times New Roman" w:hAnsi="Times New Roman" w:cs="Times New Roman"/>
          <w:sz w:val="24"/>
          <w:szCs w:val="24"/>
        </w:rPr>
        <w:t xml:space="preserve"> </w:t>
      </w:r>
      <w:r w:rsidRPr="00A562D1">
        <w:rPr>
          <w:rFonts w:ascii="Times New Roman" w:eastAsia="Times New Roman" w:hAnsi="Times New Roman" w:cs="Times New Roman"/>
          <w:sz w:val="24"/>
          <w:szCs w:val="24"/>
        </w:rPr>
        <w:t xml:space="preserve">Total enrollment registered a growth </w:t>
      </w:r>
      <w:r w:rsidR="00A324B6">
        <w:rPr>
          <w:rFonts w:ascii="Times New Roman" w:eastAsia="Times New Roman" w:hAnsi="Times New Roman" w:cs="Times New Roman"/>
          <w:sz w:val="24"/>
          <w:szCs w:val="24"/>
        </w:rPr>
        <w:t xml:space="preserve">                       of 0</w:t>
      </w:r>
      <w:r w:rsidRPr="00A562D1">
        <w:rPr>
          <w:rFonts w:ascii="Times New Roman" w:eastAsia="Times New Roman" w:hAnsi="Times New Roman" w:cs="Times New Roman"/>
          <w:sz w:val="24"/>
          <w:szCs w:val="24"/>
        </w:rPr>
        <w:t>.</w:t>
      </w:r>
      <w:r w:rsidR="00A324B6">
        <w:rPr>
          <w:rFonts w:ascii="Times New Roman" w:eastAsia="Times New Roman" w:hAnsi="Times New Roman" w:cs="Times New Roman"/>
          <w:sz w:val="24"/>
          <w:szCs w:val="24"/>
        </w:rPr>
        <w:t>76</w:t>
      </w:r>
      <w:r w:rsidRPr="00A562D1">
        <w:rPr>
          <w:rFonts w:ascii="Times New Roman" w:eastAsia="Times New Roman" w:hAnsi="Times New Roman" w:cs="Times New Roman"/>
          <w:sz w:val="24"/>
          <w:szCs w:val="24"/>
        </w:rPr>
        <w:t xml:space="preserve"> crore in the in higher education                  from 3</w:t>
      </w:r>
      <w:r w:rsidR="00A63E9C">
        <w:rPr>
          <w:rFonts w:ascii="Times New Roman" w:eastAsia="Times New Roman" w:hAnsi="Times New Roman" w:cs="Times New Roman"/>
          <w:sz w:val="24"/>
          <w:szCs w:val="24"/>
        </w:rPr>
        <w:t>.57 crore in 2016-17</w:t>
      </w:r>
      <w:r w:rsidRPr="00A562D1">
        <w:rPr>
          <w:rFonts w:ascii="Times New Roman" w:eastAsia="Times New Roman" w:hAnsi="Times New Roman" w:cs="Times New Roman"/>
          <w:sz w:val="24"/>
          <w:szCs w:val="24"/>
        </w:rPr>
        <w:t xml:space="preserve"> to over 4.3</w:t>
      </w:r>
      <w:r w:rsidR="00A63E9C">
        <w:rPr>
          <w:rFonts w:ascii="Times New Roman" w:eastAsia="Times New Roman" w:hAnsi="Times New Roman" w:cs="Times New Roman"/>
          <w:sz w:val="24"/>
          <w:szCs w:val="24"/>
        </w:rPr>
        <w:t>3</w:t>
      </w:r>
      <w:r w:rsidRPr="00A562D1">
        <w:rPr>
          <w:rFonts w:ascii="Times New Roman" w:eastAsia="Times New Roman" w:hAnsi="Times New Roman" w:cs="Times New Roman"/>
          <w:sz w:val="24"/>
          <w:szCs w:val="24"/>
        </w:rPr>
        <w:t xml:space="preserve"> crore                </w:t>
      </w:r>
      <w:r w:rsidR="00AE5633">
        <w:rPr>
          <w:rFonts w:ascii="Times New Roman" w:eastAsia="Times New Roman" w:hAnsi="Times New Roman" w:cs="Times New Roman"/>
          <w:sz w:val="24"/>
          <w:szCs w:val="24"/>
        </w:rPr>
        <w:t xml:space="preserve">                 </w:t>
      </w:r>
      <w:r w:rsidRPr="00A562D1">
        <w:rPr>
          <w:rFonts w:ascii="Times New Roman" w:eastAsia="Times New Roman" w:hAnsi="Times New Roman" w:cs="Times New Roman"/>
          <w:sz w:val="24"/>
          <w:szCs w:val="24"/>
        </w:rPr>
        <w:t>in 2021-22 (AISHE report 2022).</w:t>
      </w:r>
      <w:r w:rsidR="00E43F68">
        <w:rPr>
          <w:rFonts w:ascii="Times New Roman" w:eastAsia="Times New Roman" w:hAnsi="Times New Roman" w:cs="Times New Roman"/>
          <w:sz w:val="24"/>
          <w:szCs w:val="24"/>
        </w:rPr>
        <w:t xml:space="preserve"> </w:t>
      </w:r>
      <w:r w:rsidR="00AE5633">
        <w:rPr>
          <w:rFonts w:ascii="Times New Roman" w:eastAsia="Times New Roman" w:hAnsi="Times New Roman" w:cs="Times New Roman"/>
          <w:sz w:val="24"/>
          <w:szCs w:val="24"/>
        </w:rPr>
        <w:t xml:space="preserve"> </w:t>
      </w:r>
    </w:p>
    <w:p w:rsidR="00BE73AA" w:rsidRDefault="00AE5633" w:rsidP="00AE563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AISHE (2022), India registered about 545 universities with about 245 government and 300 private institutions. Also, about 60% of the colleges are located in rural and sub urban areas.</w:t>
      </w:r>
    </w:p>
    <w:p w:rsidR="00AE5633" w:rsidRDefault="00AE5633" w:rsidP="00E43F68">
      <w:pPr>
        <w:spacing w:after="0"/>
        <w:ind w:firstLine="360"/>
        <w:jc w:val="both"/>
        <w:rPr>
          <w:rFonts w:ascii="Times New Roman" w:eastAsia="Times New Roman" w:hAnsi="Times New Roman" w:cs="Times New Roman"/>
          <w:sz w:val="24"/>
          <w:szCs w:val="24"/>
        </w:rPr>
      </w:pPr>
    </w:p>
    <w:p w:rsidR="00AE5633" w:rsidRDefault="00AE5633" w:rsidP="00E43F68">
      <w:pPr>
        <w:spacing w:after="0"/>
        <w:ind w:firstLine="360"/>
        <w:jc w:val="both"/>
        <w:rPr>
          <w:rFonts w:ascii="Times New Roman" w:eastAsia="Times New Roman" w:hAnsi="Times New Roman" w:cs="Times New Roman"/>
          <w:sz w:val="24"/>
          <w:szCs w:val="24"/>
        </w:rPr>
        <w:sectPr w:rsidR="00AE5633" w:rsidSect="00FB18D6">
          <w:type w:val="continuous"/>
          <w:pgSz w:w="12240" w:h="15840"/>
          <w:pgMar w:top="1170" w:right="630" w:bottom="1440" w:left="1170" w:header="720" w:footer="720" w:gutter="0"/>
          <w:cols w:num="2" w:space="720"/>
          <w:docGrid w:linePitch="360"/>
        </w:sectPr>
      </w:pPr>
    </w:p>
    <w:p w:rsidR="00AE5633" w:rsidRDefault="00AE5633" w:rsidP="00E43F68">
      <w:pPr>
        <w:spacing w:after="0"/>
        <w:ind w:firstLine="360"/>
        <w:jc w:val="both"/>
        <w:rPr>
          <w:rFonts w:ascii="Times New Roman" w:eastAsia="Times New Roman" w:hAnsi="Times New Roman" w:cs="Times New Roman"/>
          <w:sz w:val="24"/>
          <w:szCs w:val="24"/>
        </w:rPr>
      </w:pPr>
    </w:p>
    <w:p w:rsidR="00AE5633" w:rsidRDefault="00AE5633" w:rsidP="00E43F68">
      <w:pPr>
        <w:spacing w:after="0"/>
        <w:ind w:firstLine="360"/>
        <w:jc w:val="both"/>
        <w:rPr>
          <w:rFonts w:ascii="Times New Roman" w:eastAsia="Times New Roman" w:hAnsi="Times New Roman" w:cs="Times New Roman"/>
          <w:sz w:val="24"/>
          <w:szCs w:val="24"/>
        </w:rPr>
      </w:pPr>
    </w:p>
    <w:p w:rsidR="00AE5633" w:rsidRDefault="00AE5633" w:rsidP="00B1466F">
      <w:pPr>
        <w:spacing w:after="0"/>
        <w:jc w:val="center"/>
        <w:rPr>
          <w:rFonts w:ascii="Times New Roman" w:eastAsia="Times New Roman" w:hAnsi="Times New Roman" w:cs="Times New Roman"/>
          <w:b/>
          <w:szCs w:val="24"/>
        </w:rPr>
        <w:sectPr w:rsidR="00AE5633" w:rsidSect="00FB18D6">
          <w:type w:val="continuous"/>
          <w:pgSz w:w="12240" w:h="15840"/>
          <w:pgMar w:top="1170" w:right="630" w:bottom="1440" w:left="1170" w:header="720" w:footer="720" w:gutter="0"/>
          <w:cols w:num="2" w:space="720"/>
          <w:docGrid w:linePitch="360"/>
        </w:sectPr>
      </w:pPr>
    </w:p>
    <w:p w:rsidR="00AE5633" w:rsidRDefault="003D4285" w:rsidP="00B1466F">
      <w:pPr>
        <w:spacing w:after="0"/>
        <w:jc w:val="center"/>
        <w:rPr>
          <w:rFonts w:ascii="Times New Roman" w:eastAsia="Times New Roman" w:hAnsi="Times New Roman" w:cs="Times New Roman"/>
          <w:b/>
          <w:szCs w:val="24"/>
        </w:rPr>
        <w:sectPr w:rsidR="00AE5633" w:rsidSect="00AE5633">
          <w:type w:val="continuous"/>
          <w:pgSz w:w="12240" w:h="15840"/>
          <w:pgMar w:top="1170" w:right="630" w:bottom="1440" w:left="1170" w:header="720" w:footer="720" w:gutter="0"/>
          <w:cols w:space="720"/>
          <w:docGrid w:linePitch="360"/>
        </w:sectPr>
      </w:pPr>
      <w:r w:rsidRPr="003D4285">
        <w:rPr>
          <w:rFonts w:ascii="Times New Roman" w:eastAsia="Times New Roman" w:hAnsi="Times New Roman" w:cs="Times New Roman"/>
          <w:b/>
          <w:noProof/>
          <w:szCs w:val="24"/>
        </w:rPr>
        <w:lastRenderedPageBreak/>
        <w:drawing>
          <wp:inline distT="0" distB="0" distL="0" distR="0">
            <wp:extent cx="6254750" cy="2222500"/>
            <wp:effectExtent l="19050" t="0" r="12700" b="635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4285" w:rsidRPr="00B1466F" w:rsidRDefault="00AE5633" w:rsidP="00AE5633">
      <w:pPr>
        <w:spacing w:after="0"/>
        <w:jc w:val="center"/>
        <w:rPr>
          <w:rFonts w:ascii="Times New Roman" w:eastAsia="Times New Roman" w:hAnsi="Times New Roman" w:cs="Times New Roman"/>
          <w:b/>
          <w:szCs w:val="24"/>
        </w:rPr>
      </w:pPr>
      <w:r>
        <w:rPr>
          <w:rFonts w:ascii="Times New Roman" w:eastAsia="Times New Roman" w:hAnsi="Times New Roman" w:cs="Times New Roman"/>
          <w:b/>
          <w:szCs w:val="24"/>
        </w:rPr>
        <w:lastRenderedPageBreak/>
        <w:t>F</w:t>
      </w:r>
      <w:r w:rsidR="000153FB">
        <w:rPr>
          <w:rFonts w:ascii="Times New Roman" w:eastAsia="Times New Roman" w:hAnsi="Times New Roman" w:cs="Times New Roman"/>
          <w:b/>
          <w:szCs w:val="24"/>
        </w:rPr>
        <w:t>ig No 2</w:t>
      </w:r>
      <w:r w:rsidR="003D4285" w:rsidRPr="00B1466F">
        <w:rPr>
          <w:rFonts w:ascii="Times New Roman" w:eastAsia="Times New Roman" w:hAnsi="Times New Roman" w:cs="Times New Roman"/>
          <w:b/>
          <w:szCs w:val="24"/>
        </w:rPr>
        <w:t xml:space="preserve">: Growth of </w:t>
      </w:r>
      <w:r w:rsidR="000153FB">
        <w:rPr>
          <w:rFonts w:ascii="Times New Roman" w:eastAsia="Times New Roman" w:hAnsi="Times New Roman" w:cs="Times New Roman"/>
          <w:b/>
          <w:szCs w:val="24"/>
        </w:rPr>
        <w:t xml:space="preserve">Enrollment in </w:t>
      </w:r>
      <w:r w:rsidR="003D4285" w:rsidRPr="00B1466F">
        <w:rPr>
          <w:rFonts w:ascii="Times New Roman" w:eastAsia="Times New Roman" w:hAnsi="Times New Roman" w:cs="Times New Roman"/>
          <w:b/>
          <w:szCs w:val="24"/>
        </w:rPr>
        <w:t>Higher education since 1950 (AISHE report 2022)</w:t>
      </w:r>
    </w:p>
    <w:p w:rsidR="00E43F68" w:rsidRPr="00F35748" w:rsidRDefault="00E43F68" w:rsidP="00A63E9C">
      <w:pPr>
        <w:spacing w:after="0"/>
        <w:ind w:firstLine="360"/>
        <w:jc w:val="both"/>
        <w:rPr>
          <w:rFonts w:ascii="Times New Roman" w:eastAsia="Times New Roman" w:hAnsi="Times New Roman" w:cs="Times New Roman"/>
          <w:b/>
          <w:sz w:val="24"/>
          <w:szCs w:val="24"/>
        </w:rPr>
      </w:pPr>
    </w:p>
    <w:p w:rsidR="00AE5633" w:rsidRDefault="00AE5633" w:rsidP="00E43F68">
      <w:pPr>
        <w:spacing w:after="0"/>
        <w:jc w:val="both"/>
        <w:rPr>
          <w:rFonts w:ascii="Times New Roman" w:eastAsia="Times New Roman" w:hAnsi="Times New Roman" w:cs="Times New Roman"/>
          <w:sz w:val="24"/>
          <w:szCs w:val="24"/>
        </w:rPr>
        <w:sectPr w:rsidR="00AE5633" w:rsidSect="00AE5633">
          <w:type w:val="continuous"/>
          <w:pgSz w:w="12240" w:h="15840"/>
          <w:pgMar w:top="1170" w:right="630" w:bottom="1440" w:left="1170" w:header="720" w:footer="720" w:gutter="0"/>
          <w:cols w:space="720"/>
          <w:docGrid w:linePitch="360"/>
        </w:sectPr>
      </w:pPr>
    </w:p>
    <w:p w:rsidR="00084FBD" w:rsidRPr="00AE5633" w:rsidRDefault="00947F47" w:rsidP="00AE5633">
      <w:pPr>
        <w:pStyle w:val="ListParagraph"/>
        <w:numPr>
          <w:ilvl w:val="0"/>
          <w:numId w:val="6"/>
        </w:numPr>
        <w:spacing w:after="0"/>
        <w:ind w:left="360"/>
        <w:jc w:val="both"/>
        <w:outlineLvl w:val="1"/>
        <w:rPr>
          <w:rFonts w:ascii="Times New Roman" w:eastAsia="Times New Roman" w:hAnsi="Times New Roman" w:cs="Times New Roman"/>
          <w:b/>
          <w:bCs/>
          <w:sz w:val="24"/>
          <w:szCs w:val="24"/>
        </w:rPr>
      </w:pPr>
      <w:r w:rsidRPr="00AE5633">
        <w:rPr>
          <w:rFonts w:ascii="Times New Roman" w:eastAsia="Times New Roman" w:hAnsi="Times New Roman" w:cs="Times New Roman"/>
          <w:b/>
          <w:bCs/>
          <w:sz w:val="24"/>
          <w:szCs w:val="24"/>
        </w:rPr>
        <w:lastRenderedPageBreak/>
        <w:t>ICT in Education</w:t>
      </w:r>
    </w:p>
    <w:p w:rsidR="00947F47" w:rsidRPr="00947F47" w:rsidRDefault="00947F47" w:rsidP="00A562D1">
      <w:pPr>
        <w:spacing w:after="0"/>
        <w:ind w:firstLine="720"/>
        <w:jc w:val="both"/>
        <w:outlineLvl w:val="1"/>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In educational research, Information and Communication Technology (ICT) is conceptualized as a systematic integration of digital tools, technological resources, and communication processes that support teaching, learning, research, and institutional management. ICT goes beyond the mere use of computers or the internet; it represents a pedagogical shift toward technology-mediated knowledge construction, learner autonomy, and collaborative learning environments.</w:t>
      </w:r>
    </w:p>
    <w:p w:rsidR="00947F47" w:rsidRP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From a research perspective, ICT in education encompasses hardware (computers, mobile devices, interactive boards), software (learning management systems, educational applications, digital assessment tools), and network-based services (internet connectivity, cloud platforms, virtual classrooms). These components collectively function as enablers of innovative instructional strategies such as blended </w:t>
      </w:r>
      <w:r w:rsidRPr="00947F47">
        <w:rPr>
          <w:rFonts w:ascii="Times New Roman" w:eastAsia="Times New Roman" w:hAnsi="Times New Roman" w:cs="Times New Roman"/>
          <w:sz w:val="24"/>
          <w:szCs w:val="24"/>
        </w:rPr>
        <w:lastRenderedPageBreak/>
        <w:t>learning, flipped classrooms, problem-based learning, and online learning models.</w:t>
      </w:r>
    </w:p>
    <w:p w:rsidR="00947F47" w:rsidRP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Scholars emphasize that the effectiveness of ICT integration depends not only on technological availability but also on pedagogical alignment and institutional readiness. </w:t>
      </w:r>
      <w:proofErr w:type="spellStart"/>
      <w:r w:rsidRPr="00947F47">
        <w:rPr>
          <w:rFonts w:ascii="Times New Roman" w:eastAsia="Times New Roman" w:hAnsi="Times New Roman" w:cs="Times New Roman"/>
          <w:sz w:val="24"/>
          <w:szCs w:val="24"/>
        </w:rPr>
        <w:t>Mishra</w:t>
      </w:r>
      <w:proofErr w:type="spellEnd"/>
      <w:r w:rsidRPr="00947F47">
        <w:rPr>
          <w:rFonts w:ascii="Times New Roman" w:eastAsia="Times New Roman" w:hAnsi="Times New Roman" w:cs="Times New Roman"/>
          <w:sz w:val="24"/>
          <w:szCs w:val="24"/>
        </w:rPr>
        <w:t xml:space="preserve"> and Koehler’s (2006) Technological Pedagogical Content Knowledge (TPACK) framework highlights that meaningful ICT integration occurs when teachers possess an integrated understanding of technology, pedagogy, and subject content. This theoretical framework is particularly relevant for higher education institutions in rural India, where limited resources demand strategic and context-sensitive use of ICT.</w:t>
      </w:r>
    </w:p>
    <w:p w:rsidR="00947F47" w:rsidRP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In the context of rural higher education in India, ICT is further conceptualized as a tool for educational inclusion and equity. It serves as a mechanism to overcome geographical isolation, shortage of qualified faculty, and limited access to </w:t>
      </w:r>
      <w:r w:rsidRPr="00947F47">
        <w:rPr>
          <w:rFonts w:ascii="Times New Roman" w:eastAsia="Times New Roman" w:hAnsi="Times New Roman" w:cs="Times New Roman"/>
          <w:sz w:val="24"/>
          <w:szCs w:val="24"/>
        </w:rPr>
        <w:lastRenderedPageBreak/>
        <w:t>academic resources. National policy documents such as the National Education Policy (NEP 2020) recognize ICT as a catalyst for democratizing higher education by expanding digital access, promoting open and distance learning, and strengthening rural institutions.</w:t>
      </w:r>
    </w:p>
    <w:p w:rsidR="00BE73AA" w:rsidRPr="00983A6E" w:rsidRDefault="00BE73AA" w:rsidP="00A562D1">
      <w:pPr>
        <w:spacing w:after="0"/>
        <w:ind w:firstLine="360"/>
        <w:jc w:val="both"/>
        <w:rPr>
          <w:rFonts w:ascii="Times New Roman" w:eastAsia="Times New Roman" w:hAnsi="Times New Roman" w:cs="Times New Roman"/>
          <w:sz w:val="24"/>
          <w:szCs w:val="24"/>
        </w:rPr>
      </w:pPr>
      <w:r w:rsidRPr="00983A6E">
        <w:rPr>
          <w:rFonts w:ascii="Times New Roman" w:eastAsia="Times New Roman" w:hAnsi="Times New Roman" w:cs="Times New Roman"/>
          <w:sz w:val="24"/>
          <w:szCs w:val="24"/>
        </w:rPr>
        <w:t>Despite its recognized potential, the implementation of ICT aided teaching and learning in rural higher education institutions in India remains uneven. Studies indicate that, unlike urban institutions, rural colleges often face inadequate technological infrastructure, unreliable electricity and internet connectivity, and limited digital competence among teachers and students (Kumar &amp; Singh, 2018). These challenges are further compounded by socio-economic disparities that restrict students’ access to digital devices and online learning resources (Selwyn, 2016).</w:t>
      </w:r>
    </w:p>
    <w:p w:rsidR="00BE73AA" w:rsidRPr="00EC7E4C" w:rsidRDefault="00BE73AA"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A critical examination of ICT integration in the rural Indian higher education context is therefore essential. Understanding the nature of these challenges, along with the opportunities created by national initiatives such as Digital India, SWAYAM, and the National Education Policy 2020, can inform the development of inclusive, sustainable, and context-sensitive ICT-based educational practices (Government of India, 2020). Such an analysis is vital for ensuring that the benefits of digital transformation in higher education extend equitably to rural and underserved populations.</w:t>
      </w:r>
    </w:p>
    <w:p w:rsid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Thus, ICT in higher education is best understood as an interdisciplinary construct </w:t>
      </w:r>
      <w:r w:rsidR="00CD52C7">
        <w:rPr>
          <w:rFonts w:ascii="Times New Roman" w:eastAsia="Times New Roman" w:hAnsi="Times New Roman" w:cs="Times New Roman"/>
          <w:sz w:val="24"/>
          <w:szCs w:val="24"/>
        </w:rPr>
        <w:t xml:space="preserve">                   </w:t>
      </w:r>
      <w:r w:rsidRPr="00947F47">
        <w:rPr>
          <w:rFonts w:ascii="Times New Roman" w:eastAsia="Times New Roman" w:hAnsi="Times New Roman" w:cs="Times New Roman"/>
          <w:sz w:val="24"/>
          <w:szCs w:val="24"/>
        </w:rPr>
        <w:t>that integrates technological infrastructure, pedagogical innovation, human capacity, and policy support. A research-oriented understanding of ICT underscores its role not merely as a support system but as a transformative force capable of reshaping teaching–learning processes, particularly in underserved rural contexts.</w:t>
      </w:r>
    </w:p>
    <w:p w:rsidR="00D670C0" w:rsidRPr="00D670C0" w:rsidRDefault="00D670C0" w:rsidP="00A562D1">
      <w:pPr>
        <w:pStyle w:val="ListParagraph"/>
        <w:numPr>
          <w:ilvl w:val="0"/>
          <w:numId w:val="6"/>
        </w:numPr>
        <w:spacing w:after="0"/>
        <w:ind w:left="360"/>
        <w:jc w:val="both"/>
        <w:outlineLvl w:val="1"/>
        <w:rPr>
          <w:rFonts w:ascii="Times New Roman" w:eastAsia="Times New Roman" w:hAnsi="Times New Roman" w:cs="Times New Roman"/>
          <w:b/>
          <w:bCs/>
          <w:sz w:val="24"/>
          <w:szCs w:val="24"/>
        </w:rPr>
      </w:pPr>
      <w:r w:rsidRPr="00D670C0">
        <w:rPr>
          <w:rFonts w:ascii="Times New Roman" w:eastAsia="Times New Roman" w:hAnsi="Times New Roman" w:cs="Times New Roman"/>
          <w:b/>
          <w:bCs/>
          <w:sz w:val="24"/>
          <w:szCs w:val="24"/>
        </w:rPr>
        <w:lastRenderedPageBreak/>
        <w:t>Review of r</w:t>
      </w:r>
      <w:r w:rsidR="00947F47" w:rsidRPr="00D670C0">
        <w:rPr>
          <w:rFonts w:ascii="Times New Roman" w:eastAsia="Times New Roman" w:hAnsi="Times New Roman" w:cs="Times New Roman"/>
          <w:b/>
          <w:bCs/>
          <w:sz w:val="24"/>
          <w:szCs w:val="24"/>
        </w:rPr>
        <w:t xml:space="preserve">elated </w:t>
      </w:r>
      <w:r w:rsidRPr="00D670C0">
        <w:rPr>
          <w:rFonts w:ascii="Times New Roman" w:eastAsia="Times New Roman" w:hAnsi="Times New Roman" w:cs="Times New Roman"/>
          <w:b/>
          <w:bCs/>
          <w:sz w:val="24"/>
          <w:szCs w:val="24"/>
        </w:rPr>
        <w:t>l</w:t>
      </w:r>
      <w:r w:rsidR="00947F47" w:rsidRPr="00D670C0">
        <w:rPr>
          <w:rFonts w:ascii="Times New Roman" w:eastAsia="Times New Roman" w:hAnsi="Times New Roman" w:cs="Times New Roman"/>
          <w:b/>
          <w:bCs/>
          <w:sz w:val="24"/>
          <w:szCs w:val="24"/>
        </w:rPr>
        <w:t>iterature</w:t>
      </w:r>
    </w:p>
    <w:p w:rsidR="00947F47" w:rsidRPr="00947F47" w:rsidRDefault="00947F47" w:rsidP="00A562D1">
      <w:pPr>
        <w:spacing w:after="0"/>
        <w:ind w:firstLine="720"/>
        <w:jc w:val="both"/>
        <w:outlineLvl w:val="1"/>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UNESCO (2021) emphasized that ICT has the potential to bridge educational inequalities by improving access to quality learning resources in rural and remote areas. However, the report highlighted infrastructure gaps and lack of digital skills as major challenges.</w:t>
      </w:r>
    </w:p>
    <w:p w:rsidR="00947F47" w:rsidRP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Selwyn (2016) examined the impact of educational technology and argued that while ICT enhances learning </w:t>
      </w:r>
      <w:proofErr w:type="gramStart"/>
      <w:r w:rsidRPr="00947F47">
        <w:rPr>
          <w:rFonts w:ascii="Times New Roman" w:eastAsia="Times New Roman" w:hAnsi="Times New Roman" w:cs="Times New Roman"/>
          <w:sz w:val="24"/>
          <w:szCs w:val="24"/>
        </w:rPr>
        <w:t>opportunities,</w:t>
      </w:r>
      <w:proofErr w:type="gramEnd"/>
      <w:r w:rsidRPr="00947F47">
        <w:rPr>
          <w:rFonts w:ascii="Times New Roman" w:eastAsia="Times New Roman" w:hAnsi="Times New Roman" w:cs="Times New Roman"/>
          <w:sz w:val="24"/>
          <w:szCs w:val="24"/>
        </w:rPr>
        <w:t xml:space="preserve"> its effectiveness depends largely on institutional support and teacher preparedness, particularly in disadvantaged regions.</w:t>
      </w:r>
    </w:p>
    <w:p w:rsidR="00947F47" w:rsidRPr="00947F47" w:rsidRDefault="00947F47" w:rsidP="00A562D1">
      <w:pPr>
        <w:spacing w:after="0"/>
        <w:ind w:firstLine="720"/>
        <w:jc w:val="both"/>
        <w:rPr>
          <w:rFonts w:ascii="Times New Roman" w:eastAsia="Times New Roman" w:hAnsi="Times New Roman" w:cs="Times New Roman"/>
          <w:sz w:val="24"/>
          <w:szCs w:val="24"/>
        </w:rPr>
      </w:pPr>
      <w:proofErr w:type="spellStart"/>
      <w:r w:rsidRPr="00947F47">
        <w:rPr>
          <w:rFonts w:ascii="Times New Roman" w:eastAsia="Times New Roman" w:hAnsi="Times New Roman" w:cs="Times New Roman"/>
          <w:sz w:val="24"/>
          <w:szCs w:val="24"/>
        </w:rPr>
        <w:t>Mishra</w:t>
      </w:r>
      <w:proofErr w:type="spellEnd"/>
      <w:r w:rsidRPr="00947F47">
        <w:rPr>
          <w:rFonts w:ascii="Times New Roman" w:eastAsia="Times New Roman" w:hAnsi="Times New Roman" w:cs="Times New Roman"/>
          <w:sz w:val="24"/>
          <w:szCs w:val="24"/>
        </w:rPr>
        <w:t xml:space="preserve"> and Koehler (2006) introduced the Technological Pedagogical Content Knowledge (TPACK) framework, stressing that successful ICT integration requires a balance between technology, pedagogy, and subject knowledge. This framework is highly relevant for teacher training in rural higher education institutions.</w:t>
      </w:r>
    </w:p>
    <w:p w:rsidR="00947F47" w:rsidRP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Government of India (2020), through the National Education Policy (NEP 2020), recognized ICT as a key enabler for expanding access, improving quality, and promoting equity in higher education, especially in rural and underserved areas.</w:t>
      </w:r>
    </w:p>
    <w:p w:rsid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Kumar and Singh (2018) found that rural colleges in India face challenges such as poor internet connectivity, limited availability of digital devices, and lack of institutional funding, which negatively affect ICT adoption.</w:t>
      </w:r>
    </w:p>
    <w:p w:rsidR="00E43F68" w:rsidRPr="00947F47" w:rsidRDefault="00E43F68" w:rsidP="00A562D1">
      <w:pPr>
        <w:spacing w:after="0"/>
        <w:ind w:firstLine="720"/>
        <w:jc w:val="both"/>
        <w:rPr>
          <w:rFonts w:ascii="Times New Roman" w:eastAsia="Times New Roman" w:hAnsi="Times New Roman" w:cs="Times New Roman"/>
          <w:sz w:val="24"/>
          <w:szCs w:val="24"/>
        </w:rPr>
      </w:pPr>
    </w:p>
    <w:p w:rsidR="00947F47" w:rsidRPr="00D670C0" w:rsidRDefault="00947F47" w:rsidP="00A562D1">
      <w:pPr>
        <w:pStyle w:val="ListParagraph"/>
        <w:numPr>
          <w:ilvl w:val="0"/>
          <w:numId w:val="6"/>
        </w:numPr>
        <w:spacing w:after="0"/>
        <w:ind w:left="360"/>
        <w:jc w:val="both"/>
        <w:outlineLvl w:val="1"/>
        <w:rPr>
          <w:rFonts w:ascii="Times New Roman" w:eastAsia="Times New Roman" w:hAnsi="Times New Roman" w:cs="Times New Roman"/>
          <w:b/>
          <w:bCs/>
          <w:sz w:val="24"/>
          <w:szCs w:val="24"/>
        </w:rPr>
      </w:pPr>
      <w:r w:rsidRPr="00D670C0">
        <w:rPr>
          <w:rFonts w:ascii="Times New Roman" w:eastAsia="Times New Roman" w:hAnsi="Times New Roman" w:cs="Times New Roman"/>
          <w:b/>
          <w:bCs/>
          <w:sz w:val="24"/>
          <w:szCs w:val="24"/>
        </w:rPr>
        <w:t>Research Methodology</w:t>
      </w:r>
    </w:p>
    <w:p w:rsidR="00947F47" w:rsidRDefault="00947F47" w:rsidP="00A562D1">
      <w:pPr>
        <w:spacing w:after="0"/>
        <w:ind w:firstLine="720"/>
        <w:jc w:val="both"/>
        <w:rPr>
          <w:rFonts w:ascii="Times New Roman" w:eastAsia="Times New Roman" w:hAnsi="Times New Roman" w:cs="Times New Roman"/>
          <w:sz w:val="24"/>
          <w:szCs w:val="24"/>
        </w:rPr>
      </w:pPr>
      <w:r w:rsidRPr="00947F47">
        <w:rPr>
          <w:rFonts w:ascii="Times New Roman" w:eastAsia="Times New Roman" w:hAnsi="Times New Roman" w:cs="Times New Roman"/>
          <w:sz w:val="24"/>
          <w:szCs w:val="24"/>
        </w:rPr>
        <w:t xml:space="preserve">The present study adopts a descriptive research design based on secondary sources of data. Data were collected from government publications such as </w:t>
      </w:r>
      <w:r w:rsidRPr="00FB18D6">
        <w:rPr>
          <w:rFonts w:ascii="Times New Roman" w:eastAsia="Times New Roman" w:hAnsi="Times New Roman" w:cs="Times New Roman"/>
          <w:sz w:val="24"/>
          <w:szCs w:val="24"/>
        </w:rPr>
        <w:t xml:space="preserve">reports of the Ministry of Education, UGC, and AICTE, as well as research articles, journals, and policy documents focusing on ICT and rural higher education in India. The study analyzes existing literature to identify major </w:t>
      </w:r>
      <w:r w:rsidRPr="00FB18D6">
        <w:rPr>
          <w:rFonts w:ascii="Times New Roman" w:eastAsia="Times New Roman" w:hAnsi="Times New Roman" w:cs="Times New Roman"/>
          <w:sz w:val="24"/>
          <w:szCs w:val="24"/>
        </w:rPr>
        <w:lastRenderedPageBreak/>
        <w:t xml:space="preserve">challenges and opportunities related to ICT aided teaching and learning in rural Indian higher </w:t>
      </w:r>
      <w:r w:rsidRPr="00947F47">
        <w:rPr>
          <w:rFonts w:ascii="Times New Roman" w:eastAsia="Times New Roman" w:hAnsi="Times New Roman" w:cs="Times New Roman"/>
          <w:sz w:val="24"/>
          <w:szCs w:val="24"/>
        </w:rPr>
        <w:t>education institutions.</w:t>
      </w:r>
    </w:p>
    <w:p w:rsidR="00AE5633" w:rsidRPr="00947F47" w:rsidRDefault="00AE5633" w:rsidP="00A562D1">
      <w:pPr>
        <w:spacing w:after="0"/>
        <w:ind w:firstLine="720"/>
        <w:jc w:val="both"/>
        <w:rPr>
          <w:rFonts w:ascii="Times New Roman" w:eastAsia="Times New Roman" w:hAnsi="Times New Roman" w:cs="Times New Roman"/>
          <w:sz w:val="24"/>
          <w:szCs w:val="24"/>
        </w:rPr>
      </w:pPr>
    </w:p>
    <w:p w:rsidR="00AE6B68" w:rsidRPr="00D670C0" w:rsidRDefault="00AE6B68" w:rsidP="00A562D1">
      <w:pPr>
        <w:pStyle w:val="ListParagraph"/>
        <w:numPr>
          <w:ilvl w:val="0"/>
          <w:numId w:val="6"/>
        </w:numPr>
        <w:spacing w:after="0"/>
        <w:ind w:left="360"/>
        <w:jc w:val="both"/>
        <w:outlineLvl w:val="1"/>
        <w:rPr>
          <w:rFonts w:ascii="Times New Roman" w:eastAsia="Times New Roman" w:hAnsi="Times New Roman" w:cs="Times New Roman"/>
          <w:b/>
          <w:bCs/>
          <w:sz w:val="24"/>
          <w:szCs w:val="24"/>
        </w:rPr>
      </w:pPr>
      <w:r w:rsidRPr="00D670C0">
        <w:rPr>
          <w:rFonts w:ascii="Times New Roman" w:eastAsia="Times New Roman" w:hAnsi="Times New Roman" w:cs="Times New Roman"/>
          <w:b/>
          <w:bCs/>
          <w:sz w:val="24"/>
          <w:szCs w:val="24"/>
        </w:rPr>
        <w:t>Problems of ICT Integration in Rural Higher Education</w:t>
      </w:r>
    </w:p>
    <w:p w:rsidR="00FB18D6" w:rsidRPr="00AE6B68" w:rsidRDefault="00FB18D6" w:rsidP="00A562D1">
      <w:pPr>
        <w:spacing w:after="0"/>
        <w:jc w:val="both"/>
        <w:outlineLvl w:val="1"/>
        <w:rPr>
          <w:rFonts w:ascii="Times New Roman" w:eastAsia="Times New Roman" w:hAnsi="Times New Roman" w:cs="Times New Roman"/>
          <w:b/>
          <w:bCs/>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1. Inadequate Infrastructure</w:t>
      </w:r>
    </w:p>
    <w:p w:rsidR="00AE6B68" w:rsidRDefault="00AE6B68" w:rsidP="00E43F68">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One of the major barriers to ICT adoption in rural education is the lack of basic infrastructure. Many rural institutions struggle with </w:t>
      </w:r>
      <w:r w:rsidRPr="00AE6B68">
        <w:rPr>
          <w:rFonts w:ascii="Times New Roman" w:eastAsia="Times New Roman" w:hAnsi="Times New Roman" w:cs="Times New Roman"/>
          <w:b/>
          <w:bCs/>
          <w:sz w:val="24"/>
          <w:szCs w:val="24"/>
        </w:rPr>
        <w:t>poor internet connectivity</w:t>
      </w:r>
      <w:r w:rsidRPr="00AE6B68">
        <w:rPr>
          <w:rFonts w:ascii="Times New Roman" w:eastAsia="Times New Roman" w:hAnsi="Times New Roman" w:cs="Times New Roman"/>
          <w:sz w:val="24"/>
          <w:szCs w:val="24"/>
        </w:rPr>
        <w:t xml:space="preserve">, </w:t>
      </w:r>
      <w:r w:rsidRPr="00AE6B68">
        <w:rPr>
          <w:rFonts w:ascii="Times New Roman" w:eastAsia="Times New Roman" w:hAnsi="Times New Roman" w:cs="Times New Roman"/>
          <w:i/>
          <w:iCs/>
          <w:sz w:val="24"/>
          <w:szCs w:val="24"/>
        </w:rPr>
        <w:t>insufficient number of computers</w:t>
      </w:r>
      <w:r w:rsidRPr="00AE6B68">
        <w:rPr>
          <w:rFonts w:ascii="Times New Roman" w:eastAsia="Times New Roman" w:hAnsi="Times New Roman" w:cs="Times New Roman"/>
          <w:sz w:val="24"/>
          <w:szCs w:val="24"/>
        </w:rPr>
        <w:t xml:space="preserve">, unreliable electricity, and absence of smart classroom technologies. Such deficits make it difficult for both teachers and students to access digital learning resources effectively. Research shows that limited infrastructure in rural educational settings significantly hampers ICT use in teaching and learning processes. </w:t>
      </w:r>
    </w:p>
    <w:p w:rsidR="00273C73" w:rsidRDefault="00273C73" w:rsidP="00A562D1">
      <w:pPr>
        <w:spacing w:after="0"/>
        <w:jc w:val="both"/>
        <w:outlineLvl w:val="2"/>
        <w:rPr>
          <w:rFonts w:ascii="Times New Roman" w:eastAsia="Times New Roman" w:hAnsi="Times New Roman" w:cs="Times New Roman"/>
          <w:b/>
          <w:bCs/>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2. Digital Divide and Inequality</w:t>
      </w:r>
    </w:p>
    <w:p w:rsidR="00AE6B68" w:rsidRDefault="00AE6B68" w:rsidP="00E43F68">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The </w:t>
      </w:r>
      <w:r w:rsidRPr="00AE6B68">
        <w:rPr>
          <w:rFonts w:ascii="Times New Roman" w:eastAsia="Times New Roman" w:hAnsi="Times New Roman" w:cs="Times New Roman"/>
          <w:i/>
          <w:iCs/>
          <w:sz w:val="24"/>
          <w:szCs w:val="24"/>
        </w:rPr>
        <w:t>digital divide</w:t>
      </w:r>
      <w:r w:rsidRPr="00AE6B68">
        <w:rPr>
          <w:rFonts w:ascii="Times New Roman" w:eastAsia="Times New Roman" w:hAnsi="Times New Roman" w:cs="Times New Roman"/>
          <w:sz w:val="24"/>
          <w:szCs w:val="24"/>
        </w:rPr>
        <w:t xml:space="preserve">—the gap between those who have easy access to ICT and those who do not—is more severe in rural areas. Students and teachers in remote regions often lack access to digital devices, high-speed internet, and quality digital resources compared to their urban counterparts. This divide not only affects physical access to technology but also </w:t>
      </w:r>
      <w:r w:rsidRPr="00AE6B68">
        <w:rPr>
          <w:rFonts w:ascii="Times New Roman" w:eastAsia="Times New Roman" w:hAnsi="Times New Roman" w:cs="Times New Roman"/>
          <w:i/>
          <w:iCs/>
          <w:sz w:val="24"/>
          <w:szCs w:val="24"/>
        </w:rPr>
        <w:t>skill access</w:t>
      </w:r>
      <w:r w:rsidRPr="00AE6B68">
        <w:rPr>
          <w:rFonts w:ascii="Times New Roman" w:eastAsia="Times New Roman" w:hAnsi="Times New Roman" w:cs="Times New Roman"/>
          <w:sz w:val="24"/>
          <w:szCs w:val="24"/>
        </w:rPr>
        <w:t xml:space="preserve"> and </w:t>
      </w:r>
      <w:r w:rsidRPr="00AE6B68">
        <w:rPr>
          <w:rFonts w:ascii="Times New Roman" w:eastAsia="Times New Roman" w:hAnsi="Times New Roman" w:cs="Times New Roman"/>
          <w:i/>
          <w:iCs/>
          <w:sz w:val="24"/>
          <w:szCs w:val="24"/>
        </w:rPr>
        <w:t>usage access</w:t>
      </w:r>
      <w:r w:rsidRPr="00AE6B68">
        <w:rPr>
          <w:rFonts w:ascii="Times New Roman" w:eastAsia="Times New Roman" w:hAnsi="Times New Roman" w:cs="Times New Roman"/>
          <w:sz w:val="24"/>
          <w:szCs w:val="24"/>
        </w:rPr>
        <w:t xml:space="preserve">, creating educational inequalities. </w:t>
      </w:r>
    </w:p>
    <w:p w:rsidR="00AE5633" w:rsidRDefault="00AE5633" w:rsidP="00E43F68">
      <w:pPr>
        <w:spacing w:after="0"/>
        <w:ind w:firstLine="72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3. Lack of ICT Skills and Training</w:t>
      </w:r>
    </w:p>
    <w:p w:rsidR="00AE6B68" w:rsidRDefault="00AE6B68" w:rsidP="00E43F68">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Effective use of ICT requires a certain level of digital literacy. However, many teachers and students in rural areas lack the required competencies to use ICT tools efficiently. Limited professional development opportunities and absence of regular training programs further weaken the ability of educators to integrate technology into pedagogy. </w:t>
      </w: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lastRenderedPageBreak/>
        <w:t>4. Financial Constraints</w:t>
      </w:r>
    </w:p>
    <w:p w:rsidR="00AE6B68" w:rsidRPr="00AE6B68" w:rsidRDefault="00AE6B68" w:rsidP="00E43F68">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Rural institutions often operate with restricted budgets. The cost of purchasing computers, networking equipment, software, and maintaining ICT facilities is high. Furthermore, continuous upgrades and technical support add to the financial burden, making sustained ICT adoption challenging. </w:t>
      </w:r>
    </w:p>
    <w:p w:rsidR="00084FBD" w:rsidRDefault="00084FBD" w:rsidP="00A562D1">
      <w:pPr>
        <w:spacing w:after="0"/>
        <w:jc w:val="both"/>
        <w:outlineLvl w:val="2"/>
        <w:rPr>
          <w:rFonts w:ascii="Times New Roman" w:eastAsia="Times New Roman" w:hAnsi="Times New Roman" w:cs="Times New Roman"/>
          <w:b/>
          <w:bCs/>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5. Technical and Administrative Challenges</w:t>
      </w:r>
    </w:p>
    <w:p w:rsidR="00AE6B68" w:rsidRDefault="00AE6B68" w:rsidP="00E43F68">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Rural colleges frequently lack dedicated technical support staff. This creates difficulties in troubleshooting hardware/software problems and maintaining digital systems, leading to frequent disruptions in ICT-enabled education. Additionally, administrative resistance or lack of understanding of technology can further impede ICT integration. </w:t>
      </w:r>
    </w:p>
    <w:p w:rsidR="00FB18D6" w:rsidRPr="00AE6B68" w:rsidRDefault="00FB18D6"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6. Relevance of Content and Contextual Limitations</w:t>
      </w:r>
    </w:p>
    <w:p w:rsidR="00AE6B68" w:rsidRPr="00AE6B68" w:rsidRDefault="00AE6B68" w:rsidP="00E43F68">
      <w:pPr>
        <w:spacing w:after="0"/>
        <w:ind w:firstLine="36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Even where ICT is available, the digital content and educational platforms are often designed without attention to local languages and contextual relevance. This can limit the effectiveness of ICT for learners in rural settings, where culturally and linguistically tailored resources are needed. </w:t>
      </w:r>
    </w:p>
    <w:p w:rsidR="00AE6B68" w:rsidRPr="00AE6B68" w:rsidRDefault="00AE6B68" w:rsidP="00A562D1">
      <w:pPr>
        <w:spacing w:after="0"/>
        <w:jc w:val="both"/>
        <w:rPr>
          <w:rFonts w:ascii="Times New Roman" w:eastAsia="Times New Roman" w:hAnsi="Times New Roman" w:cs="Times New Roman"/>
          <w:sz w:val="24"/>
          <w:szCs w:val="24"/>
        </w:rPr>
      </w:pPr>
    </w:p>
    <w:p w:rsidR="00AE6B68" w:rsidRPr="00D670C0" w:rsidRDefault="00AE6B68" w:rsidP="00A562D1">
      <w:pPr>
        <w:pStyle w:val="ListParagraph"/>
        <w:numPr>
          <w:ilvl w:val="0"/>
          <w:numId w:val="6"/>
        </w:numPr>
        <w:spacing w:after="0"/>
        <w:ind w:left="360"/>
        <w:jc w:val="both"/>
        <w:outlineLvl w:val="1"/>
        <w:rPr>
          <w:rFonts w:ascii="Times New Roman" w:eastAsia="Times New Roman" w:hAnsi="Times New Roman" w:cs="Times New Roman"/>
          <w:b/>
          <w:bCs/>
          <w:sz w:val="24"/>
          <w:szCs w:val="24"/>
        </w:rPr>
      </w:pPr>
      <w:r w:rsidRPr="00D670C0">
        <w:rPr>
          <w:rFonts w:ascii="Times New Roman" w:eastAsia="Times New Roman" w:hAnsi="Times New Roman" w:cs="Times New Roman"/>
          <w:b/>
          <w:bCs/>
          <w:sz w:val="24"/>
          <w:szCs w:val="24"/>
        </w:rPr>
        <w:t>Prospects of ICT in Rural Higher Education</w:t>
      </w:r>
    </w:p>
    <w:p w:rsidR="00AE6B68" w:rsidRDefault="00E43F68" w:rsidP="00A562D1">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6B68" w:rsidRPr="00AE6B68">
        <w:rPr>
          <w:rFonts w:ascii="Times New Roman" w:eastAsia="Times New Roman" w:hAnsi="Times New Roman" w:cs="Times New Roman"/>
          <w:sz w:val="24"/>
          <w:szCs w:val="24"/>
        </w:rPr>
        <w:t xml:space="preserve">Despite these challenges, </w:t>
      </w:r>
      <w:r w:rsidR="00D670C0">
        <w:rPr>
          <w:rFonts w:ascii="Times New Roman" w:eastAsia="Times New Roman" w:hAnsi="Times New Roman" w:cs="Times New Roman"/>
          <w:sz w:val="24"/>
          <w:szCs w:val="24"/>
        </w:rPr>
        <w:t xml:space="preserve">the </w:t>
      </w:r>
      <w:r w:rsidR="00AE5633">
        <w:rPr>
          <w:rFonts w:ascii="Times New Roman" w:eastAsia="Times New Roman" w:hAnsi="Times New Roman" w:cs="Times New Roman"/>
          <w:sz w:val="24"/>
          <w:szCs w:val="24"/>
        </w:rPr>
        <w:t xml:space="preserve">study </w:t>
      </w:r>
      <w:r w:rsidR="00AE5633" w:rsidRPr="00AE6B68">
        <w:rPr>
          <w:rFonts w:ascii="Times New Roman" w:eastAsia="Times New Roman" w:hAnsi="Times New Roman" w:cs="Times New Roman"/>
          <w:sz w:val="24"/>
          <w:szCs w:val="24"/>
        </w:rPr>
        <w:t>indicates</w:t>
      </w:r>
      <w:r w:rsidR="00AE6B68" w:rsidRPr="00AE6B68">
        <w:rPr>
          <w:rFonts w:ascii="Times New Roman" w:eastAsia="Times New Roman" w:hAnsi="Times New Roman" w:cs="Times New Roman"/>
          <w:sz w:val="24"/>
          <w:szCs w:val="24"/>
        </w:rPr>
        <w:t xml:space="preserve"> that ICT integration offers powerful opportunities for improving rural higher education.</w:t>
      </w:r>
    </w:p>
    <w:p w:rsidR="00FB18D6" w:rsidRPr="00AE6B68" w:rsidRDefault="00FB18D6"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1. Quality Improvement in Teaching and Learning</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ICT enables the use of </w:t>
      </w:r>
      <w:r w:rsidRPr="00AE6B68">
        <w:rPr>
          <w:rFonts w:ascii="Times New Roman" w:eastAsia="Times New Roman" w:hAnsi="Times New Roman" w:cs="Times New Roman"/>
          <w:i/>
          <w:iCs/>
          <w:sz w:val="24"/>
          <w:szCs w:val="24"/>
        </w:rPr>
        <w:t>multimedia resources</w:t>
      </w:r>
      <w:r w:rsidRPr="00AE6B68">
        <w:rPr>
          <w:rFonts w:ascii="Times New Roman" w:eastAsia="Times New Roman" w:hAnsi="Times New Roman" w:cs="Times New Roman"/>
          <w:sz w:val="24"/>
          <w:szCs w:val="24"/>
        </w:rPr>
        <w:t xml:space="preserve">, virtual simulations, and digital laboratories that can make learning more engaging and effective. These tools help diversify </w:t>
      </w:r>
      <w:r w:rsidRPr="00AE6B68">
        <w:rPr>
          <w:rFonts w:ascii="Times New Roman" w:eastAsia="Times New Roman" w:hAnsi="Times New Roman" w:cs="Times New Roman"/>
          <w:sz w:val="24"/>
          <w:szCs w:val="24"/>
        </w:rPr>
        <w:lastRenderedPageBreak/>
        <w:t xml:space="preserve">traditional teaching approaches and can improve students’ conceptual understanding. Research reviews reveal that when ICT is integrated effectively, it can enhance instructional quality and learning outcomes. </w:t>
      </w:r>
    </w:p>
    <w:p w:rsidR="00FB18D6" w:rsidRPr="00AE6B68" w:rsidRDefault="00FB18D6"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2. Enhanced Accessibility and Flexibility</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Through ICT, rural students can access </w:t>
      </w:r>
      <w:r w:rsidRPr="00D670C0">
        <w:rPr>
          <w:rFonts w:ascii="Times New Roman" w:eastAsia="Times New Roman" w:hAnsi="Times New Roman" w:cs="Times New Roman"/>
          <w:bCs/>
          <w:sz w:val="24"/>
          <w:szCs w:val="24"/>
        </w:rPr>
        <w:t>online courses</w:t>
      </w:r>
      <w:r w:rsidRPr="00D670C0">
        <w:rPr>
          <w:rFonts w:ascii="Times New Roman" w:eastAsia="Times New Roman" w:hAnsi="Times New Roman" w:cs="Times New Roman"/>
          <w:sz w:val="24"/>
          <w:szCs w:val="24"/>
        </w:rPr>
        <w:t xml:space="preserve"> and </w:t>
      </w:r>
      <w:r w:rsidRPr="00D670C0">
        <w:rPr>
          <w:rFonts w:ascii="Times New Roman" w:eastAsia="Times New Roman" w:hAnsi="Times New Roman" w:cs="Times New Roman"/>
          <w:bCs/>
          <w:sz w:val="24"/>
          <w:szCs w:val="24"/>
        </w:rPr>
        <w:t>distance learning programs</w:t>
      </w:r>
      <w:r w:rsidRPr="00D670C0">
        <w:rPr>
          <w:rFonts w:ascii="Times New Roman" w:eastAsia="Times New Roman" w:hAnsi="Times New Roman" w:cs="Times New Roman"/>
          <w:sz w:val="24"/>
          <w:szCs w:val="24"/>
        </w:rPr>
        <w:t xml:space="preserve"> </w:t>
      </w:r>
      <w:r w:rsidRPr="00AE6B68">
        <w:rPr>
          <w:rFonts w:ascii="Times New Roman" w:eastAsia="Times New Roman" w:hAnsi="Times New Roman" w:cs="Times New Roman"/>
          <w:sz w:val="24"/>
          <w:szCs w:val="24"/>
        </w:rPr>
        <w:t xml:space="preserve">that would otherwise be unavailable to them. This flexibility allows learners to continue their studies even when attending physical classes is difficult due to geographic or economic barriers. </w:t>
      </w:r>
    </w:p>
    <w:p w:rsidR="00273C73" w:rsidRDefault="00273C73"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3. Global Learning Opportunities</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ICT connects rural learners and educators to a wider global academic community via webinars, MOOCs (Massive Open Online Courses), collaborations, and international digital libraries. These connections expand educational horizons beyond local limitations, facilitating cross-cultural learning and academic exchange. </w:t>
      </w:r>
    </w:p>
    <w:p w:rsidR="00FB18D6" w:rsidRPr="00AE6B68" w:rsidRDefault="00FB18D6"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4. Personalized Learning and Self-Paced Study</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Digital platforms often incorporate adaptive learning systems that cater to students’ individual needs, allowing them to learn at their own pace. Such personalization can improve motivation, confidence, and exam performance, especially for students who need extra time or practice. </w:t>
      </w:r>
    </w:p>
    <w:p w:rsidR="00AE5633" w:rsidRDefault="00AE5633" w:rsidP="00A562D1">
      <w:pPr>
        <w:spacing w:after="0"/>
        <w:ind w:firstLine="72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5. Development of Market-Relevant Skills</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Integrating ICT in higher education equips students with </w:t>
      </w:r>
      <w:r w:rsidRPr="00D670C0">
        <w:rPr>
          <w:rFonts w:ascii="Times New Roman" w:eastAsia="Times New Roman" w:hAnsi="Times New Roman" w:cs="Times New Roman"/>
          <w:bCs/>
          <w:sz w:val="24"/>
          <w:szCs w:val="24"/>
        </w:rPr>
        <w:t>digital literacy</w:t>
      </w:r>
      <w:r w:rsidR="00D670C0">
        <w:rPr>
          <w:rFonts w:ascii="Times New Roman" w:eastAsia="Times New Roman" w:hAnsi="Times New Roman" w:cs="Times New Roman"/>
          <w:sz w:val="24"/>
          <w:szCs w:val="24"/>
        </w:rPr>
        <w:t xml:space="preserve">, problem-solving skills, and </w:t>
      </w:r>
      <w:r w:rsidRPr="00AE6B68">
        <w:rPr>
          <w:rFonts w:ascii="Times New Roman" w:eastAsia="Times New Roman" w:hAnsi="Times New Roman" w:cs="Times New Roman"/>
          <w:sz w:val="24"/>
          <w:szCs w:val="24"/>
        </w:rPr>
        <w:t xml:space="preserve">technological competencies required in the modern workforce. Students trained in ICT are more prepared for employment and can compete in knowledge-based economies. </w:t>
      </w:r>
    </w:p>
    <w:p w:rsidR="00FB18D6" w:rsidRPr="00AE6B68" w:rsidRDefault="00FB18D6" w:rsidP="00A562D1">
      <w:pPr>
        <w:spacing w:after="0"/>
        <w:jc w:val="both"/>
        <w:rPr>
          <w:rFonts w:ascii="Times New Roman" w:eastAsia="Times New Roman" w:hAnsi="Times New Roman" w:cs="Times New Roman"/>
          <w:sz w:val="24"/>
          <w:szCs w:val="24"/>
        </w:rPr>
      </w:pPr>
    </w:p>
    <w:p w:rsidR="00AE6B68" w:rsidRPr="00AE6B68" w:rsidRDefault="00AE6B68" w:rsidP="00A562D1">
      <w:pPr>
        <w:spacing w:after="0"/>
        <w:jc w:val="both"/>
        <w:outlineLvl w:val="2"/>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lastRenderedPageBreak/>
        <w:t>6. Potential for Inclusive and Equitable Education</w:t>
      </w:r>
    </w:p>
    <w:p w:rsidR="00AE6B68" w:rsidRDefault="00AE6B68"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 xml:space="preserve">When supported by targeted policies and investments, ICT can help </w:t>
      </w:r>
      <w:r w:rsidRPr="00AE6B68">
        <w:rPr>
          <w:rFonts w:ascii="Times New Roman" w:eastAsia="Times New Roman" w:hAnsi="Times New Roman" w:cs="Times New Roman"/>
          <w:i/>
          <w:iCs/>
          <w:sz w:val="24"/>
          <w:szCs w:val="24"/>
        </w:rPr>
        <w:t>bridge educational inequalities</w:t>
      </w:r>
      <w:r w:rsidRPr="00AE6B68">
        <w:rPr>
          <w:rFonts w:ascii="Times New Roman" w:eastAsia="Times New Roman" w:hAnsi="Times New Roman" w:cs="Times New Roman"/>
          <w:sz w:val="24"/>
          <w:szCs w:val="24"/>
        </w:rPr>
        <w:t xml:space="preserve">. It can improve access for marginalized groups—including economically disadvantaged students, women, and learners from remote villages—by lowering barriers to quality education. </w:t>
      </w:r>
    </w:p>
    <w:p w:rsidR="00FB18D6" w:rsidRPr="00AE6B68" w:rsidRDefault="00FB18D6" w:rsidP="00A562D1">
      <w:pPr>
        <w:spacing w:after="0"/>
        <w:jc w:val="both"/>
        <w:rPr>
          <w:rFonts w:ascii="Times New Roman" w:eastAsia="Times New Roman" w:hAnsi="Times New Roman" w:cs="Times New Roman"/>
          <w:sz w:val="24"/>
          <w:szCs w:val="24"/>
        </w:rPr>
      </w:pPr>
    </w:p>
    <w:p w:rsidR="00947F47" w:rsidRPr="00AE6B68" w:rsidRDefault="00947F47" w:rsidP="00A562D1">
      <w:pPr>
        <w:spacing w:after="0"/>
        <w:jc w:val="both"/>
        <w:outlineLvl w:val="1"/>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Suggestions for Effective ICT Integration</w:t>
      </w:r>
    </w:p>
    <w:p w:rsidR="00947F47" w:rsidRPr="00AE6B68" w:rsidRDefault="00947F47" w:rsidP="00A562D1">
      <w:pPr>
        <w:numPr>
          <w:ilvl w:val="0"/>
          <w:numId w:val="4"/>
        </w:numPr>
        <w:spacing w:after="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Adequate investment in ICT infrastructure and internet connectivity</w:t>
      </w:r>
    </w:p>
    <w:p w:rsidR="00947F47" w:rsidRPr="00AE6B68" w:rsidRDefault="00947F47" w:rsidP="00A562D1">
      <w:pPr>
        <w:numPr>
          <w:ilvl w:val="0"/>
          <w:numId w:val="4"/>
        </w:numPr>
        <w:spacing w:after="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Regular training and professional development programs for teachers</w:t>
      </w:r>
    </w:p>
    <w:p w:rsidR="00947F47" w:rsidRPr="00AE6B68" w:rsidRDefault="00947F47" w:rsidP="00A562D1">
      <w:pPr>
        <w:numPr>
          <w:ilvl w:val="0"/>
          <w:numId w:val="4"/>
        </w:numPr>
        <w:spacing w:after="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Development of inclusive ICT policies to bridge the digital divide</w:t>
      </w:r>
    </w:p>
    <w:p w:rsidR="00947F47" w:rsidRPr="00AE6B68" w:rsidRDefault="00947F47" w:rsidP="00A562D1">
      <w:pPr>
        <w:numPr>
          <w:ilvl w:val="0"/>
          <w:numId w:val="4"/>
        </w:numPr>
        <w:spacing w:after="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Establishment of technical support systems in institutions</w:t>
      </w:r>
    </w:p>
    <w:p w:rsidR="00947F47" w:rsidRPr="00AE6B68" w:rsidRDefault="00947F47" w:rsidP="00A562D1">
      <w:pPr>
        <w:numPr>
          <w:ilvl w:val="0"/>
          <w:numId w:val="4"/>
        </w:numPr>
        <w:spacing w:after="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Encouraging blended learning approaches</w:t>
      </w:r>
    </w:p>
    <w:p w:rsidR="00F1020A" w:rsidRDefault="00FB18D6" w:rsidP="00A562D1">
      <w:pPr>
        <w:spacing w:after="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47F47" w:rsidRPr="00AE6B68" w:rsidRDefault="00947F47" w:rsidP="00A562D1">
      <w:pPr>
        <w:spacing w:after="0"/>
        <w:jc w:val="both"/>
        <w:outlineLvl w:val="1"/>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Conclusion</w:t>
      </w:r>
    </w:p>
    <w:p w:rsidR="00947F47" w:rsidRPr="00AE6B68" w:rsidRDefault="00947F47" w:rsidP="00A562D1">
      <w:pPr>
        <w:spacing w:after="0"/>
        <w:ind w:firstLine="720"/>
        <w:jc w:val="both"/>
        <w:rPr>
          <w:rFonts w:ascii="Times New Roman" w:eastAsia="Times New Roman" w:hAnsi="Times New Roman" w:cs="Times New Roman"/>
          <w:sz w:val="24"/>
          <w:szCs w:val="24"/>
        </w:rPr>
      </w:pPr>
      <w:r w:rsidRPr="00AE6B68">
        <w:rPr>
          <w:rFonts w:ascii="Times New Roman" w:eastAsia="Times New Roman" w:hAnsi="Times New Roman" w:cs="Times New Roman"/>
          <w:sz w:val="24"/>
          <w:szCs w:val="24"/>
        </w:rPr>
        <w:t>The study highlights that ICT aided teaching and learning in rural Indian higher education institutions is both a challenge and an opportunity. While issues such as inadequate infrastructure, digital divide, and limited ICT skills remain significant barriers, ongoing government initiatives like Digital India, SWAYAM, and National Education Policy (2020) provide strong support for ICT integration. With focused investment, capacity building, and inclusive policies, ICT can play a transformative role in enhancing educational quality and accessibility in rural India. Strengthening ICT infrastructure and empowering teachers and students with digital skills will be crucial for bridging the rural–urban educational gap.</w:t>
      </w:r>
    </w:p>
    <w:p w:rsidR="00BE73AA" w:rsidRDefault="00BE73AA" w:rsidP="00A562D1">
      <w:pPr>
        <w:spacing w:after="0"/>
        <w:jc w:val="both"/>
        <w:outlineLvl w:val="1"/>
        <w:rPr>
          <w:rFonts w:ascii="Times New Roman" w:eastAsia="Times New Roman" w:hAnsi="Times New Roman" w:cs="Times New Roman"/>
          <w:b/>
          <w:bCs/>
          <w:sz w:val="24"/>
          <w:szCs w:val="24"/>
        </w:rPr>
      </w:pPr>
    </w:p>
    <w:p w:rsidR="00BE73AA" w:rsidRDefault="00BE73AA" w:rsidP="00BE73AA">
      <w:pPr>
        <w:spacing w:after="0"/>
        <w:jc w:val="both"/>
        <w:outlineLvl w:val="1"/>
        <w:rPr>
          <w:rFonts w:ascii="Times New Roman" w:eastAsia="Times New Roman" w:hAnsi="Times New Roman" w:cs="Times New Roman"/>
          <w:b/>
          <w:bCs/>
          <w:sz w:val="24"/>
          <w:szCs w:val="24"/>
        </w:rPr>
      </w:pPr>
    </w:p>
    <w:p w:rsidR="00AE5633" w:rsidRDefault="00AE5633">
      <w:pPr>
        <w:rPr>
          <w:rFonts w:ascii="Times New Roman" w:hAnsi="Times New Roman" w:cs="Times New Roman"/>
          <w:b/>
          <w:bCs/>
          <w:color w:val="000000"/>
          <w:sz w:val="23"/>
          <w:szCs w:val="23"/>
        </w:rPr>
      </w:pPr>
      <w:r>
        <w:rPr>
          <w:b/>
          <w:bCs/>
          <w:sz w:val="23"/>
          <w:szCs w:val="23"/>
        </w:rPr>
        <w:br w:type="page"/>
      </w:r>
    </w:p>
    <w:p w:rsidR="00A63E9C" w:rsidRPr="00FB63D9" w:rsidRDefault="00AE5633" w:rsidP="00A63E9C">
      <w:pPr>
        <w:pStyle w:val="Default"/>
        <w:jc w:val="center"/>
        <w:rPr>
          <w:b/>
          <w:bCs/>
          <w:sz w:val="23"/>
          <w:szCs w:val="23"/>
        </w:rPr>
      </w:pPr>
      <w:r>
        <w:rPr>
          <w:b/>
          <w:bCs/>
          <w:sz w:val="23"/>
          <w:szCs w:val="23"/>
        </w:rPr>
        <w:lastRenderedPageBreak/>
        <w:t>Declaration s</w:t>
      </w:r>
      <w:r w:rsidR="00A63E9C" w:rsidRPr="00FB63D9">
        <w:rPr>
          <w:b/>
          <w:bCs/>
          <w:sz w:val="23"/>
          <w:szCs w:val="23"/>
        </w:rPr>
        <w:t>tatement</w:t>
      </w:r>
    </w:p>
    <w:p w:rsidR="00A63E9C" w:rsidRPr="00FB63D9" w:rsidRDefault="00A63E9C" w:rsidP="00A63E9C">
      <w:pPr>
        <w:pStyle w:val="Default"/>
        <w:jc w:val="center"/>
        <w:rPr>
          <w:sz w:val="23"/>
          <w:szCs w:val="23"/>
        </w:rPr>
      </w:pPr>
    </w:p>
    <w:p w:rsidR="00A63E9C" w:rsidRPr="00FB63D9" w:rsidRDefault="00A63E9C" w:rsidP="00A63E9C">
      <w:pPr>
        <w:pStyle w:val="NormalWeb"/>
        <w:spacing w:before="0" w:beforeAutospacing="0" w:after="0" w:afterAutospacing="0" w:line="276" w:lineRule="auto"/>
        <w:ind w:firstLine="720"/>
        <w:jc w:val="both"/>
      </w:pPr>
      <w:r w:rsidRPr="00FB63D9">
        <w:rPr>
          <w:sz w:val="23"/>
          <w:szCs w:val="23"/>
        </w:rPr>
        <w:t>The author received no financial support for the research, authorship and publication of this research article.</w:t>
      </w:r>
    </w:p>
    <w:p w:rsidR="00AE5633" w:rsidRDefault="00AE5633" w:rsidP="00B1466F">
      <w:pPr>
        <w:spacing w:after="0" w:line="240" w:lineRule="auto"/>
        <w:rPr>
          <w:rFonts w:ascii="Times New Roman" w:eastAsia="Times New Roman" w:hAnsi="Times New Roman" w:cs="Times New Roman"/>
          <w:b/>
          <w:bCs/>
          <w:sz w:val="24"/>
          <w:szCs w:val="24"/>
        </w:rPr>
      </w:pPr>
    </w:p>
    <w:p w:rsidR="00947F47" w:rsidRPr="00AE6B68" w:rsidRDefault="00947F47" w:rsidP="00B1466F">
      <w:pPr>
        <w:spacing w:after="0" w:line="240" w:lineRule="auto"/>
        <w:rPr>
          <w:rFonts w:ascii="Times New Roman" w:eastAsia="Times New Roman" w:hAnsi="Times New Roman" w:cs="Times New Roman"/>
          <w:b/>
          <w:bCs/>
          <w:sz w:val="24"/>
          <w:szCs w:val="24"/>
        </w:rPr>
      </w:pPr>
      <w:r w:rsidRPr="00AE6B68">
        <w:rPr>
          <w:rFonts w:ascii="Times New Roman" w:eastAsia="Times New Roman" w:hAnsi="Times New Roman" w:cs="Times New Roman"/>
          <w:b/>
          <w:bCs/>
          <w:sz w:val="24"/>
          <w:szCs w:val="24"/>
        </w:rPr>
        <w:t>References</w:t>
      </w:r>
    </w:p>
    <w:p w:rsidR="00947F47" w:rsidRPr="00AE6B68" w:rsidRDefault="00947F47" w:rsidP="00B1466F">
      <w:pPr>
        <w:spacing w:after="0" w:line="240" w:lineRule="auto"/>
        <w:jc w:val="both"/>
        <w:outlineLvl w:val="1"/>
        <w:rPr>
          <w:rFonts w:ascii="Times New Roman" w:eastAsia="Times New Roman" w:hAnsi="Times New Roman" w:cs="Times New Roman"/>
          <w:b/>
          <w:bCs/>
          <w:sz w:val="24"/>
          <w:szCs w:val="24"/>
        </w:rPr>
      </w:pPr>
    </w:p>
    <w:p w:rsidR="00EE6945" w:rsidRDefault="00947F47"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Anderson, T. (2019). </w:t>
      </w:r>
      <w:r w:rsidRPr="00EE6945">
        <w:rPr>
          <w:rFonts w:ascii="Times New Roman" w:eastAsia="Times New Roman" w:hAnsi="Times New Roman" w:cs="Times New Roman"/>
          <w:i/>
          <w:iCs/>
          <w:color w:val="000000" w:themeColor="text1"/>
          <w:sz w:val="24"/>
          <w:szCs w:val="24"/>
        </w:rPr>
        <w:t>The Theory and Practice of Online Learning</w:t>
      </w:r>
      <w:r w:rsidRPr="00EE6945">
        <w:rPr>
          <w:rFonts w:ascii="Times New Roman" w:eastAsia="Times New Roman" w:hAnsi="Times New Roman" w:cs="Times New Roman"/>
          <w:color w:val="000000" w:themeColor="text1"/>
          <w:sz w:val="24"/>
          <w:szCs w:val="24"/>
        </w:rPr>
        <w:t>. Athabasca University Press.</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C26B90" w:rsidRDefault="00947F47"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Government of India. (2020). </w:t>
      </w:r>
      <w:r w:rsidRPr="00EE6945">
        <w:rPr>
          <w:rFonts w:ascii="Times New Roman" w:eastAsia="Times New Roman" w:hAnsi="Times New Roman" w:cs="Times New Roman"/>
          <w:i/>
          <w:iCs/>
          <w:color w:val="000000" w:themeColor="text1"/>
          <w:sz w:val="24"/>
          <w:szCs w:val="24"/>
        </w:rPr>
        <w:t>National Education Policy 2020</w:t>
      </w:r>
      <w:r w:rsidRPr="00EE6945">
        <w:rPr>
          <w:rFonts w:ascii="Times New Roman" w:eastAsia="Times New Roman" w:hAnsi="Times New Roman" w:cs="Times New Roman"/>
          <w:color w:val="000000" w:themeColor="text1"/>
          <w:sz w:val="24"/>
          <w:szCs w:val="24"/>
        </w:rPr>
        <w:t>. Ministry of Education.</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EE6945" w:rsidRDefault="00947F47"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Kumar, R., &amp; Singh, A. (2018). ICT infrastructure and challenges in rural higher education institutions in India. </w:t>
      </w:r>
      <w:r w:rsidRPr="00EE6945">
        <w:rPr>
          <w:rFonts w:ascii="Times New Roman" w:eastAsia="Times New Roman" w:hAnsi="Times New Roman" w:cs="Times New Roman"/>
          <w:i/>
          <w:iCs/>
          <w:color w:val="000000" w:themeColor="text1"/>
          <w:sz w:val="24"/>
          <w:szCs w:val="24"/>
        </w:rPr>
        <w:t>International Journal of Educational Technology</w:t>
      </w:r>
      <w:r w:rsidRPr="00EE6945">
        <w:rPr>
          <w:rFonts w:ascii="Times New Roman" w:eastAsia="Times New Roman" w:hAnsi="Times New Roman" w:cs="Times New Roman"/>
          <w:color w:val="000000" w:themeColor="text1"/>
          <w:sz w:val="24"/>
          <w:szCs w:val="24"/>
        </w:rPr>
        <w:t>, 5(2), 45–52.</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EE6945" w:rsidRDefault="00EE6945"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 </w:t>
      </w:r>
      <w:proofErr w:type="spellStart"/>
      <w:r w:rsidR="00947F47" w:rsidRPr="00EE6945">
        <w:rPr>
          <w:rFonts w:ascii="Times New Roman" w:eastAsia="Times New Roman" w:hAnsi="Times New Roman" w:cs="Times New Roman"/>
          <w:color w:val="000000" w:themeColor="text1"/>
          <w:sz w:val="24"/>
          <w:szCs w:val="24"/>
        </w:rPr>
        <w:t>Mishra</w:t>
      </w:r>
      <w:proofErr w:type="spellEnd"/>
      <w:r w:rsidR="00947F47" w:rsidRPr="00EE6945">
        <w:rPr>
          <w:rFonts w:ascii="Times New Roman" w:eastAsia="Times New Roman" w:hAnsi="Times New Roman" w:cs="Times New Roman"/>
          <w:color w:val="000000" w:themeColor="text1"/>
          <w:sz w:val="24"/>
          <w:szCs w:val="24"/>
        </w:rPr>
        <w:t xml:space="preserve">, P., &amp; Koehler, M. J. (2006). Technological Pedagogical Content Knowledge: A Framework for Teacher Knowledge. </w:t>
      </w:r>
      <w:r w:rsidR="00947F47" w:rsidRPr="00EE6945">
        <w:rPr>
          <w:rFonts w:ascii="Times New Roman" w:eastAsia="Times New Roman" w:hAnsi="Times New Roman" w:cs="Times New Roman"/>
          <w:i/>
          <w:iCs/>
          <w:color w:val="000000" w:themeColor="text1"/>
          <w:sz w:val="24"/>
          <w:szCs w:val="24"/>
        </w:rPr>
        <w:t>Teachers College Record</w:t>
      </w:r>
      <w:r w:rsidR="00947F47" w:rsidRPr="00EE6945">
        <w:rPr>
          <w:rFonts w:ascii="Times New Roman" w:eastAsia="Times New Roman" w:hAnsi="Times New Roman" w:cs="Times New Roman"/>
          <w:color w:val="000000" w:themeColor="text1"/>
          <w:sz w:val="24"/>
          <w:szCs w:val="24"/>
        </w:rPr>
        <w:t>, 108(6), 1017–1054.</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EE6945" w:rsidRDefault="00947F47"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Selwyn, N. (2016). </w:t>
      </w:r>
      <w:r w:rsidRPr="00EE6945">
        <w:rPr>
          <w:rFonts w:ascii="Times New Roman" w:eastAsia="Times New Roman" w:hAnsi="Times New Roman" w:cs="Times New Roman"/>
          <w:i/>
          <w:iCs/>
          <w:color w:val="000000" w:themeColor="text1"/>
          <w:sz w:val="24"/>
          <w:szCs w:val="24"/>
        </w:rPr>
        <w:t>Education and Technology: Key Issues and Debates</w:t>
      </w:r>
      <w:r w:rsidRPr="00EE6945">
        <w:rPr>
          <w:rFonts w:ascii="Times New Roman" w:eastAsia="Times New Roman" w:hAnsi="Times New Roman" w:cs="Times New Roman"/>
          <w:color w:val="000000" w:themeColor="text1"/>
          <w:sz w:val="24"/>
          <w:szCs w:val="24"/>
        </w:rPr>
        <w:t>. Bloomsbury Academic.</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EE6945" w:rsidRDefault="00EE6945"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eastAsia="Times New Roman" w:hAnsi="Times New Roman" w:cs="Times New Roman"/>
          <w:color w:val="000000" w:themeColor="text1"/>
          <w:sz w:val="24"/>
          <w:szCs w:val="24"/>
        </w:rPr>
        <w:t xml:space="preserve"> </w:t>
      </w:r>
      <w:r w:rsidR="00947F47" w:rsidRPr="00EE6945">
        <w:rPr>
          <w:rFonts w:ascii="Times New Roman" w:eastAsia="Times New Roman" w:hAnsi="Times New Roman" w:cs="Times New Roman"/>
          <w:color w:val="000000" w:themeColor="text1"/>
          <w:sz w:val="24"/>
          <w:szCs w:val="24"/>
        </w:rPr>
        <w:t xml:space="preserve">UNESCO. (2021). </w:t>
      </w:r>
      <w:r w:rsidR="00947F47" w:rsidRPr="00EE6945">
        <w:rPr>
          <w:rFonts w:ascii="Times New Roman" w:eastAsia="Times New Roman" w:hAnsi="Times New Roman" w:cs="Times New Roman"/>
          <w:i/>
          <w:iCs/>
          <w:color w:val="000000" w:themeColor="text1"/>
          <w:sz w:val="24"/>
          <w:szCs w:val="24"/>
        </w:rPr>
        <w:t>Digital Learning and Education in Rural Contexts</w:t>
      </w:r>
      <w:r w:rsidR="00947F47" w:rsidRPr="00EE6945">
        <w:rPr>
          <w:rFonts w:ascii="Times New Roman" w:eastAsia="Times New Roman" w:hAnsi="Times New Roman" w:cs="Times New Roman"/>
          <w:color w:val="000000" w:themeColor="text1"/>
          <w:sz w:val="24"/>
          <w:szCs w:val="24"/>
        </w:rPr>
        <w:t>. UNESCO Publishing.</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EE6945" w:rsidRPr="00AE5633"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hAnsi="Times New Roman" w:cs="Times New Roman"/>
          <w:color w:val="000000" w:themeColor="text1"/>
          <w:sz w:val="24"/>
          <w:szCs w:val="24"/>
        </w:rPr>
        <w:t xml:space="preserve">Cross, M., &amp; Adam, F. (2007). ICT policies and strategies in higher education in South Africa: National and institutional pathways. </w:t>
      </w:r>
      <w:r w:rsidRPr="00EE6945">
        <w:rPr>
          <w:rStyle w:val="Emphasis"/>
          <w:rFonts w:ascii="Times New Roman" w:hAnsi="Times New Roman" w:cs="Times New Roman"/>
          <w:color w:val="000000" w:themeColor="text1"/>
          <w:sz w:val="24"/>
          <w:szCs w:val="24"/>
        </w:rPr>
        <w:t>Higher Education Policy, 20</w:t>
      </w:r>
      <w:r w:rsidRPr="00EE6945">
        <w:rPr>
          <w:rFonts w:ascii="Times New Roman" w:hAnsi="Times New Roman" w:cs="Times New Roman"/>
          <w:color w:val="000000" w:themeColor="text1"/>
          <w:sz w:val="24"/>
          <w:szCs w:val="24"/>
        </w:rPr>
        <w:t xml:space="preserve">(1), 73–95. </w:t>
      </w:r>
      <w:hyperlink r:id="rId12" w:history="1">
        <w:r w:rsidR="00A562D1" w:rsidRPr="00AE5633">
          <w:rPr>
            <w:rStyle w:val="Hyperlink"/>
            <w:rFonts w:ascii="Times New Roman" w:hAnsi="Times New Roman" w:cs="Times New Roman"/>
            <w:color w:val="000000" w:themeColor="text1"/>
            <w:sz w:val="24"/>
            <w:szCs w:val="24"/>
            <w:u w:val="none"/>
          </w:rPr>
          <w:t>https://doi.org/10.1057/palgrave.hep.8300140</w:t>
        </w:r>
      </w:hyperlink>
    </w:p>
    <w:p w:rsidR="00AE5633" w:rsidRPr="00AE5633" w:rsidRDefault="00AE5633" w:rsidP="00AE5633">
      <w:pPr>
        <w:spacing w:after="0" w:line="240" w:lineRule="auto"/>
        <w:jc w:val="both"/>
        <w:rPr>
          <w:rFonts w:ascii="Times New Roman" w:eastAsia="Times New Roman" w:hAnsi="Times New Roman" w:cs="Times New Roman"/>
          <w:color w:val="000000" w:themeColor="text1"/>
          <w:sz w:val="24"/>
          <w:szCs w:val="24"/>
        </w:rPr>
      </w:pPr>
    </w:p>
    <w:p w:rsidR="00EE6945" w:rsidRPr="00C26B90"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EE6945">
        <w:rPr>
          <w:rFonts w:ascii="Times New Roman" w:hAnsi="Times New Roman" w:cs="Times New Roman"/>
          <w:color w:val="000000" w:themeColor="text1"/>
          <w:sz w:val="24"/>
          <w:szCs w:val="24"/>
        </w:rPr>
        <w:t>Mishra</w:t>
      </w:r>
      <w:proofErr w:type="spellEnd"/>
      <w:r w:rsidRPr="00EE6945">
        <w:rPr>
          <w:rFonts w:ascii="Times New Roman" w:hAnsi="Times New Roman" w:cs="Times New Roman"/>
          <w:color w:val="000000" w:themeColor="text1"/>
          <w:sz w:val="24"/>
          <w:szCs w:val="24"/>
        </w:rPr>
        <w:t xml:space="preserve">, S., &amp; Sharma, R. C. (2005). Development of e-learning in India. </w:t>
      </w:r>
      <w:r w:rsidRPr="00EE6945">
        <w:rPr>
          <w:rStyle w:val="Emphasis"/>
          <w:rFonts w:ascii="Times New Roman" w:hAnsi="Times New Roman" w:cs="Times New Roman"/>
          <w:color w:val="000000" w:themeColor="text1"/>
          <w:sz w:val="24"/>
          <w:szCs w:val="24"/>
        </w:rPr>
        <w:t>University News, 43</w:t>
      </w:r>
      <w:r w:rsidRPr="00EE6945">
        <w:rPr>
          <w:rFonts w:ascii="Times New Roman" w:hAnsi="Times New Roman" w:cs="Times New Roman"/>
          <w:color w:val="000000" w:themeColor="text1"/>
          <w:sz w:val="24"/>
          <w:szCs w:val="24"/>
        </w:rPr>
        <w:t>(11).</w:t>
      </w:r>
    </w:p>
    <w:p w:rsidR="00C26B90" w:rsidRPr="00EE6945"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EE6945" w:rsidRPr="00C26B90"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EE6945">
        <w:rPr>
          <w:rFonts w:ascii="Times New Roman" w:hAnsi="Times New Roman" w:cs="Times New Roman"/>
          <w:color w:val="000000" w:themeColor="text1"/>
          <w:sz w:val="24"/>
          <w:szCs w:val="24"/>
        </w:rPr>
        <w:t>Neeru</w:t>
      </w:r>
      <w:proofErr w:type="spellEnd"/>
      <w:r w:rsidRPr="00EE6945">
        <w:rPr>
          <w:rFonts w:ascii="Times New Roman" w:hAnsi="Times New Roman" w:cs="Times New Roman"/>
          <w:color w:val="000000" w:themeColor="text1"/>
          <w:sz w:val="24"/>
          <w:szCs w:val="24"/>
        </w:rPr>
        <w:t xml:space="preserve">, S. (2009). ICT in Indian universities and colleges: Opportunities and challenges. </w:t>
      </w:r>
      <w:r w:rsidRPr="00EE6945">
        <w:rPr>
          <w:rStyle w:val="Emphasis"/>
          <w:rFonts w:ascii="Times New Roman" w:hAnsi="Times New Roman" w:cs="Times New Roman"/>
          <w:color w:val="000000" w:themeColor="text1"/>
          <w:sz w:val="24"/>
          <w:szCs w:val="24"/>
        </w:rPr>
        <w:t>Management and Change, 13</w:t>
      </w:r>
      <w:r w:rsidRPr="00EE6945">
        <w:rPr>
          <w:rFonts w:ascii="Times New Roman" w:hAnsi="Times New Roman" w:cs="Times New Roman"/>
          <w:color w:val="000000" w:themeColor="text1"/>
          <w:sz w:val="24"/>
          <w:szCs w:val="24"/>
        </w:rPr>
        <w:t>(2), 231–244.</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EE6945" w:rsidRPr="00C26B90"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hAnsi="Times New Roman" w:cs="Times New Roman"/>
          <w:color w:val="000000" w:themeColor="text1"/>
          <w:sz w:val="24"/>
          <w:szCs w:val="24"/>
        </w:rPr>
        <w:t xml:space="preserve">University Grants Commission. (2011). </w:t>
      </w:r>
      <w:r w:rsidRPr="00EE6945">
        <w:rPr>
          <w:rStyle w:val="Emphasis"/>
          <w:rFonts w:ascii="Times New Roman" w:hAnsi="Times New Roman" w:cs="Times New Roman"/>
          <w:color w:val="000000" w:themeColor="text1"/>
          <w:sz w:val="24"/>
          <w:szCs w:val="24"/>
        </w:rPr>
        <w:t>Annual report 2009–10</w:t>
      </w:r>
      <w:r w:rsidRPr="00EE6945">
        <w:rPr>
          <w:rFonts w:ascii="Times New Roman" w:hAnsi="Times New Roman" w:cs="Times New Roman"/>
          <w:color w:val="000000" w:themeColor="text1"/>
          <w:sz w:val="24"/>
          <w:szCs w:val="24"/>
        </w:rPr>
        <w:t>. UGC.</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EE6945" w:rsidRPr="00C26B90"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hAnsi="Times New Roman" w:cs="Times New Roman"/>
          <w:color w:val="000000" w:themeColor="text1"/>
          <w:sz w:val="24"/>
          <w:szCs w:val="24"/>
        </w:rPr>
        <w:t xml:space="preserve">UNESCO. (2002). </w:t>
      </w:r>
      <w:r w:rsidRPr="00EE6945">
        <w:rPr>
          <w:rStyle w:val="Emphasis"/>
          <w:rFonts w:ascii="Times New Roman" w:hAnsi="Times New Roman" w:cs="Times New Roman"/>
          <w:color w:val="000000" w:themeColor="text1"/>
          <w:sz w:val="24"/>
          <w:szCs w:val="24"/>
        </w:rPr>
        <w:t>Open and distance learning: Trends, policy and strategy considerations</w:t>
      </w:r>
      <w:r w:rsidRPr="00EE6945">
        <w:rPr>
          <w:rFonts w:ascii="Times New Roman" w:hAnsi="Times New Roman" w:cs="Times New Roman"/>
          <w:color w:val="000000" w:themeColor="text1"/>
          <w:sz w:val="24"/>
          <w:szCs w:val="24"/>
        </w:rPr>
        <w:t>. UNESCO.</w:t>
      </w:r>
    </w:p>
    <w:p w:rsidR="00C26B90" w:rsidRPr="00EE6945"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C26B90" w:rsidRPr="00C26B90" w:rsidRDefault="005B4243"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EE6945">
        <w:rPr>
          <w:rFonts w:ascii="Times New Roman" w:hAnsi="Times New Roman" w:cs="Times New Roman"/>
          <w:color w:val="000000" w:themeColor="text1"/>
          <w:sz w:val="24"/>
          <w:szCs w:val="24"/>
        </w:rPr>
        <w:t xml:space="preserve">UNESCO. (2009). </w:t>
      </w:r>
      <w:r w:rsidRPr="00EE6945">
        <w:rPr>
          <w:rStyle w:val="Emphasis"/>
          <w:rFonts w:ascii="Times New Roman" w:hAnsi="Times New Roman" w:cs="Times New Roman"/>
          <w:color w:val="000000" w:themeColor="text1"/>
          <w:sz w:val="24"/>
          <w:szCs w:val="24"/>
        </w:rPr>
        <w:t>ICTs for higher education: Background paper</w:t>
      </w:r>
      <w:r w:rsidRPr="00EE6945">
        <w:rPr>
          <w:rFonts w:ascii="Times New Roman" w:hAnsi="Times New Roman" w:cs="Times New Roman"/>
          <w:color w:val="000000" w:themeColor="text1"/>
          <w:sz w:val="24"/>
          <w:szCs w:val="24"/>
        </w:rPr>
        <w:t>. Commonwealth of Learning &amp; UNESCO.</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C26B90">
        <w:rPr>
          <w:rFonts w:ascii="Times New Roman" w:eastAsia="Times New Roman" w:hAnsi="Times New Roman" w:cs="Times New Roman"/>
          <w:color w:val="000000" w:themeColor="text1"/>
          <w:sz w:val="24"/>
          <w:szCs w:val="24"/>
        </w:rPr>
        <w:t xml:space="preserve">Ministry of Education. (2022). </w:t>
      </w:r>
      <w:r w:rsidRPr="00C26B90">
        <w:rPr>
          <w:rFonts w:ascii="Times New Roman" w:eastAsia="Times New Roman" w:hAnsi="Times New Roman" w:cs="Times New Roman"/>
          <w:i/>
          <w:iCs/>
          <w:color w:val="000000" w:themeColor="text1"/>
          <w:sz w:val="24"/>
          <w:szCs w:val="24"/>
        </w:rPr>
        <w:t>All India Survey on Higher Education (AISHE) 2021–22</w:t>
      </w:r>
      <w:r w:rsidRPr="00C26B90">
        <w:rPr>
          <w:rFonts w:ascii="Times New Roman" w:eastAsia="Times New Roman" w:hAnsi="Times New Roman" w:cs="Times New Roman"/>
          <w:color w:val="000000" w:themeColor="text1"/>
          <w:sz w:val="24"/>
          <w:szCs w:val="24"/>
        </w:rPr>
        <w:t xml:space="preserve">. Government of India. </w:t>
      </w:r>
    </w:p>
    <w:p w:rsidR="00C26B90" w:rsidRPr="00C26B90" w:rsidRDefault="00C26B90" w:rsidP="00B1466F">
      <w:pPr>
        <w:spacing w:after="0" w:line="240" w:lineRule="auto"/>
        <w:jc w:val="both"/>
        <w:rPr>
          <w:rFonts w:ascii="Times New Roman" w:eastAsia="Times New Roman" w:hAnsi="Times New Roman" w:cs="Times New Roman"/>
          <w:color w:val="000000" w:themeColor="text1"/>
          <w:sz w:val="24"/>
          <w:szCs w:val="24"/>
        </w:rPr>
      </w:pPr>
    </w:p>
    <w:p w:rsid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C26B90">
        <w:rPr>
          <w:rFonts w:ascii="Times New Roman" w:eastAsia="Times New Roman" w:hAnsi="Times New Roman" w:cs="Times New Roman"/>
          <w:color w:val="000000" w:themeColor="text1"/>
          <w:sz w:val="24"/>
          <w:szCs w:val="24"/>
        </w:rPr>
        <w:t>Mishra</w:t>
      </w:r>
      <w:proofErr w:type="spellEnd"/>
      <w:r w:rsidRPr="00C26B90">
        <w:rPr>
          <w:rFonts w:ascii="Times New Roman" w:eastAsia="Times New Roman" w:hAnsi="Times New Roman" w:cs="Times New Roman"/>
          <w:color w:val="000000" w:themeColor="text1"/>
          <w:sz w:val="24"/>
          <w:szCs w:val="24"/>
        </w:rPr>
        <w:t xml:space="preserve">, S., &amp; Sharma, R. C. (2005). Development of e-learning in India. </w:t>
      </w:r>
      <w:r w:rsidRPr="00C26B90">
        <w:rPr>
          <w:rFonts w:ascii="Times New Roman" w:eastAsia="Times New Roman" w:hAnsi="Times New Roman" w:cs="Times New Roman"/>
          <w:i/>
          <w:iCs/>
          <w:color w:val="000000" w:themeColor="text1"/>
          <w:sz w:val="24"/>
          <w:szCs w:val="24"/>
        </w:rPr>
        <w:t>University News, 43</w:t>
      </w:r>
      <w:r w:rsidRPr="00C26B90">
        <w:rPr>
          <w:rFonts w:ascii="Times New Roman" w:eastAsia="Times New Roman" w:hAnsi="Times New Roman" w:cs="Times New Roman"/>
          <w:color w:val="000000" w:themeColor="text1"/>
          <w:sz w:val="24"/>
          <w:szCs w:val="24"/>
        </w:rPr>
        <w:t xml:space="preserve">(11). </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C26B90">
        <w:rPr>
          <w:rFonts w:ascii="Times New Roman" w:eastAsia="Times New Roman" w:hAnsi="Times New Roman" w:cs="Times New Roman"/>
          <w:color w:val="000000" w:themeColor="text1"/>
          <w:sz w:val="24"/>
          <w:szCs w:val="24"/>
        </w:rPr>
        <w:t>Neeru</w:t>
      </w:r>
      <w:proofErr w:type="spellEnd"/>
      <w:r w:rsidRPr="00C26B90">
        <w:rPr>
          <w:rFonts w:ascii="Times New Roman" w:eastAsia="Times New Roman" w:hAnsi="Times New Roman" w:cs="Times New Roman"/>
          <w:color w:val="000000" w:themeColor="text1"/>
          <w:sz w:val="24"/>
          <w:szCs w:val="24"/>
        </w:rPr>
        <w:t xml:space="preserve">, S. (2009). ICT in Indian universities and colleges: Opportunities and challenges. </w:t>
      </w:r>
      <w:r w:rsidRPr="00C26B90">
        <w:rPr>
          <w:rFonts w:ascii="Times New Roman" w:eastAsia="Times New Roman" w:hAnsi="Times New Roman" w:cs="Times New Roman"/>
          <w:i/>
          <w:iCs/>
          <w:color w:val="000000" w:themeColor="text1"/>
          <w:sz w:val="24"/>
          <w:szCs w:val="24"/>
        </w:rPr>
        <w:t>Management and Change, 13</w:t>
      </w:r>
      <w:r w:rsidRPr="00C26B90">
        <w:rPr>
          <w:rFonts w:ascii="Times New Roman" w:eastAsia="Times New Roman" w:hAnsi="Times New Roman" w:cs="Times New Roman"/>
          <w:color w:val="000000" w:themeColor="text1"/>
          <w:sz w:val="24"/>
          <w:szCs w:val="24"/>
        </w:rPr>
        <w:t xml:space="preserve">(2), 231–244. </w:t>
      </w:r>
    </w:p>
    <w:p w:rsidR="00C26B90" w:rsidRPr="00C26B90" w:rsidRDefault="00C26B90" w:rsidP="00B1466F">
      <w:pPr>
        <w:pStyle w:val="ListParagraph"/>
        <w:spacing w:after="0" w:line="240" w:lineRule="auto"/>
        <w:rPr>
          <w:rFonts w:ascii="Times New Roman" w:eastAsia="Times New Roman" w:hAnsi="Times New Roman" w:cs="Times New Roman"/>
          <w:color w:val="000000" w:themeColor="text1"/>
          <w:sz w:val="24"/>
          <w:szCs w:val="24"/>
        </w:rPr>
      </w:pPr>
    </w:p>
    <w:p w:rsidR="00C26B90" w:rsidRP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C26B90">
        <w:rPr>
          <w:rFonts w:ascii="Times New Roman" w:eastAsia="Times New Roman" w:hAnsi="Times New Roman" w:cs="Times New Roman"/>
          <w:color w:val="000000" w:themeColor="text1"/>
          <w:sz w:val="24"/>
          <w:szCs w:val="24"/>
        </w:rPr>
        <w:t xml:space="preserve">Government of India. (2020). </w:t>
      </w:r>
      <w:r w:rsidRPr="00C26B90">
        <w:rPr>
          <w:rFonts w:ascii="Times New Roman" w:eastAsia="Times New Roman" w:hAnsi="Times New Roman" w:cs="Times New Roman"/>
          <w:i/>
          <w:iCs/>
          <w:color w:val="000000" w:themeColor="text1"/>
          <w:sz w:val="24"/>
          <w:szCs w:val="24"/>
        </w:rPr>
        <w:t>National Education Policy 2020</w:t>
      </w:r>
      <w:r w:rsidRPr="00C26B90">
        <w:rPr>
          <w:rFonts w:ascii="Times New Roman" w:eastAsia="Times New Roman" w:hAnsi="Times New Roman" w:cs="Times New Roman"/>
          <w:color w:val="000000" w:themeColor="text1"/>
          <w:sz w:val="24"/>
          <w:szCs w:val="24"/>
        </w:rPr>
        <w:t>.</w:t>
      </w:r>
      <w:r w:rsidRPr="00C26B90">
        <w:rPr>
          <w:rFonts w:ascii="Times New Roman" w:hAnsi="Times New Roman" w:cs="Times New Roman"/>
          <w:color w:val="000000" w:themeColor="text1"/>
          <w:sz w:val="24"/>
          <w:szCs w:val="24"/>
        </w:rPr>
        <w:t xml:space="preserve"> </w:t>
      </w:r>
      <w:proofErr w:type="gramStart"/>
      <w:r w:rsidRPr="00C26B90">
        <w:rPr>
          <w:rFonts w:ascii="Times New Roman" w:eastAsia="Times New Roman" w:hAnsi="Times New Roman" w:cs="Times New Roman"/>
          <w:color w:val="000000" w:themeColor="text1"/>
          <w:sz w:val="24"/>
          <w:szCs w:val="24"/>
        </w:rPr>
        <w:t>  Ministry</w:t>
      </w:r>
      <w:proofErr w:type="gramEnd"/>
      <w:r w:rsidRPr="00C26B90">
        <w:rPr>
          <w:rFonts w:ascii="Times New Roman" w:eastAsia="Times New Roman" w:hAnsi="Times New Roman" w:cs="Times New Roman"/>
          <w:color w:val="000000" w:themeColor="text1"/>
          <w:sz w:val="24"/>
          <w:szCs w:val="24"/>
        </w:rPr>
        <w:t xml:space="preserve"> of Education. (2022). </w:t>
      </w:r>
      <w:r w:rsidRPr="00C26B90">
        <w:rPr>
          <w:rFonts w:ascii="Times New Roman" w:eastAsia="Times New Roman" w:hAnsi="Times New Roman" w:cs="Times New Roman"/>
          <w:i/>
          <w:iCs/>
          <w:color w:val="000000" w:themeColor="text1"/>
          <w:sz w:val="24"/>
          <w:szCs w:val="24"/>
        </w:rPr>
        <w:t>All India Survey on Higher Education (AISHE) 2021–22</w:t>
      </w:r>
      <w:r w:rsidRPr="00C26B90">
        <w:rPr>
          <w:rFonts w:ascii="Times New Roman" w:eastAsia="Times New Roman" w:hAnsi="Times New Roman" w:cs="Times New Roman"/>
          <w:color w:val="000000" w:themeColor="text1"/>
          <w:sz w:val="24"/>
          <w:szCs w:val="24"/>
        </w:rPr>
        <w:t xml:space="preserve">. Government of India. </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C26B90" w:rsidRDefault="00C26B90"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C26B90">
        <w:rPr>
          <w:rFonts w:ascii="Times New Roman" w:eastAsia="Times New Roman" w:hAnsi="Times New Roman" w:cs="Times New Roman"/>
          <w:color w:val="000000" w:themeColor="text1"/>
          <w:sz w:val="24"/>
          <w:szCs w:val="24"/>
        </w:rPr>
        <w:t>M</w:t>
      </w:r>
      <w:r w:rsidR="00BE73AA" w:rsidRPr="00C26B90">
        <w:rPr>
          <w:rFonts w:ascii="Times New Roman" w:eastAsia="Times New Roman" w:hAnsi="Times New Roman" w:cs="Times New Roman"/>
          <w:color w:val="000000" w:themeColor="text1"/>
          <w:sz w:val="24"/>
          <w:szCs w:val="24"/>
        </w:rPr>
        <w:t>ishra</w:t>
      </w:r>
      <w:proofErr w:type="spellEnd"/>
      <w:r w:rsidR="00BE73AA" w:rsidRPr="00C26B90">
        <w:rPr>
          <w:rFonts w:ascii="Times New Roman" w:eastAsia="Times New Roman" w:hAnsi="Times New Roman" w:cs="Times New Roman"/>
          <w:color w:val="000000" w:themeColor="text1"/>
          <w:sz w:val="24"/>
          <w:szCs w:val="24"/>
        </w:rPr>
        <w:t xml:space="preserve">, S., &amp; Sharma, R. C. (2005). Development of e-learning in India. </w:t>
      </w:r>
      <w:r w:rsidR="00BE73AA" w:rsidRPr="00C26B90">
        <w:rPr>
          <w:rFonts w:ascii="Times New Roman" w:eastAsia="Times New Roman" w:hAnsi="Times New Roman" w:cs="Times New Roman"/>
          <w:i/>
          <w:iCs/>
          <w:color w:val="000000" w:themeColor="text1"/>
          <w:sz w:val="24"/>
          <w:szCs w:val="24"/>
        </w:rPr>
        <w:t>University News, 43</w:t>
      </w:r>
      <w:r w:rsidR="00BE73AA" w:rsidRPr="00C26B90">
        <w:rPr>
          <w:rFonts w:ascii="Times New Roman" w:eastAsia="Times New Roman" w:hAnsi="Times New Roman" w:cs="Times New Roman"/>
          <w:color w:val="000000" w:themeColor="text1"/>
          <w:sz w:val="24"/>
          <w:szCs w:val="24"/>
        </w:rPr>
        <w:t xml:space="preserve">(11). </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C26B90">
        <w:rPr>
          <w:rFonts w:ascii="Times New Roman" w:eastAsia="Times New Roman" w:hAnsi="Times New Roman" w:cs="Times New Roman"/>
          <w:color w:val="000000" w:themeColor="text1"/>
          <w:sz w:val="24"/>
          <w:szCs w:val="24"/>
        </w:rPr>
        <w:t>Neeru</w:t>
      </w:r>
      <w:proofErr w:type="spellEnd"/>
      <w:r w:rsidRPr="00C26B90">
        <w:rPr>
          <w:rFonts w:ascii="Times New Roman" w:eastAsia="Times New Roman" w:hAnsi="Times New Roman" w:cs="Times New Roman"/>
          <w:color w:val="000000" w:themeColor="text1"/>
          <w:sz w:val="24"/>
          <w:szCs w:val="24"/>
        </w:rPr>
        <w:t xml:space="preserve">, S. (2009). ICT in Indian universities and colleges: Opportunities and challenges. </w:t>
      </w:r>
      <w:r w:rsidRPr="00C26B90">
        <w:rPr>
          <w:rFonts w:ascii="Times New Roman" w:eastAsia="Times New Roman" w:hAnsi="Times New Roman" w:cs="Times New Roman"/>
          <w:i/>
          <w:iCs/>
          <w:color w:val="000000" w:themeColor="text1"/>
          <w:sz w:val="24"/>
          <w:szCs w:val="24"/>
        </w:rPr>
        <w:t>Management and Change, 13</w:t>
      </w:r>
      <w:r w:rsidRPr="00C26B90">
        <w:rPr>
          <w:rFonts w:ascii="Times New Roman" w:eastAsia="Times New Roman" w:hAnsi="Times New Roman" w:cs="Times New Roman"/>
          <w:color w:val="000000" w:themeColor="text1"/>
          <w:sz w:val="24"/>
          <w:szCs w:val="24"/>
        </w:rPr>
        <w:t xml:space="preserve">(2), 231–244. </w:t>
      </w:r>
    </w:p>
    <w:p w:rsidR="00C26B90" w:rsidRDefault="00C26B90" w:rsidP="00B1466F">
      <w:pPr>
        <w:pStyle w:val="ListParagraph"/>
        <w:spacing w:after="0" w:line="240" w:lineRule="auto"/>
        <w:jc w:val="both"/>
        <w:rPr>
          <w:rFonts w:ascii="Times New Roman" w:eastAsia="Times New Roman" w:hAnsi="Times New Roman" w:cs="Times New Roman"/>
          <w:color w:val="000000" w:themeColor="text1"/>
          <w:sz w:val="24"/>
          <w:szCs w:val="24"/>
        </w:rPr>
      </w:pPr>
    </w:p>
    <w:p w:rsidR="005B4243" w:rsidRPr="00C26B90" w:rsidRDefault="00BE73AA" w:rsidP="00B1466F">
      <w:pPr>
        <w:pStyle w:val="ListParagraph"/>
        <w:numPr>
          <w:ilvl w:val="0"/>
          <w:numId w:val="9"/>
        </w:numPr>
        <w:spacing w:after="0" w:line="240" w:lineRule="auto"/>
        <w:ind w:left="720" w:hanging="720"/>
        <w:jc w:val="both"/>
        <w:rPr>
          <w:rFonts w:ascii="Times New Roman" w:eastAsia="Times New Roman" w:hAnsi="Times New Roman" w:cs="Times New Roman"/>
          <w:color w:val="000000" w:themeColor="text1"/>
          <w:sz w:val="24"/>
          <w:szCs w:val="24"/>
        </w:rPr>
      </w:pPr>
      <w:r w:rsidRPr="00C26B90">
        <w:rPr>
          <w:rFonts w:ascii="Times New Roman" w:eastAsia="Times New Roman" w:hAnsi="Times New Roman" w:cs="Times New Roman"/>
          <w:color w:val="000000" w:themeColor="text1"/>
          <w:sz w:val="24"/>
          <w:szCs w:val="24"/>
        </w:rPr>
        <w:t xml:space="preserve">Government of India. (2020). </w:t>
      </w:r>
      <w:r w:rsidRPr="00C26B90">
        <w:rPr>
          <w:rFonts w:ascii="Times New Roman" w:eastAsia="Times New Roman" w:hAnsi="Times New Roman" w:cs="Times New Roman"/>
          <w:i/>
          <w:iCs/>
          <w:color w:val="000000" w:themeColor="text1"/>
          <w:sz w:val="24"/>
          <w:szCs w:val="24"/>
        </w:rPr>
        <w:t>National Education Policy 2020</w:t>
      </w:r>
      <w:r w:rsidRPr="00C26B90">
        <w:rPr>
          <w:rFonts w:ascii="Times New Roman" w:eastAsia="Times New Roman" w:hAnsi="Times New Roman" w:cs="Times New Roman"/>
          <w:color w:val="000000" w:themeColor="text1"/>
          <w:sz w:val="24"/>
          <w:szCs w:val="24"/>
        </w:rPr>
        <w:t>.</w:t>
      </w:r>
    </w:p>
    <w:sectPr w:rsidR="005B4243" w:rsidRPr="00C26B90" w:rsidSect="00FB18D6">
      <w:type w:val="continuous"/>
      <w:pgSz w:w="12240" w:h="15840"/>
      <w:pgMar w:top="1170" w:right="630" w:bottom="1440" w:left="117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DD9" w:rsidRDefault="009E7DD9" w:rsidP="00084FBD">
      <w:pPr>
        <w:spacing w:after="0" w:line="240" w:lineRule="auto"/>
      </w:pPr>
      <w:r>
        <w:separator/>
      </w:r>
    </w:p>
  </w:endnote>
  <w:endnote w:type="continuationSeparator" w:id="0">
    <w:p w:rsidR="009E7DD9" w:rsidRDefault="009E7DD9" w:rsidP="00084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962938"/>
      <w:docPartObj>
        <w:docPartGallery w:val="Page Numbers (Bottom of Page)"/>
        <w:docPartUnique/>
      </w:docPartObj>
    </w:sdtPr>
    <w:sdtContent>
      <w:p w:rsidR="00EC7E4C" w:rsidRDefault="004A3B5C">
        <w:pPr>
          <w:pStyle w:val="Footer"/>
          <w:jc w:val="center"/>
        </w:pPr>
        <w:fldSimple w:instr=" PAGE   \* MERGEFORMAT ">
          <w:r w:rsidR="000153FB">
            <w:rPr>
              <w:noProof/>
            </w:rPr>
            <w:t>6</w:t>
          </w:r>
        </w:fldSimple>
      </w:p>
    </w:sdtContent>
  </w:sdt>
  <w:p w:rsidR="00EC7E4C" w:rsidRDefault="00EC7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DD9" w:rsidRDefault="009E7DD9" w:rsidP="00084FBD">
      <w:pPr>
        <w:spacing w:after="0" w:line="240" w:lineRule="auto"/>
      </w:pPr>
      <w:r>
        <w:separator/>
      </w:r>
    </w:p>
  </w:footnote>
  <w:footnote w:type="continuationSeparator" w:id="0">
    <w:p w:rsidR="009E7DD9" w:rsidRDefault="009E7DD9" w:rsidP="00084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E8D"/>
    <w:multiLevelType w:val="multilevel"/>
    <w:tmpl w:val="561C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B61CC"/>
    <w:multiLevelType w:val="multilevel"/>
    <w:tmpl w:val="3304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20626"/>
    <w:multiLevelType w:val="hybridMultilevel"/>
    <w:tmpl w:val="1E1ECD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5477795"/>
    <w:multiLevelType w:val="hybridMultilevel"/>
    <w:tmpl w:val="01EE56B6"/>
    <w:lvl w:ilvl="0" w:tplc="78D0557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E018E"/>
    <w:multiLevelType w:val="hybridMultilevel"/>
    <w:tmpl w:val="0C4C0F38"/>
    <w:lvl w:ilvl="0" w:tplc="04090001">
      <w:start w:val="1"/>
      <w:numFmt w:val="bullet"/>
      <w:lvlText w:val=""/>
      <w:lvlJc w:val="left"/>
      <w:pPr>
        <w:ind w:left="898" w:hanging="360"/>
      </w:pPr>
      <w:rPr>
        <w:rFonts w:ascii="Symbol" w:hAnsi="Symbol"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5">
    <w:nsid w:val="33F33518"/>
    <w:multiLevelType w:val="hybridMultilevel"/>
    <w:tmpl w:val="0144D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37B0E"/>
    <w:multiLevelType w:val="multilevel"/>
    <w:tmpl w:val="302A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BD241E"/>
    <w:multiLevelType w:val="hybridMultilevel"/>
    <w:tmpl w:val="7C449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C772A"/>
    <w:multiLevelType w:val="multilevel"/>
    <w:tmpl w:val="C6F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1"/>
  </w:num>
  <w:num w:numId="5">
    <w:abstractNumId w:val="7"/>
  </w:num>
  <w:num w:numId="6">
    <w:abstractNumId w:val="5"/>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A4614"/>
    <w:rsid w:val="000153FB"/>
    <w:rsid w:val="00084FBD"/>
    <w:rsid w:val="000A4614"/>
    <w:rsid w:val="001450B7"/>
    <w:rsid w:val="00183A93"/>
    <w:rsid w:val="00201170"/>
    <w:rsid w:val="00257378"/>
    <w:rsid w:val="00273C73"/>
    <w:rsid w:val="00281F88"/>
    <w:rsid w:val="003D4285"/>
    <w:rsid w:val="004A3B5C"/>
    <w:rsid w:val="004C50FE"/>
    <w:rsid w:val="005B4243"/>
    <w:rsid w:val="00686EB1"/>
    <w:rsid w:val="00736249"/>
    <w:rsid w:val="00742640"/>
    <w:rsid w:val="00764DAD"/>
    <w:rsid w:val="0077634E"/>
    <w:rsid w:val="007A40DE"/>
    <w:rsid w:val="00853D1B"/>
    <w:rsid w:val="00902DBE"/>
    <w:rsid w:val="00947F47"/>
    <w:rsid w:val="00983A6E"/>
    <w:rsid w:val="009E7DD9"/>
    <w:rsid w:val="00A324B6"/>
    <w:rsid w:val="00A562D1"/>
    <w:rsid w:val="00A63E9C"/>
    <w:rsid w:val="00AE5633"/>
    <w:rsid w:val="00AE6B68"/>
    <w:rsid w:val="00B1466F"/>
    <w:rsid w:val="00B60A66"/>
    <w:rsid w:val="00BE73AA"/>
    <w:rsid w:val="00C26B90"/>
    <w:rsid w:val="00C577D0"/>
    <w:rsid w:val="00C648CD"/>
    <w:rsid w:val="00C7481A"/>
    <w:rsid w:val="00C81656"/>
    <w:rsid w:val="00C95662"/>
    <w:rsid w:val="00CD2286"/>
    <w:rsid w:val="00CD52C7"/>
    <w:rsid w:val="00D670C0"/>
    <w:rsid w:val="00E048FF"/>
    <w:rsid w:val="00E43F68"/>
    <w:rsid w:val="00EA10DE"/>
    <w:rsid w:val="00EC7E4C"/>
    <w:rsid w:val="00EE6945"/>
    <w:rsid w:val="00F1020A"/>
    <w:rsid w:val="00F35748"/>
    <w:rsid w:val="00FB18D6"/>
    <w:rsid w:val="00FC4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AD"/>
  </w:style>
  <w:style w:type="paragraph" w:styleId="Heading1">
    <w:name w:val="heading 1"/>
    <w:basedOn w:val="Normal"/>
    <w:link w:val="Heading1Char"/>
    <w:uiPriority w:val="9"/>
    <w:qFormat/>
    <w:rsid w:val="00947F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7F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7F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F47"/>
    <w:rPr>
      <w:rFonts w:ascii="Times New Roman" w:eastAsia="Times New Roman" w:hAnsi="Times New Roman" w:cs="Times New Roman"/>
      <w:b/>
      <w:bCs/>
      <w:sz w:val="27"/>
      <w:szCs w:val="27"/>
    </w:rPr>
  </w:style>
  <w:style w:type="character" w:customStyle="1" w:styleId="min-w-0">
    <w:name w:val="min-w-0"/>
    <w:basedOn w:val="DefaultParagraphFont"/>
    <w:rsid w:val="00947F47"/>
  </w:style>
  <w:style w:type="paragraph" w:styleId="NormalWeb">
    <w:name w:val="Normal (Web)"/>
    <w:basedOn w:val="Normal"/>
    <w:uiPriority w:val="99"/>
    <w:unhideWhenUsed/>
    <w:rsid w:val="00947F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F47"/>
    <w:rPr>
      <w:b/>
      <w:bCs/>
    </w:rPr>
  </w:style>
  <w:style w:type="character" w:styleId="Emphasis">
    <w:name w:val="Emphasis"/>
    <w:basedOn w:val="DefaultParagraphFont"/>
    <w:uiPriority w:val="20"/>
    <w:qFormat/>
    <w:rsid w:val="00947F47"/>
    <w:rPr>
      <w:i/>
      <w:iCs/>
    </w:rPr>
  </w:style>
  <w:style w:type="paragraph" w:styleId="ListParagraph">
    <w:name w:val="List Paragraph"/>
    <w:basedOn w:val="Normal"/>
    <w:uiPriority w:val="34"/>
    <w:qFormat/>
    <w:rsid w:val="00947F47"/>
    <w:pPr>
      <w:ind w:left="720"/>
      <w:contextualSpacing/>
    </w:pPr>
  </w:style>
  <w:style w:type="paragraph" w:styleId="Header">
    <w:name w:val="header"/>
    <w:basedOn w:val="Normal"/>
    <w:link w:val="HeaderChar"/>
    <w:uiPriority w:val="99"/>
    <w:semiHidden/>
    <w:unhideWhenUsed/>
    <w:rsid w:val="00084F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FBD"/>
  </w:style>
  <w:style w:type="paragraph" w:styleId="Footer">
    <w:name w:val="footer"/>
    <w:basedOn w:val="Normal"/>
    <w:link w:val="FooterChar"/>
    <w:uiPriority w:val="99"/>
    <w:unhideWhenUsed/>
    <w:rsid w:val="00084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BD"/>
  </w:style>
  <w:style w:type="paragraph" w:styleId="BalloonText">
    <w:name w:val="Balloon Text"/>
    <w:basedOn w:val="Normal"/>
    <w:link w:val="BalloonTextChar"/>
    <w:uiPriority w:val="99"/>
    <w:semiHidden/>
    <w:unhideWhenUsed/>
    <w:rsid w:val="0085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1B"/>
    <w:rPr>
      <w:rFonts w:ascii="Tahoma" w:hAnsi="Tahoma" w:cs="Tahoma"/>
      <w:sz w:val="16"/>
      <w:szCs w:val="16"/>
    </w:rPr>
  </w:style>
  <w:style w:type="character" w:styleId="Hyperlink">
    <w:name w:val="Hyperlink"/>
    <w:basedOn w:val="DefaultParagraphFont"/>
    <w:uiPriority w:val="99"/>
    <w:unhideWhenUsed/>
    <w:rsid w:val="00A562D1"/>
    <w:rPr>
      <w:color w:val="0000FF" w:themeColor="hyperlink"/>
      <w:u w:val="single"/>
    </w:rPr>
  </w:style>
  <w:style w:type="paragraph" w:customStyle="1" w:styleId="Default">
    <w:name w:val="Default"/>
    <w:rsid w:val="00A63E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3992418">
      <w:bodyDiv w:val="1"/>
      <w:marLeft w:val="0"/>
      <w:marRight w:val="0"/>
      <w:marTop w:val="0"/>
      <w:marBottom w:val="0"/>
      <w:divBdr>
        <w:top w:val="none" w:sz="0" w:space="0" w:color="auto"/>
        <w:left w:val="none" w:sz="0" w:space="0" w:color="auto"/>
        <w:bottom w:val="none" w:sz="0" w:space="0" w:color="auto"/>
        <w:right w:val="none" w:sz="0" w:space="0" w:color="auto"/>
      </w:divBdr>
    </w:div>
    <w:div w:id="880552194">
      <w:bodyDiv w:val="1"/>
      <w:marLeft w:val="0"/>
      <w:marRight w:val="0"/>
      <w:marTop w:val="0"/>
      <w:marBottom w:val="0"/>
      <w:divBdr>
        <w:top w:val="none" w:sz="0" w:space="0" w:color="auto"/>
        <w:left w:val="none" w:sz="0" w:space="0" w:color="auto"/>
        <w:bottom w:val="none" w:sz="0" w:space="0" w:color="auto"/>
        <w:right w:val="none" w:sz="0" w:space="0" w:color="auto"/>
      </w:divBdr>
      <w:divsChild>
        <w:div w:id="37969940">
          <w:marLeft w:val="0"/>
          <w:marRight w:val="0"/>
          <w:marTop w:val="0"/>
          <w:marBottom w:val="0"/>
          <w:divBdr>
            <w:top w:val="none" w:sz="0" w:space="0" w:color="auto"/>
            <w:left w:val="none" w:sz="0" w:space="0" w:color="auto"/>
            <w:bottom w:val="none" w:sz="0" w:space="0" w:color="auto"/>
            <w:right w:val="none" w:sz="0" w:space="0" w:color="auto"/>
          </w:divBdr>
        </w:div>
        <w:div w:id="457913002">
          <w:marLeft w:val="0"/>
          <w:marRight w:val="0"/>
          <w:marTop w:val="0"/>
          <w:marBottom w:val="0"/>
          <w:divBdr>
            <w:top w:val="none" w:sz="0" w:space="0" w:color="auto"/>
            <w:left w:val="none" w:sz="0" w:space="0" w:color="auto"/>
            <w:bottom w:val="none" w:sz="0" w:space="0" w:color="auto"/>
            <w:right w:val="none" w:sz="0" w:space="0" w:color="auto"/>
          </w:divBdr>
        </w:div>
        <w:div w:id="905191581">
          <w:marLeft w:val="0"/>
          <w:marRight w:val="0"/>
          <w:marTop w:val="0"/>
          <w:marBottom w:val="0"/>
          <w:divBdr>
            <w:top w:val="none" w:sz="0" w:space="0" w:color="auto"/>
            <w:left w:val="none" w:sz="0" w:space="0" w:color="auto"/>
            <w:bottom w:val="none" w:sz="0" w:space="0" w:color="auto"/>
            <w:right w:val="none" w:sz="0" w:space="0" w:color="auto"/>
          </w:divBdr>
        </w:div>
        <w:div w:id="1011417283">
          <w:marLeft w:val="0"/>
          <w:marRight w:val="0"/>
          <w:marTop w:val="0"/>
          <w:marBottom w:val="0"/>
          <w:divBdr>
            <w:top w:val="none" w:sz="0" w:space="0" w:color="auto"/>
            <w:left w:val="none" w:sz="0" w:space="0" w:color="auto"/>
            <w:bottom w:val="none" w:sz="0" w:space="0" w:color="auto"/>
            <w:right w:val="none" w:sz="0" w:space="0" w:color="auto"/>
          </w:divBdr>
        </w:div>
        <w:div w:id="1183131697">
          <w:marLeft w:val="0"/>
          <w:marRight w:val="0"/>
          <w:marTop w:val="0"/>
          <w:marBottom w:val="0"/>
          <w:divBdr>
            <w:top w:val="none" w:sz="0" w:space="0" w:color="auto"/>
            <w:left w:val="none" w:sz="0" w:space="0" w:color="auto"/>
            <w:bottom w:val="none" w:sz="0" w:space="0" w:color="auto"/>
            <w:right w:val="none" w:sz="0" w:space="0" w:color="auto"/>
          </w:divBdr>
        </w:div>
        <w:div w:id="1232807472">
          <w:marLeft w:val="0"/>
          <w:marRight w:val="0"/>
          <w:marTop w:val="0"/>
          <w:marBottom w:val="0"/>
          <w:divBdr>
            <w:top w:val="none" w:sz="0" w:space="0" w:color="auto"/>
            <w:left w:val="none" w:sz="0" w:space="0" w:color="auto"/>
            <w:bottom w:val="none" w:sz="0" w:space="0" w:color="auto"/>
            <w:right w:val="none" w:sz="0" w:space="0" w:color="auto"/>
          </w:divBdr>
        </w:div>
        <w:div w:id="1286814861">
          <w:marLeft w:val="0"/>
          <w:marRight w:val="0"/>
          <w:marTop w:val="0"/>
          <w:marBottom w:val="0"/>
          <w:divBdr>
            <w:top w:val="none" w:sz="0" w:space="0" w:color="auto"/>
            <w:left w:val="none" w:sz="0" w:space="0" w:color="auto"/>
            <w:bottom w:val="none" w:sz="0" w:space="0" w:color="auto"/>
            <w:right w:val="none" w:sz="0" w:space="0" w:color="auto"/>
          </w:divBdr>
        </w:div>
        <w:div w:id="1685589335">
          <w:marLeft w:val="0"/>
          <w:marRight w:val="0"/>
          <w:marTop w:val="0"/>
          <w:marBottom w:val="0"/>
          <w:divBdr>
            <w:top w:val="none" w:sz="0" w:space="0" w:color="auto"/>
            <w:left w:val="none" w:sz="0" w:space="0" w:color="auto"/>
            <w:bottom w:val="none" w:sz="0" w:space="0" w:color="auto"/>
            <w:right w:val="none" w:sz="0" w:space="0" w:color="auto"/>
          </w:divBdr>
        </w:div>
        <w:div w:id="1703238687">
          <w:marLeft w:val="0"/>
          <w:marRight w:val="0"/>
          <w:marTop w:val="0"/>
          <w:marBottom w:val="0"/>
          <w:divBdr>
            <w:top w:val="none" w:sz="0" w:space="0" w:color="auto"/>
            <w:left w:val="none" w:sz="0" w:space="0" w:color="auto"/>
            <w:bottom w:val="none" w:sz="0" w:space="0" w:color="auto"/>
            <w:right w:val="none" w:sz="0" w:space="0" w:color="auto"/>
          </w:divBdr>
        </w:div>
        <w:div w:id="1980187806">
          <w:marLeft w:val="0"/>
          <w:marRight w:val="0"/>
          <w:marTop w:val="0"/>
          <w:marBottom w:val="0"/>
          <w:divBdr>
            <w:top w:val="none" w:sz="0" w:space="0" w:color="auto"/>
            <w:left w:val="none" w:sz="0" w:space="0" w:color="auto"/>
            <w:bottom w:val="none" w:sz="0" w:space="0" w:color="auto"/>
            <w:right w:val="none" w:sz="0" w:space="0" w:color="auto"/>
          </w:divBdr>
        </w:div>
      </w:divsChild>
    </w:div>
    <w:div w:id="970747532">
      <w:bodyDiv w:val="1"/>
      <w:marLeft w:val="0"/>
      <w:marRight w:val="0"/>
      <w:marTop w:val="0"/>
      <w:marBottom w:val="0"/>
      <w:divBdr>
        <w:top w:val="none" w:sz="0" w:space="0" w:color="auto"/>
        <w:left w:val="none" w:sz="0" w:space="0" w:color="auto"/>
        <w:bottom w:val="none" w:sz="0" w:space="0" w:color="auto"/>
        <w:right w:val="none" w:sz="0" w:space="0" w:color="auto"/>
      </w:divBdr>
    </w:div>
    <w:div w:id="1024481468">
      <w:bodyDiv w:val="1"/>
      <w:marLeft w:val="0"/>
      <w:marRight w:val="0"/>
      <w:marTop w:val="0"/>
      <w:marBottom w:val="0"/>
      <w:divBdr>
        <w:top w:val="none" w:sz="0" w:space="0" w:color="auto"/>
        <w:left w:val="none" w:sz="0" w:space="0" w:color="auto"/>
        <w:bottom w:val="none" w:sz="0" w:space="0" w:color="auto"/>
        <w:right w:val="none" w:sz="0" w:space="0" w:color="auto"/>
      </w:divBdr>
      <w:divsChild>
        <w:div w:id="1232229679">
          <w:marLeft w:val="0"/>
          <w:marRight w:val="0"/>
          <w:marTop w:val="0"/>
          <w:marBottom w:val="0"/>
          <w:divBdr>
            <w:top w:val="none" w:sz="0" w:space="0" w:color="auto"/>
            <w:left w:val="none" w:sz="0" w:space="0" w:color="auto"/>
            <w:bottom w:val="none" w:sz="0" w:space="0" w:color="auto"/>
            <w:right w:val="none" w:sz="0" w:space="0" w:color="auto"/>
          </w:divBdr>
          <w:divsChild>
            <w:div w:id="1129980448">
              <w:marLeft w:val="0"/>
              <w:marRight w:val="0"/>
              <w:marTop w:val="0"/>
              <w:marBottom w:val="0"/>
              <w:divBdr>
                <w:top w:val="none" w:sz="0" w:space="0" w:color="auto"/>
                <w:left w:val="none" w:sz="0" w:space="0" w:color="auto"/>
                <w:bottom w:val="none" w:sz="0" w:space="0" w:color="auto"/>
                <w:right w:val="none" w:sz="0" w:space="0" w:color="auto"/>
              </w:divBdr>
              <w:divsChild>
                <w:div w:id="1974090968">
                  <w:marLeft w:val="0"/>
                  <w:marRight w:val="0"/>
                  <w:marTop w:val="0"/>
                  <w:marBottom w:val="0"/>
                  <w:divBdr>
                    <w:top w:val="none" w:sz="0" w:space="0" w:color="auto"/>
                    <w:left w:val="none" w:sz="0" w:space="0" w:color="auto"/>
                    <w:bottom w:val="none" w:sz="0" w:space="0" w:color="auto"/>
                    <w:right w:val="none" w:sz="0" w:space="0" w:color="auto"/>
                  </w:divBdr>
                  <w:divsChild>
                    <w:div w:id="4860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7092">
          <w:marLeft w:val="0"/>
          <w:marRight w:val="0"/>
          <w:marTop w:val="0"/>
          <w:marBottom w:val="0"/>
          <w:divBdr>
            <w:top w:val="none" w:sz="0" w:space="0" w:color="auto"/>
            <w:left w:val="none" w:sz="0" w:space="0" w:color="auto"/>
            <w:bottom w:val="none" w:sz="0" w:space="0" w:color="auto"/>
            <w:right w:val="none" w:sz="0" w:space="0" w:color="auto"/>
          </w:divBdr>
          <w:divsChild>
            <w:div w:id="627249069">
              <w:marLeft w:val="0"/>
              <w:marRight w:val="0"/>
              <w:marTop w:val="0"/>
              <w:marBottom w:val="0"/>
              <w:divBdr>
                <w:top w:val="none" w:sz="0" w:space="0" w:color="auto"/>
                <w:left w:val="none" w:sz="0" w:space="0" w:color="auto"/>
                <w:bottom w:val="none" w:sz="0" w:space="0" w:color="auto"/>
                <w:right w:val="none" w:sz="0" w:space="0" w:color="auto"/>
              </w:divBdr>
              <w:divsChild>
                <w:div w:id="1204950542">
                  <w:marLeft w:val="0"/>
                  <w:marRight w:val="0"/>
                  <w:marTop w:val="0"/>
                  <w:marBottom w:val="0"/>
                  <w:divBdr>
                    <w:top w:val="none" w:sz="0" w:space="0" w:color="auto"/>
                    <w:left w:val="none" w:sz="0" w:space="0" w:color="auto"/>
                    <w:bottom w:val="none" w:sz="0" w:space="0" w:color="auto"/>
                    <w:right w:val="none" w:sz="0" w:space="0" w:color="auto"/>
                  </w:divBdr>
                  <w:divsChild>
                    <w:div w:id="550188751">
                      <w:marLeft w:val="0"/>
                      <w:marRight w:val="0"/>
                      <w:marTop w:val="0"/>
                      <w:marBottom w:val="0"/>
                      <w:divBdr>
                        <w:top w:val="none" w:sz="0" w:space="0" w:color="auto"/>
                        <w:left w:val="none" w:sz="0" w:space="0" w:color="auto"/>
                        <w:bottom w:val="none" w:sz="0" w:space="0" w:color="auto"/>
                        <w:right w:val="none" w:sz="0" w:space="0" w:color="auto"/>
                      </w:divBdr>
                      <w:divsChild>
                        <w:div w:id="2015570280">
                          <w:marLeft w:val="0"/>
                          <w:marRight w:val="0"/>
                          <w:marTop w:val="0"/>
                          <w:marBottom w:val="0"/>
                          <w:divBdr>
                            <w:top w:val="none" w:sz="0" w:space="0" w:color="auto"/>
                            <w:left w:val="none" w:sz="0" w:space="0" w:color="auto"/>
                            <w:bottom w:val="none" w:sz="0" w:space="0" w:color="auto"/>
                            <w:right w:val="none" w:sz="0" w:space="0" w:color="auto"/>
                          </w:divBdr>
                          <w:divsChild>
                            <w:div w:id="1543975933">
                              <w:marLeft w:val="0"/>
                              <w:marRight w:val="0"/>
                              <w:marTop w:val="0"/>
                              <w:marBottom w:val="0"/>
                              <w:divBdr>
                                <w:top w:val="none" w:sz="0" w:space="0" w:color="auto"/>
                                <w:left w:val="none" w:sz="0" w:space="0" w:color="auto"/>
                                <w:bottom w:val="none" w:sz="0" w:space="0" w:color="auto"/>
                                <w:right w:val="none" w:sz="0" w:space="0" w:color="auto"/>
                              </w:divBdr>
                              <w:divsChild>
                                <w:div w:id="1113859754">
                                  <w:marLeft w:val="0"/>
                                  <w:marRight w:val="0"/>
                                  <w:marTop w:val="0"/>
                                  <w:marBottom w:val="0"/>
                                  <w:divBdr>
                                    <w:top w:val="none" w:sz="0" w:space="0" w:color="auto"/>
                                    <w:left w:val="none" w:sz="0" w:space="0" w:color="auto"/>
                                    <w:bottom w:val="none" w:sz="0" w:space="0" w:color="auto"/>
                                    <w:right w:val="none" w:sz="0" w:space="0" w:color="auto"/>
                                  </w:divBdr>
                                  <w:divsChild>
                                    <w:div w:id="2039620719">
                                      <w:marLeft w:val="0"/>
                                      <w:marRight w:val="0"/>
                                      <w:marTop w:val="0"/>
                                      <w:marBottom w:val="0"/>
                                      <w:divBdr>
                                        <w:top w:val="none" w:sz="0" w:space="0" w:color="auto"/>
                                        <w:left w:val="none" w:sz="0" w:space="0" w:color="auto"/>
                                        <w:bottom w:val="none" w:sz="0" w:space="0" w:color="auto"/>
                                        <w:right w:val="none" w:sz="0" w:space="0" w:color="auto"/>
                                      </w:divBdr>
                                      <w:divsChild>
                                        <w:div w:id="27151390">
                                          <w:marLeft w:val="0"/>
                                          <w:marRight w:val="0"/>
                                          <w:marTop w:val="0"/>
                                          <w:marBottom w:val="0"/>
                                          <w:divBdr>
                                            <w:top w:val="none" w:sz="0" w:space="0" w:color="auto"/>
                                            <w:left w:val="none" w:sz="0" w:space="0" w:color="auto"/>
                                            <w:bottom w:val="none" w:sz="0" w:space="0" w:color="auto"/>
                                            <w:right w:val="none" w:sz="0" w:space="0" w:color="auto"/>
                                          </w:divBdr>
                                        </w:div>
                                        <w:div w:id="168643961">
                                          <w:marLeft w:val="0"/>
                                          <w:marRight w:val="0"/>
                                          <w:marTop w:val="0"/>
                                          <w:marBottom w:val="0"/>
                                          <w:divBdr>
                                            <w:top w:val="none" w:sz="0" w:space="0" w:color="auto"/>
                                            <w:left w:val="none" w:sz="0" w:space="0" w:color="auto"/>
                                            <w:bottom w:val="none" w:sz="0" w:space="0" w:color="auto"/>
                                            <w:right w:val="none" w:sz="0" w:space="0" w:color="auto"/>
                                          </w:divBdr>
                                        </w:div>
                                        <w:div w:id="177744093">
                                          <w:marLeft w:val="0"/>
                                          <w:marRight w:val="0"/>
                                          <w:marTop w:val="0"/>
                                          <w:marBottom w:val="0"/>
                                          <w:divBdr>
                                            <w:top w:val="none" w:sz="0" w:space="0" w:color="auto"/>
                                            <w:left w:val="none" w:sz="0" w:space="0" w:color="auto"/>
                                            <w:bottom w:val="none" w:sz="0" w:space="0" w:color="auto"/>
                                            <w:right w:val="none" w:sz="0" w:space="0" w:color="auto"/>
                                          </w:divBdr>
                                        </w:div>
                                        <w:div w:id="333799553">
                                          <w:marLeft w:val="0"/>
                                          <w:marRight w:val="0"/>
                                          <w:marTop w:val="0"/>
                                          <w:marBottom w:val="0"/>
                                          <w:divBdr>
                                            <w:top w:val="none" w:sz="0" w:space="0" w:color="auto"/>
                                            <w:left w:val="none" w:sz="0" w:space="0" w:color="auto"/>
                                            <w:bottom w:val="none" w:sz="0" w:space="0" w:color="auto"/>
                                            <w:right w:val="none" w:sz="0" w:space="0" w:color="auto"/>
                                          </w:divBdr>
                                        </w:div>
                                        <w:div w:id="626161768">
                                          <w:marLeft w:val="0"/>
                                          <w:marRight w:val="0"/>
                                          <w:marTop w:val="0"/>
                                          <w:marBottom w:val="0"/>
                                          <w:divBdr>
                                            <w:top w:val="none" w:sz="0" w:space="0" w:color="auto"/>
                                            <w:left w:val="none" w:sz="0" w:space="0" w:color="auto"/>
                                            <w:bottom w:val="none" w:sz="0" w:space="0" w:color="auto"/>
                                            <w:right w:val="none" w:sz="0" w:space="0" w:color="auto"/>
                                          </w:divBdr>
                                        </w:div>
                                        <w:div w:id="778451392">
                                          <w:marLeft w:val="0"/>
                                          <w:marRight w:val="0"/>
                                          <w:marTop w:val="0"/>
                                          <w:marBottom w:val="0"/>
                                          <w:divBdr>
                                            <w:top w:val="none" w:sz="0" w:space="0" w:color="auto"/>
                                            <w:left w:val="none" w:sz="0" w:space="0" w:color="auto"/>
                                            <w:bottom w:val="none" w:sz="0" w:space="0" w:color="auto"/>
                                            <w:right w:val="none" w:sz="0" w:space="0" w:color="auto"/>
                                          </w:divBdr>
                                        </w:div>
                                        <w:div w:id="910043483">
                                          <w:marLeft w:val="0"/>
                                          <w:marRight w:val="0"/>
                                          <w:marTop w:val="0"/>
                                          <w:marBottom w:val="0"/>
                                          <w:divBdr>
                                            <w:top w:val="none" w:sz="0" w:space="0" w:color="auto"/>
                                            <w:left w:val="none" w:sz="0" w:space="0" w:color="auto"/>
                                            <w:bottom w:val="none" w:sz="0" w:space="0" w:color="auto"/>
                                            <w:right w:val="none" w:sz="0" w:space="0" w:color="auto"/>
                                          </w:divBdr>
                                        </w:div>
                                        <w:div w:id="1158574855">
                                          <w:marLeft w:val="0"/>
                                          <w:marRight w:val="0"/>
                                          <w:marTop w:val="0"/>
                                          <w:marBottom w:val="0"/>
                                          <w:divBdr>
                                            <w:top w:val="none" w:sz="0" w:space="0" w:color="auto"/>
                                            <w:left w:val="none" w:sz="0" w:space="0" w:color="auto"/>
                                            <w:bottom w:val="none" w:sz="0" w:space="0" w:color="auto"/>
                                            <w:right w:val="none" w:sz="0" w:space="0" w:color="auto"/>
                                          </w:divBdr>
                                        </w:div>
                                        <w:div w:id="1423453460">
                                          <w:marLeft w:val="0"/>
                                          <w:marRight w:val="0"/>
                                          <w:marTop w:val="0"/>
                                          <w:marBottom w:val="0"/>
                                          <w:divBdr>
                                            <w:top w:val="none" w:sz="0" w:space="0" w:color="auto"/>
                                            <w:left w:val="none" w:sz="0" w:space="0" w:color="auto"/>
                                            <w:bottom w:val="none" w:sz="0" w:space="0" w:color="auto"/>
                                            <w:right w:val="none" w:sz="0" w:space="0" w:color="auto"/>
                                          </w:divBdr>
                                        </w:div>
                                        <w:div w:id="1557080210">
                                          <w:marLeft w:val="0"/>
                                          <w:marRight w:val="0"/>
                                          <w:marTop w:val="0"/>
                                          <w:marBottom w:val="0"/>
                                          <w:divBdr>
                                            <w:top w:val="none" w:sz="0" w:space="0" w:color="auto"/>
                                            <w:left w:val="none" w:sz="0" w:space="0" w:color="auto"/>
                                            <w:bottom w:val="none" w:sz="0" w:space="0" w:color="auto"/>
                                            <w:right w:val="none" w:sz="0" w:space="0" w:color="auto"/>
                                          </w:divBdr>
                                        </w:div>
                                        <w:div w:id="21132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32179">
      <w:bodyDiv w:val="1"/>
      <w:marLeft w:val="0"/>
      <w:marRight w:val="0"/>
      <w:marTop w:val="0"/>
      <w:marBottom w:val="0"/>
      <w:divBdr>
        <w:top w:val="none" w:sz="0" w:space="0" w:color="auto"/>
        <w:left w:val="none" w:sz="0" w:space="0" w:color="auto"/>
        <w:bottom w:val="none" w:sz="0" w:space="0" w:color="auto"/>
        <w:right w:val="none" w:sz="0" w:space="0" w:color="auto"/>
      </w:divBdr>
    </w:div>
    <w:div w:id="19188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57/palgrave.hep.83001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Growth of Colleges since 1950</a:t>
            </a:r>
          </a:p>
        </c:rich>
      </c:tx>
      <c:layout>
        <c:manualLayout>
          <c:xMode val="edge"/>
          <c:yMode val="edge"/>
          <c:x val="0.13844829396325478"/>
          <c:y val="0"/>
        </c:manualLayout>
      </c:layout>
    </c:title>
    <c:view3D>
      <c:rAngAx val="1"/>
    </c:view3D>
    <c:plotArea>
      <c:layout>
        <c:manualLayout>
          <c:layoutTarget val="inner"/>
          <c:xMode val="edge"/>
          <c:yMode val="edge"/>
          <c:x val="0"/>
          <c:y val="9.8751159099124658E-2"/>
          <c:w val="1"/>
          <c:h val="0.72927845097207222"/>
        </c:manualLayout>
      </c:layout>
      <c:bar3DChart>
        <c:barDir val="col"/>
        <c:grouping val="clustered"/>
        <c:ser>
          <c:idx val="0"/>
          <c:order val="0"/>
          <c:tx>
            <c:strRef>
              <c:f>Sheet1!$C$60</c:f>
              <c:strCache>
                <c:ptCount val="1"/>
                <c:pt idx="0">
                  <c:v>No.of Colleges</c:v>
                </c:pt>
              </c:strCache>
            </c:strRef>
          </c:tx>
          <c:dLbls>
            <c:dLbl>
              <c:idx val="0"/>
              <c:layout>
                <c:manualLayout>
                  <c:x val="1.1111111111111136E-2"/>
                  <c:y val="-6.0185185185185265E-2"/>
                </c:manualLayout>
              </c:layout>
              <c:showVal val="1"/>
            </c:dLbl>
            <c:dLbl>
              <c:idx val="1"/>
              <c:layout>
                <c:manualLayout>
                  <c:x val="2.7777777777778082E-3"/>
                  <c:y val="-3.7037037037037084E-2"/>
                </c:manualLayout>
              </c:layout>
              <c:showVal val="1"/>
            </c:dLbl>
            <c:dLbl>
              <c:idx val="2"/>
              <c:layout>
                <c:manualLayout>
                  <c:x val="2.7777777777778082E-3"/>
                  <c:y val="-4.1666666666666685E-2"/>
                </c:manualLayout>
              </c:layout>
              <c:showVal val="1"/>
            </c:dLbl>
            <c:dLbl>
              <c:idx val="3"/>
              <c:layout>
                <c:manualLayout>
                  <c:x val="0"/>
                  <c:y val="-4.6296296296296523E-2"/>
                </c:manualLayout>
              </c:layout>
              <c:showVal val="1"/>
            </c:dLbl>
            <c:showVal val="1"/>
          </c:dLbls>
          <c:cat>
            <c:strRef>
              <c:f>Sheet1!$D$59:$G$59</c:f>
              <c:strCache>
                <c:ptCount val="4"/>
                <c:pt idx="0">
                  <c:v>1950</c:v>
                </c:pt>
                <c:pt idx="1">
                  <c:v>1960-61</c:v>
                </c:pt>
                <c:pt idx="2">
                  <c:v>2000-01</c:v>
                </c:pt>
                <c:pt idx="3">
                  <c:v>2021-22</c:v>
                </c:pt>
              </c:strCache>
            </c:strRef>
          </c:cat>
          <c:val>
            <c:numRef>
              <c:f>Sheet1!$D$60:$G$60</c:f>
              <c:numCache>
                <c:formatCode>General</c:formatCode>
                <c:ptCount val="4"/>
                <c:pt idx="0">
                  <c:v>578</c:v>
                </c:pt>
                <c:pt idx="1">
                  <c:v>1819</c:v>
                </c:pt>
                <c:pt idx="2">
                  <c:v>10252</c:v>
                </c:pt>
                <c:pt idx="3">
                  <c:v>45473</c:v>
                </c:pt>
              </c:numCache>
            </c:numRef>
          </c:val>
        </c:ser>
        <c:dLbls>
          <c:showVal val="1"/>
        </c:dLbls>
        <c:shape val="box"/>
        <c:axId val="112884352"/>
        <c:axId val="125299712"/>
        <c:axId val="0"/>
      </c:bar3DChart>
      <c:catAx>
        <c:axId val="112884352"/>
        <c:scaling>
          <c:orientation val="minMax"/>
        </c:scaling>
        <c:axPos val="b"/>
        <c:majorTickMark val="none"/>
        <c:tickLblPos val="nextTo"/>
        <c:crossAx val="125299712"/>
        <c:crosses val="autoZero"/>
        <c:auto val="1"/>
        <c:lblAlgn val="ctr"/>
        <c:lblOffset val="100"/>
      </c:catAx>
      <c:valAx>
        <c:axId val="125299712"/>
        <c:scaling>
          <c:orientation val="minMax"/>
        </c:scaling>
        <c:delete val="1"/>
        <c:axPos val="l"/>
        <c:numFmt formatCode="General" sourceLinked="1"/>
        <c:tickLblPos val="none"/>
        <c:crossAx val="112884352"/>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4"/>
  <c:chart>
    <c:title>
      <c:tx>
        <c:rich>
          <a:bodyPr/>
          <a:lstStyle/>
          <a:p>
            <a:pPr>
              <a:defRPr/>
            </a:pPr>
            <a:r>
              <a:rPr lang="en-US" sz="1100">
                <a:latin typeface="Times New Roman" pitchFamily="18" charset="0"/>
                <a:cs typeface="Times New Roman" pitchFamily="18" charset="0"/>
              </a:rPr>
              <a:t>Growth</a:t>
            </a:r>
            <a:r>
              <a:rPr lang="en-US" sz="1100" baseline="0">
                <a:latin typeface="Times New Roman" pitchFamily="18" charset="0"/>
                <a:cs typeface="Times New Roman" pitchFamily="18" charset="0"/>
              </a:rPr>
              <a:t> </a:t>
            </a:r>
            <a:r>
              <a:rPr lang="en-US" sz="1100">
                <a:latin typeface="Times New Roman" pitchFamily="18" charset="0"/>
                <a:cs typeface="Times New Roman" pitchFamily="18" charset="0"/>
              </a:rPr>
              <a:t>of Universities 1950</a:t>
            </a:r>
          </a:p>
        </c:rich>
      </c:tx>
      <c:layout>
        <c:manualLayout>
          <c:xMode val="edge"/>
          <c:yMode val="edge"/>
          <c:x val="0.19460175968569968"/>
          <c:y val="0"/>
        </c:manualLayout>
      </c:layout>
    </c:title>
    <c:view3D>
      <c:rAngAx val="1"/>
    </c:view3D>
    <c:plotArea>
      <c:layout>
        <c:manualLayout>
          <c:layoutTarget val="inner"/>
          <c:xMode val="edge"/>
          <c:yMode val="edge"/>
          <c:x val="1.9444444444444445E-2"/>
          <c:y val="8.2936489226271851E-2"/>
          <c:w val="0.97898555708717705"/>
          <c:h val="0.75697046851179606"/>
        </c:manualLayout>
      </c:layout>
      <c:bar3DChart>
        <c:barDir val="col"/>
        <c:grouping val="clustered"/>
        <c:ser>
          <c:idx val="0"/>
          <c:order val="0"/>
          <c:tx>
            <c:strRef>
              <c:f>Sheet1!$C$39</c:f>
              <c:strCache>
                <c:ptCount val="1"/>
                <c:pt idx="0">
                  <c:v>No.of Universities</c:v>
                </c:pt>
              </c:strCache>
            </c:strRef>
          </c:tx>
          <c:dLbls>
            <c:dLbl>
              <c:idx val="0"/>
              <c:layout>
                <c:manualLayout>
                  <c:x val="2.7777777777777939E-3"/>
                  <c:y val="-4.1666666666666567E-2"/>
                </c:manualLayout>
              </c:layout>
              <c:showVal val="1"/>
            </c:dLbl>
            <c:dLbl>
              <c:idx val="1"/>
              <c:layout>
                <c:manualLayout>
                  <c:x val="-5.0925337632080489E-17"/>
                  <c:y val="-4.1666666666666664E-2"/>
                </c:manualLayout>
              </c:layout>
              <c:showVal val="1"/>
            </c:dLbl>
            <c:dLbl>
              <c:idx val="2"/>
              <c:layout>
                <c:manualLayout>
                  <c:x val="0"/>
                  <c:y val="-2.7777777777777912E-2"/>
                </c:manualLayout>
              </c:layout>
              <c:showVal val="1"/>
            </c:dLbl>
            <c:dLbl>
              <c:idx val="3"/>
              <c:layout>
                <c:manualLayout>
                  <c:x val="-2.7777777777778945E-3"/>
                  <c:y val="-3.2407407407407468E-2"/>
                </c:manualLayout>
              </c:layout>
              <c:showVal val="1"/>
            </c:dLbl>
            <c:showVal val="1"/>
          </c:dLbls>
          <c:cat>
            <c:strRef>
              <c:f>Sheet1!$D$38:$G$38</c:f>
              <c:strCache>
                <c:ptCount val="4"/>
                <c:pt idx="0">
                  <c:v>1950</c:v>
                </c:pt>
                <c:pt idx="1">
                  <c:v>1960-61</c:v>
                </c:pt>
                <c:pt idx="2">
                  <c:v>2000-01</c:v>
                </c:pt>
                <c:pt idx="3">
                  <c:v>2021-22</c:v>
                </c:pt>
              </c:strCache>
            </c:strRef>
          </c:cat>
          <c:val>
            <c:numRef>
              <c:f>Sheet1!$D$39:$G$39</c:f>
              <c:numCache>
                <c:formatCode>General</c:formatCode>
                <c:ptCount val="4"/>
                <c:pt idx="0">
                  <c:v>30</c:v>
                </c:pt>
                <c:pt idx="1">
                  <c:v>55</c:v>
                </c:pt>
                <c:pt idx="2">
                  <c:v>256</c:v>
                </c:pt>
                <c:pt idx="3">
                  <c:v>1168</c:v>
                </c:pt>
              </c:numCache>
            </c:numRef>
          </c:val>
        </c:ser>
        <c:dLbls>
          <c:showVal val="1"/>
        </c:dLbls>
        <c:shape val="box"/>
        <c:axId val="162326016"/>
        <c:axId val="162327552"/>
        <c:axId val="0"/>
      </c:bar3DChart>
      <c:catAx>
        <c:axId val="162326016"/>
        <c:scaling>
          <c:orientation val="minMax"/>
        </c:scaling>
        <c:axPos val="b"/>
        <c:majorTickMark val="none"/>
        <c:tickLblPos val="nextTo"/>
        <c:crossAx val="162327552"/>
        <c:crosses val="autoZero"/>
        <c:auto val="1"/>
        <c:lblAlgn val="ctr"/>
        <c:lblOffset val="100"/>
      </c:catAx>
      <c:valAx>
        <c:axId val="162327552"/>
        <c:scaling>
          <c:orientation val="minMax"/>
        </c:scaling>
        <c:delete val="1"/>
        <c:axPos val="l"/>
        <c:numFmt formatCode="General" sourceLinked="1"/>
        <c:tickLblPos val="none"/>
        <c:crossAx val="16232601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barChart>
        <c:barDir val="col"/>
        <c:grouping val="clustered"/>
        <c:ser>
          <c:idx val="0"/>
          <c:order val="0"/>
          <c:tx>
            <c:strRef>
              <c:f>Sheet1!$D$17</c:f>
              <c:strCache>
                <c:ptCount val="1"/>
                <c:pt idx="0">
                  <c:v>Enrollment to HED</c:v>
                </c:pt>
              </c:strCache>
            </c:strRef>
          </c:tx>
          <c:cat>
            <c:strRef>
              <c:f>Sheet1!$E$16:$J$16</c:f>
              <c:strCache>
                <c:ptCount val="6"/>
                <c:pt idx="0">
                  <c:v>2016-17</c:v>
                </c:pt>
                <c:pt idx="1">
                  <c:v>2017-18</c:v>
                </c:pt>
                <c:pt idx="2">
                  <c:v>2018-19</c:v>
                </c:pt>
                <c:pt idx="3">
                  <c:v>2019-20</c:v>
                </c:pt>
                <c:pt idx="4">
                  <c:v>2020-21</c:v>
                </c:pt>
                <c:pt idx="5">
                  <c:v>2021-22</c:v>
                </c:pt>
              </c:strCache>
            </c:strRef>
          </c:cat>
          <c:val>
            <c:numRef>
              <c:f>Sheet1!$E$17:$J$17</c:f>
              <c:numCache>
                <c:formatCode>General</c:formatCode>
                <c:ptCount val="6"/>
                <c:pt idx="0">
                  <c:v>3.57</c:v>
                </c:pt>
                <c:pt idx="1">
                  <c:v>3.66</c:v>
                </c:pt>
                <c:pt idx="2">
                  <c:v>3.73</c:v>
                </c:pt>
                <c:pt idx="3">
                  <c:v>3.8499999999999988</c:v>
                </c:pt>
                <c:pt idx="4">
                  <c:v>4.1399999999999997</c:v>
                </c:pt>
                <c:pt idx="5">
                  <c:v>4.33</c:v>
                </c:pt>
              </c:numCache>
            </c:numRef>
          </c:val>
        </c:ser>
        <c:dLbls>
          <c:showVal val="1"/>
        </c:dLbls>
        <c:gapWidth val="75"/>
        <c:axId val="162269824"/>
        <c:axId val="162271616"/>
      </c:barChart>
      <c:catAx>
        <c:axId val="162269824"/>
        <c:scaling>
          <c:orientation val="minMax"/>
        </c:scaling>
        <c:axPos val="b"/>
        <c:majorTickMark val="none"/>
        <c:tickLblPos val="nextTo"/>
        <c:crossAx val="162271616"/>
        <c:crosses val="autoZero"/>
        <c:auto val="1"/>
        <c:lblAlgn val="ctr"/>
        <c:lblOffset val="100"/>
      </c:catAx>
      <c:valAx>
        <c:axId val="162271616"/>
        <c:scaling>
          <c:orientation val="minMax"/>
        </c:scaling>
        <c:axPos val="l"/>
        <c:numFmt formatCode="General" sourceLinked="1"/>
        <c:majorTickMark val="none"/>
        <c:tickLblPos val="none"/>
        <c:crossAx val="162269824"/>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D308BEC-1A8B-42DE-A564-B26126EC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2026-03-31T14:15:00Z</cp:lastPrinted>
  <dcterms:created xsi:type="dcterms:W3CDTF">2026-01-13T11:51:00Z</dcterms:created>
  <dcterms:modified xsi:type="dcterms:W3CDTF">2026-03-31T14:15:00Z</dcterms:modified>
</cp:coreProperties>
</file>