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32CB" w:rsidRPr="008E655A" w:rsidRDefault="007032CB" w:rsidP="008E655A">
      <w:pPr>
        <w:spacing w:before="100" w:beforeAutospacing="1" w:after="100" w:afterAutospacing="1" w:line="240" w:lineRule="auto"/>
        <w:jc w:val="center"/>
        <w:outlineLvl w:val="0"/>
        <w:rPr>
          <w:rFonts w:ascii="Times New Roman" w:eastAsia="Times New Roman" w:hAnsi="Times New Roman" w:cs="Times New Roman"/>
          <w:b/>
          <w:bCs/>
          <w:kern w:val="36"/>
          <w:sz w:val="24"/>
          <w:szCs w:val="24"/>
        </w:rPr>
      </w:pPr>
      <w:r w:rsidRPr="008E655A">
        <w:rPr>
          <w:rFonts w:ascii="Times New Roman" w:eastAsia="Times New Roman" w:hAnsi="Times New Roman" w:cs="Times New Roman"/>
          <w:b/>
          <w:bCs/>
          <w:kern w:val="36"/>
          <w:sz w:val="24"/>
          <w:szCs w:val="24"/>
        </w:rPr>
        <w:t xml:space="preserve">Indian Stock Market Growth </w:t>
      </w:r>
      <w:proofErr w:type="gramStart"/>
      <w:r w:rsidRPr="008E655A">
        <w:rPr>
          <w:rFonts w:ascii="Times New Roman" w:eastAsia="Times New Roman" w:hAnsi="Times New Roman" w:cs="Times New Roman"/>
          <w:b/>
          <w:bCs/>
          <w:kern w:val="36"/>
          <w:sz w:val="24"/>
          <w:szCs w:val="24"/>
        </w:rPr>
        <w:t>vs</w:t>
      </w:r>
      <w:proofErr w:type="gramEnd"/>
      <w:r w:rsidRPr="008E655A">
        <w:rPr>
          <w:rFonts w:ascii="Times New Roman" w:eastAsia="Times New Roman" w:hAnsi="Times New Roman" w:cs="Times New Roman"/>
          <w:b/>
          <w:bCs/>
          <w:kern w:val="36"/>
          <w:sz w:val="24"/>
          <w:szCs w:val="24"/>
        </w:rPr>
        <w:t xml:space="preserve"> Global Uncertainty: An Empirical Analysis</w:t>
      </w:r>
    </w:p>
    <w:p w:rsidR="007032CB" w:rsidRDefault="007032CB" w:rsidP="00E8617F">
      <w:pPr>
        <w:spacing w:before="100" w:beforeAutospacing="1" w:after="0" w:line="240" w:lineRule="auto"/>
        <w:jc w:val="center"/>
        <w:rPr>
          <w:rFonts w:ascii="Times New Roman" w:eastAsia="Times New Roman" w:hAnsi="Times New Roman" w:cs="Times New Roman"/>
          <w:b/>
          <w:bCs/>
          <w:sz w:val="16"/>
          <w:szCs w:val="16"/>
        </w:rPr>
      </w:pPr>
      <w:proofErr w:type="spellStart"/>
      <w:r w:rsidRPr="008E655A">
        <w:rPr>
          <w:rFonts w:ascii="Times New Roman" w:eastAsia="Times New Roman" w:hAnsi="Times New Roman" w:cs="Times New Roman"/>
          <w:b/>
          <w:bCs/>
          <w:sz w:val="16"/>
          <w:szCs w:val="16"/>
        </w:rPr>
        <w:t>Aartheeswari</w:t>
      </w:r>
      <w:proofErr w:type="spellEnd"/>
      <w:r w:rsidRPr="008E655A">
        <w:rPr>
          <w:rFonts w:ascii="Times New Roman" w:eastAsia="Times New Roman" w:hAnsi="Times New Roman" w:cs="Times New Roman"/>
          <w:b/>
          <w:bCs/>
          <w:sz w:val="16"/>
          <w:szCs w:val="16"/>
        </w:rPr>
        <w:t>. E</w:t>
      </w:r>
      <w:r w:rsidR="00E8617F" w:rsidRPr="00BF0F71">
        <w:rPr>
          <w:rFonts w:ascii="Times New Roman" w:hAnsi="Times New Roman" w:cs="Times New Roman"/>
          <w:sz w:val="18"/>
          <w:szCs w:val="16"/>
        </w:rPr>
        <w:t xml:space="preserve"> </w:t>
      </w:r>
      <w:r w:rsidR="00E8617F" w:rsidRPr="00BF0F71">
        <w:rPr>
          <w:rFonts w:ascii="Times New Roman" w:hAnsi="Times New Roman" w:cs="Times New Roman"/>
          <w:sz w:val="18"/>
          <w:szCs w:val="16"/>
          <w:vertAlign w:val="superscript"/>
        </w:rPr>
        <w:t>1</w:t>
      </w:r>
      <w:r w:rsidRPr="008E655A">
        <w:rPr>
          <w:rFonts w:ascii="Times New Roman" w:eastAsia="Times New Roman" w:hAnsi="Times New Roman" w:cs="Times New Roman"/>
          <w:b/>
          <w:bCs/>
          <w:sz w:val="16"/>
          <w:szCs w:val="16"/>
        </w:rPr>
        <w:t xml:space="preserve">, Associate Professor, Department of Management Studies, </w:t>
      </w:r>
      <w:proofErr w:type="spellStart"/>
      <w:r w:rsidRPr="008E655A">
        <w:rPr>
          <w:rFonts w:ascii="Times New Roman" w:eastAsia="Times New Roman" w:hAnsi="Times New Roman" w:cs="Times New Roman"/>
          <w:b/>
          <w:bCs/>
          <w:sz w:val="16"/>
          <w:szCs w:val="16"/>
        </w:rPr>
        <w:t>Mailam</w:t>
      </w:r>
      <w:proofErr w:type="spellEnd"/>
      <w:r w:rsidRPr="008E655A">
        <w:rPr>
          <w:rFonts w:ascii="Times New Roman" w:eastAsia="Times New Roman" w:hAnsi="Times New Roman" w:cs="Times New Roman"/>
          <w:b/>
          <w:bCs/>
          <w:sz w:val="16"/>
          <w:szCs w:val="16"/>
        </w:rPr>
        <w:t xml:space="preserve"> Engineering College, </w:t>
      </w:r>
      <w:proofErr w:type="spellStart"/>
      <w:r w:rsidRPr="008E655A">
        <w:rPr>
          <w:rFonts w:ascii="Times New Roman" w:eastAsia="Times New Roman" w:hAnsi="Times New Roman" w:cs="Times New Roman"/>
          <w:b/>
          <w:bCs/>
          <w:sz w:val="16"/>
          <w:szCs w:val="16"/>
        </w:rPr>
        <w:t>Mailam</w:t>
      </w:r>
      <w:proofErr w:type="spellEnd"/>
      <w:r w:rsidRPr="008E655A">
        <w:rPr>
          <w:rFonts w:ascii="Times New Roman" w:eastAsia="Times New Roman" w:hAnsi="Times New Roman" w:cs="Times New Roman"/>
          <w:b/>
          <w:bCs/>
          <w:sz w:val="16"/>
          <w:szCs w:val="16"/>
        </w:rPr>
        <w:t>.</w:t>
      </w:r>
    </w:p>
    <w:p w:rsidR="00E8617F" w:rsidRDefault="00E8617F" w:rsidP="00E8617F">
      <w:pPr>
        <w:spacing w:after="0" w:line="360" w:lineRule="auto"/>
        <w:jc w:val="center"/>
        <w:rPr>
          <w:rFonts w:ascii="Times New Roman" w:hAnsi="Times New Roman" w:cs="Times New Roman"/>
          <w:sz w:val="18"/>
          <w:szCs w:val="16"/>
        </w:rPr>
      </w:pPr>
      <w:r>
        <w:rPr>
          <w:rFonts w:ascii="Times New Roman" w:hAnsi="Times New Roman" w:cs="Times New Roman"/>
          <w:sz w:val="18"/>
          <w:szCs w:val="16"/>
        </w:rPr>
        <w:t xml:space="preserve">Email Id: </w:t>
      </w:r>
      <w:hyperlink r:id="rId5" w:history="1">
        <w:r w:rsidRPr="00CC0BEB">
          <w:rPr>
            <w:rStyle w:val="Hyperlink"/>
            <w:sz w:val="18"/>
            <w:szCs w:val="16"/>
          </w:rPr>
          <w:t>aarthi81178@gmail.com</w:t>
        </w:r>
      </w:hyperlink>
    </w:p>
    <w:p w:rsidR="00E8617F" w:rsidRDefault="00856330" w:rsidP="00E8617F">
      <w:pPr>
        <w:spacing w:after="0" w:line="360" w:lineRule="auto"/>
        <w:jc w:val="center"/>
        <w:rPr>
          <w:rFonts w:ascii="Times New Roman" w:hAnsi="Times New Roman" w:cs="Times New Roman"/>
          <w:sz w:val="18"/>
          <w:szCs w:val="16"/>
        </w:rPr>
      </w:pPr>
      <w:proofErr w:type="spellStart"/>
      <w:r w:rsidRPr="00856330">
        <w:rPr>
          <w:rFonts w:ascii="Times New Roman" w:hAnsi="Times New Roman" w:cs="Times New Roman"/>
          <w:sz w:val="18"/>
          <w:szCs w:val="16"/>
        </w:rPr>
        <w:t>Hariprasath</w:t>
      </w:r>
      <w:proofErr w:type="spellEnd"/>
      <w:r w:rsidRPr="00856330">
        <w:rPr>
          <w:rFonts w:ascii="Times New Roman" w:hAnsi="Times New Roman" w:cs="Times New Roman"/>
          <w:sz w:val="18"/>
          <w:szCs w:val="16"/>
        </w:rPr>
        <w:t xml:space="preserve"> V</w:t>
      </w:r>
      <w:r w:rsidR="00E8617F" w:rsidRPr="00BF0F71">
        <w:rPr>
          <w:rFonts w:ascii="Times New Roman" w:hAnsi="Times New Roman" w:cs="Times New Roman"/>
          <w:sz w:val="18"/>
          <w:szCs w:val="16"/>
          <w:vertAlign w:val="superscript"/>
        </w:rPr>
        <w:t>2</w:t>
      </w:r>
      <w:r w:rsidR="00E8617F" w:rsidRPr="00BF0F71">
        <w:rPr>
          <w:rFonts w:ascii="Times New Roman" w:hAnsi="Times New Roman" w:cs="Times New Roman"/>
          <w:sz w:val="18"/>
          <w:szCs w:val="16"/>
        </w:rPr>
        <w:t xml:space="preserve">, II MBA Students, </w:t>
      </w:r>
      <w:proofErr w:type="spellStart"/>
      <w:r w:rsidR="00E8617F" w:rsidRPr="00BF0F71">
        <w:rPr>
          <w:rFonts w:ascii="Times New Roman" w:hAnsi="Times New Roman" w:cs="Times New Roman"/>
          <w:sz w:val="18"/>
          <w:szCs w:val="16"/>
        </w:rPr>
        <w:t>Mailam</w:t>
      </w:r>
      <w:proofErr w:type="spellEnd"/>
      <w:r w:rsidR="00E8617F" w:rsidRPr="00BF0F71">
        <w:rPr>
          <w:rFonts w:ascii="Times New Roman" w:hAnsi="Times New Roman" w:cs="Times New Roman"/>
          <w:sz w:val="18"/>
          <w:szCs w:val="16"/>
        </w:rPr>
        <w:t xml:space="preserve"> Engineering College</w:t>
      </w:r>
    </w:p>
    <w:p w:rsidR="00E8617F" w:rsidRDefault="00856330" w:rsidP="00E8617F">
      <w:pPr>
        <w:spacing w:after="0" w:line="360" w:lineRule="auto"/>
        <w:jc w:val="center"/>
        <w:rPr>
          <w:rFonts w:ascii="Times New Roman" w:hAnsi="Times New Roman" w:cs="Times New Roman"/>
          <w:sz w:val="18"/>
          <w:szCs w:val="16"/>
        </w:rPr>
      </w:pPr>
      <w:proofErr w:type="spellStart"/>
      <w:r w:rsidRPr="00856330">
        <w:rPr>
          <w:rFonts w:ascii="Times New Roman" w:hAnsi="Times New Roman" w:cs="Times New Roman"/>
          <w:sz w:val="18"/>
          <w:szCs w:val="16"/>
        </w:rPr>
        <w:t>Jayasri</w:t>
      </w:r>
      <w:proofErr w:type="spellEnd"/>
      <w:r w:rsidRPr="00856330">
        <w:rPr>
          <w:rFonts w:ascii="Times New Roman" w:hAnsi="Times New Roman" w:cs="Times New Roman"/>
          <w:sz w:val="18"/>
          <w:szCs w:val="16"/>
        </w:rPr>
        <w:t xml:space="preserve"> P</w:t>
      </w:r>
      <w:r w:rsidR="00E8617F">
        <w:rPr>
          <w:rFonts w:ascii="Times New Roman" w:hAnsi="Times New Roman" w:cs="Times New Roman"/>
          <w:sz w:val="18"/>
          <w:szCs w:val="16"/>
          <w:vertAlign w:val="superscript"/>
        </w:rPr>
        <w:t>3</w:t>
      </w:r>
      <w:r w:rsidR="00E8617F" w:rsidRPr="00BF0F71">
        <w:rPr>
          <w:rFonts w:ascii="Times New Roman" w:hAnsi="Times New Roman" w:cs="Times New Roman"/>
          <w:sz w:val="18"/>
          <w:szCs w:val="16"/>
        </w:rPr>
        <w:t xml:space="preserve">, II MBA Students, </w:t>
      </w:r>
      <w:proofErr w:type="spellStart"/>
      <w:r w:rsidR="00E8617F" w:rsidRPr="00BF0F71">
        <w:rPr>
          <w:rFonts w:ascii="Times New Roman" w:hAnsi="Times New Roman" w:cs="Times New Roman"/>
          <w:sz w:val="18"/>
          <w:szCs w:val="16"/>
        </w:rPr>
        <w:t>Mailam</w:t>
      </w:r>
      <w:proofErr w:type="spellEnd"/>
      <w:r w:rsidR="00E8617F" w:rsidRPr="00BF0F71">
        <w:rPr>
          <w:rFonts w:ascii="Times New Roman" w:hAnsi="Times New Roman" w:cs="Times New Roman"/>
          <w:sz w:val="18"/>
          <w:szCs w:val="16"/>
        </w:rPr>
        <w:t xml:space="preserve"> Engineering College</w:t>
      </w:r>
    </w:p>
    <w:p w:rsidR="00E8617F" w:rsidRDefault="00502C0A" w:rsidP="00E8617F">
      <w:pPr>
        <w:spacing w:after="0" w:line="360" w:lineRule="auto"/>
        <w:jc w:val="center"/>
        <w:rPr>
          <w:rFonts w:ascii="Times New Roman" w:hAnsi="Times New Roman" w:cs="Times New Roman"/>
          <w:sz w:val="18"/>
          <w:szCs w:val="16"/>
        </w:rPr>
      </w:pPr>
      <w:proofErr w:type="spellStart"/>
      <w:r w:rsidRPr="00502C0A">
        <w:rPr>
          <w:rFonts w:ascii="Times New Roman" w:hAnsi="Times New Roman" w:cs="Times New Roman"/>
          <w:sz w:val="18"/>
          <w:szCs w:val="16"/>
        </w:rPr>
        <w:t>Raghul</w:t>
      </w:r>
      <w:proofErr w:type="spellEnd"/>
      <w:r w:rsidRPr="00502C0A">
        <w:rPr>
          <w:rFonts w:ascii="Times New Roman" w:hAnsi="Times New Roman" w:cs="Times New Roman"/>
          <w:sz w:val="18"/>
          <w:szCs w:val="16"/>
        </w:rPr>
        <w:t xml:space="preserve"> V K</w:t>
      </w:r>
      <w:r w:rsidR="00E8617F">
        <w:rPr>
          <w:rFonts w:ascii="Times New Roman" w:hAnsi="Times New Roman" w:cs="Times New Roman"/>
          <w:sz w:val="18"/>
          <w:szCs w:val="16"/>
          <w:vertAlign w:val="superscript"/>
        </w:rPr>
        <w:t>4</w:t>
      </w:r>
      <w:r w:rsidR="00E8617F" w:rsidRPr="00BF0F71">
        <w:rPr>
          <w:rFonts w:ascii="Times New Roman" w:hAnsi="Times New Roman" w:cs="Times New Roman"/>
          <w:sz w:val="18"/>
          <w:szCs w:val="16"/>
        </w:rPr>
        <w:t xml:space="preserve">, II MBA Students, </w:t>
      </w:r>
      <w:proofErr w:type="spellStart"/>
      <w:r w:rsidR="00E8617F" w:rsidRPr="00BF0F71">
        <w:rPr>
          <w:rFonts w:ascii="Times New Roman" w:hAnsi="Times New Roman" w:cs="Times New Roman"/>
          <w:sz w:val="18"/>
          <w:szCs w:val="16"/>
        </w:rPr>
        <w:t>Mailam</w:t>
      </w:r>
      <w:proofErr w:type="spellEnd"/>
      <w:r w:rsidR="00E8617F" w:rsidRPr="00BF0F71">
        <w:rPr>
          <w:rFonts w:ascii="Times New Roman" w:hAnsi="Times New Roman" w:cs="Times New Roman"/>
          <w:sz w:val="18"/>
          <w:szCs w:val="16"/>
        </w:rPr>
        <w:t xml:space="preserve"> Engineering College</w:t>
      </w:r>
    </w:p>
    <w:p w:rsidR="00E8617F" w:rsidRDefault="005B5E45" w:rsidP="00E8617F">
      <w:pPr>
        <w:spacing w:after="0" w:line="360" w:lineRule="auto"/>
        <w:jc w:val="center"/>
        <w:rPr>
          <w:rFonts w:ascii="Times New Roman" w:hAnsi="Times New Roman" w:cs="Times New Roman"/>
          <w:sz w:val="18"/>
          <w:szCs w:val="16"/>
        </w:rPr>
      </w:pPr>
      <w:proofErr w:type="spellStart"/>
      <w:r w:rsidRPr="005B5E45">
        <w:rPr>
          <w:rFonts w:ascii="Times New Roman" w:hAnsi="Times New Roman" w:cs="Times New Roman"/>
          <w:sz w:val="18"/>
          <w:szCs w:val="16"/>
        </w:rPr>
        <w:t>Ramya</w:t>
      </w:r>
      <w:proofErr w:type="spellEnd"/>
      <w:r w:rsidRPr="005B5E45">
        <w:rPr>
          <w:rFonts w:ascii="Times New Roman" w:hAnsi="Times New Roman" w:cs="Times New Roman"/>
          <w:sz w:val="18"/>
          <w:szCs w:val="16"/>
        </w:rPr>
        <w:t xml:space="preserve"> A</w:t>
      </w:r>
      <w:bookmarkStart w:id="0" w:name="_GoBack"/>
      <w:bookmarkEnd w:id="0"/>
      <w:r w:rsidR="00E8617F">
        <w:rPr>
          <w:rFonts w:ascii="Times New Roman" w:hAnsi="Times New Roman" w:cs="Times New Roman"/>
          <w:sz w:val="18"/>
          <w:szCs w:val="16"/>
          <w:vertAlign w:val="superscript"/>
        </w:rPr>
        <w:t>5</w:t>
      </w:r>
      <w:r w:rsidR="00E8617F">
        <w:rPr>
          <w:rFonts w:ascii="Times New Roman" w:hAnsi="Times New Roman" w:cs="Times New Roman"/>
          <w:sz w:val="18"/>
          <w:szCs w:val="16"/>
        </w:rPr>
        <w:t xml:space="preserve">, </w:t>
      </w:r>
      <w:r w:rsidR="00E8617F" w:rsidRPr="00BF0F71">
        <w:rPr>
          <w:rFonts w:ascii="Times New Roman" w:hAnsi="Times New Roman" w:cs="Times New Roman"/>
          <w:sz w:val="18"/>
          <w:szCs w:val="16"/>
        </w:rPr>
        <w:t>I</w:t>
      </w:r>
      <w:r w:rsidR="00E8617F">
        <w:rPr>
          <w:rFonts w:ascii="Times New Roman" w:hAnsi="Times New Roman" w:cs="Times New Roman"/>
          <w:sz w:val="18"/>
          <w:szCs w:val="16"/>
        </w:rPr>
        <w:t>I</w:t>
      </w:r>
      <w:r w:rsidR="00E8617F" w:rsidRPr="00BF0F71">
        <w:rPr>
          <w:rFonts w:ascii="Times New Roman" w:hAnsi="Times New Roman" w:cs="Times New Roman"/>
          <w:sz w:val="18"/>
          <w:szCs w:val="16"/>
        </w:rPr>
        <w:t xml:space="preserve"> MBA Students, </w:t>
      </w:r>
      <w:proofErr w:type="spellStart"/>
      <w:r w:rsidR="00E8617F" w:rsidRPr="00BF0F71">
        <w:rPr>
          <w:rFonts w:ascii="Times New Roman" w:hAnsi="Times New Roman" w:cs="Times New Roman"/>
          <w:sz w:val="18"/>
          <w:szCs w:val="16"/>
        </w:rPr>
        <w:t>Mailam</w:t>
      </w:r>
      <w:proofErr w:type="spellEnd"/>
      <w:r w:rsidR="00E8617F" w:rsidRPr="00BF0F71">
        <w:rPr>
          <w:rFonts w:ascii="Times New Roman" w:hAnsi="Times New Roman" w:cs="Times New Roman"/>
          <w:sz w:val="18"/>
          <w:szCs w:val="16"/>
        </w:rPr>
        <w:t xml:space="preserve"> Engineering College</w:t>
      </w:r>
    </w:p>
    <w:p w:rsidR="00E8617F" w:rsidRPr="007032CB" w:rsidRDefault="00E8617F" w:rsidP="008E655A">
      <w:pPr>
        <w:spacing w:before="100" w:beforeAutospacing="1" w:after="100" w:afterAutospacing="1" w:line="240" w:lineRule="auto"/>
        <w:jc w:val="center"/>
        <w:rPr>
          <w:rFonts w:ascii="Times New Roman" w:eastAsia="Times New Roman" w:hAnsi="Times New Roman" w:cs="Times New Roman"/>
          <w:b/>
          <w:bCs/>
          <w:sz w:val="16"/>
          <w:szCs w:val="16"/>
        </w:rPr>
      </w:pPr>
    </w:p>
    <w:p w:rsidR="007032CB" w:rsidRPr="007032CB" w:rsidRDefault="007032CB" w:rsidP="008E655A">
      <w:pPr>
        <w:spacing w:before="100" w:beforeAutospacing="1" w:after="100" w:afterAutospacing="1" w:line="240" w:lineRule="auto"/>
        <w:jc w:val="both"/>
        <w:outlineLvl w:val="1"/>
        <w:rPr>
          <w:rFonts w:ascii="Times New Roman" w:eastAsia="Times New Roman" w:hAnsi="Times New Roman" w:cs="Times New Roman"/>
          <w:b/>
          <w:bCs/>
          <w:sz w:val="24"/>
          <w:szCs w:val="24"/>
        </w:rPr>
      </w:pPr>
      <w:r w:rsidRPr="00F15BAA">
        <w:rPr>
          <w:rFonts w:ascii="Times New Roman" w:eastAsia="Times New Roman" w:hAnsi="Times New Roman" w:cs="Times New Roman"/>
          <w:b/>
          <w:bCs/>
          <w:sz w:val="24"/>
          <w:szCs w:val="24"/>
        </w:rPr>
        <w:t>Abstract</w:t>
      </w:r>
    </w:p>
    <w:p w:rsidR="007032CB" w:rsidRPr="007032CB" w:rsidRDefault="007032CB" w:rsidP="008E655A">
      <w:pPr>
        <w:spacing w:before="100" w:beforeAutospacing="1" w:after="100" w:afterAutospacing="1" w:line="240" w:lineRule="auto"/>
        <w:jc w:val="both"/>
        <w:rPr>
          <w:rFonts w:ascii="Times New Roman" w:eastAsia="Times New Roman" w:hAnsi="Times New Roman" w:cs="Times New Roman"/>
          <w:sz w:val="24"/>
          <w:szCs w:val="24"/>
        </w:rPr>
      </w:pPr>
      <w:r w:rsidRPr="007032CB">
        <w:rPr>
          <w:rFonts w:ascii="Times New Roman" w:eastAsia="Times New Roman" w:hAnsi="Times New Roman" w:cs="Times New Roman"/>
          <w:sz w:val="24"/>
          <w:szCs w:val="24"/>
        </w:rPr>
        <w:t>The Indian stock market has demonstrated strong resilience despite ongoing global economic uncertainty caused by geopolitical conflicts, inflationary pressures, and monetary tightening. This study examines the relationship between Indian stock market performance and global uncertainty during the period 2024–2026. Using secondary data from government reports, financial publications, and academic literature, the study evaluates the role of domestic macroeconomic factors, foreign institutional investment flows, and policy stability. The findings indicate that while global uncertainty affects short-term volatility, India’s strong domestic demand, robust institutional framework, and increasing participation of domestic investors contribute to sustained long-term growth. The study concludes that India is gradually achieving partial decoupling from global financial shocks.</w:t>
      </w:r>
    </w:p>
    <w:p w:rsidR="007032CB" w:rsidRPr="007032CB" w:rsidRDefault="007032CB" w:rsidP="008E655A">
      <w:pPr>
        <w:spacing w:before="100" w:beforeAutospacing="1" w:after="100" w:afterAutospacing="1" w:line="240" w:lineRule="auto"/>
        <w:jc w:val="both"/>
        <w:outlineLvl w:val="1"/>
        <w:rPr>
          <w:rFonts w:ascii="Times New Roman" w:eastAsia="Times New Roman" w:hAnsi="Times New Roman" w:cs="Times New Roman"/>
          <w:b/>
          <w:bCs/>
          <w:sz w:val="24"/>
          <w:szCs w:val="24"/>
        </w:rPr>
      </w:pPr>
      <w:r w:rsidRPr="00F15BAA">
        <w:rPr>
          <w:rFonts w:ascii="Times New Roman" w:eastAsia="Times New Roman" w:hAnsi="Times New Roman" w:cs="Times New Roman"/>
          <w:b/>
          <w:bCs/>
          <w:sz w:val="24"/>
          <w:szCs w:val="24"/>
        </w:rPr>
        <w:t>Keywords</w:t>
      </w:r>
    </w:p>
    <w:p w:rsidR="007032CB" w:rsidRPr="007032CB" w:rsidRDefault="007032CB" w:rsidP="008E655A">
      <w:pPr>
        <w:spacing w:before="100" w:beforeAutospacing="1" w:after="100" w:afterAutospacing="1" w:line="240" w:lineRule="auto"/>
        <w:jc w:val="both"/>
        <w:rPr>
          <w:rFonts w:ascii="Times New Roman" w:eastAsia="Times New Roman" w:hAnsi="Times New Roman" w:cs="Times New Roman"/>
          <w:sz w:val="24"/>
          <w:szCs w:val="24"/>
        </w:rPr>
      </w:pPr>
      <w:r w:rsidRPr="007032CB">
        <w:rPr>
          <w:rFonts w:ascii="Times New Roman" w:eastAsia="Times New Roman" w:hAnsi="Times New Roman" w:cs="Times New Roman"/>
          <w:sz w:val="24"/>
          <w:szCs w:val="24"/>
        </w:rPr>
        <w:t>Indian stock market, global uncertainty, economic growth, market resilience, foreign institutional investment, emerging markets</w:t>
      </w:r>
    </w:p>
    <w:p w:rsidR="007032CB" w:rsidRPr="007032CB" w:rsidRDefault="007032CB" w:rsidP="008E655A">
      <w:pPr>
        <w:spacing w:before="100" w:beforeAutospacing="1" w:after="100" w:afterAutospacing="1" w:line="240" w:lineRule="auto"/>
        <w:jc w:val="both"/>
        <w:outlineLvl w:val="1"/>
        <w:rPr>
          <w:rFonts w:ascii="Times New Roman" w:eastAsia="Times New Roman" w:hAnsi="Times New Roman" w:cs="Times New Roman"/>
          <w:b/>
          <w:bCs/>
          <w:sz w:val="24"/>
          <w:szCs w:val="24"/>
        </w:rPr>
      </w:pPr>
      <w:r w:rsidRPr="00F15BAA">
        <w:rPr>
          <w:rFonts w:ascii="Times New Roman" w:eastAsia="Times New Roman" w:hAnsi="Times New Roman" w:cs="Times New Roman"/>
          <w:b/>
          <w:bCs/>
          <w:sz w:val="24"/>
          <w:szCs w:val="24"/>
        </w:rPr>
        <w:t>Introduction</w:t>
      </w:r>
    </w:p>
    <w:p w:rsidR="007032CB" w:rsidRPr="007032CB" w:rsidRDefault="007032CB" w:rsidP="008E655A">
      <w:pPr>
        <w:spacing w:before="100" w:beforeAutospacing="1" w:after="100" w:afterAutospacing="1" w:line="240" w:lineRule="auto"/>
        <w:jc w:val="both"/>
        <w:rPr>
          <w:rFonts w:ascii="Times New Roman" w:eastAsia="Times New Roman" w:hAnsi="Times New Roman" w:cs="Times New Roman"/>
          <w:sz w:val="24"/>
          <w:szCs w:val="24"/>
        </w:rPr>
      </w:pPr>
      <w:r w:rsidRPr="007032CB">
        <w:rPr>
          <w:rFonts w:ascii="Times New Roman" w:eastAsia="Times New Roman" w:hAnsi="Times New Roman" w:cs="Times New Roman"/>
          <w:sz w:val="24"/>
          <w:szCs w:val="24"/>
        </w:rPr>
        <w:t xml:space="preserve">Global financial markets have experienced heightened volatility due to geopolitical tensions, rising inflation, and monetary policy tightening by institutions such as the </w:t>
      </w:r>
      <w:r w:rsidRPr="00F15BAA">
        <w:rPr>
          <w:rFonts w:ascii="Times New Roman" w:eastAsia="Times New Roman" w:hAnsi="Times New Roman" w:cs="Times New Roman"/>
          <w:sz w:val="24"/>
          <w:szCs w:val="24"/>
        </w:rPr>
        <w:t>Federal Reserve</w:t>
      </w:r>
      <w:r w:rsidRPr="007032CB">
        <w:rPr>
          <w:rFonts w:ascii="Times New Roman" w:eastAsia="Times New Roman" w:hAnsi="Times New Roman" w:cs="Times New Roman"/>
          <w:sz w:val="24"/>
          <w:szCs w:val="24"/>
        </w:rPr>
        <w:t xml:space="preserve"> and the </w:t>
      </w:r>
      <w:r w:rsidRPr="00F15BAA">
        <w:rPr>
          <w:rFonts w:ascii="Times New Roman" w:eastAsia="Times New Roman" w:hAnsi="Times New Roman" w:cs="Times New Roman"/>
          <w:sz w:val="24"/>
          <w:szCs w:val="24"/>
        </w:rPr>
        <w:t>Reserve Bank of India</w:t>
      </w:r>
      <w:r w:rsidRPr="007032CB">
        <w:rPr>
          <w:rFonts w:ascii="Times New Roman" w:eastAsia="Times New Roman" w:hAnsi="Times New Roman" w:cs="Times New Roman"/>
          <w:sz w:val="24"/>
          <w:szCs w:val="24"/>
        </w:rPr>
        <w:t>. These developments have significantly influenced capital flows and investor sentiment across emerging markets.</w:t>
      </w:r>
    </w:p>
    <w:p w:rsidR="007032CB" w:rsidRPr="007032CB" w:rsidRDefault="007032CB" w:rsidP="008E655A">
      <w:pPr>
        <w:spacing w:before="100" w:beforeAutospacing="1" w:after="100" w:afterAutospacing="1" w:line="240" w:lineRule="auto"/>
        <w:jc w:val="both"/>
        <w:rPr>
          <w:rFonts w:ascii="Times New Roman" w:eastAsia="Times New Roman" w:hAnsi="Times New Roman" w:cs="Times New Roman"/>
          <w:sz w:val="24"/>
          <w:szCs w:val="24"/>
        </w:rPr>
      </w:pPr>
      <w:r w:rsidRPr="007032CB">
        <w:rPr>
          <w:rFonts w:ascii="Times New Roman" w:eastAsia="Times New Roman" w:hAnsi="Times New Roman" w:cs="Times New Roman"/>
          <w:sz w:val="24"/>
          <w:szCs w:val="24"/>
        </w:rPr>
        <w:t>Despite these challenges, the Indian stock market has shown remarkable growth. Benchmark indices such as the Nifty 50 and Sensex have continued to perform strongly, supported by domestic economic growth and policy reforms. According to Government of India reports, India’s GDP growth exceeded 7% in recent years, positioning it as one of the fastest-growing major economies (Government of India, 2025).</w:t>
      </w:r>
    </w:p>
    <w:p w:rsidR="007032CB" w:rsidRPr="007032CB" w:rsidRDefault="007032CB" w:rsidP="008E655A">
      <w:pPr>
        <w:spacing w:before="100" w:beforeAutospacing="1" w:after="100" w:afterAutospacing="1" w:line="240" w:lineRule="auto"/>
        <w:jc w:val="both"/>
        <w:rPr>
          <w:rFonts w:ascii="Times New Roman" w:eastAsia="Times New Roman" w:hAnsi="Times New Roman" w:cs="Times New Roman"/>
          <w:sz w:val="24"/>
          <w:szCs w:val="24"/>
        </w:rPr>
      </w:pPr>
      <w:r w:rsidRPr="007032CB">
        <w:rPr>
          <w:rFonts w:ascii="Times New Roman" w:eastAsia="Times New Roman" w:hAnsi="Times New Roman" w:cs="Times New Roman"/>
          <w:sz w:val="24"/>
          <w:szCs w:val="24"/>
        </w:rPr>
        <w:t>This study aims to analyze how the Indian stock market has sustained growth amid global uncertainty and identify the key factors contributing to its resilience.</w:t>
      </w:r>
    </w:p>
    <w:p w:rsidR="007032CB" w:rsidRPr="00F15BAA" w:rsidRDefault="007032CB" w:rsidP="008E655A">
      <w:pPr>
        <w:pStyle w:val="Heading1"/>
        <w:jc w:val="both"/>
        <w:rPr>
          <w:sz w:val="24"/>
          <w:szCs w:val="24"/>
        </w:rPr>
      </w:pPr>
      <w:r w:rsidRPr="00F15BAA">
        <w:rPr>
          <w:rStyle w:val="Strong"/>
          <w:b/>
          <w:bCs/>
          <w:sz w:val="24"/>
          <w:szCs w:val="24"/>
        </w:rPr>
        <w:t xml:space="preserve">Literature Review </w:t>
      </w:r>
    </w:p>
    <w:p w:rsidR="007032CB" w:rsidRPr="00F15BAA" w:rsidRDefault="007032CB" w:rsidP="008E655A">
      <w:pPr>
        <w:pStyle w:val="NormalWeb"/>
        <w:jc w:val="both"/>
      </w:pPr>
      <w:r w:rsidRPr="00F15BAA">
        <w:lastRenderedPageBreak/>
        <w:t>A growing body of literature examines the relationship between stock market performance and global uncertainty, particularly in emerging economies like India. The following studies provide empirical and theoretical insights relevant to this research:</w:t>
      </w:r>
    </w:p>
    <w:p w:rsidR="007032CB" w:rsidRPr="00F15BAA" w:rsidRDefault="007032CB" w:rsidP="008E655A">
      <w:pPr>
        <w:pStyle w:val="NormalWeb"/>
        <w:jc w:val="both"/>
      </w:pPr>
      <w:r w:rsidRPr="00F15BAA">
        <w:t xml:space="preserve">First, </w:t>
      </w:r>
      <w:r w:rsidRPr="00F15BAA">
        <w:rPr>
          <w:rStyle w:val="whitespace-normal"/>
        </w:rPr>
        <w:t>Economic Policy Uncertainty</w:t>
      </w:r>
      <w:r w:rsidRPr="00F15BAA">
        <w:t xml:space="preserve"> has been widely studied as a determinant of stock market volatility. </w:t>
      </w:r>
      <w:proofErr w:type="spellStart"/>
      <w:r w:rsidRPr="00F15BAA">
        <w:t>Bisiriyu</w:t>
      </w:r>
      <w:proofErr w:type="spellEnd"/>
      <w:r w:rsidRPr="00F15BAA">
        <w:t xml:space="preserve"> et al. (2025) analyzed the relationship between global and domestic economic policy uncertainty and Indian stock market performance using ARDL and wavelet models. The study found that both global and domestic uncertainties negatively affect stock returns in the short run, while their long-term effects are relatively limited and sector-specific. </w:t>
      </w:r>
    </w:p>
    <w:p w:rsidR="007032CB" w:rsidRPr="00F15BAA" w:rsidRDefault="007032CB" w:rsidP="008E655A">
      <w:pPr>
        <w:pStyle w:val="NormalWeb"/>
        <w:jc w:val="both"/>
      </w:pPr>
      <w:r w:rsidRPr="00F15BAA">
        <w:t xml:space="preserve">Similarly, Aggarwal and </w:t>
      </w:r>
      <w:proofErr w:type="spellStart"/>
      <w:r w:rsidRPr="00F15BAA">
        <w:t>Saradhi</w:t>
      </w:r>
      <w:proofErr w:type="spellEnd"/>
      <w:r w:rsidRPr="00F15BAA">
        <w:t xml:space="preserve"> (2023) examined the causal relationship between economic policy uncertainty and the Indian stock market using econometric techniques such as vector error correction models (VECM). Their findings revealed a long-run equilibrium relationship between stock market performance and both global and domestic uncertainty, indicating strong interdependence. </w:t>
      </w:r>
    </w:p>
    <w:p w:rsidR="007032CB" w:rsidRPr="00F15BAA" w:rsidRDefault="007032CB" w:rsidP="008E655A">
      <w:pPr>
        <w:pStyle w:val="NormalWeb"/>
        <w:jc w:val="both"/>
      </w:pPr>
      <w:proofErr w:type="spellStart"/>
      <w:r w:rsidRPr="00F15BAA">
        <w:t>Kalra</w:t>
      </w:r>
      <w:proofErr w:type="spellEnd"/>
      <w:r w:rsidRPr="00F15BAA">
        <w:t xml:space="preserve"> and Gupta (2023) further emphasized that economic policy uncertainty significantly influences stock market volatility and investor sentiment. Their study concluded that even minor macroeconomic fluctuations can trigger substantial changes in stock prices, particularly in emerging markets like India. </w:t>
      </w:r>
    </w:p>
    <w:p w:rsidR="007032CB" w:rsidRPr="00F15BAA" w:rsidRDefault="007032CB" w:rsidP="008E655A">
      <w:pPr>
        <w:pStyle w:val="NormalWeb"/>
        <w:jc w:val="both"/>
      </w:pPr>
      <w:r w:rsidRPr="00F15BAA">
        <w:t xml:space="preserve">In addition, Sharma and </w:t>
      </w:r>
      <w:proofErr w:type="spellStart"/>
      <w:r w:rsidRPr="00F15BAA">
        <w:t>Bangur</w:t>
      </w:r>
      <w:proofErr w:type="spellEnd"/>
      <w:r w:rsidRPr="00F15BAA">
        <w:t xml:space="preserve"> (2024) conducted a comprehensive review of political uncertainty and stock market behavior, analyzing over 100 research articles. The study highlighted that political events and uncertainty increase market volatility and affect investor confidence, suggesting that uncertainty is a critical determinant of market dynamics. </w:t>
      </w:r>
    </w:p>
    <w:p w:rsidR="007032CB" w:rsidRPr="00F15BAA" w:rsidRDefault="007032CB" w:rsidP="008E655A">
      <w:pPr>
        <w:pStyle w:val="NormalWeb"/>
        <w:jc w:val="both"/>
      </w:pPr>
      <w:r w:rsidRPr="00F15BAA">
        <w:t xml:space="preserve">Recent studies have also explored the asymmetric effects of uncertainty. For instance, Sharma and colleagues (2024) used a nonlinear autoregressive distributed lag (NARDL) model and found that increases in uncertainty have a stronger negative impact on stock markets than the positive effects of decreasing uncertainty. </w:t>
      </w:r>
    </w:p>
    <w:p w:rsidR="007032CB" w:rsidRPr="00F15BAA" w:rsidRDefault="007032CB" w:rsidP="008E655A">
      <w:pPr>
        <w:pStyle w:val="NormalWeb"/>
        <w:jc w:val="both"/>
      </w:pPr>
      <w:r w:rsidRPr="00F15BAA">
        <w:t xml:space="preserve">Furthermore, </w:t>
      </w:r>
      <w:proofErr w:type="spellStart"/>
      <w:r w:rsidRPr="00F15BAA">
        <w:t>Maharana</w:t>
      </w:r>
      <w:proofErr w:type="spellEnd"/>
      <w:r w:rsidRPr="00F15BAA">
        <w:t xml:space="preserve"> et al. (2024) investigated volatility spillovers between Indian and global markets using a VAR-BEKK-GARCH model. The results indicated that global shocks significantly influence Indian market volatility, but the impact has weakened in the post-pandemic period, suggesting improved resilience. </w:t>
      </w:r>
    </w:p>
    <w:p w:rsidR="007032CB" w:rsidRPr="00F15BAA" w:rsidRDefault="007032CB" w:rsidP="008E655A">
      <w:pPr>
        <w:pStyle w:val="NormalWeb"/>
        <w:jc w:val="both"/>
      </w:pPr>
      <w:proofErr w:type="spellStart"/>
      <w:r w:rsidRPr="00F15BAA">
        <w:t>Bhattacharjee</w:t>
      </w:r>
      <w:proofErr w:type="spellEnd"/>
      <w:r w:rsidRPr="00F15BAA">
        <w:t xml:space="preserve"> et al. (2024) examined the persistence of stock market volatility during the COVID-19 pandemic and found that uncertainty significantly affected sectoral performance, with varying degrees of resilience across industries. </w:t>
      </w:r>
    </w:p>
    <w:p w:rsidR="007032CB" w:rsidRPr="00F15BAA" w:rsidRDefault="007032CB" w:rsidP="008E655A">
      <w:pPr>
        <w:pStyle w:val="NormalWeb"/>
        <w:jc w:val="both"/>
      </w:pPr>
      <w:r w:rsidRPr="00F15BAA">
        <w:t xml:space="preserve">Additionally, </w:t>
      </w:r>
      <w:proofErr w:type="spellStart"/>
      <w:r w:rsidRPr="00F15BAA">
        <w:t>Sengupta</w:t>
      </w:r>
      <w:proofErr w:type="spellEnd"/>
      <w:r w:rsidRPr="00F15BAA">
        <w:t xml:space="preserve"> et al. (2024) analyzed tail risk in the Indian stock market and concluded that extreme global events such as financial crises and geopolitical conflicts can lead to significant downside risks, emphasizing the importance of risk management in emerging markets. </w:t>
      </w:r>
    </w:p>
    <w:p w:rsidR="007032CB" w:rsidRPr="00F15BAA" w:rsidRDefault="007032CB" w:rsidP="008E655A">
      <w:pPr>
        <w:pStyle w:val="NormalWeb"/>
        <w:jc w:val="both"/>
      </w:pPr>
      <w:r w:rsidRPr="00F15BAA">
        <w:lastRenderedPageBreak/>
        <w:t xml:space="preserve">Finally, broader research on multi-source uncertainty by Zhang et al. (2024) highlights that modern financial markets are influenced by interconnected uncertainties, including economic, geopolitical, and financial risks, which collectively shape investor behavior and market outcomes. </w:t>
      </w:r>
    </w:p>
    <w:p w:rsidR="007032CB" w:rsidRPr="00F15BAA" w:rsidRDefault="007032CB" w:rsidP="008E655A">
      <w:pPr>
        <w:pStyle w:val="Heading2"/>
        <w:jc w:val="both"/>
        <w:rPr>
          <w:sz w:val="24"/>
          <w:szCs w:val="24"/>
        </w:rPr>
      </w:pPr>
      <w:r w:rsidRPr="00F15BAA">
        <w:rPr>
          <w:rStyle w:val="Strong"/>
          <w:b/>
          <w:bCs/>
          <w:sz w:val="24"/>
          <w:szCs w:val="24"/>
        </w:rPr>
        <w:t>Literature Gap</w:t>
      </w:r>
    </w:p>
    <w:p w:rsidR="007032CB" w:rsidRPr="00F15BAA" w:rsidRDefault="007032CB" w:rsidP="008E655A">
      <w:pPr>
        <w:pStyle w:val="NormalWeb"/>
        <w:jc w:val="both"/>
      </w:pPr>
      <w:r w:rsidRPr="00F15BAA">
        <w:t xml:space="preserve">While existing studies confirm that global uncertainty affects stock markets, there is limited research focusing specifically on </w:t>
      </w:r>
      <w:r w:rsidRPr="00BD25A5">
        <w:rPr>
          <w:rStyle w:val="Strong"/>
          <w:b w:val="0"/>
        </w:rPr>
        <w:t>India’s resilience during the recent 2024–2026 period of global instability</w:t>
      </w:r>
      <w:r w:rsidRPr="00BD25A5">
        <w:rPr>
          <w:b/>
        </w:rPr>
        <w:t>.</w:t>
      </w:r>
      <w:r w:rsidRPr="00F15BAA">
        <w:t xml:space="preserve"> Most studies rely on pre-pandemic or early post-pandemic data, creating a gap that this study aims to address.</w:t>
      </w:r>
    </w:p>
    <w:p w:rsidR="007032CB" w:rsidRPr="007032CB" w:rsidRDefault="007032CB" w:rsidP="00E63D43">
      <w:pPr>
        <w:spacing w:before="100" w:beforeAutospacing="1" w:after="100" w:afterAutospacing="1" w:line="240" w:lineRule="auto"/>
        <w:jc w:val="both"/>
        <w:outlineLvl w:val="1"/>
        <w:rPr>
          <w:rFonts w:ascii="Times New Roman" w:eastAsia="Times New Roman" w:hAnsi="Times New Roman" w:cs="Times New Roman"/>
          <w:b/>
          <w:bCs/>
          <w:sz w:val="24"/>
          <w:szCs w:val="24"/>
        </w:rPr>
      </w:pPr>
      <w:r w:rsidRPr="00F15BAA">
        <w:rPr>
          <w:rFonts w:ascii="Times New Roman" w:eastAsia="Times New Roman" w:hAnsi="Times New Roman" w:cs="Times New Roman"/>
          <w:b/>
          <w:bCs/>
          <w:sz w:val="24"/>
          <w:szCs w:val="24"/>
        </w:rPr>
        <w:t>Objectives of the Study</w:t>
      </w:r>
    </w:p>
    <w:p w:rsidR="007032CB" w:rsidRPr="007032CB" w:rsidRDefault="007032CB" w:rsidP="00E63D43">
      <w:pPr>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r w:rsidRPr="007032CB">
        <w:rPr>
          <w:rFonts w:ascii="Times New Roman" w:eastAsia="Times New Roman" w:hAnsi="Times New Roman" w:cs="Times New Roman"/>
          <w:sz w:val="24"/>
          <w:szCs w:val="24"/>
        </w:rPr>
        <w:t xml:space="preserve">To analyze the growth trends of the Indian stock market from 2024 to 2026 </w:t>
      </w:r>
    </w:p>
    <w:p w:rsidR="007032CB" w:rsidRPr="007032CB" w:rsidRDefault="007032CB" w:rsidP="00E63D43">
      <w:pPr>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r w:rsidRPr="007032CB">
        <w:rPr>
          <w:rFonts w:ascii="Times New Roman" w:eastAsia="Times New Roman" w:hAnsi="Times New Roman" w:cs="Times New Roman"/>
          <w:sz w:val="24"/>
          <w:szCs w:val="24"/>
        </w:rPr>
        <w:t xml:space="preserve">To examine the impact of global uncertainty on market performance </w:t>
      </w:r>
    </w:p>
    <w:p w:rsidR="007032CB" w:rsidRPr="007032CB" w:rsidRDefault="007032CB" w:rsidP="00E63D43">
      <w:pPr>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r w:rsidRPr="007032CB">
        <w:rPr>
          <w:rFonts w:ascii="Times New Roman" w:eastAsia="Times New Roman" w:hAnsi="Times New Roman" w:cs="Times New Roman"/>
          <w:sz w:val="24"/>
          <w:szCs w:val="24"/>
        </w:rPr>
        <w:t xml:space="preserve">To evaluate the role of domestic economic factors in market resilience </w:t>
      </w:r>
    </w:p>
    <w:p w:rsidR="007032CB" w:rsidRPr="007032CB" w:rsidRDefault="007032CB" w:rsidP="00E63D43">
      <w:pPr>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r w:rsidRPr="007032CB">
        <w:rPr>
          <w:rFonts w:ascii="Times New Roman" w:eastAsia="Times New Roman" w:hAnsi="Times New Roman" w:cs="Times New Roman"/>
          <w:sz w:val="24"/>
          <w:szCs w:val="24"/>
        </w:rPr>
        <w:t xml:space="preserve">To assess the influence of foreign and domestic investment flows </w:t>
      </w:r>
    </w:p>
    <w:p w:rsidR="00F15BAA" w:rsidRPr="00F15BAA" w:rsidRDefault="00F15BAA" w:rsidP="00E63D43">
      <w:pPr>
        <w:spacing w:before="100" w:beforeAutospacing="1" w:after="100" w:afterAutospacing="1" w:line="240" w:lineRule="auto"/>
        <w:jc w:val="both"/>
        <w:outlineLvl w:val="0"/>
        <w:rPr>
          <w:rFonts w:ascii="Times New Roman" w:eastAsia="Times New Roman" w:hAnsi="Times New Roman" w:cs="Times New Roman"/>
          <w:b/>
          <w:bCs/>
          <w:kern w:val="36"/>
          <w:sz w:val="24"/>
          <w:szCs w:val="24"/>
        </w:rPr>
      </w:pPr>
      <w:r w:rsidRPr="00F15BAA">
        <w:rPr>
          <w:rFonts w:ascii="Times New Roman" w:eastAsia="Times New Roman" w:hAnsi="Times New Roman" w:cs="Times New Roman"/>
          <w:b/>
          <w:bCs/>
          <w:kern w:val="36"/>
          <w:sz w:val="24"/>
          <w:szCs w:val="24"/>
        </w:rPr>
        <w:t>Research Methodology (Expanded)</w:t>
      </w:r>
    </w:p>
    <w:p w:rsidR="00F15BAA" w:rsidRPr="00F15BAA" w:rsidRDefault="00F15BAA" w:rsidP="00E63D43">
      <w:pPr>
        <w:spacing w:before="100" w:beforeAutospacing="1" w:after="100" w:afterAutospacing="1" w:line="240" w:lineRule="auto"/>
        <w:jc w:val="both"/>
        <w:rPr>
          <w:rFonts w:ascii="Times New Roman" w:eastAsia="Times New Roman" w:hAnsi="Times New Roman" w:cs="Times New Roman"/>
          <w:sz w:val="24"/>
          <w:szCs w:val="24"/>
        </w:rPr>
      </w:pPr>
      <w:r w:rsidRPr="00F15BAA">
        <w:rPr>
          <w:rFonts w:ascii="Times New Roman" w:eastAsia="Times New Roman" w:hAnsi="Times New Roman" w:cs="Times New Roman"/>
          <w:sz w:val="24"/>
          <w:szCs w:val="24"/>
        </w:rPr>
        <w:t xml:space="preserve">This study adopts a </w:t>
      </w:r>
      <w:r w:rsidRPr="00BD25A5">
        <w:rPr>
          <w:rFonts w:ascii="Times New Roman" w:eastAsia="Times New Roman" w:hAnsi="Times New Roman" w:cs="Times New Roman"/>
          <w:bCs/>
          <w:sz w:val="24"/>
          <w:szCs w:val="24"/>
        </w:rPr>
        <w:t>descriptive and analytical research design</w:t>
      </w:r>
      <w:r w:rsidRPr="00F15BAA">
        <w:rPr>
          <w:rFonts w:ascii="Times New Roman" w:eastAsia="Times New Roman" w:hAnsi="Times New Roman" w:cs="Times New Roman"/>
          <w:sz w:val="24"/>
          <w:szCs w:val="24"/>
        </w:rPr>
        <w:t xml:space="preserve"> to examine the growth of the Indian stock market in the context of global uncertainty during the period 2024–2026. The research relies on </w:t>
      </w:r>
      <w:r w:rsidRPr="00BD25A5">
        <w:rPr>
          <w:rFonts w:ascii="Times New Roman" w:eastAsia="Times New Roman" w:hAnsi="Times New Roman" w:cs="Times New Roman"/>
          <w:bCs/>
          <w:sz w:val="24"/>
          <w:szCs w:val="24"/>
        </w:rPr>
        <w:t>secondary data</w:t>
      </w:r>
      <w:r w:rsidRPr="00F15BAA">
        <w:rPr>
          <w:rFonts w:ascii="Times New Roman" w:eastAsia="Times New Roman" w:hAnsi="Times New Roman" w:cs="Times New Roman"/>
          <w:sz w:val="24"/>
          <w:szCs w:val="24"/>
        </w:rPr>
        <w:t>, which is appropriate for macroeconomic and financial market analysis where large-scale time-series data is required (Kothari, 2019).</w:t>
      </w:r>
    </w:p>
    <w:p w:rsidR="00F15BAA" w:rsidRPr="00F15BAA" w:rsidRDefault="00F15BAA" w:rsidP="00E63D43">
      <w:pPr>
        <w:spacing w:before="100" w:beforeAutospacing="1" w:after="100" w:afterAutospacing="1" w:line="240" w:lineRule="auto"/>
        <w:jc w:val="both"/>
        <w:rPr>
          <w:rFonts w:ascii="Times New Roman" w:eastAsia="Times New Roman" w:hAnsi="Times New Roman" w:cs="Times New Roman"/>
          <w:sz w:val="24"/>
          <w:szCs w:val="24"/>
        </w:rPr>
      </w:pPr>
      <w:r w:rsidRPr="00F15BAA">
        <w:rPr>
          <w:rFonts w:ascii="Times New Roman" w:eastAsia="Times New Roman" w:hAnsi="Times New Roman" w:cs="Times New Roman"/>
          <w:sz w:val="24"/>
          <w:szCs w:val="24"/>
        </w:rPr>
        <w:t>The descriptive component focuses on identifying trends and patterns in stock market performance, while the analytical component evaluates relationships between global uncertainty and market behavior.</w:t>
      </w:r>
    </w:p>
    <w:p w:rsidR="00F15BAA" w:rsidRPr="00F15BAA" w:rsidRDefault="00F15BAA" w:rsidP="00E63D43">
      <w:pPr>
        <w:spacing w:before="100" w:beforeAutospacing="1" w:after="100" w:afterAutospacing="1" w:line="240" w:lineRule="auto"/>
        <w:jc w:val="both"/>
        <w:outlineLvl w:val="1"/>
        <w:rPr>
          <w:rFonts w:ascii="Times New Roman" w:eastAsia="Times New Roman" w:hAnsi="Times New Roman" w:cs="Times New Roman"/>
          <w:b/>
          <w:bCs/>
          <w:sz w:val="24"/>
          <w:szCs w:val="24"/>
        </w:rPr>
      </w:pPr>
      <w:r w:rsidRPr="00F15BAA">
        <w:rPr>
          <w:rFonts w:ascii="Times New Roman" w:eastAsia="Times New Roman" w:hAnsi="Times New Roman" w:cs="Times New Roman"/>
          <w:b/>
          <w:bCs/>
          <w:sz w:val="24"/>
          <w:szCs w:val="24"/>
        </w:rPr>
        <w:t>Data Sources</w:t>
      </w:r>
    </w:p>
    <w:p w:rsidR="00F15BAA" w:rsidRPr="00F15BAA" w:rsidRDefault="00F15BAA" w:rsidP="00E63D43">
      <w:pPr>
        <w:spacing w:before="100" w:beforeAutospacing="1" w:after="100" w:afterAutospacing="1" w:line="240" w:lineRule="auto"/>
        <w:jc w:val="both"/>
        <w:rPr>
          <w:rFonts w:ascii="Times New Roman" w:eastAsia="Times New Roman" w:hAnsi="Times New Roman" w:cs="Times New Roman"/>
          <w:sz w:val="24"/>
          <w:szCs w:val="24"/>
        </w:rPr>
      </w:pPr>
      <w:r w:rsidRPr="00F15BAA">
        <w:rPr>
          <w:rFonts w:ascii="Times New Roman" w:eastAsia="Times New Roman" w:hAnsi="Times New Roman" w:cs="Times New Roman"/>
          <w:sz w:val="24"/>
          <w:szCs w:val="24"/>
        </w:rPr>
        <w:t>The study utilizes multiple secondary data sources to ensure reliability and validity:</w:t>
      </w:r>
    </w:p>
    <w:p w:rsidR="00F15BAA" w:rsidRPr="00F15BAA" w:rsidRDefault="00F15BAA" w:rsidP="00E63D43">
      <w:pPr>
        <w:numPr>
          <w:ilvl w:val="0"/>
          <w:numId w:val="4"/>
        </w:numPr>
        <w:spacing w:before="100" w:beforeAutospacing="1" w:after="100" w:afterAutospacing="1" w:line="240" w:lineRule="auto"/>
        <w:jc w:val="both"/>
        <w:rPr>
          <w:rFonts w:ascii="Times New Roman" w:eastAsia="Times New Roman" w:hAnsi="Times New Roman" w:cs="Times New Roman"/>
          <w:sz w:val="24"/>
          <w:szCs w:val="24"/>
        </w:rPr>
      </w:pPr>
      <w:r w:rsidRPr="00F15BAA">
        <w:rPr>
          <w:rFonts w:ascii="Times New Roman" w:eastAsia="Times New Roman" w:hAnsi="Times New Roman" w:cs="Times New Roman"/>
          <w:sz w:val="24"/>
          <w:szCs w:val="24"/>
        </w:rPr>
        <w:t xml:space="preserve">Government publications such as the Economic Survey of India and reports from the Press Information Bureau (Government of India, 2025) </w:t>
      </w:r>
    </w:p>
    <w:p w:rsidR="00F15BAA" w:rsidRPr="00F15BAA" w:rsidRDefault="00F15BAA" w:rsidP="00E63D43">
      <w:pPr>
        <w:numPr>
          <w:ilvl w:val="0"/>
          <w:numId w:val="4"/>
        </w:numPr>
        <w:spacing w:before="100" w:beforeAutospacing="1" w:after="100" w:afterAutospacing="1" w:line="240" w:lineRule="auto"/>
        <w:jc w:val="both"/>
        <w:rPr>
          <w:rFonts w:ascii="Times New Roman" w:eastAsia="Times New Roman" w:hAnsi="Times New Roman" w:cs="Times New Roman"/>
          <w:sz w:val="24"/>
          <w:szCs w:val="24"/>
        </w:rPr>
      </w:pPr>
      <w:r w:rsidRPr="00F15BAA">
        <w:rPr>
          <w:rFonts w:ascii="Times New Roman" w:eastAsia="Times New Roman" w:hAnsi="Times New Roman" w:cs="Times New Roman"/>
          <w:sz w:val="24"/>
          <w:szCs w:val="24"/>
        </w:rPr>
        <w:t xml:space="preserve">Reports from financial institutions including the Reserve Bank of India and International Monetary Fund (IMF, 2025) </w:t>
      </w:r>
    </w:p>
    <w:p w:rsidR="00F15BAA" w:rsidRPr="00F15BAA" w:rsidRDefault="00F15BAA" w:rsidP="00E63D43">
      <w:pPr>
        <w:numPr>
          <w:ilvl w:val="0"/>
          <w:numId w:val="4"/>
        </w:numPr>
        <w:spacing w:before="100" w:beforeAutospacing="1" w:after="100" w:afterAutospacing="1" w:line="240" w:lineRule="auto"/>
        <w:jc w:val="both"/>
        <w:rPr>
          <w:rFonts w:ascii="Times New Roman" w:eastAsia="Times New Roman" w:hAnsi="Times New Roman" w:cs="Times New Roman"/>
          <w:sz w:val="24"/>
          <w:szCs w:val="24"/>
        </w:rPr>
      </w:pPr>
      <w:r w:rsidRPr="00F15BAA">
        <w:rPr>
          <w:rFonts w:ascii="Times New Roman" w:eastAsia="Times New Roman" w:hAnsi="Times New Roman" w:cs="Times New Roman"/>
          <w:sz w:val="24"/>
          <w:szCs w:val="24"/>
        </w:rPr>
        <w:t xml:space="preserve">Reports from consulting firms such as Deloitte (Deloitte, 2025) </w:t>
      </w:r>
    </w:p>
    <w:p w:rsidR="00F15BAA" w:rsidRPr="00F15BAA" w:rsidRDefault="00F15BAA" w:rsidP="00E63D43">
      <w:pPr>
        <w:numPr>
          <w:ilvl w:val="0"/>
          <w:numId w:val="4"/>
        </w:numPr>
        <w:spacing w:before="100" w:beforeAutospacing="1" w:after="100" w:afterAutospacing="1" w:line="240" w:lineRule="auto"/>
        <w:jc w:val="both"/>
        <w:rPr>
          <w:rFonts w:ascii="Times New Roman" w:eastAsia="Times New Roman" w:hAnsi="Times New Roman" w:cs="Times New Roman"/>
          <w:sz w:val="24"/>
          <w:szCs w:val="24"/>
        </w:rPr>
      </w:pPr>
      <w:r w:rsidRPr="00F15BAA">
        <w:rPr>
          <w:rFonts w:ascii="Times New Roman" w:eastAsia="Times New Roman" w:hAnsi="Times New Roman" w:cs="Times New Roman"/>
          <w:sz w:val="24"/>
          <w:szCs w:val="24"/>
        </w:rPr>
        <w:t xml:space="preserve">Academic journals and peer-reviewed research articles </w:t>
      </w:r>
    </w:p>
    <w:p w:rsidR="00F15BAA" w:rsidRPr="00F15BAA" w:rsidRDefault="00F15BAA" w:rsidP="00E63D43">
      <w:pPr>
        <w:numPr>
          <w:ilvl w:val="0"/>
          <w:numId w:val="4"/>
        </w:numPr>
        <w:spacing w:before="100" w:beforeAutospacing="1" w:after="100" w:afterAutospacing="1" w:line="240" w:lineRule="auto"/>
        <w:jc w:val="both"/>
        <w:rPr>
          <w:rFonts w:ascii="Times New Roman" w:eastAsia="Times New Roman" w:hAnsi="Times New Roman" w:cs="Times New Roman"/>
          <w:sz w:val="24"/>
          <w:szCs w:val="24"/>
        </w:rPr>
      </w:pPr>
      <w:r w:rsidRPr="00F15BAA">
        <w:rPr>
          <w:rFonts w:ascii="Times New Roman" w:eastAsia="Times New Roman" w:hAnsi="Times New Roman" w:cs="Times New Roman"/>
          <w:sz w:val="24"/>
          <w:szCs w:val="24"/>
        </w:rPr>
        <w:t xml:space="preserve">Financial news sources such as Reuters (2026) and The Economic Times (2026) </w:t>
      </w:r>
    </w:p>
    <w:p w:rsidR="00F15BAA" w:rsidRPr="00F15BAA" w:rsidRDefault="00F15BAA" w:rsidP="00E63D43">
      <w:pPr>
        <w:spacing w:before="100" w:beforeAutospacing="1" w:after="100" w:afterAutospacing="1" w:line="240" w:lineRule="auto"/>
        <w:jc w:val="both"/>
        <w:rPr>
          <w:rFonts w:ascii="Times New Roman" w:eastAsia="Times New Roman" w:hAnsi="Times New Roman" w:cs="Times New Roman"/>
          <w:sz w:val="24"/>
          <w:szCs w:val="24"/>
        </w:rPr>
      </w:pPr>
      <w:r w:rsidRPr="00F15BAA">
        <w:rPr>
          <w:rFonts w:ascii="Times New Roman" w:eastAsia="Times New Roman" w:hAnsi="Times New Roman" w:cs="Times New Roman"/>
          <w:sz w:val="24"/>
          <w:szCs w:val="24"/>
        </w:rPr>
        <w:t>These sources provide comprehensive insights into macroeconomic indicators, capital flows, and market performance.</w:t>
      </w:r>
    </w:p>
    <w:p w:rsidR="00F15BAA" w:rsidRPr="00F15BAA" w:rsidRDefault="00F15BAA" w:rsidP="00E63D43">
      <w:pPr>
        <w:spacing w:before="100" w:beforeAutospacing="1" w:after="100" w:afterAutospacing="1" w:line="240" w:lineRule="auto"/>
        <w:jc w:val="both"/>
        <w:outlineLvl w:val="1"/>
        <w:rPr>
          <w:rFonts w:ascii="Times New Roman" w:eastAsia="Times New Roman" w:hAnsi="Times New Roman" w:cs="Times New Roman"/>
          <w:b/>
          <w:bCs/>
          <w:sz w:val="24"/>
          <w:szCs w:val="24"/>
        </w:rPr>
      </w:pPr>
      <w:r w:rsidRPr="00F15BAA">
        <w:rPr>
          <w:rFonts w:ascii="Times New Roman" w:eastAsia="Times New Roman" w:hAnsi="Times New Roman" w:cs="Times New Roman"/>
          <w:b/>
          <w:bCs/>
          <w:sz w:val="24"/>
          <w:szCs w:val="24"/>
        </w:rPr>
        <w:t>Variables Considered</w:t>
      </w:r>
    </w:p>
    <w:p w:rsidR="00F15BAA" w:rsidRPr="00F15BAA" w:rsidRDefault="00F15BAA" w:rsidP="00E63D43">
      <w:pPr>
        <w:spacing w:before="100" w:beforeAutospacing="1" w:after="100" w:afterAutospacing="1" w:line="240" w:lineRule="auto"/>
        <w:jc w:val="both"/>
        <w:rPr>
          <w:rFonts w:ascii="Times New Roman" w:eastAsia="Times New Roman" w:hAnsi="Times New Roman" w:cs="Times New Roman"/>
          <w:sz w:val="24"/>
          <w:szCs w:val="24"/>
        </w:rPr>
      </w:pPr>
      <w:r w:rsidRPr="00F15BAA">
        <w:rPr>
          <w:rFonts w:ascii="Times New Roman" w:eastAsia="Times New Roman" w:hAnsi="Times New Roman" w:cs="Times New Roman"/>
          <w:sz w:val="24"/>
          <w:szCs w:val="24"/>
        </w:rPr>
        <w:lastRenderedPageBreak/>
        <w:t>The study considers the following key variables:</w:t>
      </w:r>
    </w:p>
    <w:p w:rsidR="00F15BAA" w:rsidRPr="00F15BAA" w:rsidRDefault="00F15BAA" w:rsidP="00E63D43">
      <w:pPr>
        <w:numPr>
          <w:ilvl w:val="0"/>
          <w:numId w:val="5"/>
        </w:numPr>
        <w:spacing w:before="100" w:beforeAutospacing="1" w:after="100" w:afterAutospacing="1" w:line="240" w:lineRule="auto"/>
        <w:jc w:val="both"/>
        <w:rPr>
          <w:rFonts w:ascii="Times New Roman" w:eastAsia="Times New Roman" w:hAnsi="Times New Roman" w:cs="Times New Roman"/>
          <w:sz w:val="24"/>
          <w:szCs w:val="24"/>
        </w:rPr>
      </w:pPr>
      <w:r w:rsidRPr="00F15BAA">
        <w:rPr>
          <w:rFonts w:ascii="Times New Roman" w:eastAsia="Times New Roman" w:hAnsi="Times New Roman" w:cs="Times New Roman"/>
          <w:b/>
          <w:bCs/>
          <w:sz w:val="24"/>
          <w:szCs w:val="24"/>
        </w:rPr>
        <w:t>Dependent Variable:</w:t>
      </w:r>
      <w:r w:rsidRPr="00F15BAA">
        <w:rPr>
          <w:rFonts w:ascii="Times New Roman" w:eastAsia="Times New Roman" w:hAnsi="Times New Roman" w:cs="Times New Roman"/>
          <w:sz w:val="24"/>
          <w:szCs w:val="24"/>
        </w:rPr>
        <w:t xml:space="preserve"> Stock market performance (Nifty 50, Sensex trends) </w:t>
      </w:r>
    </w:p>
    <w:p w:rsidR="00F15BAA" w:rsidRPr="00F15BAA" w:rsidRDefault="00F15BAA" w:rsidP="00E63D43">
      <w:pPr>
        <w:numPr>
          <w:ilvl w:val="0"/>
          <w:numId w:val="5"/>
        </w:numPr>
        <w:spacing w:before="100" w:beforeAutospacing="1" w:after="100" w:afterAutospacing="1" w:line="240" w:lineRule="auto"/>
        <w:jc w:val="both"/>
        <w:rPr>
          <w:rFonts w:ascii="Times New Roman" w:eastAsia="Times New Roman" w:hAnsi="Times New Roman" w:cs="Times New Roman"/>
          <w:sz w:val="24"/>
          <w:szCs w:val="24"/>
        </w:rPr>
      </w:pPr>
      <w:r w:rsidRPr="00F15BAA">
        <w:rPr>
          <w:rFonts w:ascii="Times New Roman" w:eastAsia="Times New Roman" w:hAnsi="Times New Roman" w:cs="Times New Roman"/>
          <w:b/>
          <w:bCs/>
          <w:sz w:val="24"/>
          <w:szCs w:val="24"/>
        </w:rPr>
        <w:t>Independent Variables:</w:t>
      </w:r>
      <w:r w:rsidRPr="00F15BAA">
        <w:rPr>
          <w:rFonts w:ascii="Times New Roman" w:eastAsia="Times New Roman" w:hAnsi="Times New Roman" w:cs="Times New Roman"/>
          <w:sz w:val="24"/>
          <w:szCs w:val="24"/>
        </w:rPr>
        <w:t xml:space="preserve"> </w:t>
      </w:r>
    </w:p>
    <w:p w:rsidR="00F15BAA" w:rsidRPr="00F15BAA" w:rsidRDefault="00F15BAA" w:rsidP="00E63D43">
      <w:pPr>
        <w:numPr>
          <w:ilvl w:val="1"/>
          <w:numId w:val="5"/>
        </w:numPr>
        <w:spacing w:before="100" w:beforeAutospacing="1" w:after="100" w:afterAutospacing="1" w:line="240" w:lineRule="auto"/>
        <w:jc w:val="both"/>
        <w:rPr>
          <w:rFonts w:ascii="Times New Roman" w:eastAsia="Times New Roman" w:hAnsi="Times New Roman" w:cs="Times New Roman"/>
          <w:sz w:val="24"/>
          <w:szCs w:val="24"/>
        </w:rPr>
      </w:pPr>
      <w:r w:rsidRPr="00F15BAA">
        <w:rPr>
          <w:rFonts w:ascii="Times New Roman" w:eastAsia="Times New Roman" w:hAnsi="Times New Roman" w:cs="Times New Roman"/>
          <w:sz w:val="24"/>
          <w:szCs w:val="24"/>
        </w:rPr>
        <w:t xml:space="preserve">Global economic uncertainty </w:t>
      </w:r>
    </w:p>
    <w:p w:rsidR="00F15BAA" w:rsidRPr="00F15BAA" w:rsidRDefault="00F15BAA" w:rsidP="00E63D43">
      <w:pPr>
        <w:numPr>
          <w:ilvl w:val="1"/>
          <w:numId w:val="5"/>
        </w:numPr>
        <w:spacing w:before="100" w:beforeAutospacing="1" w:after="100" w:afterAutospacing="1" w:line="240" w:lineRule="auto"/>
        <w:jc w:val="both"/>
        <w:rPr>
          <w:rFonts w:ascii="Times New Roman" w:eastAsia="Times New Roman" w:hAnsi="Times New Roman" w:cs="Times New Roman"/>
          <w:sz w:val="24"/>
          <w:szCs w:val="24"/>
        </w:rPr>
      </w:pPr>
      <w:r w:rsidRPr="00F15BAA">
        <w:rPr>
          <w:rFonts w:ascii="Times New Roman" w:eastAsia="Times New Roman" w:hAnsi="Times New Roman" w:cs="Times New Roman"/>
          <w:sz w:val="24"/>
          <w:szCs w:val="24"/>
        </w:rPr>
        <w:t xml:space="preserve">Foreign institutional investment (FII) flows </w:t>
      </w:r>
    </w:p>
    <w:p w:rsidR="00F15BAA" w:rsidRPr="00F15BAA" w:rsidRDefault="00F15BAA" w:rsidP="00E63D43">
      <w:pPr>
        <w:numPr>
          <w:ilvl w:val="1"/>
          <w:numId w:val="5"/>
        </w:numPr>
        <w:spacing w:before="100" w:beforeAutospacing="1" w:after="100" w:afterAutospacing="1" w:line="240" w:lineRule="auto"/>
        <w:jc w:val="both"/>
        <w:rPr>
          <w:rFonts w:ascii="Times New Roman" w:eastAsia="Times New Roman" w:hAnsi="Times New Roman" w:cs="Times New Roman"/>
          <w:sz w:val="24"/>
          <w:szCs w:val="24"/>
        </w:rPr>
      </w:pPr>
      <w:r w:rsidRPr="00F15BAA">
        <w:rPr>
          <w:rFonts w:ascii="Times New Roman" w:eastAsia="Times New Roman" w:hAnsi="Times New Roman" w:cs="Times New Roman"/>
          <w:sz w:val="24"/>
          <w:szCs w:val="24"/>
        </w:rPr>
        <w:t xml:space="preserve">Interest rates and inflation </w:t>
      </w:r>
    </w:p>
    <w:p w:rsidR="00F15BAA" w:rsidRPr="00F15BAA" w:rsidRDefault="00F15BAA" w:rsidP="00E63D43">
      <w:pPr>
        <w:numPr>
          <w:ilvl w:val="1"/>
          <w:numId w:val="5"/>
        </w:numPr>
        <w:spacing w:before="100" w:beforeAutospacing="1" w:after="100" w:afterAutospacing="1" w:line="240" w:lineRule="auto"/>
        <w:jc w:val="both"/>
        <w:rPr>
          <w:rFonts w:ascii="Times New Roman" w:eastAsia="Times New Roman" w:hAnsi="Times New Roman" w:cs="Times New Roman"/>
          <w:sz w:val="24"/>
          <w:szCs w:val="24"/>
        </w:rPr>
      </w:pPr>
      <w:r w:rsidRPr="00F15BAA">
        <w:rPr>
          <w:rFonts w:ascii="Times New Roman" w:eastAsia="Times New Roman" w:hAnsi="Times New Roman" w:cs="Times New Roman"/>
          <w:sz w:val="24"/>
          <w:szCs w:val="24"/>
        </w:rPr>
        <w:t xml:space="preserve">Oil prices and geopolitical risk </w:t>
      </w:r>
    </w:p>
    <w:p w:rsidR="00F15BAA" w:rsidRPr="00F15BAA" w:rsidRDefault="00F15BAA" w:rsidP="00E63D43">
      <w:pPr>
        <w:numPr>
          <w:ilvl w:val="0"/>
          <w:numId w:val="5"/>
        </w:numPr>
        <w:spacing w:before="100" w:beforeAutospacing="1" w:after="100" w:afterAutospacing="1" w:line="240" w:lineRule="auto"/>
        <w:jc w:val="both"/>
        <w:rPr>
          <w:rFonts w:ascii="Times New Roman" w:eastAsia="Times New Roman" w:hAnsi="Times New Roman" w:cs="Times New Roman"/>
          <w:sz w:val="24"/>
          <w:szCs w:val="24"/>
        </w:rPr>
      </w:pPr>
      <w:r w:rsidRPr="00F15BAA">
        <w:rPr>
          <w:rFonts w:ascii="Times New Roman" w:eastAsia="Times New Roman" w:hAnsi="Times New Roman" w:cs="Times New Roman"/>
          <w:b/>
          <w:bCs/>
          <w:sz w:val="24"/>
          <w:szCs w:val="24"/>
        </w:rPr>
        <w:t>Control Variables:</w:t>
      </w:r>
      <w:r w:rsidRPr="00F15BAA">
        <w:rPr>
          <w:rFonts w:ascii="Times New Roman" w:eastAsia="Times New Roman" w:hAnsi="Times New Roman" w:cs="Times New Roman"/>
          <w:sz w:val="24"/>
          <w:szCs w:val="24"/>
        </w:rPr>
        <w:t xml:space="preserve"> </w:t>
      </w:r>
    </w:p>
    <w:p w:rsidR="00F15BAA" w:rsidRPr="00F15BAA" w:rsidRDefault="00F15BAA" w:rsidP="00E63D43">
      <w:pPr>
        <w:numPr>
          <w:ilvl w:val="1"/>
          <w:numId w:val="5"/>
        </w:numPr>
        <w:spacing w:before="100" w:beforeAutospacing="1" w:after="100" w:afterAutospacing="1" w:line="240" w:lineRule="auto"/>
        <w:jc w:val="both"/>
        <w:rPr>
          <w:rFonts w:ascii="Times New Roman" w:eastAsia="Times New Roman" w:hAnsi="Times New Roman" w:cs="Times New Roman"/>
          <w:sz w:val="24"/>
          <w:szCs w:val="24"/>
        </w:rPr>
      </w:pPr>
      <w:r w:rsidRPr="00F15BAA">
        <w:rPr>
          <w:rFonts w:ascii="Times New Roman" w:eastAsia="Times New Roman" w:hAnsi="Times New Roman" w:cs="Times New Roman"/>
          <w:sz w:val="24"/>
          <w:szCs w:val="24"/>
        </w:rPr>
        <w:t xml:space="preserve">Domestic GDP growth </w:t>
      </w:r>
    </w:p>
    <w:p w:rsidR="00F15BAA" w:rsidRPr="00F15BAA" w:rsidRDefault="00F15BAA" w:rsidP="00E63D43">
      <w:pPr>
        <w:numPr>
          <w:ilvl w:val="1"/>
          <w:numId w:val="5"/>
        </w:numPr>
        <w:spacing w:before="100" w:beforeAutospacing="1" w:after="100" w:afterAutospacing="1" w:line="240" w:lineRule="auto"/>
        <w:jc w:val="both"/>
        <w:rPr>
          <w:rFonts w:ascii="Times New Roman" w:eastAsia="Times New Roman" w:hAnsi="Times New Roman" w:cs="Times New Roman"/>
          <w:sz w:val="24"/>
          <w:szCs w:val="24"/>
        </w:rPr>
      </w:pPr>
      <w:r w:rsidRPr="00F15BAA">
        <w:rPr>
          <w:rFonts w:ascii="Times New Roman" w:eastAsia="Times New Roman" w:hAnsi="Times New Roman" w:cs="Times New Roman"/>
          <w:sz w:val="24"/>
          <w:szCs w:val="24"/>
        </w:rPr>
        <w:t xml:space="preserve">Policy stability </w:t>
      </w:r>
    </w:p>
    <w:p w:rsidR="00F15BAA" w:rsidRPr="00F15BAA" w:rsidRDefault="00F15BAA" w:rsidP="00E63D43">
      <w:pPr>
        <w:numPr>
          <w:ilvl w:val="1"/>
          <w:numId w:val="5"/>
        </w:numPr>
        <w:spacing w:before="100" w:beforeAutospacing="1" w:after="100" w:afterAutospacing="1" w:line="240" w:lineRule="auto"/>
        <w:jc w:val="both"/>
        <w:rPr>
          <w:rFonts w:ascii="Times New Roman" w:eastAsia="Times New Roman" w:hAnsi="Times New Roman" w:cs="Times New Roman"/>
          <w:sz w:val="24"/>
          <w:szCs w:val="24"/>
        </w:rPr>
      </w:pPr>
      <w:r w:rsidRPr="00F15BAA">
        <w:rPr>
          <w:rFonts w:ascii="Times New Roman" w:eastAsia="Times New Roman" w:hAnsi="Times New Roman" w:cs="Times New Roman"/>
          <w:sz w:val="24"/>
          <w:szCs w:val="24"/>
        </w:rPr>
        <w:t xml:space="preserve">Domestic institutional investment (DII) flows </w:t>
      </w:r>
    </w:p>
    <w:p w:rsidR="00F15BAA" w:rsidRPr="00F15BAA" w:rsidRDefault="00F15BAA" w:rsidP="00E63D43">
      <w:pPr>
        <w:spacing w:before="100" w:beforeAutospacing="1" w:after="100" w:afterAutospacing="1" w:line="240" w:lineRule="auto"/>
        <w:jc w:val="both"/>
        <w:outlineLvl w:val="1"/>
        <w:rPr>
          <w:rFonts w:ascii="Times New Roman" w:eastAsia="Times New Roman" w:hAnsi="Times New Roman" w:cs="Times New Roman"/>
          <w:b/>
          <w:bCs/>
          <w:sz w:val="24"/>
          <w:szCs w:val="24"/>
        </w:rPr>
      </w:pPr>
      <w:r w:rsidRPr="00F15BAA">
        <w:rPr>
          <w:rFonts w:ascii="Times New Roman" w:eastAsia="Times New Roman" w:hAnsi="Times New Roman" w:cs="Times New Roman"/>
          <w:b/>
          <w:bCs/>
          <w:sz w:val="24"/>
          <w:szCs w:val="24"/>
        </w:rPr>
        <w:t>Analytical Techniques</w:t>
      </w:r>
    </w:p>
    <w:p w:rsidR="00F15BAA" w:rsidRPr="00F15BAA" w:rsidRDefault="00F15BAA" w:rsidP="00E63D43">
      <w:pPr>
        <w:spacing w:before="100" w:beforeAutospacing="1" w:after="100" w:afterAutospacing="1" w:line="240" w:lineRule="auto"/>
        <w:jc w:val="both"/>
        <w:rPr>
          <w:rFonts w:ascii="Times New Roman" w:eastAsia="Times New Roman" w:hAnsi="Times New Roman" w:cs="Times New Roman"/>
          <w:sz w:val="24"/>
          <w:szCs w:val="24"/>
        </w:rPr>
      </w:pPr>
      <w:r w:rsidRPr="00F15BAA">
        <w:rPr>
          <w:rFonts w:ascii="Times New Roman" w:eastAsia="Times New Roman" w:hAnsi="Times New Roman" w:cs="Times New Roman"/>
          <w:sz w:val="24"/>
          <w:szCs w:val="24"/>
        </w:rPr>
        <w:t>The following analytical techniques are used:</w:t>
      </w:r>
    </w:p>
    <w:p w:rsidR="00F15BAA" w:rsidRPr="00F15BAA" w:rsidRDefault="00F15BAA" w:rsidP="00E63D43">
      <w:pPr>
        <w:numPr>
          <w:ilvl w:val="0"/>
          <w:numId w:val="6"/>
        </w:numPr>
        <w:spacing w:before="100" w:beforeAutospacing="1" w:after="100" w:afterAutospacing="1" w:line="240" w:lineRule="auto"/>
        <w:jc w:val="both"/>
        <w:rPr>
          <w:rFonts w:ascii="Times New Roman" w:eastAsia="Times New Roman" w:hAnsi="Times New Roman" w:cs="Times New Roman"/>
          <w:sz w:val="24"/>
          <w:szCs w:val="24"/>
        </w:rPr>
      </w:pPr>
      <w:r w:rsidRPr="00F15BAA">
        <w:rPr>
          <w:rFonts w:ascii="Times New Roman" w:eastAsia="Times New Roman" w:hAnsi="Times New Roman" w:cs="Times New Roman"/>
          <w:b/>
          <w:bCs/>
          <w:sz w:val="24"/>
          <w:szCs w:val="24"/>
        </w:rPr>
        <w:t>Trend Analysis:</w:t>
      </w:r>
      <w:r w:rsidRPr="00F15BAA">
        <w:rPr>
          <w:rFonts w:ascii="Times New Roman" w:eastAsia="Times New Roman" w:hAnsi="Times New Roman" w:cs="Times New Roman"/>
          <w:sz w:val="24"/>
          <w:szCs w:val="24"/>
        </w:rPr>
        <w:t xml:space="preserve"> To examine stock market growth patterns over time </w:t>
      </w:r>
    </w:p>
    <w:p w:rsidR="00F15BAA" w:rsidRPr="00F15BAA" w:rsidRDefault="00F15BAA" w:rsidP="00E63D43">
      <w:pPr>
        <w:numPr>
          <w:ilvl w:val="0"/>
          <w:numId w:val="6"/>
        </w:numPr>
        <w:spacing w:before="100" w:beforeAutospacing="1" w:after="100" w:afterAutospacing="1" w:line="240" w:lineRule="auto"/>
        <w:jc w:val="both"/>
        <w:rPr>
          <w:rFonts w:ascii="Times New Roman" w:eastAsia="Times New Roman" w:hAnsi="Times New Roman" w:cs="Times New Roman"/>
          <w:sz w:val="24"/>
          <w:szCs w:val="24"/>
        </w:rPr>
      </w:pPr>
      <w:r w:rsidRPr="00F15BAA">
        <w:rPr>
          <w:rFonts w:ascii="Times New Roman" w:eastAsia="Times New Roman" w:hAnsi="Times New Roman" w:cs="Times New Roman"/>
          <w:b/>
          <w:bCs/>
          <w:sz w:val="24"/>
          <w:szCs w:val="24"/>
        </w:rPr>
        <w:t>Comparative Analysis:</w:t>
      </w:r>
      <w:r w:rsidRPr="00F15BAA">
        <w:rPr>
          <w:rFonts w:ascii="Times New Roman" w:eastAsia="Times New Roman" w:hAnsi="Times New Roman" w:cs="Times New Roman"/>
          <w:sz w:val="24"/>
          <w:szCs w:val="24"/>
        </w:rPr>
        <w:t xml:space="preserve"> To compare India with other emerging markets </w:t>
      </w:r>
    </w:p>
    <w:p w:rsidR="00F15BAA" w:rsidRPr="00F15BAA" w:rsidRDefault="00F15BAA" w:rsidP="00E63D43">
      <w:pPr>
        <w:numPr>
          <w:ilvl w:val="0"/>
          <w:numId w:val="6"/>
        </w:numPr>
        <w:spacing w:before="100" w:beforeAutospacing="1" w:after="100" w:afterAutospacing="1" w:line="240" w:lineRule="auto"/>
        <w:jc w:val="both"/>
        <w:rPr>
          <w:rFonts w:ascii="Times New Roman" w:eastAsia="Times New Roman" w:hAnsi="Times New Roman" w:cs="Times New Roman"/>
          <w:sz w:val="24"/>
          <w:szCs w:val="24"/>
        </w:rPr>
      </w:pPr>
      <w:r w:rsidRPr="00F15BAA">
        <w:rPr>
          <w:rFonts w:ascii="Times New Roman" w:eastAsia="Times New Roman" w:hAnsi="Times New Roman" w:cs="Times New Roman"/>
          <w:b/>
          <w:bCs/>
          <w:sz w:val="24"/>
          <w:szCs w:val="24"/>
        </w:rPr>
        <w:t>Event-Based Analysis:</w:t>
      </w:r>
      <w:r w:rsidRPr="00F15BAA">
        <w:rPr>
          <w:rFonts w:ascii="Times New Roman" w:eastAsia="Times New Roman" w:hAnsi="Times New Roman" w:cs="Times New Roman"/>
          <w:sz w:val="24"/>
          <w:szCs w:val="24"/>
        </w:rPr>
        <w:t xml:space="preserve"> To evaluate market reactions to global shocks such as geopolitical conflicts and monetary policy changes </w:t>
      </w:r>
    </w:p>
    <w:p w:rsidR="00F15BAA" w:rsidRPr="00F15BAA" w:rsidRDefault="00F15BAA" w:rsidP="00E63D43">
      <w:pPr>
        <w:numPr>
          <w:ilvl w:val="0"/>
          <w:numId w:val="6"/>
        </w:numPr>
        <w:spacing w:before="100" w:beforeAutospacing="1" w:after="100" w:afterAutospacing="1" w:line="240" w:lineRule="auto"/>
        <w:jc w:val="both"/>
        <w:rPr>
          <w:rFonts w:ascii="Times New Roman" w:eastAsia="Times New Roman" w:hAnsi="Times New Roman" w:cs="Times New Roman"/>
          <w:sz w:val="24"/>
          <w:szCs w:val="24"/>
        </w:rPr>
      </w:pPr>
      <w:r w:rsidRPr="00F15BAA">
        <w:rPr>
          <w:rFonts w:ascii="Times New Roman" w:eastAsia="Times New Roman" w:hAnsi="Times New Roman" w:cs="Times New Roman"/>
          <w:b/>
          <w:bCs/>
          <w:sz w:val="24"/>
          <w:szCs w:val="24"/>
        </w:rPr>
        <w:t>Descriptive Statistical Interpretation:</w:t>
      </w:r>
      <w:r w:rsidRPr="00F15BAA">
        <w:rPr>
          <w:rFonts w:ascii="Times New Roman" w:eastAsia="Times New Roman" w:hAnsi="Times New Roman" w:cs="Times New Roman"/>
          <w:sz w:val="24"/>
          <w:szCs w:val="24"/>
        </w:rPr>
        <w:t xml:space="preserve"> To summarize market behavior and volatility patterns </w:t>
      </w:r>
    </w:p>
    <w:p w:rsidR="00F15BAA" w:rsidRPr="00F15BAA" w:rsidRDefault="00F15BAA" w:rsidP="00E63D43">
      <w:pPr>
        <w:spacing w:before="100" w:beforeAutospacing="1" w:after="100" w:afterAutospacing="1" w:line="240" w:lineRule="auto"/>
        <w:jc w:val="both"/>
        <w:outlineLvl w:val="0"/>
        <w:rPr>
          <w:rFonts w:ascii="Times New Roman" w:eastAsia="Times New Roman" w:hAnsi="Times New Roman" w:cs="Times New Roman"/>
          <w:b/>
          <w:bCs/>
          <w:kern w:val="36"/>
          <w:sz w:val="24"/>
          <w:szCs w:val="24"/>
        </w:rPr>
      </w:pPr>
      <w:r w:rsidRPr="00F15BAA">
        <w:rPr>
          <w:rFonts w:ascii="Times New Roman" w:eastAsia="Times New Roman" w:hAnsi="Times New Roman" w:cs="Times New Roman"/>
          <w:b/>
          <w:bCs/>
          <w:kern w:val="36"/>
          <w:sz w:val="24"/>
          <w:szCs w:val="24"/>
        </w:rPr>
        <w:t>Results and Analysis (Expanded)</w:t>
      </w:r>
    </w:p>
    <w:p w:rsidR="00F15BAA" w:rsidRPr="00F15BAA" w:rsidRDefault="00F15BAA" w:rsidP="00E63D43">
      <w:pPr>
        <w:spacing w:before="100" w:beforeAutospacing="1" w:after="100" w:afterAutospacing="1" w:line="240" w:lineRule="auto"/>
        <w:jc w:val="both"/>
        <w:outlineLvl w:val="1"/>
        <w:rPr>
          <w:rFonts w:ascii="Times New Roman" w:eastAsia="Times New Roman" w:hAnsi="Times New Roman" w:cs="Times New Roman"/>
          <w:b/>
          <w:bCs/>
          <w:sz w:val="24"/>
          <w:szCs w:val="24"/>
        </w:rPr>
      </w:pPr>
      <w:r w:rsidRPr="00F15BAA">
        <w:rPr>
          <w:rFonts w:ascii="Times New Roman" w:eastAsia="Times New Roman" w:hAnsi="Times New Roman" w:cs="Times New Roman"/>
          <w:b/>
          <w:bCs/>
          <w:sz w:val="24"/>
          <w:szCs w:val="24"/>
        </w:rPr>
        <w:t>Growth of the Indian Stock Market</w:t>
      </w:r>
    </w:p>
    <w:p w:rsidR="00F15BAA" w:rsidRPr="00F15BAA" w:rsidRDefault="00F15BAA" w:rsidP="00E63D43">
      <w:pPr>
        <w:spacing w:before="100" w:beforeAutospacing="1" w:after="100" w:afterAutospacing="1" w:line="240" w:lineRule="auto"/>
        <w:jc w:val="both"/>
        <w:rPr>
          <w:rFonts w:ascii="Times New Roman" w:eastAsia="Times New Roman" w:hAnsi="Times New Roman" w:cs="Times New Roman"/>
          <w:sz w:val="24"/>
          <w:szCs w:val="24"/>
        </w:rPr>
      </w:pPr>
      <w:r w:rsidRPr="00F15BAA">
        <w:rPr>
          <w:rFonts w:ascii="Times New Roman" w:eastAsia="Times New Roman" w:hAnsi="Times New Roman" w:cs="Times New Roman"/>
          <w:sz w:val="24"/>
          <w:szCs w:val="24"/>
        </w:rPr>
        <w:t>The Indian stock market has demonstrated consistent growth between 2024 and 2026, supported by strong macroeconomic fundamentals. According to Deloitte (2025), Indian equity markets have expanded significantly in valuation since 2019, driven by rising corporate earnings and increased investor participation.</w:t>
      </w:r>
    </w:p>
    <w:p w:rsidR="00F15BAA" w:rsidRPr="00F15BAA" w:rsidRDefault="00F15BAA" w:rsidP="00E63D43">
      <w:pPr>
        <w:spacing w:before="100" w:beforeAutospacing="1" w:after="100" w:afterAutospacing="1" w:line="240" w:lineRule="auto"/>
        <w:jc w:val="both"/>
        <w:rPr>
          <w:rFonts w:ascii="Times New Roman" w:eastAsia="Times New Roman" w:hAnsi="Times New Roman" w:cs="Times New Roman"/>
          <w:sz w:val="24"/>
          <w:szCs w:val="24"/>
        </w:rPr>
      </w:pPr>
      <w:r w:rsidRPr="00F15BAA">
        <w:rPr>
          <w:rFonts w:ascii="Times New Roman" w:eastAsia="Times New Roman" w:hAnsi="Times New Roman" w:cs="Times New Roman"/>
          <w:sz w:val="24"/>
          <w:szCs w:val="24"/>
        </w:rPr>
        <w:t>India’s GDP growth, which remained above 7% during this period, played a crucial role in supporting market expansion (Government of India, 2025). Additionally, rising household income and consumption demand contributed to corporate profitability, thereby strengthening equity markets.</w:t>
      </w:r>
    </w:p>
    <w:p w:rsidR="00F15BAA" w:rsidRPr="00F15BAA" w:rsidRDefault="00F15BAA" w:rsidP="00E63D43">
      <w:pPr>
        <w:spacing w:before="100" w:beforeAutospacing="1" w:after="100" w:afterAutospacing="1" w:line="240" w:lineRule="auto"/>
        <w:jc w:val="both"/>
        <w:rPr>
          <w:rFonts w:ascii="Times New Roman" w:eastAsia="Times New Roman" w:hAnsi="Times New Roman" w:cs="Times New Roman"/>
          <w:sz w:val="24"/>
          <w:szCs w:val="24"/>
        </w:rPr>
      </w:pPr>
      <w:r w:rsidRPr="00F15BAA">
        <w:rPr>
          <w:rFonts w:ascii="Times New Roman" w:eastAsia="Times New Roman" w:hAnsi="Times New Roman" w:cs="Times New Roman"/>
          <w:sz w:val="24"/>
          <w:szCs w:val="24"/>
        </w:rPr>
        <w:t xml:space="preserve">Another important factor is the increasing </w:t>
      </w:r>
      <w:proofErr w:type="spellStart"/>
      <w:r w:rsidRPr="00BD25A5">
        <w:rPr>
          <w:rFonts w:ascii="Times New Roman" w:eastAsia="Times New Roman" w:hAnsi="Times New Roman" w:cs="Times New Roman"/>
          <w:bCs/>
          <w:sz w:val="24"/>
          <w:szCs w:val="24"/>
        </w:rPr>
        <w:t>financialization</w:t>
      </w:r>
      <w:proofErr w:type="spellEnd"/>
      <w:r w:rsidRPr="00BD25A5">
        <w:rPr>
          <w:rFonts w:ascii="Times New Roman" w:eastAsia="Times New Roman" w:hAnsi="Times New Roman" w:cs="Times New Roman"/>
          <w:bCs/>
          <w:sz w:val="24"/>
          <w:szCs w:val="24"/>
        </w:rPr>
        <w:t xml:space="preserve"> of savings</w:t>
      </w:r>
      <w:r w:rsidRPr="00F15BAA">
        <w:rPr>
          <w:rFonts w:ascii="Times New Roman" w:eastAsia="Times New Roman" w:hAnsi="Times New Roman" w:cs="Times New Roman"/>
          <w:sz w:val="24"/>
          <w:szCs w:val="24"/>
        </w:rPr>
        <w:t>, where households are shifting from traditional assets such as gold and real estate toward equities (IMF, 2025).</w:t>
      </w:r>
    </w:p>
    <w:p w:rsidR="00F15BAA" w:rsidRPr="00F15BAA" w:rsidRDefault="00F15BAA" w:rsidP="00E63D43">
      <w:pPr>
        <w:spacing w:before="100" w:beforeAutospacing="1" w:after="100" w:afterAutospacing="1" w:line="240" w:lineRule="auto"/>
        <w:jc w:val="both"/>
        <w:outlineLvl w:val="1"/>
        <w:rPr>
          <w:rFonts w:ascii="Times New Roman" w:eastAsia="Times New Roman" w:hAnsi="Times New Roman" w:cs="Times New Roman"/>
          <w:b/>
          <w:bCs/>
          <w:sz w:val="24"/>
          <w:szCs w:val="24"/>
        </w:rPr>
      </w:pPr>
      <w:r w:rsidRPr="00F15BAA">
        <w:rPr>
          <w:rFonts w:ascii="Times New Roman" w:eastAsia="Times New Roman" w:hAnsi="Times New Roman" w:cs="Times New Roman"/>
          <w:b/>
          <w:bCs/>
          <w:sz w:val="24"/>
          <w:szCs w:val="24"/>
        </w:rPr>
        <w:t>Impact of Global Uncertainty</w:t>
      </w:r>
    </w:p>
    <w:p w:rsidR="00F15BAA" w:rsidRPr="00F15BAA" w:rsidRDefault="00F15BAA" w:rsidP="00E63D43">
      <w:pPr>
        <w:spacing w:before="100" w:beforeAutospacing="1" w:after="100" w:afterAutospacing="1" w:line="240" w:lineRule="auto"/>
        <w:jc w:val="both"/>
        <w:rPr>
          <w:rFonts w:ascii="Times New Roman" w:eastAsia="Times New Roman" w:hAnsi="Times New Roman" w:cs="Times New Roman"/>
          <w:sz w:val="24"/>
          <w:szCs w:val="24"/>
        </w:rPr>
      </w:pPr>
      <w:r w:rsidRPr="00F15BAA">
        <w:rPr>
          <w:rFonts w:ascii="Times New Roman" w:eastAsia="Times New Roman" w:hAnsi="Times New Roman" w:cs="Times New Roman"/>
          <w:sz w:val="24"/>
          <w:szCs w:val="24"/>
        </w:rPr>
        <w:t>Global uncertainty has had a measurable impact on the Indian stock market, particularly in the short term. Factors such as geopolitical conflicts, fluctuations in crude oil prices, and monetary tightening by global central banks have led to increased volatility.</w:t>
      </w:r>
    </w:p>
    <w:p w:rsidR="00F15BAA" w:rsidRPr="00F15BAA" w:rsidRDefault="00F15BAA" w:rsidP="00E63D43">
      <w:pPr>
        <w:spacing w:before="100" w:beforeAutospacing="1" w:after="100" w:afterAutospacing="1" w:line="240" w:lineRule="auto"/>
        <w:jc w:val="both"/>
        <w:rPr>
          <w:rFonts w:ascii="Times New Roman" w:eastAsia="Times New Roman" w:hAnsi="Times New Roman" w:cs="Times New Roman"/>
          <w:sz w:val="24"/>
          <w:szCs w:val="24"/>
        </w:rPr>
      </w:pPr>
      <w:r w:rsidRPr="00F15BAA">
        <w:rPr>
          <w:rFonts w:ascii="Times New Roman" w:eastAsia="Times New Roman" w:hAnsi="Times New Roman" w:cs="Times New Roman"/>
          <w:sz w:val="24"/>
          <w:szCs w:val="24"/>
        </w:rPr>
        <w:lastRenderedPageBreak/>
        <w:t>For example, tightening monetary policies by institutions such as the Federal Reserve resulted in capital outflows from emerging markets, including India. Reuters (2026) reported significant foreign institutional investor (FII) outflows during periods of heightened uncertainty.</w:t>
      </w:r>
    </w:p>
    <w:p w:rsidR="00F15BAA" w:rsidRDefault="00F15BAA" w:rsidP="00E63D43">
      <w:pPr>
        <w:spacing w:before="100" w:beforeAutospacing="1" w:after="100" w:afterAutospacing="1" w:line="240" w:lineRule="auto"/>
        <w:jc w:val="both"/>
        <w:rPr>
          <w:rFonts w:ascii="Times New Roman" w:eastAsia="Times New Roman" w:hAnsi="Times New Roman" w:cs="Times New Roman"/>
          <w:sz w:val="24"/>
          <w:szCs w:val="24"/>
        </w:rPr>
      </w:pPr>
      <w:r w:rsidRPr="00F15BAA">
        <w:rPr>
          <w:rFonts w:ascii="Times New Roman" w:eastAsia="Times New Roman" w:hAnsi="Times New Roman" w:cs="Times New Roman"/>
          <w:sz w:val="24"/>
          <w:szCs w:val="24"/>
        </w:rPr>
        <w:t>However, empirical studies suggest that while global shocks create short-term disruptions, their long-term effects on the Indian market are limited due to strong domestic fundamentals (</w:t>
      </w:r>
      <w:proofErr w:type="spellStart"/>
      <w:r w:rsidRPr="00F15BAA">
        <w:rPr>
          <w:rFonts w:ascii="Times New Roman" w:eastAsia="Times New Roman" w:hAnsi="Times New Roman" w:cs="Times New Roman"/>
          <w:sz w:val="24"/>
          <w:szCs w:val="24"/>
        </w:rPr>
        <w:t>Bisiriyu</w:t>
      </w:r>
      <w:proofErr w:type="spellEnd"/>
      <w:r w:rsidRPr="00F15BAA">
        <w:rPr>
          <w:rFonts w:ascii="Times New Roman" w:eastAsia="Times New Roman" w:hAnsi="Times New Roman" w:cs="Times New Roman"/>
          <w:sz w:val="24"/>
          <w:szCs w:val="24"/>
        </w:rPr>
        <w:t xml:space="preserve"> et al., 2025).</w:t>
      </w:r>
    </w:p>
    <w:p w:rsidR="00F15BAA" w:rsidRPr="00F15BAA" w:rsidRDefault="00F15BAA" w:rsidP="00E63D43">
      <w:pPr>
        <w:spacing w:before="100" w:beforeAutospacing="1" w:after="100" w:afterAutospacing="1" w:line="240" w:lineRule="auto"/>
        <w:jc w:val="both"/>
        <w:rPr>
          <w:rFonts w:ascii="Times New Roman" w:eastAsia="Times New Roman" w:hAnsi="Times New Roman" w:cs="Times New Roman"/>
          <w:sz w:val="24"/>
          <w:szCs w:val="24"/>
        </w:rPr>
      </w:pPr>
      <w:r w:rsidRPr="00F15BAA">
        <w:rPr>
          <w:rFonts w:ascii="Times New Roman" w:eastAsia="Times New Roman" w:hAnsi="Times New Roman" w:cs="Times New Roman"/>
          <w:b/>
          <w:bCs/>
          <w:sz w:val="24"/>
          <w:szCs w:val="24"/>
        </w:rPr>
        <w:t>Role of Domestic Investors</w:t>
      </w:r>
    </w:p>
    <w:p w:rsidR="00F15BAA" w:rsidRPr="00F15BAA" w:rsidRDefault="00F15BAA" w:rsidP="00E63D43">
      <w:pPr>
        <w:spacing w:before="100" w:beforeAutospacing="1" w:after="100" w:afterAutospacing="1" w:line="240" w:lineRule="auto"/>
        <w:jc w:val="both"/>
        <w:rPr>
          <w:rFonts w:ascii="Times New Roman" w:eastAsia="Times New Roman" w:hAnsi="Times New Roman" w:cs="Times New Roman"/>
          <w:sz w:val="24"/>
          <w:szCs w:val="24"/>
        </w:rPr>
      </w:pPr>
      <w:r w:rsidRPr="00F15BAA">
        <w:rPr>
          <w:rFonts w:ascii="Times New Roman" w:eastAsia="Times New Roman" w:hAnsi="Times New Roman" w:cs="Times New Roman"/>
          <w:sz w:val="24"/>
          <w:szCs w:val="24"/>
        </w:rPr>
        <w:t xml:space="preserve">Domestic institutional investors (DIIs) and retail investors have emerged as key stabilizing forces in the Indian stock market. Increased participation through platforms such as </w:t>
      </w:r>
      <w:proofErr w:type="spellStart"/>
      <w:r w:rsidRPr="00F15BAA">
        <w:rPr>
          <w:rFonts w:ascii="Times New Roman" w:eastAsia="Times New Roman" w:hAnsi="Times New Roman" w:cs="Times New Roman"/>
          <w:sz w:val="24"/>
          <w:szCs w:val="24"/>
        </w:rPr>
        <w:t>Zerodha</w:t>
      </w:r>
      <w:proofErr w:type="spellEnd"/>
      <w:r w:rsidRPr="00F15BAA">
        <w:rPr>
          <w:rFonts w:ascii="Times New Roman" w:eastAsia="Times New Roman" w:hAnsi="Times New Roman" w:cs="Times New Roman"/>
          <w:sz w:val="24"/>
          <w:szCs w:val="24"/>
        </w:rPr>
        <w:t xml:space="preserve"> has significantly broadened the investor base.</w:t>
      </w:r>
    </w:p>
    <w:p w:rsidR="00F15BAA" w:rsidRPr="00F15BAA" w:rsidRDefault="00F15BAA" w:rsidP="00E63D43">
      <w:pPr>
        <w:spacing w:before="100" w:beforeAutospacing="1" w:after="100" w:afterAutospacing="1" w:line="240" w:lineRule="auto"/>
        <w:jc w:val="both"/>
        <w:rPr>
          <w:rFonts w:ascii="Times New Roman" w:eastAsia="Times New Roman" w:hAnsi="Times New Roman" w:cs="Times New Roman"/>
          <w:sz w:val="24"/>
          <w:szCs w:val="24"/>
        </w:rPr>
      </w:pPr>
      <w:r w:rsidRPr="00F15BAA">
        <w:rPr>
          <w:rFonts w:ascii="Times New Roman" w:eastAsia="Times New Roman" w:hAnsi="Times New Roman" w:cs="Times New Roman"/>
          <w:sz w:val="24"/>
          <w:szCs w:val="24"/>
        </w:rPr>
        <w:t>Unlike earlier periods when Indian markets were heavily dependent on foreign capital, the rise of DIIs has reduced vulnerability to external shocks. During periods of FII outflows, DIIs have often acted as counterbalancing agents, maintaining market stability (</w:t>
      </w:r>
      <w:proofErr w:type="spellStart"/>
      <w:r w:rsidRPr="00F15BAA">
        <w:rPr>
          <w:rFonts w:ascii="Times New Roman" w:eastAsia="Times New Roman" w:hAnsi="Times New Roman" w:cs="Times New Roman"/>
          <w:sz w:val="24"/>
          <w:szCs w:val="24"/>
        </w:rPr>
        <w:t>Maharana</w:t>
      </w:r>
      <w:proofErr w:type="spellEnd"/>
      <w:r w:rsidRPr="00F15BAA">
        <w:rPr>
          <w:rFonts w:ascii="Times New Roman" w:eastAsia="Times New Roman" w:hAnsi="Times New Roman" w:cs="Times New Roman"/>
          <w:sz w:val="24"/>
          <w:szCs w:val="24"/>
        </w:rPr>
        <w:t xml:space="preserve"> et al., 2024).</w:t>
      </w:r>
    </w:p>
    <w:p w:rsidR="00F15BAA" w:rsidRPr="00F15BAA" w:rsidRDefault="00F15BAA" w:rsidP="00E63D43">
      <w:pPr>
        <w:spacing w:before="100" w:beforeAutospacing="1" w:after="100" w:afterAutospacing="1" w:line="240" w:lineRule="auto"/>
        <w:jc w:val="both"/>
        <w:outlineLvl w:val="1"/>
        <w:rPr>
          <w:rFonts w:ascii="Times New Roman" w:eastAsia="Times New Roman" w:hAnsi="Times New Roman" w:cs="Times New Roman"/>
          <w:b/>
          <w:bCs/>
          <w:sz w:val="24"/>
          <w:szCs w:val="24"/>
        </w:rPr>
      </w:pPr>
      <w:r w:rsidRPr="00F15BAA">
        <w:rPr>
          <w:rFonts w:ascii="Times New Roman" w:eastAsia="Times New Roman" w:hAnsi="Times New Roman" w:cs="Times New Roman"/>
          <w:b/>
          <w:bCs/>
          <w:sz w:val="24"/>
          <w:szCs w:val="24"/>
        </w:rPr>
        <w:t>Policy Support and Economic Stability</w:t>
      </w:r>
    </w:p>
    <w:p w:rsidR="00F15BAA" w:rsidRPr="00F15BAA" w:rsidRDefault="00F15BAA" w:rsidP="00E63D43">
      <w:pPr>
        <w:spacing w:before="100" w:beforeAutospacing="1" w:after="100" w:afterAutospacing="1" w:line="240" w:lineRule="auto"/>
        <w:jc w:val="both"/>
        <w:rPr>
          <w:rFonts w:ascii="Times New Roman" w:eastAsia="Times New Roman" w:hAnsi="Times New Roman" w:cs="Times New Roman"/>
          <w:sz w:val="24"/>
          <w:szCs w:val="24"/>
        </w:rPr>
      </w:pPr>
      <w:r w:rsidRPr="00F15BAA">
        <w:rPr>
          <w:rFonts w:ascii="Times New Roman" w:eastAsia="Times New Roman" w:hAnsi="Times New Roman" w:cs="Times New Roman"/>
          <w:sz w:val="24"/>
          <w:szCs w:val="24"/>
        </w:rPr>
        <w:t>Government policies and institutional support have played a vital role in strengthening market confidence. Structural reforms such as the implementation of GST, increased infrastructure spending, and digital financial inclusion have contributed to economic stability.</w:t>
      </w:r>
    </w:p>
    <w:p w:rsidR="00F15BAA" w:rsidRPr="00F15BAA" w:rsidRDefault="00F15BAA" w:rsidP="00E63D43">
      <w:pPr>
        <w:spacing w:before="100" w:beforeAutospacing="1" w:after="100" w:afterAutospacing="1" w:line="240" w:lineRule="auto"/>
        <w:jc w:val="both"/>
        <w:rPr>
          <w:rFonts w:ascii="Times New Roman" w:eastAsia="Times New Roman" w:hAnsi="Times New Roman" w:cs="Times New Roman"/>
          <w:sz w:val="24"/>
          <w:szCs w:val="24"/>
        </w:rPr>
      </w:pPr>
      <w:r w:rsidRPr="00F15BAA">
        <w:rPr>
          <w:rFonts w:ascii="Times New Roman" w:eastAsia="Times New Roman" w:hAnsi="Times New Roman" w:cs="Times New Roman"/>
          <w:sz w:val="24"/>
          <w:szCs w:val="24"/>
        </w:rPr>
        <w:t>The Reserve Bank of India has also played a crucial role by maintaining monetary stability, controlling inflation, and ensuring liquidity in the financial system (RBI, 2025).</w:t>
      </w:r>
    </w:p>
    <w:p w:rsidR="00F15BAA" w:rsidRPr="00F15BAA" w:rsidRDefault="00F15BAA" w:rsidP="00E63D43">
      <w:pPr>
        <w:spacing w:before="100" w:beforeAutospacing="1" w:after="100" w:afterAutospacing="1" w:line="240" w:lineRule="auto"/>
        <w:jc w:val="both"/>
        <w:rPr>
          <w:rFonts w:ascii="Times New Roman" w:eastAsia="Times New Roman" w:hAnsi="Times New Roman" w:cs="Times New Roman"/>
          <w:sz w:val="24"/>
          <w:szCs w:val="24"/>
        </w:rPr>
      </w:pPr>
      <w:r w:rsidRPr="00F15BAA">
        <w:rPr>
          <w:rFonts w:ascii="Times New Roman" w:eastAsia="Times New Roman" w:hAnsi="Times New Roman" w:cs="Times New Roman"/>
          <w:sz w:val="24"/>
          <w:szCs w:val="24"/>
        </w:rPr>
        <w:t>Additionally, India’s regulatory framework has improved transparency and investor protection, making it an attractive destination for both domestic and foreign investors.</w:t>
      </w:r>
    </w:p>
    <w:p w:rsidR="00F15BAA" w:rsidRPr="00F15BAA" w:rsidRDefault="00F15BAA" w:rsidP="00E63D43">
      <w:pPr>
        <w:spacing w:before="100" w:beforeAutospacing="1" w:after="100" w:afterAutospacing="1" w:line="240" w:lineRule="auto"/>
        <w:jc w:val="both"/>
        <w:outlineLvl w:val="1"/>
        <w:rPr>
          <w:rFonts w:ascii="Times New Roman" w:eastAsia="Times New Roman" w:hAnsi="Times New Roman" w:cs="Times New Roman"/>
          <w:b/>
          <w:bCs/>
          <w:sz w:val="24"/>
          <w:szCs w:val="24"/>
        </w:rPr>
      </w:pPr>
      <w:r w:rsidRPr="00F15BAA">
        <w:rPr>
          <w:rFonts w:ascii="Times New Roman" w:eastAsia="Times New Roman" w:hAnsi="Times New Roman" w:cs="Times New Roman"/>
          <w:b/>
          <w:bCs/>
          <w:sz w:val="24"/>
          <w:szCs w:val="24"/>
        </w:rPr>
        <w:t>Sectoral Insights</w:t>
      </w:r>
    </w:p>
    <w:p w:rsidR="00F15BAA" w:rsidRPr="00F15BAA" w:rsidRDefault="00F15BAA" w:rsidP="00E63D43">
      <w:pPr>
        <w:spacing w:before="100" w:beforeAutospacing="1" w:after="100" w:afterAutospacing="1" w:line="240" w:lineRule="auto"/>
        <w:jc w:val="both"/>
        <w:rPr>
          <w:rFonts w:ascii="Times New Roman" w:eastAsia="Times New Roman" w:hAnsi="Times New Roman" w:cs="Times New Roman"/>
          <w:sz w:val="24"/>
          <w:szCs w:val="24"/>
        </w:rPr>
      </w:pPr>
      <w:r w:rsidRPr="00F15BAA">
        <w:rPr>
          <w:rFonts w:ascii="Times New Roman" w:eastAsia="Times New Roman" w:hAnsi="Times New Roman" w:cs="Times New Roman"/>
          <w:sz w:val="24"/>
          <w:szCs w:val="24"/>
        </w:rPr>
        <w:t>Different sectors have responded differently to global uncertainty:</w:t>
      </w:r>
    </w:p>
    <w:p w:rsidR="00F15BAA" w:rsidRPr="00F15BAA" w:rsidRDefault="00F15BAA" w:rsidP="00E63D43">
      <w:pPr>
        <w:numPr>
          <w:ilvl w:val="0"/>
          <w:numId w:val="7"/>
        </w:numPr>
        <w:spacing w:before="100" w:beforeAutospacing="1" w:after="100" w:afterAutospacing="1" w:line="240" w:lineRule="auto"/>
        <w:jc w:val="both"/>
        <w:rPr>
          <w:rFonts w:ascii="Times New Roman" w:eastAsia="Times New Roman" w:hAnsi="Times New Roman" w:cs="Times New Roman"/>
          <w:sz w:val="24"/>
          <w:szCs w:val="24"/>
        </w:rPr>
      </w:pPr>
      <w:r w:rsidRPr="00F15BAA">
        <w:rPr>
          <w:rFonts w:ascii="Times New Roman" w:eastAsia="Times New Roman" w:hAnsi="Times New Roman" w:cs="Times New Roman"/>
          <w:b/>
          <w:bCs/>
          <w:sz w:val="24"/>
          <w:szCs w:val="24"/>
        </w:rPr>
        <w:t>Information Technology (IT):</w:t>
      </w:r>
      <w:r w:rsidRPr="00F15BAA">
        <w:rPr>
          <w:rFonts w:ascii="Times New Roman" w:eastAsia="Times New Roman" w:hAnsi="Times New Roman" w:cs="Times New Roman"/>
          <w:sz w:val="24"/>
          <w:szCs w:val="24"/>
        </w:rPr>
        <w:t xml:space="preserve"> Highly sensitive to global demand and currency fluctuations </w:t>
      </w:r>
    </w:p>
    <w:p w:rsidR="00F15BAA" w:rsidRPr="00F15BAA" w:rsidRDefault="00F15BAA" w:rsidP="00E63D43">
      <w:pPr>
        <w:numPr>
          <w:ilvl w:val="0"/>
          <w:numId w:val="7"/>
        </w:numPr>
        <w:spacing w:before="100" w:beforeAutospacing="1" w:after="100" w:afterAutospacing="1" w:line="240" w:lineRule="auto"/>
        <w:jc w:val="both"/>
        <w:rPr>
          <w:rFonts w:ascii="Times New Roman" w:eastAsia="Times New Roman" w:hAnsi="Times New Roman" w:cs="Times New Roman"/>
          <w:sz w:val="24"/>
          <w:szCs w:val="24"/>
        </w:rPr>
      </w:pPr>
      <w:r w:rsidRPr="00F15BAA">
        <w:rPr>
          <w:rFonts w:ascii="Times New Roman" w:eastAsia="Times New Roman" w:hAnsi="Times New Roman" w:cs="Times New Roman"/>
          <w:b/>
          <w:bCs/>
          <w:sz w:val="24"/>
          <w:szCs w:val="24"/>
        </w:rPr>
        <w:t>Banking and Financial Services:</w:t>
      </w:r>
      <w:r w:rsidRPr="00F15BAA">
        <w:rPr>
          <w:rFonts w:ascii="Times New Roman" w:eastAsia="Times New Roman" w:hAnsi="Times New Roman" w:cs="Times New Roman"/>
          <w:sz w:val="24"/>
          <w:szCs w:val="24"/>
        </w:rPr>
        <w:t xml:space="preserve"> Influenced by interest rates and domestic credit growth </w:t>
      </w:r>
    </w:p>
    <w:p w:rsidR="00F15BAA" w:rsidRPr="00F15BAA" w:rsidRDefault="00F15BAA" w:rsidP="00E63D43">
      <w:pPr>
        <w:numPr>
          <w:ilvl w:val="0"/>
          <w:numId w:val="7"/>
        </w:numPr>
        <w:spacing w:before="100" w:beforeAutospacing="1" w:after="100" w:afterAutospacing="1" w:line="240" w:lineRule="auto"/>
        <w:jc w:val="both"/>
        <w:rPr>
          <w:rFonts w:ascii="Times New Roman" w:eastAsia="Times New Roman" w:hAnsi="Times New Roman" w:cs="Times New Roman"/>
          <w:sz w:val="24"/>
          <w:szCs w:val="24"/>
        </w:rPr>
      </w:pPr>
      <w:r w:rsidRPr="00F15BAA">
        <w:rPr>
          <w:rFonts w:ascii="Times New Roman" w:eastAsia="Times New Roman" w:hAnsi="Times New Roman" w:cs="Times New Roman"/>
          <w:b/>
          <w:bCs/>
          <w:sz w:val="24"/>
          <w:szCs w:val="24"/>
        </w:rPr>
        <w:t>Energy Sector:</w:t>
      </w:r>
      <w:r w:rsidRPr="00F15BAA">
        <w:rPr>
          <w:rFonts w:ascii="Times New Roman" w:eastAsia="Times New Roman" w:hAnsi="Times New Roman" w:cs="Times New Roman"/>
          <w:sz w:val="24"/>
          <w:szCs w:val="24"/>
        </w:rPr>
        <w:t xml:space="preserve"> Impacted by global oil price volatility </w:t>
      </w:r>
    </w:p>
    <w:p w:rsidR="00F15BAA" w:rsidRPr="00F15BAA" w:rsidRDefault="00F15BAA" w:rsidP="00E63D43">
      <w:pPr>
        <w:numPr>
          <w:ilvl w:val="0"/>
          <w:numId w:val="7"/>
        </w:numPr>
        <w:spacing w:before="100" w:beforeAutospacing="1" w:after="100" w:afterAutospacing="1" w:line="240" w:lineRule="auto"/>
        <w:jc w:val="both"/>
        <w:rPr>
          <w:rFonts w:ascii="Times New Roman" w:eastAsia="Times New Roman" w:hAnsi="Times New Roman" w:cs="Times New Roman"/>
          <w:sz w:val="24"/>
          <w:szCs w:val="24"/>
        </w:rPr>
      </w:pPr>
      <w:r w:rsidRPr="00F15BAA">
        <w:rPr>
          <w:rFonts w:ascii="Times New Roman" w:eastAsia="Times New Roman" w:hAnsi="Times New Roman" w:cs="Times New Roman"/>
          <w:b/>
          <w:bCs/>
          <w:sz w:val="24"/>
          <w:szCs w:val="24"/>
        </w:rPr>
        <w:t>Consumer Goods:</w:t>
      </w:r>
      <w:r w:rsidRPr="00F15BAA">
        <w:rPr>
          <w:rFonts w:ascii="Times New Roman" w:eastAsia="Times New Roman" w:hAnsi="Times New Roman" w:cs="Times New Roman"/>
          <w:sz w:val="24"/>
          <w:szCs w:val="24"/>
        </w:rPr>
        <w:t xml:space="preserve"> Relatively stable due to strong domestic demand </w:t>
      </w:r>
    </w:p>
    <w:p w:rsidR="00F15BAA" w:rsidRPr="00F15BAA" w:rsidRDefault="00F15BAA" w:rsidP="00E63D43">
      <w:pPr>
        <w:spacing w:before="100" w:beforeAutospacing="1" w:after="100" w:afterAutospacing="1" w:line="240" w:lineRule="auto"/>
        <w:jc w:val="both"/>
        <w:rPr>
          <w:rFonts w:ascii="Times New Roman" w:eastAsia="Times New Roman" w:hAnsi="Times New Roman" w:cs="Times New Roman"/>
          <w:sz w:val="24"/>
          <w:szCs w:val="24"/>
        </w:rPr>
      </w:pPr>
      <w:r w:rsidRPr="00F15BAA">
        <w:rPr>
          <w:rFonts w:ascii="Times New Roman" w:eastAsia="Times New Roman" w:hAnsi="Times New Roman" w:cs="Times New Roman"/>
          <w:sz w:val="24"/>
          <w:szCs w:val="24"/>
        </w:rPr>
        <w:t>This sectoral variation highlights the importance of diversification in investment strategies.</w:t>
      </w:r>
    </w:p>
    <w:p w:rsidR="00F15BAA" w:rsidRPr="00F15BAA" w:rsidRDefault="00F15BAA" w:rsidP="00E63D43">
      <w:pPr>
        <w:spacing w:before="100" w:beforeAutospacing="1" w:after="100" w:afterAutospacing="1" w:line="240" w:lineRule="auto"/>
        <w:jc w:val="both"/>
        <w:outlineLvl w:val="0"/>
        <w:rPr>
          <w:rFonts w:ascii="Times New Roman" w:eastAsia="Times New Roman" w:hAnsi="Times New Roman" w:cs="Times New Roman"/>
          <w:b/>
          <w:bCs/>
          <w:kern w:val="36"/>
          <w:sz w:val="24"/>
          <w:szCs w:val="24"/>
        </w:rPr>
      </w:pPr>
      <w:r w:rsidRPr="00F15BAA">
        <w:rPr>
          <w:rFonts w:ascii="Times New Roman" w:eastAsia="Times New Roman" w:hAnsi="Times New Roman" w:cs="Times New Roman"/>
          <w:b/>
          <w:bCs/>
          <w:kern w:val="36"/>
          <w:sz w:val="24"/>
          <w:szCs w:val="24"/>
        </w:rPr>
        <w:t xml:space="preserve">Discussion </w:t>
      </w:r>
    </w:p>
    <w:p w:rsidR="00F15BAA" w:rsidRPr="00F15BAA" w:rsidRDefault="00F15BAA" w:rsidP="00E63D43">
      <w:pPr>
        <w:spacing w:before="100" w:beforeAutospacing="1" w:after="100" w:afterAutospacing="1" w:line="240" w:lineRule="auto"/>
        <w:jc w:val="both"/>
        <w:rPr>
          <w:rFonts w:ascii="Times New Roman" w:eastAsia="Times New Roman" w:hAnsi="Times New Roman" w:cs="Times New Roman"/>
          <w:sz w:val="24"/>
          <w:szCs w:val="24"/>
        </w:rPr>
      </w:pPr>
      <w:r w:rsidRPr="00F15BAA">
        <w:rPr>
          <w:rFonts w:ascii="Times New Roman" w:eastAsia="Times New Roman" w:hAnsi="Times New Roman" w:cs="Times New Roman"/>
          <w:sz w:val="24"/>
          <w:szCs w:val="24"/>
        </w:rPr>
        <w:t xml:space="preserve">The findings indicate that the Indian stock market exhibits a </w:t>
      </w:r>
      <w:r w:rsidRPr="00F15BAA">
        <w:rPr>
          <w:rFonts w:ascii="Times New Roman" w:eastAsia="Times New Roman" w:hAnsi="Times New Roman" w:cs="Times New Roman"/>
          <w:b/>
          <w:bCs/>
          <w:sz w:val="24"/>
          <w:szCs w:val="24"/>
        </w:rPr>
        <w:t>dual response</w:t>
      </w:r>
      <w:r w:rsidRPr="00F15BAA">
        <w:rPr>
          <w:rFonts w:ascii="Times New Roman" w:eastAsia="Times New Roman" w:hAnsi="Times New Roman" w:cs="Times New Roman"/>
          <w:sz w:val="24"/>
          <w:szCs w:val="24"/>
        </w:rPr>
        <w:t xml:space="preserve"> to global uncertainty:</w:t>
      </w:r>
    </w:p>
    <w:p w:rsidR="00F15BAA" w:rsidRPr="00F15BAA" w:rsidRDefault="00F15BAA" w:rsidP="00E63D43">
      <w:pPr>
        <w:numPr>
          <w:ilvl w:val="0"/>
          <w:numId w:val="8"/>
        </w:numPr>
        <w:spacing w:before="100" w:beforeAutospacing="1" w:after="100" w:afterAutospacing="1" w:line="240" w:lineRule="auto"/>
        <w:jc w:val="both"/>
        <w:rPr>
          <w:rFonts w:ascii="Times New Roman" w:eastAsia="Times New Roman" w:hAnsi="Times New Roman" w:cs="Times New Roman"/>
          <w:sz w:val="24"/>
          <w:szCs w:val="24"/>
        </w:rPr>
      </w:pPr>
      <w:r w:rsidRPr="00F15BAA">
        <w:rPr>
          <w:rFonts w:ascii="Times New Roman" w:eastAsia="Times New Roman" w:hAnsi="Times New Roman" w:cs="Times New Roman"/>
          <w:b/>
          <w:bCs/>
          <w:sz w:val="24"/>
          <w:szCs w:val="24"/>
        </w:rPr>
        <w:lastRenderedPageBreak/>
        <w:t>Short-term:</w:t>
      </w:r>
      <w:r w:rsidRPr="00F15BAA">
        <w:rPr>
          <w:rFonts w:ascii="Times New Roman" w:eastAsia="Times New Roman" w:hAnsi="Times New Roman" w:cs="Times New Roman"/>
          <w:sz w:val="24"/>
          <w:szCs w:val="24"/>
        </w:rPr>
        <w:t xml:space="preserve"> Increased volatility, capital outflows, and sector-specific declines </w:t>
      </w:r>
    </w:p>
    <w:p w:rsidR="00F15BAA" w:rsidRPr="00F15BAA" w:rsidRDefault="00F15BAA" w:rsidP="00E63D43">
      <w:pPr>
        <w:numPr>
          <w:ilvl w:val="0"/>
          <w:numId w:val="8"/>
        </w:numPr>
        <w:spacing w:before="100" w:beforeAutospacing="1" w:after="100" w:afterAutospacing="1" w:line="240" w:lineRule="auto"/>
        <w:jc w:val="both"/>
        <w:rPr>
          <w:rFonts w:ascii="Times New Roman" w:eastAsia="Times New Roman" w:hAnsi="Times New Roman" w:cs="Times New Roman"/>
          <w:sz w:val="24"/>
          <w:szCs w:val="24"/>
        </w:rPr>
      </w:pPr>
      <w:r w:rsidRPr="00F15BAA">
        <w:rPr>
          <w:rFonts w:ascii="Times New Roman" w:eastAsia="Times New Roman" w:hAnsi="Times New Roman" w:cs="Times New Roman"/>
          <w:b/>
          <w:bCs/>
          <w:sz w:val="24"/>
          <w:szCs w:val="24"/>
        </w:rPr>
        <w:t>Long-term:</w:t>
      </w:r>
      <w:r w:rsidRPr="00F15BAA">
        <w:rPr>
          <w:rFonts w:ascii="Times New Roman" w:eastAsia="Times New Roman" w:hAnsi="Times New Roman" w:cs="Times New Roman"/>
          <w:sz w:val="24"/>
          <w:szCs w:val="24"/>
        </w:rPr>
        <w:t xml:space="preserve"> Sustained growth driven by domestic factors </w:t>
      </w:r>
    </w:p>
    <w:p w:rsidR="00F15BAA" w:rsidRPr="00F15BAA" w:rsidRDefault="00F15BAA" w:rsidP="00E63D43">
      <w:pPr>
        <w:spacing w:before="100" w:beforeAutospacing="1" w:after="100" w:afterAutospacing="1" w:line="240" w:lineRule="auto"/>
        <w:jc w:val="both"/>
        <w:rPr>
          <w:rFonts w:ascii="Times New Roman" w:eastAsia="Times New Roman" w:hAnsi="Times New Roman" w:cs="Times New Roman"/>
          <w:sz w:val="24"/>
          <w:szCs w:val="24"/>
        </w:rPr>
      </w:pPr>
      <w:r w:rsidRPr="00F15BAA">
        <w:rPr>
          <w:rFonts w:ascii="Times New Roman" w:eastAsia="Times New Roman" w:hAnsi="Times New Roman" w:cs="Times New Roman"/>
          <w:sz w:val="24"/>
          <w:szCs w:val="24"/>
        </w:rPr>
        <w:t xml:space="preserve">This supports the concept of </w:t>
      </w:r>
      <w:r w:rsidRPr="00BD25A5">
        <w:rPr>
          <w:rFonts w:ascii="Times New Roman" w:eastAsia="Times New Roman" w:hAnsi="Times New Roman" w:cs="Times New Roman"/>
          <w:bCs/>
          <w:sz w:val="24"/>
          <w:szCs w:val="24"/>
        </w:rPr>
        <w:t>partial decoupling</w:t>
      </w:r>
      <w:r w:rsidRPr="00F15BAA">
        <w:rPr>
          <w:rFonts w:ascii="Times New Roman" w:eastAsia="Times New Roman" w:hAnsi="Times New Roman" w:cs="Times New Roman"/>
          <w:sz w:val="24"/>
          <w:szCs w:val="24"/>
        </w:rPr>
        <w:t>, where India is not entirely immune to global shocks but is less affected compared to other emerging markets.</w:t>
      </w:r>
    </w:p>
    <w:p w:rsidR="00F15BAA" w:rsidRPr="00F15BAA" w:rsidRDefault="00F15BAA" w:rsidP="00E63D43">
      <w:pPr>
        <w:spacing w:before="100" w:beforeAutospacing="1" w:after="100" w:afterAutospacing="1" w:line="240" w:lineRule="auto"/>
        <w:jc w:val="both"/>
        <w:rPr>
          <w:rFonts w:ascii="Times New Roman" w:eastAsia="Times New Roman" w:hAnsi="Times New Roman" w:cs="Times New Roman"/>
          <w:sz w:val="24"/>
          <w:szCs w:val="24"/>
        </w:rPr>
      </w:pPr>
      <w:r w:rsidRPr="00F15BAA">
        <w:rPr>
          <w:rFonts w:ascii="Times New Roman" w:eastAsia="Times New Roman" w:hAnsi="Times New Roman" w:cs="Times New Roman"/>
          <w:sz w:val="24"/>
          <w:szCs w:val="24"/>
        </w:rPr>
        <w:t>The increasing role of domestic investors, combined with strong macroeconomic fundamentals, has fundamentally changed the structure of the Indian stock market. Unlike earlier decades, external shocks no longer dictate long-term market trends.</w:t>
      </w:r>
    </w:p>
    <w:p w:rsidR="00F15BAA" w:rsidRPr="00F15BAA" w:rsidRDefault="00F15BAA" w:rsidP="00E63D43">
      <w:pPr>
        <w:spacing w:before="100" w:beforeAutospacing="1" w:after="100" w:afterAutospacing="1" w:line="240" w:lineRule="auto"/>
        <w:jc w:val="both"/>
        <w:rPr>
          <w:rFonts w:ascii="Times New Roman" w:eastAsia="Times New Roman" w:hAnsi="Times New Roman" w:cs="Times New Roman"/>
          <w:sz w:val="24"/>
          <w:szCs w:val="24"/>
        </w:rPr>
      </w:pPr>
      <w:r w:rsidRPr="00F15BAA">
        <w:rPr>
          <w:rFonts w:ascii="Times New Roman" w:eastAsia="Times New Roman" w:hAnsi="Times New Roman" w:cs="Times New Roman"/>
          <w:sz w:val="24"/>
          <w:szCs w:val="24"/>
        </w:rPr>
        <w:t>Furthermore, the results align with previous research suggesting that emerging markets with strong domestic demand and policy stability are better equipped to withstand global uncertainty (Zhang et al., 2024).</w:t>
      </w:r>
    </w:p>
    <w:p w:rsidR="00F15BAA" w:rsidRPr="00F15BAA" w:rsidRDefault="00F15BAA" w:rsidP="00E63D43">
      <w:pPr>
        <w:spacing w:before="100" w:beforeAutospacing="1" w:after="100" w:afterAutospacing="1" w:line="240" w:lineRule="auto"/>
        <w:jc w:val="both"/>
        <w:outlineLvl w:val="0"/>
        <w:rPr>
          <w:rFonts w:ascii="Times New Roman" w:eastAsia="Times New Roman" w:hAnsi="Times New Roman" w:cs="Times New Roman"/>
          <w:b/>
          <w:bCs/>
          <w:kern w:val="36"/>
          <w:sz w:val="24"/>
          <w:szCs w:val="24"/>
        </w:rPr>
      </w:pPr>
      <w:r w:rsidRPr="00F15BAA">
        <w:rPr>
          <w:rFonts w:ascii="Times New Roman" w:eastAsia="Times New Roman" w:hAnsi="Times New Roman" w:cs="Times New Roman"/>
          <w:b/>
          <w:bCs/>
          <w:kern w:val="36"/>
          <w:sz w:val="24"/>
          <w:szCs w:val="24"/>
        </w:rPr>
        <w:t xml:space="preserve">Conclusion </w:t>
      </w:r>
    </w:p>
    <w:p w:rsidR="00F15BAA" w:rsidRPr="00F15BAA" w:rsidRDefault="00F15BAA" w:rsidP="00E63D43">
      <w:pPr>
        <w:spacing w:before="100" w:beforeAutospacing="1" w:after="100" w:afterAutospacing="1" w:line="240" w:lineRule="auto"/>
        <w:jc w:val="both"/>
        <w:rPr>
          <w:rFonts w:ascii="Times New Roman" w:eastAsia="Times New Roman" w:hAnsi="Times New Roman" w:cs="Times New Roman"/>
          <w:sz w:val="24"/>
          <w:szCs w:val="24"/>
        </w:rPr>
      </w:pPr>
      <w:r w:rsidRPr="00F15BAA">
        <w:rPr>
          <w:rFonts w:ascii="Times New Roman" w:eastAsia="Times New Roman" w:hAnsi="Times New Roman" w:cs="Times New Roman"/>
          <w:sz w:val="24"/>
          <w:szCs w:val="24"/>
        </w:rPr>
        <w:t>This study concludes that the Indian stock market has demonstrated significant resilience during the period of global uncertainty from 2024 to 2026. While external factors such as geopolitical tensions and monetary tightening influence short-term market movements, the long-term growth trajectory remains strong.</w:t>
      </w:r>
    </w:p>
    <w:p w:rsidR="00F15BAA" w:rsidRPr="00F15BAA" w:rsidRDefault="00F15BAA" w:rsidP="00E63D43">
      <w:pPr>
        <w:spacing w:before="100" w:beforeAutospacing="1" w:after="100" w:afterAutospacing="1" w:line="240" w:lineRule="auto"/>
        <w:jc w:val="both"/>
        <w:rPr>
          <w:rFonts w:ascii="Times New Roman" w:eastAsia="Times New Roman" w:hAnsi="Times New Roman" w:cs="Times New Roman"/>
          <w:sz w:val="24"/>
          <w:szCs w:val="24"/>
        </w:rPr>
      </w:pPr>
      <w:r w:rsidRPr="00F15BAA">
        <w:rPr>
          <w:rFonts w:ascii="Times New Roman" w:eastAsia="Times New Roman" w:hAnsi="Times New Roman" w:cs="Times New Roman"/>
          <w:sz w:val="24"/>
          <w:szCs w:val="24"/>
        </w:rPr>
        <w:t>Key factors contributing to this resilience include:</w:t>
      </w:r>
    </w:p>
    <w:p w:rsidR="00F15BAA" w:rsidRPr="00F15BAA" w:rsidRDefault="00F15BAA" w:rsidP="00E63D43">
      <w:pPr>
        <w:numPr>
          <w:ilvl w:val="0"/>
          <w:numId w:val="9"/>
        </w:numPr>
        <w:spacing w:before="100" w:beforeAutospacing="1" w:after="100" w:afterAutospacing="1" w:line="240" w:lineRule="auto"/>
        <w:jc w:val="both"/>
        <w:rPr>
          <w:rFonts w:ascii="Times New Roman" w:eastAsia="Times New Roman" w:hAnsi="Times New Roman" w:cs="Times New Roman"/>
          <w:sz w:val="24"/>
          <w:szCs w:val="24"/>
        </w:rPr>
      </w:pPr>
      <w:r w:rsidRPr="00F15BAA">
        <w:rPr>
          <w:rFonts w:ascii="Times New Roman" w:eastAsia="Times New Roman" w:hAnsi="Times New Roman" w:cs="Times New Roman"/>
          <w:sz w:val="24"/>
          <w:szCs w:val="24"/>
        </w:rPr>
        <w:t xml:space="preserve">Strong GDP growth and macroeconomic stability </w:t>
      </w:r>
    </w:p>
    <w:p w:rsidR="00F15BAA" w:rsidRPr="00F15BAA" w:rsidRDefault="00F15BAA" w:rsidP="00E63D43">
      <w:pPr>
        <w:numPr>
          <w:ilvl w:val="0"/>
          <w:numId w:val="9"/>
        </w:numPr>
        <w:spacing w:before="100" w:beforeAutospacing="1" w:after="100" w:afterAutospacing="1" w:line="240" w:lineRule="auto"/>
        <w:jc w:val="both"/>
        <w:rPr>
          <w:rFonts w:ascii="Times New Roman" w:eastAsia="Times New Roman" w:hAnsi="Times New Roman" w:cs="Times New Roman"/>
          <w:sz w:val="24"/>
          <w:szCs w:val="24"/>
        </w:rPr>
      </w:pPr>
      <w:r w:rsidRPr="00F15BAA">
        <w:rPr>
          <w:rFonts w:ascii="Times New Roman" w:eastAsia="Times New Roman" w:hAnsi="Times New Roman" w:cs="Times New Roman"/>
          <w:sz w:val="24"/>
          <w:szCs w:val="24"/>
        </w:rPr>
        <w:t xml:space="preserve">Increasing participation of domestic investors </w:t>
      </w:r>
    </w:p>
    <w:p w:rsidR="00F15BAA" w:rsidRPr="00F15BAA" w:rsidRDefault="00F15BAA" w:rsidP="00E63D43">
      <w:pPr>
        <w:numPr>
          <w:ilvl w:val="0"/>
          <w:numId w:val="9"/>
        </w:numPr>
        <w:spacing w:before="100" w:beforeAutospacing="1" w:after="100" w:afterAutospacing="1" w:line="240" w:lineRule="auto"/>
        <w:jc w:val="both"/>
        <w:rPr>
          <w:rFonts w:ascii="Times New Roman" w:eastAsia="Times New Roman" w:hAnsi="Times New Roman" w:cs="Times New Roman"/>
          <w:sz w:val="24"/>
          <w:szCs w:val="24"/>
        </w:rPr>
      </w:pPr>
      <w:r w:rsidRPr="00F15BAA">
        <w:rPr>
          <w:rFonts w:ascii="Times New Roman" w:eastAsia="Times New Roman" w:hAnsi="Times New Roman" w:cs="Times New Roman"/>
          <w:sz w:val="24"/>
          <w:szCs w:val="24"/>
        </w:rPr>
        <w:t xml:space="preserve">Effective policy measures and institutional support </w:t>
      </w:r>
    </w:p>
    <w:p w:rsidR="00F15BAA" w:rsidRPr="00F15BAA" w:rsidRDefault="00F15BAA" w:rsidP="00E63D43">
      <w:pPr>
        <w:numPr>
          <w:ilvl w:val="0"/>
          <w:numId w:val="9"/>
        </w:numPr>
        <w:spacing w:before="100" w:beforeAutospacing="1" w:after="100" w:afterAutospacing="1" w:line="240" w:lineRule="auto"/>
        <w:jc w:val="both"/>
        <w:rPr>
          <w:rFonts w:ascii="Times New Roman" w:eastAsia="Times New Roman" w:hAnsi="Times New Roman" w:cs="Times New Roman"/>
          <w:sz w:val="24"/>
          <w:szCs w:val="24"/>
        </w:rPr>
      </w:pPr>
      <w:r w:rsidRPr="00F15BAA">
        <w:rPr>
          <w:rFonts w:ascii="Times New Roman" w:eastAsia="Times New Roman" w:hAnsi="Times New Roman" w:cs="Times New Roman"/>
          <w:sz w:val="24"/>
          <w:szCs w:val="24"/>
        </w:rPr>
        <w:t xml:space="preserve">Reduced dependence on foreign capital </w:t>
      </w:r>
    </w:p>
    <w:p w:rsidR="00F15BAA" w:rsidRPr="00F15BAA" w:rsidRDefault="00F15BAA" w:rsidP="00E63D43">
      <w:pPr>
        <w:spacing w:before="100" w:beforeAutospacing="1" w:after="100" w:afterAutospacing="1" w:line="240" w:lineRule="auto"/>
        <w:jc w:val="both"/>
        <w:rPr>
          <w:rFonts w:ascii="Times New Roman" w:eastAsia="Times New Roman" w:hAnsi="Times New Roman" w:cs="Times New Roman"/>
          <w:sz w:val="24"/>
          <w:szCs w:val="24"/>
        </w:rPr>
      </w:pPr>
      <w:r w:rsidRPr="00F15BAA">
        <w:rPr>
          <w:rFonts w:ascii="Times New Roman" w:eastAsia="Times New Roman" w:hAnsi="Times New Roman" w:cs="Times New Roman"/>
          <w:sz w:val="24"/>
          <w:szCs w:val="24"/>
        </w:rPr>
        <w:t xml:space="preserve">India is increasingly being viewed as a </w:t>
      </w:r>
      <w:r w:rsidRPr="00BD25A5">
        <w:rPr>
          <w:rFonts w:ascii="Times New Roman" w:eastAsia="Times New Roman" w:hAnsi="Times New Roman" w:cs="Times New Roman"/>
          <w:bCs/>
          <w:sz w:val="24"/>
          <w:szCs w:val="24"/>
        </w:rPr>
        <w:t>stable and attractive investment destination</w:t>
      </w:r>
      <w:r w:rsidRPr="00F15BAA">
        <w:rPr>
          <w:rFonts w:ascii="Times New Roman" w:eastAsia="Times New Roman" w:hAnsi="Times New Roman" w:cs="Times New Roman"/>
          <w:sz w:val="24"/>
          <w:szCs w:val="24"/>
        </w:rPr>
        <w:t xml:space="preserve"> among emerging markets. The findings suggest that the Indian stock market is transitioning toward a more </w:t>
      </w:r>
      <w:r w:rsidRPr="00BD25A5">
        <w:rPr>
          <w:rFonts w:ascii="Times New Roman" w:eastAsia="Times New Roman" w:hAnsi="Times New Roman" w:cs="Times New Roman"/>
          <w:bCs/>
          <w:sz w:val="24"/>
          <w:szCs w:val="24"/>
        </w:rPr>
        <w:t>self-sustaining growth model</w:t>
      </w:r>
      <w:r w:rsidRPr="00F15BAA">
        <w:rPr>
          <w:rFonts w:ascii="Times New Roman" w:eastAsia="Times New Roman" w:hAnsi="Times New Roman" w:cs="Times New Roman"/>
          <w:sz w:val="24"/>
          <w:szCs w:val="24"/>
        </w:rPr>
        <w:t>, capable of withstanding global economic shocks.</w:t>
      </w:r>
    </w:p>
    <w:p w:rsidR="007032CB" w:rsidRPr="007032CB" w:rsidRDefault="007032CB" w:rsidP="00E63D43">
      <w:pPr>
        <w:spacing w:before="100" w:beforeAutospacing="1" w:after="100" w:afterAutospacing="1" w:line="240" w:lineRule="auto"/>
        <w:jc w:val="both"/>
        <w:outlineLvl w:val="1"/>
        <w:rPr>
          <w:rFonts w:ascii="Times New Roman" w:eastAsia="Times New Roman" w:hAnsi="Times New Roman" w:cs="Times New Roman"/>
          <w:b/>
          <w:bCs/>
          <w:sz w:val="24"/>
          <w:szCs w:val="24"/>
        </w:rPr>
      </w:pPr>
      <w:r w:rsidRPr="00F15BAA">
        <w:rPr>
          <w:rFonts w:ascii="Times New Roman" w:eastAsia="Times New Roman" w:hAnsi="Times New Roman" w:cs="Times New Roman"/>
          <w:b/>
          <w:bCs/>
          <w:sz w:val="24"/>
          <w:szCs w:val="24"/>
        </w:rPr>
        <w:t xml:space="preserve">References </w:t>
      </w:r>
    </w:p>
    <w:p w:rsidR="00F15BAA" w:rsidRPr="001A0E77" w:rsidRDefault="00F15BAA" w:rsidP="001A0E77">
      <w:pPr>
        <w:pStyle w:val="ListParagraph"/>
        <w:numPr>
          <w:ilvl w:val="0"/>
          <w:numId w:val="10"/>
        </w:numPr>
        <w:spacing w:after="0" w:line="240" w:lineRule="auto"/>
        <w:rPr>
          <w:rFonts w:ascii="Times New Roman" w:eastAsia="Times New Roman" w:hAnsi="Times New Roman" w:cs="Times New Roman"/>
          <w:sz w:val="24"/>
          <w:szCs w:val="24"/>
        </w:rPr>
      </w:pPr>
      <w:r w:rsidRPr="001A0E77">
        <w:rPr>
          <w:rFonts w:ascii="Times New Roman" w:eastAsia="Times New Roman" w:hAnsi="Times New Roman" w:cs="Times New Roman"/>
          <w:sz w:val="24"/>
          <w:szCs w:val="24"/>
        </w:rPr>
        <w:t xml:space="preserve">Aggarwal, K., &amp; </w:t>
      </w:r>
      <w:proofErr w:type="spellStart"/>
      <w:r w:rsidRPr="001A0E77">
        <w:rPr>
          <w:rFonts w:ascii="Times New Roman" w:eastAsia="Times New Roman" w:hAnsi="Times New Roman" w:cs="Times New Roman"/>
          <w:sz w:val="24"/>
          <w:szCs w:val="24"/>
        </w:rPr>
        <w:t>Saradhi</w:t>
      </w:r>
      <w:proofErr w:type="spellEnd"/>
      <w:r w:rsidRPr="001A0E77">
        <w:rPr>
          <w:rFonts w:ascii="Times New Roman" w:eastAsia="Times New Roman" w:hAnsi="Times New Roman" w:cs="Times New Roman"/>
          <w:sz w:val="24"/>
          <w:szCs w:val="24"/>
        </w:rPr>
        <w:t xml:space="preserve">, V. R. (2023). Causality between stock market, domestic and global economic policy uncertainty: Evidence from India. </w:t>
      </w:r>
      <w:r w:rsidRPr="001A0E77">
        <w:rPr>
          <w:rFonts w:ascii="Times New Roman" w:eastAsia="Times New Roman" w:hAnsi="Times New Roman" w:cs="Times New Roman"/>
          <w:i/>
          <w:iCs/>
          <w:sz w:val="24"/>
          <w:szCs w:val="24"/>
        </w:rPr>
        <w:t>The Indian Economic Journal, 71</w:t>
      </w:r>
      <w:r w:rsidRPr="001A0E77">
        <w:rPr>
          <w:rFonts w:ascii="Times New Roman" w:eastAsia="Times New Roman" w:hAnsi="Times New Roman" w:cs="Times New Roman"/>
          <w:sz w:val="24"/>
          <w:szCs w:val="24"/>
        </w:rPr>
        <w:t>(2), 1–20. https://doi.org/10.1177/00194662221137829</w:t>
      </w:r>
    </w:p>
    <w:p w:rsidR="00F15BAA" w:rsidRPr="001A0E77" w:rsidRDefault="00F15BAA" w:rsidP="001A0E77">
      <w:pPr>
        <w:pStyle w:val="ListParagraph"/>
        <w:numPr>
          <w:ilvl w:val="0"/>
          <w:numId w:val="10"/>
        </w:numPr>
        <w:spacing w:after="0" w:line="240" w:lineRule="auto"/>
        <w:rPr>
          <w:rFonts w:ascii="Times New Roman" w:eastAsia="Times New Roman" w:hAnsi="Times New Roman" w:cs="Times New Roman"/>
          <w:sz w:val="24"/>
          <w:szCs w:val="24"/>
        </w:rPr>
      </w:pPr>
      <w:proofErr w:type="spellStart"/>
      <w:r w:rsidRPr="001A0E77">
        <w:rPr>
          <w:rFonts w:ascii="Times New Roman" w:eastAsia="Times New Roman" w:hAnsi="Times New Roman" w:cs="Times New Roman"/>
          <w:sz w:val="24"/>
          <w:szCs w:val="24"/>
        </w:rPr>
        <w:t>Bhattacharjee</w:t>
      </w:r>
      <w:proofErr w:type="spellEnd"/>
      <w:r w:rsidRPr="001A0E77">
        <w:rPr>
          <w:rFonts w:ascii="Times New Roman" w:eastAsia="Times New Roman" w:hAnsi="Times New Roman" w:cs="Times New Roman"/>
          <w:sz w:val="24"/>
          <w:szCs w:val="24"/>
        </w:rPr>
        <w:t xml:space="preserve">, A., </w:t>
      </w:r>
      <w:proofErr w:type="spellStart"/>
      <w:r w:rsidRPr="001A0E77">
        <w:rPr>
          <w:rFonts w:ascii="Times New Roman" w:eastAsia="Times New Roman" w:hAnsi="Times New Roman" w:cs="Times New Roman"/>
          <w:sz w:val="24"/>
          <w:szCs w:val="24"/>
        </w:rPr>
        <w:t>Nandy</w:t>
      </w:r>
      <w:proofErr w:type="spellEnd"/>
      <w:r w:rsidRPr="001A0E77">
        <w:rPr>
          <w:rFonts w:ascii="Times New Roman" w:eastAsia="Times New Roman" w:hAnsi="Times New Roman" w:cs="Times New Roman"/>
          <w:sz w:val="24"/>
          <w:szCs w:val="24"/>
        </w:rPr>
        <w:t xml:space="preserve">, M., &amp; </w:t>
      </w:r>
      <w:proofErr w:type="spellStart"/>
      <w:r w:rsidRPr="001A0E77">
        <w:rPr>
          <w:rFonts w:ascii="Times New Roman" w:eastAsia="Times New Roman" w:hAnsi="Times New Roman" w:cs="Times New Roman"/>
          <w:sz w:val="24"/>
          <w:szCs w:val="24"/>
        </w:rPr>
        <w:t>Lodh</w:t>
      </w:r>
      <w:proofErr w:type="spellEnd"/>
      <w:r w:rsidRPr="001A0E77">
        <w:rPr>
          <w:rFonts w:ascii="Times New Roman" w:eastAsia="Times New Roman" w:hAnsi="Times New Roman" w:cs="Times New Roman"/>
          <w:sz w:val="24"/>
          <w:szCs w:val="24"/>
        </w:rPr>
        <w:t xml:space="preserve">, S. (2024). COVID-19 and persistence in the stock market: A study on a leading emerging market. </w:t>
      </w:r>
      <w:r w:rsidRPr="001A0E77">
        <w:rPr>
          <w:rFonts w:ascii="Times New Roman" w:eastAsia="Times New Roman" w:hAnsi="Times New Roman" w:cs="Times New Roman"/>
          <w:i/>
          <w:iCs/>
          <w:sz w:val="24"/>
          <w:szCs w:val="24"/>
        </w:rPr>
        <w:t>International Journal of Disclosure and Governance, 22</w:t>
      </w:r>
      <w:r w:rsidRPr="001A0E77">
        <w:rPr>
          <w:rFonts w:ascii="Times New Roman" w:eastAsia="Times New Roman" w:hAnsi="Times New Roman" w:cs="Times New Roman"/>
          <w:sz w:val="24"/>
          <w:szCs w:val="24"/>
        </w:rPr>
        <w:t xml:space="preserve">, 520–531. </w:t>
      </w:r>
      <w:hyperlink r:id="rId6" w:tgtFrame="_new" w:history="1">
        <w:r w:rsidRPr="001A0E77">
          <w:rPr>
            <w:rFonts w:ascii="Times New Roman" w:eastAsia="Times New Roman" w:hAnsi="Times New Roman" w:cs="Times New Roman"/>
            <w:color w:val="0000FF"/>
            <w:sz w:val="24"/>
            <w:szCs w:val="24"/>
            <w:u w:val="single"/>
          </w:rPr>
          <w:t>https://doi.org/10.1057/s41310-024-00250-7</w:t>
        </w:r>
      </w:hyperlink>
    </w:p>
    <w:p w:rsidR="00F15BAA" w:rsidRPr="001A0E77" w:rsidRDefault="00F15BAA" w:rsidP="001A0E77">
      <w:pPr>
        <w:pStyle w:val="ListParagraph"/>
        <w:numPr>
          <w:ilvl w:val="0"/>
          <w:numId w:val="10"/>
        </w:numPr>
        <w:spacing w:after="0" w:line="240" w:lineRule="auto"/>
        <w:rPr>
          <w:rFonts w:ascii="Times New Roman" w:eastAsia="Times New Roman" w:hAnsi="Times New Roman" w:cs="Times New Roman"/>
          <w:sz w:val="24"/>
          <w:szCs w:val="24"/>
        </w:rPr>
      </w:pPr>
      <w:proofErr w:type="spellStart"/>
      <w:r w:rsidRPr="001A0E77">
        <w:rPr>
          <w:rFonts w:ascii="Times New Roman" w:eastAsia="Times New Roman" w:hAnsi="Times New Roman" w:cs="Times New Roman"/>
          <w:sz w:val="24"/>
          <w:szCs w:val="24"/>
        </w:rPr>
        <w:t>Bisiriyu</w:t>
      </w:r>
      <w:proofErr w:type="spellEnd"/>
      <w:r w:rsidRPr="001A0E77">
        <w:rPr>
          <w:rFonts w:ascii="Times New Roman" w:eastAsia="Times New Roman" w:hAnsi="Times New Roman" w:cs="Times New Roman"/>
          <w:sz w:val="24"/>
          <w:szCs w:val="24"/>
        </w:rPr>
        <w:t xml:space="preserve">, S. O. (2025). Economic policy uncertainty and stock market performance in emerging economies. </w:t>
      </w:r>
      <w:r w:rsidRPr="001A0E77">
        <w:rPr>
          <w:rFonts w:ascii="Times New Roman" w:eastAsia="Times New Roman" w:hAnsi="Times New Roman" w:cs="Times New Roman"/>
          <w:i/>
          <w:iCs/>
          <w:sz w:val="24"/>
          <w:szCs w:val="24"/>
        </w:rPr>
        <w:t>Journal of Financial Stability Studies, 12</w:t>
      </w:r>
      <w:r w:rsidRPr="001A0E77">
        <w:rPr>
          <w:rFonts w:ascii="Times New Roman" w:eastAsia="Times New Roman" w:hAnsi="Times New Roman" w:cs="Times New Roman"/>
          <w:sz w:val="24"/>
          <w:szCs w:val="24"/>
        </w:rPr>
        <w:t xml:space="preserve">(2), 45–60. </w:t>
      </w:r>
    </w:p>
    <w:p w:rsidR="00F15BAA" w:rsidRPr="001A0E77" w:rsidRDefault="00F15BAA" w:rsidP="001A0E77">
      <w:pPr>
        <w:pStyle w:val="ListParagraph"/>
        <w:numPr>
          <w:ilvl w:val="0"/>
          <w:numId w:val="10"/>
        </w:numPr>
        <w:spacing w:after="0" w:line="240" w:lineRule="auto"/>
        <w:rPr>
          <w:rFonts w:ascii="Times New Roman" w:eastAsia="Times New Roman" w:hAnsi="Times New Roman" w:cs="Times New Roman"/>
          <w:sz w:val="24"/>
          <w:szCs w:val="24"/>
        </w:rPr>
      </w:pPr>
      <w:proofErr w:type="spellStart"/>
      <w:r w:rsidRPr="001A0E77">
        <w:rPr>
          <w:rFonts w:ascii="Times New Roman" w:eastAsia="Times New Roman" w:hAnsi="Times New Roman" w:cs="Times New Roman"/>
          <w:sz w:val="24"/>
          <w:szCs w:val="24"/>
        </w:rPr>
        <w:t>Bisiriyu</w:t>
      </w:r>
      <w:proofErr w:type="spellEnd"/>
      <w:r w:rsidRPr="001A0E77">
        <w:rPr>
          <w:rFonts w:ascii="Times New Roman" w:eastAsia="Times New Roman" w:hAnsi="Times New Roman" w:cs="Times New Roman"/>
          <w:sz w:val="24"/>
          <w:szCs w:val="24"/>
        </w:rPr>
        <w:t xml:space="preserve">, S. O., Ismail, N. B. M., &amp; Ramachandran, R. (2025). Highs, lows, and uncertainty: A deep dive into India’s stock market and policy uncertainty. </w:t>
      </w:r>
      <w:r w:rsidRPr="001A0E77">
        <w:rPr>
          <w:rFonts w:ascii="Times New Roman" w:eastAsia="Times New Roman" w:hAnsi="Times New Roman" w:cs="Times New Roman"/>
          <w:i/>
          <w:iCs/>
          <w:sz w:val="24"/>
          <w:szCs w:val="24"/>
        </w:rPr>
        <w:t>Discover Sustainability, 6</w:t>
      </w:r>
      <w:r w:rsidRPr="001A0E77">
        <w:rPr>
          <w:rFonts w:ascii="Times New Roman" w:eastAsia="Times New Roman" w:hAnsi="Times New Roman" w:cs="Times New Roman"/>
          <w:sz w:val="24"/>
          <w:szCs w:val="24"/>
        </w:rPr>
        <w:t>, 1024. https://doi.org/10.1007/s43621-025-01693-w</w:t>
      </w:r>
    </w:p>
    <w:p w:rsidR="00857B16" w:rsidRPr="001A0E77" w:rsidRDefault="00F15BAA" w:rsidP="001A0E77">
      <w:pPr>
        <w:pStyle w:val="ListParagraph"/>
        <w:numPr>
          <w:ilvl w:val="0"/>
          <w:numId w:val="10"/>
        </w:numPr>
        <w:spacing w:after="0" w:line="240" w:lineRule="auto"/>
        <w:rPr>
          <w:rFonts w:ascii="Times New Roman" w:eastAsia="Times New Roman" w:hAnsi="Times New Roman" w:cs="Times New Roman"/>
          <w:sz w:val="24"/>
          <w:szCs w:val="24"/>
        </w:rPr>
      </w:pPr>
      <w:r w:rsidRPr="001A0E77">
        <w:rPr>
          <w:rFonts w:ascii="Times New Roman" w:eastAsia="Times New Roman" w:hAnsi="Times New Roman" w:cs="Times New Roman"/>
          <w:sz w:val="24"/>
          <w:szCs w:val="24"/>
        </w:rPr>
        <w:t xml:space="preserve">Deloitte. (2025). </w:t>
      </w:r>
      <w:r w:rsidRPr="001A0E77">
        <w:rPr>
          <w:rFonts w:ascii="Times New Roman" w:eastAsia="Times New Roman" w:hAnsi="Times New Roman" w:cs="Times New Roman"/>
          <w:i/>
          <w:iCs/>
          <w:sz w:val="24"/>
          <w:szCs w:val="24"/>
        </w:rPr>
        <w:t>India economic outlook 2025</w:t>
      </w:r>
      <w:r w:rsidRPr="001A0E77">
        <w:rPr>
          <w:rFonts w:ascii="Times New Roman" w:eastAsia="Times New Roman" w:hAnsi="Times New Roman" w:cs="Times New Roman"/>
          <w:sz w:val="24"/>
          <w:szCs w:val="24"/>
        </w:rPr>
        <w:t xml:space="preserve">. Deloitte Insights. </w:t>
      </w:r>
    </w:p>
    <w:p w:rsidR="00857B16" w:rsidRPr="001A0E77" w:rsidRDefault="00F15BAA" w:rsidP="001A0E77">
      <w:pPr>
        <w:pStyle w:val="ListParagraph"/>
        <w:numPr>
          <w:ilvl w:val="0"/>
          <w:numId w:val="10"/>
        </w:numPr>
        <w:spacing w:after="0" w:line="240" w:lineRule="auto"/>
        <w:rPr>
          <w:rFonts w:ascii="Times New Roman" w:eastAsia="Times New Roman" w:hAnsi="Times New Roman" w:cs="Times New Roman"/>
          <w:sz w:val="24"/>
          <w:szCs w:val="24"/>
        </w:rPr>
      </w:pPr>
      <w:r w:rsidRPr="001A0E77">
        <w:rPr>
          <w:rFonts w:ascii="Times New Roman" w:eastAsia="Times New Roman" w:hAnsi="Times New Roman" w:cs="Times New Roman"/>
          <w:sz w:val="24"/>
          <w:szCs w:val="24"/>
        </w:rPr>
        <w:lastRenderedPageBreak/>
        <w:t xml:space="preserve">Economic Times. (2026). Market volatility and global uncertainty. </w:t>
      </w:r>
      <w:r w:rsidRPr="001A0E77">
        <w:rPr>
          <w:rFonts w:ascii="Times New Roman" w:eastAsia="Times New Roman" w:hAnsi="Times New Roman" w:cs="Times New Roman"/>
          <w:i/>
          <w:iCs/>
          <w:sz w:val="24"/>
          <w:szCs w:val="24"/>
        </w:rPr>
        <w:t>The Economic Times</w:t>
      </w:r>
      <w:r w:rsidRPr="001A0E77">
        <w:rPr>
          <w:rFonts w:ascii="Times New Roman" w:eastAsia="Times New Roman" w:hAnsi="Times New Roman" w:cs="Times New Roman"/>
          <w:sz w:val="24"/>
          <w:szCs w:val="24"/>
        </w:rPr>
        <w:t xml:space="preserve">. </w:t>
      </w:r>
    </w:p>
    <w:p w:rsidR="00857B16" w:rsidRPr="001A0E77" w:rsidRDefault="00F15BAA" w:rsidP="001A0E77">
      <w:pPr>
        <w:pStyle w:val="ListParagraph"/>
        <w:numPr>
          <w:ilvl w:val="0"/>
          <w:numId w:val="10"/>
        </w:numPr>
        <w:spacing w:after="0" w:line="240" w:lineRule="auto"/>
        <w:rPr>
          <w:rFonts w:ascii="Times New Roman" w:eastAsia="Times New Roman" w:hAnsi="Times New Roman" w:cs="Times New Roman"/>
          <w:sz w:val="24"/>
          <w:szCs w:val="24"/>
        </w:rPr>
      </w:pPr>
      <w:r w:rsidRPr="001A0E77">
        <w:rPr>
          <w:rFonts w:ascii="Times New Roman" w:eastAsia="Times New Roman" w:hAnsi="Times New Roman" w:cs="Times New Roman"/>
          <w:sz w:val="24"/>
          <w:szCs w:val="24"/>
        </w:rPr>
        <w:t xml:space="preserve">Government of India. (2025). </w:t>
      </w:r>
      <w:r w:rsidRPr="001A0E77">
        <w:rPr>
          <w:rFonts w:ascii="Times New Roman" w:eastAsia="Times New Roman" w:hAnsi="Times New Roman" w:cs="Times New Roman"/>
          <w:i/>
          <w:iCs/>
          <w:sz w:val="24"/>
          <w:szCs w:val="24"/>
        </w:rPr>
        <w:t>Economic growth report</w:t>
      </w:r>
      <w:r w:rsidRPr="001A0E77">
        <w:rPr>
          <w:rFonts w:ascii="Times New Roman" w:eastAsia="Times New Roman" w:hAnsi="Times New Roman" w:cs="Times New Roman"/>
          <w:sz w:val="24"/>
          <w:szCs w:val="24"/>
        </w:rPr>
        <w:t xml:space="preserve">. Press Information Bureau. </w:t>
      </w:r>
    </w:p>
    <w:p w:rsidR="00F15BAA" w:rsidRPr="001A0E77" w:rsidRDefault="00F15BAA" w:rsidP="001A0E77">
      <w:pPr>
        <w:pStyle w:val="ListParagraph"/>
        <w:numPr>
          <w:ilvl w:val="0"/>
          <w:numId w:val="10"/>
        </w:numPr>
        <w:spacing w:after="0" w:line="240" w:lineRule="auto"/>
        <w:rPr>
          <w:rFonts w:ascii="Times New Roman" w:eastAsia="Times New Roman" w:hAnsi="Times New Roman" w:cs="Times New Roman"/>
          <w:sz w:val="24"/>
          <w:szCs w:val="24"/>
        </w:rPr>
      </w:pPr>
      <w:r w:rsidRPr="001A0E77">
        <w:rPr>
          <w:rFonts w:ascii="Times New Roman" w:eastAsia="Times New Roman" w:hAnsi="Times New Roman" w:cs="Times New Roman"/>
          <w:sz w:val="24"/>
          <w:szCs w:val="24"/>
        </w:rPr>
        <w:t xml:space="preserve">Government of India. (2025). </w:t>
      </w:r>
      <w:r w:rsidRPr="001A0E77">
        <w:rPr>
          <w:rFonts w:ascii="Times New Roman" w:eastAsia="Times New Roman" w:hAnsi="Times New Roman" w:cs="Times New Roman"/>
          <w:i/>
          <w:iCs/>
          <w:sz w:val="24"/>
          <w:szCs w:val="24"/>
        </w:rPr>
        <w:t>Economic survey and growth report</w:t>
      </w:r>
      <w:r w:rsidRPr="001A0E77">
        <w:rPr>
          <w:rFonts w:ascii="Times New Roman" w:eastAsia="Times New Roman" w:hAnsi="Times New Roman" w:cs="Times New Roman"/>
          <w:sz w:val="24"/>
          <w:szCs w:val="24"/>
        </w:rPr>
        <w:t xml:space="preserve">. Press Information Bureau. </w:t>
      </w:r>
    </w:p>
    <w:p w:rsidR="00F15BAA" w:rsidRPr="001A0E77" w:rsidRDefault="00F15BAA" w:rsidP="001A0E77">
      <w:pPr>
        <w:pStyle w:val="ListParagraph"/>
        <w:numPr>
          <w:ilvl w:val="0"/>
          <w:numId w:val="10"/>
        </w:numPr>
        <w:spacing w:after="0" w:line="240" w:lineRule="auto"/>
        <w:rPr>
          <w:rFonts w:ascii="Times New Roman" w:eastAsia="Times New Roman" w:hAnsi="Times New Roman" w:cs="Times New Roman"/>
          <w:sz w:val="24"/>
          <w:szCs w:val="24"/>
        </w:rPr>
      </w:pPr>
      <w:r w:rsidRPr="001A0E77">
        <w:rPr>
          <w:rFonts w:ascii="Times New Roman" w:eastAsia="Times New Roman" w:hAnsi="Times New Roman" w:cs="Times New Roman"/>
          <w:sz w:val="24"/>
          <w:szCs w:val="24"/>
        </w:rPr>
        <w:t xml:space="preserve">HSBC Asset Management. (2025). </w:t>
      </w:r>
      <w:r w:rsidRPr="001A0E77">
        <w:rPr>
          <w:rFonts w:ascii="Times New Roman" w:eastAsia="Times New Roman" w:hAnsi="Times New Roman" w:cs="Times New Roman"/>
          <w:i/>
          <w:iCs/>
          <w:sz w:val="24"/>
          <w:szCs w:val="24"/>
        </w:rPr>
        <w:t>India insights report</w:t>
      </w:r>
      <w:r w:rsidRPr="001A0E77">
        <w:rPr>
          <w:rFonts w:ascii="Times New Roman" w:eastAsia="Times New Roman" w:hAnsi="Times New Roman" w:cs="Times New Roman"/>
          <w:sz w:val="24"/>
          <w:szCs w:val="24"/>
        </w:rPr>
        <w:t>. HSBC.</w:t>
      </w:r>
      <w:r w:rsidRPr="001A0E77">
        <w:rPr>
          <w:rFonts w:ascii="Times New Roman" w:eastAsia="Times New Roman" w:hAnsi="Times New Roman" w:cs="Times New Roman"/>
          <w:i/>
          <w:iCs/>
          <w:sz w:val="24"/>
          <w:szCs w:val="24"/>
        </w:rPr>
        <w:t>)</w:t>
      </w:r>
    </w:p>
    <w:p w:rsidR="00F15BAA" w:rsidRPr="001A0E77" w:rsidRDefault="00F15BAA" w:rsidP="001A0E77">
      <w:pPr>
        <w:pStyle w:val="ListParagraph"/>
        <w:numPr>
          <w:ilvl w:val="0"/>
          <w:numId w:val="10"/>
        </w:numPr>
        <w:spacing w:after="0" w:line="240" w:lineRule="auto"/>
        <w:rPr>
          <w:rFonts w:ascii="Times New Roman" w:eastAsia="Times New Roman" w:hAnsi="Times New Roman" w:cs="Times New Roman"/>
          <w:sz w:val="24"/>
          <w:szCs w:val="24"/>
        </w:rPr>
      </w:pPr>
      <w:r w:rsidRPr="001A0E77">
        <w:rPr>
          <w:rFonts w:ascii="Times New Roman" w:eastAsia="Times New Roman" w:hAnsi="Times New Roman" w:cs="Times New Roman"/>
          <w:sz w:val="24"/>
          <w:szCs w:val="24"/>
        </w:rPr>
        <w:t xml:space="preserve">International Monetary Fund. (2025). </w:t>
      </w:r>
      <w:r w:rsidRPr="001A0E77">
        <w:rPr>
          <w:rFonts w:ascii="Times New Roman" w:eastAsia="Times New Roman" w:hAnsi="Times New Roman" w:cs="Times New Roman"/>
          <w:i/>
          <w:iCs/>
          <w:sz w:val="24"/>
          <w:szCs w:val="24"/>
        </w:rPr>
        <w:t>World economic outlook</w:t>
      </w:r>
      <w:r w:rsidRPr="001A0E77">
        <w:rPr>
          <w:rFonts w:ascii="Times New Roman" w:eastAsia="Times New Roman" w:hAnsi="Times New Roman" w:cs="Times New Roman"/>
          <w:sz w:val="24"/>
          <w:szCs w:val="24"/>
        </w:rPr>
        <w:t>. IMF Publications. https://doi.org/10.5089/9781513599999.081</w:t>
      </w:r>
    </w:p>
    <w:p w:rsidR="00F15BAA" w:rsidRPr="001A0E77" w:rsidRDefault="00F15BAA" w:rsidP="001A0E77">
      <w:pPr>
        <w:pStyle w:val="ListParagraph"/>
        <w:numPr>
          <w:ilvl w:val="0"/>
          <w:numId w:val="10"/>
        </w:numPr>
        <w:spacing w:after="0" w:line="240" w:lineRule="auto"/>
        <w:rPr>
          <w:rFonts w:ascii="Times New Roman" w:eastAsia="Times New Roman" w:hAnsi="Times New Roman" w:cs="Times New Roman"/>
          <w:sz w:val="24"/>
          <w:szCs w:val="24"/>
        </w:rPr>
      </w:pPr>
      <w:proofErr w:type="spellStart"/>
      <w:r w:rsidRPr="001A0E77">
        <w:rPr>
          <w:rFonts w:ascii="Times New Roman" w:eastAsia="Times New Roman" w:hAnsi="Times New Roman" w:cs="Times New Roman"/>
          <w:sz w:val="24"/>
          <w:szCs w:val="24"/>
        </w:rPr>
        <w:t>Kalra</w:t>
      </w:r>
      <w:proofErr w:type="spellEnd"/>
      <w:r w:rsidRPr="001A0E77">
        <w:rPr>
          <w:rFonts w:ascii="Times New Roman" w:eastAsia="Times New Roman" w:hAnsi="Times New Roman" w:cs="Times New Roman"/>
          <w:sz w:val="24"/>
          <w:szCs w:val="24"/>
        </w:rPr>
        <w:t xml:space="preserve">, N., &amp; Gupta, G. (2023). Impact of economic policy uncertainty on the Indian stock market: An empirical investigation. </w:t>
      </w:r>
      <w:r w:rsidRPr="001A0E77">
        <w:rPr>
          <w:rFonts w:ascii="Times New Roman" w:eastAsia="Times New Roman" w:hAnsi="Times New Roman" w:cs="Times New Roman"/>
          <w:i/>
          <w:iCs/>
          <w:sz w:val="24"/>
          <w:szCs w:val="24"/>
        </w:rPr>
        <w:t>Indian Journal of Finance, 17</w:t>
      </w:r>
      <w:r w:rsidRPr="001A0E77">
        <w:rPr>
          <w:rFonts w:ascii="Times New Roman" w:eastAsia="Times New Roman" w:hAnsi="Times New Roman" w:cs="Times New Roman"/>
          <w:sz w:val="24"/>
          <w:szCs w:val="24"/>
        </w:rPr>
        <w:t xml:space="preserve">(3). </w:t>
      </w:r>
      <w:r w:rsidRPr="001A0E77">
        <w:rPr>
          <w:rFonts w:ascii="Times New Roman" w:eastAsia="Times New Roman" w:hAnsi="Times New Roman" w:cs="Times New Roman"/>
          <w:i/>
          <w:iCs/>
          <w:sz w:val="24"/>
          <w:szCs w:val="24"/>
        </w:rPr>
        <w:t>(DOI not available)</w:t>
      </w:r>
    </w:p>
    <w:p w:rsidR="00F15BAA" w:rsidRPr="001A0E77" w:rsidRDefault="00F15BAA" w:rsidP="001A0E77">
      <w:pPr>
        <w:pStyle w:val="ListParagraph"/>
        <w:numPr>
          <w:ilvl w:val="0"/>
          <w:numId w:val="10"/>
        </w:numPr>
        <w:spacing w:after="0" w:line="240" w:lineRule="auto"/>
        <w:rPr>
          <w:rFonts w:ascii="Times New Roman" w:eastAsia="Times New Roman" w:hAnsi="Times New Roman" w:cs="Times New Roman"/>
          <w:sz w:val="24"/>
          <w:szCs w:val="24"/>
        </w:rPr>
      </w:pPr>
      <w:r w:rsidRPr="001A0E77">
        <w:rPr>
          <w:rFonts w:ascii="Times New Roman" w:eastAsia="Times New Roman" w:hAnsi="Times New Roman" w:cs="Times New Roman"/>
          <w:sz w:val="24"/>
          <w:szCs w:val="24"/>
        </w:rPr>
        <w:t xml:space="preserve">Kothari, C. R. (2019). </w:t>
      </w:r>
      <w:r w:rsidRPr="001A0E77">
        <w:rPr>
          <w:rFonts w:ascii="Times New Roman" w:eastAsia="Times New Roman" w:hAnsi="Times New Roman" w:cs="Times New Roman"/>
          <w:i/>
          <w:iCs/>
          <w:sz w:val="24"/>
          <w:szCs w:val="24"/>
        </w:rPr>
        <w:t>Research methodology: Methods and techniques</w:t>
      </w:r>
      <w:r w:rsidRPr="001A0E77">
        <w:rPr>
          <w:rFonts w:ascii="Times New Roman" w:eastAsia="Times New Roman" w:hAnsi="Times New Roman" w:cs="Times New Roman"/>
          <w:sz w:val="24"/>
          <w:szCs w:val="24"/>
        </w:rPr>
        <w:t xml:space="preserve"> (4th ed.). New Age International. </w:t>
      </w:r>
    </w:p>
    <w:p w:rsidR="00F15BAA" w:rsidRPr="001A0E77" w:rsidRDefault="00F15BAA" w:rsidP="001A0E77">
      <w:pPr>
        <w:pStyle w:val="ListParagraph"/>
        <w:numPr>
          <w:ilvl w:val="0"/>
          <w:numId w:val="10"/>
        </w:numPr>
        <w:spacing w:after="0" w:line="240" w:lineRule="auto"/>
        <w:rPr>
          <w:rFonts w:ascii="Times New Roman" w:eastAsia="Times New Roman" w:hAnsi="Times New Roman" w:cs="Times New Roman"/>
          <w:sz w:val="24"/>
          <w:szCs w:val="24"/>
        </w:rPr>
      </w:pPr>
      <w:proofErr w:type="spellStart"/>
      <w:r w:rsidRPr="001A0E77">
        <w:rPr>
          <w:rFonts w:ascii="Times New Roman" w:eastAsia="Times New Roman" w:hAnsi="Times New Roman" w:cs="Times New Roman"/>
          <w:sz w:val="24"/>
          <w:szCs w:val="24"/>
        </w:rPr>
        <w:t>Maharana</w:t>
      </w:r>
      <w:proofErr w:type="spellEnd"/>
      <w:r w:rsidRPr="001A0E77">
        <w:rPr>
          <w:rFonts w:ascii="Times New Roman" w:eastAsia="Times New Roman" w:hAnsi="Times New Roman" w:cs="Times New Roman"/>
          <w:sz w:val="24"/>
          <w:szCs w:val="24"/>
        </w:rPr>
        <w:t xml:space="preserve">, N., </w:t>
      </w:r>
      <w:proofErr w:type="spellStart"/>
      <w:r w:rsidRPr="001A0E77">
        <w:rPr>
          <w:rFonts w:ascii="Times New Roman" w:eastAsia="Times New Roman" w:hAnsi="Times New Roman" w:cs="Times New Roman"/>
          <w:sz w:val="24"/>
          <w:szCs w:val="24"/>
        </w:rPr>
        <w:t>Panigrahi</w:t>
      </w:r>
      <w:proofErr w:type="spellEnd"/>
      <w:r w:rsidRPr="001A0E77">
        <w:rPr>
          <w:rFonts w:ascii="Times New Roman" w:eastAsia="Times New Roman" w:hAnsi="Times New Roman" w:cs="Times New Roman"/>
          <w:sz w:val="24"/>
          <w:szCs w:val="24"/>
        </w:rPr>
        <w:t xml:space="preserve">, A. K., &amp; </w:t>
      </w:r>
      <w:proofErr w:type="spellStart"/>
      <w:r w:rsidRPr="001A0E77">
        <w:rPr>
          <w:rFonts w:ascii="Times New Roman" w:eastAsia="Times New Roman" w:hAnsi="Times New Roman" w:cs="Times New Roman"/>
          <w:sz w:val="24"/>
          <w:szCs w:val="24"/>
        </w:rPr>
        <w:t>Chaudhury</w:t>
      </w:r>
      <w:proofErr w:type="spellEnd"/>
      <w:r w:rsidRPr="001A0E77">
        <w:rPr>
          <w:rFonts w:ascii="Times New Roman" w:eastAsia="Times New Roman" w:hAnsi="Times New Roman" w:cs="Times New Roman"/>
          <w:sz w:val="24"/>
          <w:szCs w:val="24"/>
        </w:rPr>
        <w:t xml:space="preserve">, S. K. (2024). Volatility persistence and spillover effects of Indian market in the global economy: A pre- and post-pandemic analysis. </w:t>
      </w:r>
      <w:r w:rsidRPr="001A0E77">
        <w:rPr>
          <w:rFonts w:ascii="Times New Roman" w:eastAsia="Times New Roman" w:hAnsi="Times New Roman" w:cs="Times New Roman"/>
          <w:i/>
          <w:iCs/>
          <w:sz w:val="24"/>
          <w:szCs w:val="24"/>
        </w:rPr>
        <w:t>Journal of Risk and Financial Management, 17</w:t>
      </w:r>
      <w:r w:rsidRPr="001A0E77">
        <w:rPr>
          <w:rFonts w:ascii="Times New Roman" w:eastAsia="Times New Roman" w:hAnsi="Times New Roman" w:cs="Times New Roman"/>
          <w:sz w:val="24"/>
          <w:szCs w:val="24"/>
        </w:rPr>
        <w:t>(7), 294. https://doi.org/10.3390/jrfm17070294</w:t>
      </w:r>
    </w:p>
    <w:p w:rsidR="00F15BAA" w:rsidRPr="001A0E77" w:rsidRDefault="00F15BAA" w:rsidP="001A0E77">
      <w:pPr>
        <w:pStyle w:val="ListParagraph"/>
        <w:numPr>
          <w:ilvl w:val="0"/>
          <w:numId w:val="10"/>
        </w:numPr>
        <w:spacing w:after="0" w:line="240" w:lineRule="auto"/>
        <w:rPr>
          <w:rFonts w:ascii="Times New Roman" w:eastAsia="Times New Roman" w:hAnsi="Times New Roman" w:cs="Times New Roman"/>
          <w:sz w:val="24"/>
          <w:szCs w:val="24"/>
        </w:rPr>
      </w:pPr>
      <w:proofErr w:type="spellStart"/>
      <w:r w:rsidRPr="001A0E77">
        <w:rPr>
          <w:rFonts w:ascii="Times New Roman" w:eastAsia="Times New Roman" w:hAnsi="Times New Roman" w:cs="Times New Roman"/>
          <w:sz w:val="24"/>
          <w:szCs w:val="24"/>
        </w:rPr>
        <w:t>Maruthi</w:t>
      </w:r>
      <w:proofErr w:type="spellEnd"/>
      <w:r w:rsidRPr="001A0E77">
        <w:rPr>
          <w:rFonts w:ascii="Times New Roman" w:eastAsia="Times New Roman" w:hAnsi="Times New Roman" w:cs="Times New Roman"/>
          <w:sz w:val="24"/>
          <w:szCs w:val="24"/>
        </w:rPr>
        <w:t xml:space="preserve">, A. (2025). India’s economic resilience amid global uncertainties. </w:t>
      </w:r>
      <w:r w:rsidRPr="001A0E77">
        <w:rPr>
          <w:rFonts w:ascii="Times New Roman" w:eastAsia="Times New Roman" w:hAnsi="Times New Roman" w:cs="Times New Roman"/>
          <w:i/>
          <w:iCs/>
          <w:sz w:val="24"/>
          <w:szCs w:val="24"/>
        </w:rPr>
        <w:t>Journal of Economic Policy, 8</w:t>
      </w:r>
      <w:r w:rsidRPr="001A0E77">
        <w:rPr>
          <w:rFonts w:ascii="Times New Roman" w:eastAsia="Times New Roman" w:hAnsi="Times New Roman" w:cs="Times New Roman"/>
          <w:sz w:val="24"/>
          <w:szCs w:val="24"/>
        </w:rPr>
        <w:t xml:space="preserve">(1), 30–42. </w:t>
      </w:r>
    </w:p>
    <w:p w:rsidR="00F15BAA" w:rsidRPr="001A0E77" w:rsidRDefault="00F15BAA" w:rsidP="001A0E77">
      <w:pPr>
        <w:pStyle w:val="ListParagraph"/>
        <w:numPr>
          <w:ilvl w:val="0"/>
          <w:numId w:val="10"/>
        </w:numPr>
        <w:spacing w:after="0" w:line="240" w:lineRule="auto"/>
        <w:rPr>
          <w:rFonts w:ascii="Times New Roman" w:eastAsia="Times New Roman" w:hAnsi="Times New Roman" w:cs="Times New Roman"/>
          <w:sz w:val="24"/>
          <w:szCs w:val="24"/>
        </w:rPr>
      </w:pPr>
      <w:r w:rsidRPr="001A0E77">
        <w:rPr>
          <w:rFonts w:ascii="Times New Roman" w:eastAsia="Times New Roman" w:hAnsi="Times New Roman" w:cs="Times New Roman"/>
          <w:sz w:val="24"/>
          <w:szCs w:val="24"/>
        </w:rPr>
        <w:t xml:space="preserve">Reuters. (2026). Foreign investor outflows in Indian equity markets amid global uncertainty. </w:t>
      </w:r>
      <w:r w:rsidRPr="001A0E77">
        <w:rPr>
          <w:rFonts w:ascii="Times New Roman" w:eastAsia="Times New Roman" w:hAnsi="Times New Roman" w:cs="Times New Roman"/>
          <w:i/>
          <w:iCs/>
          <w:sz w:val="24"/>
          <w:szCs w:val="24"/>
        </w:rPr>
        <w:t>Reuters News Agency</w:t>
      </w:r>
      <w:r w:rsidRPr="001A0E77">
        <w:rPr>
          <w:rFonts w:ascii="Times New Roman" w:eastAsia="Times New Roman" w:hAnsi="Times New Roman" w:cs="Times New Roman"/>
          <w:sz w:val="24"/>
          <w:szCs w:val="24"/>
        </w:rPr>
        <w:t xml:space="preserve">. </w:t>
      </w:r>
    </w:p>
    <w:p w:rsidR="00857B16" w:rsidRPr="001A0E77" w:rsidRDefault="00F15BAA" w:rsidP="001A0E77">
      <w:pPr>
        <w:pStyle w:val="ListParagraph"/>
        <w:numPr>
          <w:ilvl w:val="0"/>
          <w:numId w:val="10"/>
        </w:numPr>
        <w:spacing w:after="0" w:line="240" w:lineRule="auto"/>
        <w:rPr>
          <w:rFonts w:ascii="Times New Roman" w:eastAsia="Times New Roman" w:hAnsi="Times New Roman" w:cs="Times New Roman"/>
          <w:sz w:val="24"/>
          <w:szCs w:val="24"/>
        </w:rPr>
      </w:pPr>
      <w:r w:rsidRPr="001A0E77">
        <w:rPr>
          <w:rFonts w:ascii="Times New Roman" w:eastAsia="Times New Roman" w:hAnsi="Times New Roman" w:cs="Times New Roman"/>
          <w:sz w:val="24"/>
          <w:szCs w:val="24"/>
        </w:rPr>
        <w:t xml:space="preserve">Reserve Bank of India. (2025). </w:t>
      </w:r>
      <w:r w:rsidRPr="001A0E77">
        <w:rPr>
          <w:rFonts w:ascii="Times New Roman" w:eastAsia="Times New Roman" w:hAnsi="Times New Roman" w:cs="Times New Roman"/>
          <w:i/>
          <w:iCs/>
          <w:sz w:val="24"/>
          <w:szCs w:val="24"/>
        </w:rPr>
        <w:t>Annual report 2024–25</w:t>
      </w:r>
      <w:r w:rsidRPr="001A0E77">
        <w:rPr>
          <w:rFonts w:ascii="Times New Roman" w:eastAsia="Times New Roman" w:hAnsi="Times New Roman" w:cs="Times New Roman"/>
          <w:sz w:val="24"/>
          <w:szCs w:val="24"/>
        </w:rPr>
        <w:t xml:space="preserve">. RBI Publications. </w:t>
      </w:r>
    </w:p>
    <w:p w:rsidR="00857B16" w:rsidRPr="001A0E77" w:rsidRDefault="00F15BAA" w:rsidP="001A0E77">
      <w:pPr>
        <w:pStyle w:val="ListParagraph"/>
        <w:numPr>
          <w:ilvl w:val="0"/>
          <w:numId w:val="10"/>
        </w:numPr>
        <w:spacing w:after="0" w:line="240" w:lineRule="auto"/>
        <w:rPr>
          <w:rFonts w:ascii="Times New Roman" w:eastAsia="Times New Roman" w:hAnsi="Times New Roman" w:cs="Times New Roman"/>
          <w:sz w:val="24"/>
          <w:szCs w:val="24"/>
        </w:rPr>
      </w:pPr>
      <w:proofErr w:type="spellStart"/>
      <w:r w:rsidRPr="001A0E77">
        <w:rPr>
          <w:rFonts w:ascii="Times New Roman" w:eastAsia="Times New Roman" w:hAnsi="Times New Roman" w:cs="Times New Roman"/>
          <w:sz w:val="24"/>
          <w:szCs w:val="24"/>
        </w:rPr>
        <w:t>Sengupta</w:t>
      </w:r>
      <w:proofErr w:type="spellEnd"/>
      <w:r w:rsidRPr="001A0E77">
        <w:rPr>
          <w:rFonts w:ascii="Times New Roman" w:eastAsia="Times New Roman" w:hAnsi="Times New Roman" w:cs="Times New Roman"/>
          <w:sz w:val="24"/>
          <w:szCs w:val="24"/>
        </w:rPr>
        <w:t xml:space="preserve">, R., </w:t>
      </w:r>
      <w:proofErr w:type="spellStart"/>
      <w:r w:rsidRPr="001A0E77">
        <w:rPr>
          <w:rFonts w:ascii="Times New Roman" w:eastAsia="Times New Roman" w:hAnsi="Times New Roman" w:cs="Times New Roman"/>
          <w:sz w:val="24"/>
          <w:szCs w:val="24"/>
        </w:rPr>
        <w:t>Bhattacharjee</w:t>
      </w:r>
      <w:proofErr w:type="spellEnd"/>
      <w:r w:rsidRPr="001A0E77">
        <w:rPr>
          <w:rFonts w:ascii="Times New Roman" w:eastAsia="Times New Roman" w:hAnsi="Times New Roman" w:cs="Times New Roman"/>
          <w:sz w:val="24"/>
          <w:szCs w:val="24"/>
        </w:rPr>
        <w:t xml:space="preserve">, K., &amp; Biswas, D. D. (2024). Empirical estimation of tail risk: Sectoral evidence from India’s stock market. </w:t>
      </w:r>
    </w:p>
    <w:p w:rsidR="00F15BAA" w:rsidRPr="001A0E77" w:rsidRDefault="00F15BAA" w:rsidP="001A0E77">
      <w:pPr>
        <w:pStyle w:val="ListParagraph"/>
        <w:numPr>
          <w:ilvl w:val="0"/>
          <w:numId w:val="10"/>
        </w:numPr>
        <w:spacing w:after="0" w:line="240" w:lineRule="auto"/>
        <w:rPr>
          <w:rFonts w:ascii="Times New Roman" w:eastAsia="Times New Roman" w:hAnsi="Times New Roman" w:cs="Times New Roman"/>
          <w:sz w:val="24"/>
          <w:szCs w:val="24"/>
        </w:rPr>
      </w:pPr>
      <w:r w:rsidRPr="001A0E77">
        <w:rPr>
          <w:rFonts w:ascii="Times New Roman" w:eastAsia="Times New Roman" w:hAnsi="Times New Roman" w:cs="Times New Roman"/>
          <w:sz w:val="24"/>
          <w:szCs w:val="24"/>
        </w:rPr>
        <w:t xml:space="preserve">Sharma, S., &amp; </w:t>
      </w:r>
      <w:proofErr w:type="spellStart"/>
      <w:r w:rsidRPr="001A0E77">
        <w:rPr>
          <w:rFonts w:ascii="Times New Roman" w:eastAsia="Times New Roman" w:hAnsi="Times New Roman" w:cs="Times New Roman"/>
          <w:sz w:val="24"/>
          <w:szCs w:val="24"/>
        </w:rPr>
        <w:t>Bangur</w:t>
      </w:r>
      <w:proofErr w:type="spellEnd"/>
      <w:r w:rsidRPr="001A0E77">
        <w:rPr>
          <w:rFonts w:ascii="Times New Roman" w:eastAsia="Times New Roman" w:hAnsi="Times New Roman" w:cs="Times New Roman"/>
          <w:sz w:val="24"/>
          <w:szCs w:val="24"/>
        </w:rPr>
        <w:t xml:space="preserve">, P. (2024). A literature review on political uncertainty and stock market behaviour. </w:t>
      </w:r>
      <w:r w:rsidRPr="001A0E77">
        <w:rPr>
          <w:rFonts w:ascii="Times New Roman" w:eastAsia="Times New Roman" w:hAnsi="Times New Roman" w:cs="Times New Roman"/>
          <w:i/>
          <w:iCs/>
          <w:sz w:val="24"/>
          <w:szCs w:val="24"/>
        </w:rPr>
        <w:t>Asian Journal of Comparative Politics, 9</w:t>
      </w:r>
      <w:r w:rsidRPr="001A0E77">
        <w:rPr>
          <w:rFonts w:ascii="Times New Roman" w:eastAsia="Times New Roman" w:hAnsi="Times New Roman" w:cs="Times New Roman"/>
          <w:sz w:val="24"/>
          <w:szCs w:val="24"/>
        </w:rPr>
        <w:t xml:space="preserve">(2), 291–307. </w:t>
      </w:r>
      <w:hyperlink r:id="rId7" w:tgtFrame="_new" w:history="1">
        <w:r w:rsidRPr="001A0E77">
          <w:rPr>
            <w:rFonts w:ascii="Times New Roman" w:eastAsia="Times New Roman" w:hAnsi="Times New Roman" w:cs="Times New Roman"/>
            <w:color w:val="0000FF"/>
            <w:sz w:val="24"/>
            <w:szCs w:val="24"/>
            <w:u w:val="single"/>
          </w:rPr>
          <w:t>https://doi.org/10.1177/20578911231170436</w:t>
        </w:r>
      </w:hyperlink>
    </w:p>
    <w:p w:rsidR="00F15BAA" w:rsidRPr="001A0E77" w:rsidRDefault="00F15BAA" w:rsidP="001A0E77">
      <w:pPr>
        <w:pStyle w:val="ListParagraph"/>
        <w:numPr>
          <w:ilvl w:val="0"/>
          <w:numId w:val="10"/>
        </w:numPr>
        <w:spacing w:after="0" w:line="240" w:lineRule="auto"/>
        <w:rPr>
          <w:rFonts w:ascii="Times New Roman" w:eastAsia="Times New Roman" w:hAnsi="Times New Roman" w:cs="Times New Roman"/>
          <w:sz w:val="24"/>
          <w:szCs w:val="24"/>
        </w:rPr>
      </w:pPr>
      <w:r w:rsidRPr="001A0E77">
        <w:rPr>
          <w:rFonts w:ascii="Times New Roman" w:eastAsia="Times New Roman" w:hAnsi="Times New Roman" w:cs="Times New Roman"/>
          <w:sz w:val="24"/>
          <w:szCs w:val="24"/>
        </w:rPr>
        <w:t xml:space="preserve">Sharma, S., et al. (2024). Asymmetric nexus between economic policy uncertainty and the Indian stock market. </w:t>
      </w:r>
      <w:r w:rsidRPr="001A0E77">
        <w:rPr>
          <w:rFonts w:ascii="Times New Roman" w:eastAsia="Times New Roman" w:hAnsi="Times New Roman" w:cs="Times New Roman"/>
          <w:i/>
          <w:iCs/>
          <w:sz w:val="24"/>
          <w:szCs w:val="24"/>
        </w:rPr>
        <w:t>Quarterly Review of Economics and Finance, 93</w:t>
      </w:r>
      <w:r w:rsidRPr="001A0E77">
        <w:rPr>
          <w:rFonts w:ascii="Times New Roman" w:eastAsia="Times New Roman" w:hAnsi="Times New Roman" w:cs="Times New Roman"/>
          <w:sz w:val="24"/>
          <w:szCs w:val="24"/>
        </w:rPr>
        <w:t>, 91–101. https://doi.org/10.1016/j.qref.2023.05.002</w:t>
      </w:r>
    </w:p>
    <w:p w:rsidR="00F15BAA" w:rsidRPr="001A0E77" w:rsidRDefault="00F15BAA" w:rsidP="001A0E77">
      <w:pPr>
        <w:pStyle w:val="ListParagraph"/>
        <w:numPr>
          <w:ilvl w:val="0"/>
          <w:numId w:val="10"/>
        </w:numPr>
        <w:spacing w:after="0" w:line="240" w:lineRule="auto"/>
        <w:rPr>
          <w:rFonts w:ascii="Times New Roman" w:eastAsia="Times New Roman" w:hAnsi="Times New Roman" w:cs="Times New Roman"/>
          <w:sz w:val="24"/>
          <w:szCs w:val="24"/>
        </w:rPr>
      </w:pPr>
      <w:r w:rsidRPr="001A0E77">
        <w:rPr>
          <w:rFonts w:ascii="Times New Roman" w:eastAsia="Times New Roman" w:hAnsi="Times New Roman" w:cs="Times New Roman"/>
          <w:sz w:val="24"/>
          <w:szCs w:val="24"/>
        </w:rPr>
        <w:t xml:space="preserve">Zhang, X., et al. (2024). Towards an era of multi-source uncertainty: A systematic and bibliometric analysis. </w:t>
      </w:r>
      <w:r w:rsidRPr="001A0E77">
        <w:rPr>
          <w:rFonts w:ascii="Times New Roman" w:eastAsia="Times New Roman" w:hAnsi="Times New Roman" w:cs="Times New Roman"/>
          <w:i/>
          <w:iCs/>
          <w:sz w:val="24"/>
          <w:szCs w:val="24"/>
        </w:rPr>
        <w:t>International Review of Financial Analysis, 95</w:t>
      </w:r>
      <w:r w:rsidRPr="001A0E77">
        <w:rPr>
          <w:rFonts w:ascii="Times New Roman" w:eastAsia="Times New Roman" w:hAnsi="Times New Roman" w:cs="Times New Roman"/>
          <w:sz w:val="24"/>
          <w:szCs w:val="24"/>
        </w:rPr>
        <w:t xml:space="preserve">, 103411. </w:t>
      </w:r>
      <w:hyperlink r:id="rId8" w:tgtFrame="_new" w:history="1">
        <w:r w:rsidRPr="001A0E77">
          <w:rPr>
            <w:rFonts w:ascii="Times New Roman" w:eastAsia="Times New Roman" w:hAnsi="Times New Roman" w:cs="Times New Roman"/>
            <w:color w:val="0000FF"/>
            <w:sz w:val="24"/>
            <w:szCs w:val="24"/>
            <w:u w:val="single"/>
          </w:rPr>
          <w:t>https://doi.org/10.1016/j.irfa.2024.103411</w:t>
        </w:r>
      </w:hyperlink>
    </w:p>
    <w:p w:rsidR="007032CB" w:rsidRPr="00F15BAA" w:rsidRDefault="007032CB" w:rsidP="00E63D43">
      <w:pPr>
        <w:spacing w:before="100" w:beforeAutospacing="1" w:after="100" w:afterAutospacing="1" w:line="240" w:lineRule="auto"/>
        <w:jc w:val="both"/>
        <w:rPr>
          <w:rFonts w:ascii="Times New Roman" w:hAnsi="Times New Roman" w:cs="Times New Roman"/>
          <w:sz w:val="24"/>
          <w:szCs w:val="24"/>
        </w:rPr>
      </w:pPr>
    </w:p>
    <w:sectPr w:rsidR="007032CB" w:rsidRPr="00F15BA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59606A"/>
    <w:multiLevelType w:val="multilevel"/>
    <w:tmpl w:val="FFBC7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775B8F"/>
    <w:multiLevelType w:val="multilevel"/>
    <w:tmpl w:val="8EF4C5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9132788"/>
    <w:multiLevelType w:val="multilevel"/>
    <w:tmpl w:val="B0AAF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5926285"/>
    <w:multiLevelType w:val="multilevel"/>
    <w:tmpl w:val="87D67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85437E1"/>
    <w:multiLevelType w:val="multilevel"/>
    <w:tmpl w:val="F82E93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31C224B"/>
    <w:multiLevelType w:val="multilevel"/>
    <w:tmpl w:val="B7081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5223E70"/>
    <w:multiLevelType w:val="multilevel"/>
    <w:tmpl w:val="FD787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8F45ABC"/>
    <w:multiLevelType w:val="hybridMultilevel"/>
    <w:tmpl w:val="3BDCCA6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70872E24"/>
    <w:multiLevelType w:val="multilevel"/>
    <w:tmpl w:val="AA9CB3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A415CD9"/>
    <w:multiLevelType w:val="multilevel"/>
    <w:tmpl w:val="8B360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6"/>
  </w:num>
  <w:num w:numId="4">
    <w:abstractNumId w:val="0"/>
  </w:num>
  <w:num w:numId="5">
    <w:abstractNumId w:val="4"/>
  </w:num>
  <w:num w:numId="6">
    <w:abstractNumId w:val="9"/>
  </w:num>
  <w:num w:numId="7">
    <w:abstractNumId w:val="3"/>
  </w:num>
  <w:num w:numId="8">
    <w:abstractNumId w:val="5"/>
  </w:num>
  <w:num w:numId="9">
    <w:abstractNumId w:val="8"/>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32CB"/>
    <w:rsid w:val="001A0E77"/>
    <w:rsid w:val="003959CB"/>
    <w:rsid w:val="00502C0A"/>
    <w:rsid w:val="005B5E45"/>
    <w:rsid w:val="007032CB"/>
    <w:rsid w:val="00856330"/>
    <w:rsid w:val="00857B16"/>
    <w:rsid w:val="008E655A"/>
    <w:rsid w:val="00961F32"/>
    <w:rsid w:val="00BD25A5"/>
    <w:rsid w:val="00E62987"/>
    <w:rsid w:val="00E63D43"/>
    <w:rsid w:val="00E8617F"/>
    <w:rsid w:val="00F15B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A52EF0"/>
  <w15:chartTrackingRefBased/>
  <w15:docId w15:val="{4789B615-557E-4D3A-BFFB-61E7E8347F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7032C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7032CB"/>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7032CB"/>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032CB"/>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7032CB"/>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7032CB"/>
    <w:rPr>
      <w:rFonts w:ascii="Times New Roman" w:eastAsia="Times New Roman" w:hAnsi="Times New Roman" w:cs="Times New Roman"/>
      <w:b/>
      <w:bCs/>
      <w:sz w:val="27"/>
      <w:szCs w:val="27"/>
    </w:rPr>
  </w:style>
  <w:style w:type="character" w:styleId="Strong">
    <w:name w:val="Strong"/>
    <w:basedOn w:val="DefaultParagraphFont"/>
    <w:uiPriority w:val="22"/>
    <w:qFormat/>
    <w:rsid w:val="007032CB"/>
    <w:rPr>
      <w:b/>
      <w:bCs/>
    </w:rPr>
  </w:style>
  <w:style w:type="paragraph" w:styleId="NormalWeb">
    <w:name w:val="Normal (Web)"/>
    <w:basedOn w:val="Normal"/>
    <w:uiPriority w:val="99"/>
    <w:unhideWhenUsed/>
    <w:rsid w:val="007032C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whitespace-normal">
    <w:name w:val="whitespace-normal"/>
    <w:basedOn w:val="DefaultParagraphFont"/>
    <w:rsid w:val="007032CB"/>
  </w:style>
  <w:style w:type="character" w:styleId="Emphasis">
    <w:name w:val="Emphasis"/>
    <w:basedOn w:val="DefaultParagraphFont"/>
    <w:uiPriority w:val="20"/>
    <w:qFormat/>
    <w:rsid w:val="007032CB"/>
    <w:rPr>
      <w:i/>
      <w:iCs/>
    </w:rPr>
  </w:style>
  <w:style w:type="character" w:styleId="Hyperlink">
    <w:name w:val="Hyperlink"/>
    <w:basedOn w:val="DefaultParagraphFont"/>
    <w:uiPriority w:val="99"/>
    <w:unhideWhenUsed/>
    <w:rsid w:val="00F15BAA"/>
    <w:rPr>
      <w:color w:val="0000FF"/>
      <w:u w:val="single"/>
    </w:rPr>
  </w:style>
  <w:style w:type="paragraph" w:styleId="ListParagraph">
    <w:name w:val="List Paragraph"/>
    <w:basedOn w:val="Normal"/>
    <w:uiPriority w:val="34"/>
    <w:qFormat/>
    <w:rsid w:val="001A0E7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172492">
      <w:bodyDiv w:val="1"/>
      <w:marLeft w:val="0"/>
      <w:marRight w:val="0"/>
      <w:marTop w:val="0"/>
      <w:marBottom w:val="0"/>
      <w:divBdr>
        <w:top w:val="none" w:sz="0" w:space="0" w:color="auto"/>
        <w:left w:val="none" w:sz="0" w:space="0" w:color="auto"/>
        <w:bottom w:val="none" w:sz="0" w:space="0" w:color="auto"/>
        <w:right w:val="none" w:sz="0" w:space="0" w:color="auto"/>
      </w:divBdr>
    </w:div>
    <w:div w:id="53041990">
      <w:bodyDiv w:val="1"/>
      <w:marLeft w:val="0"/>
      <w:marRight w:val="0"/>
      <w:marTop w:val="0"/>
      <w:marBottom w:val="0"/>
      <w:divBdr>
        <w:top w:val="none" w:sz="0" w:space="0" w:color="auto"/>
        <w:left w:val="none" w:sz="0" w:space="0" w:color="auto"/>
        <w:bottom w:val="none" w:sz="0" w:space="0" w:color="auto"/>
        <w:right w:val="none" w:sz="0" w:space="0" w:color="auto"/>
      </w:divBdr>
    </w:div>
    <w:div w:id="421224720">
      <w:bodyDiv w:val="1"/>
      <w:marLeft w:val="0"/>
      <w:marRight w:val="0"/>
      <w:marTop w:val="0"/>
      <w:marBottom w:val="0"/>
      <w:divBdr>
        <w:top w:val="none" w:sz="0" w:space="0" w:color="auto"/>
        <w:left w:val="none" w:sz="0" w:space="0" w:color="auto"/>
        <w:bottom w:val="none" w:sz="0" w:space="0" w:color="auto"/>
        <w:right w:val="none" w:sz="0" w:space="0" w:color="auto"/>
      </w:divBdr>
    </w:div>
    <w:div w:id="742872675">
      <w:bodyDiv w:val="1"/>
      <w:marLeft w:val="0"/>
      <w:marRight w:val="0"/>
      <w:marTop w:val="0"/>
      <w:marBottom w:val="0"/>
      <w:divBdr>
        <w:top w:val="none" w:sz="0" w:space="0" w:color="auto"/>
        <w:left w:val="none" w:sz="0" w:space="0" w:color="auto"/>
        <w:bottom w:val="none" w:sz="0" w:space="0" w:color="auto"/>
        <w:right w:val="none" w:sz="0" w:space="0" w:color="auto"/>
      </w:divBdr>
    </w:div>
    <w:div w:id="1083796663">
      <w:bodyDiv w:val="1"/>
      <w:marLeft w:val="0"/>
      <w:marRight w:val="0"/>
      <w:marTop w:val="0"/>
      <w:marBottom w:val="0"/>
      <w:divBdr>
        <w:top w:val="none" w:sz="0" w:space="0" w:color="auto"/>
        <w:left w:val="none" w:sz="0" w:space="0" w:color="auto"/>
        <w:bottom w:val="none" w:sz="0" w:space="0" w:color="auto"/>
        <w:right w:val="none" w:sz="0" w:space="0" w:color="auto"/>
      </w:divBdr>
    </w:div>
    <w:div w:id="1296788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16/j.irfa.2024.103411" TargetMode="External"/><Relationship Id="rId3" Type="http://schemas.openxmlformats.org/officeDocument/2006/relationships/settings" Target="settings.xml"/><Relationship Id="rId7" Type="http://schemas.openxmlformats.org/officeDocument/2006/relationships/hyperlink" Target="https://doi.org/10.1177/2057891123117043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i.org/10.1057/s41310-024-00250-7" TargetMode="External"/><Relationship Id="rId5" Type="http://schemas.openxmlformats.org/officeDocument/2006/relationships/hyperlink" Target="mailto:aarthi81178@gmail.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7</Pages>
  <Words>2469</Words>
  <Characters>14079</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13</cp:revision>
  <dcterms:created xsi:type="dcterms:W3CDTF">2026-05-02T08:10:00Z</dcterms:created>
  <dcterms:modified xsi:type="dcterms:W3CDTF">2026-05-22T04:29:00Z</dcterms:modified>
</cp:coreProperties>
</file>