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9132"/>
        </w:tabs>
        <w:suppressAutoHyphens w:val="1"/>
        <w:spacing w:before="0" w:after="240" w:line="240" w:lineRule="auto"/>
        <w:jc w:val="center"/>
        <w:rPr>
          <w:rFonts w:ascii="Times New Roman" w:cs="Times New Roman" w:hAnsi="Times New Roman" w:eastAsia="Times New Roman"/>
          <w:b w:val="1"/>
          <w:bCs w:val="1"/>
          <w:sz w:val="36"/>
          <w:szCs w:val="36"/>
          <w:shd w:val="clear" w:color="auto" w:fill="ffffff"/>
        </w:rPr>
      </w:pPr>
      <w:r>
        <w:rPr>
          <w:rFonts w:ascii="Times New Roman" w:hAnsi="Times New Roman"/>
          <w:b w:val="1"/>
          <w:bCs w:val="1"/>
          <w:sz w:val="36"/>
          <w:szCs w:val="36"/>
          <w:shd w:val="clear" w:color="auto" w:fill="ffffff"/>
          <w:rtl w:val="0"/>
          <w:lang w:val="en-US"/>
        </w:rPr>
        <w:t>FomoOracle: A Proof-of-Concept Framework for Sentiment-Driven Prediction Markets on the Cardano Blockchain.</w:t>
      </w:r>
    </w:p>
    <w:p>
      <w:pPr>
        <w:pStyle w:val="Default"/>
        <w:tabs>
          <w:tab w:val="left" w:pos="9132"/>
        </w:tabs>
        <w:suppressAutoHyphens w:val="1"/>
        <w:spacing w:before="0" w:after="240" w:line="240" w:lineRule="auto"/>
        <w:jc w:val="center"/>
        <w:rPr>
          <w:rFonts w:ascii="Times New Roman" w:cs="Times New Roman" w:hAnsi="Times New Roman" w:eastAsia="Times New Roman"/>
          <w:b w:val="1"/>
          <w:bCs w:val="1"/>
          <w:sz w:val="28"/>
          <w:szCs w:val="28"/>
          <w:shd w:val="clear" w:color="auto" w:fill="ffffff"/>
        </w:rPr>
      </w:pPr>
    </w:p>
    <w:p>
      <w:pPr>
        <w:pStyle w:val="Default"/>
        <w:suppressAutoHyphens w:val="1"/>
        <w:spacing w:before="0" w:after="240" w:line="240" w:lineRule="auto"/>
        <w:jc w:val="center"/>
        <w:rPr>
          <w:rFonts w:ascii="Times Roman" w:cs="Times Roman" w:hAnsi="Times Roman" w:eastAsia="Times Roman"/>
          <w:shd w:val="clear" w:color="auto" w:fill="ffffff"/>
          <w:lang w:val="pt-PT"/>
        </w:rPr>
      </w:pPr>
      <w:r>
        <w:rPr>
          <w:rFonts w:ascii="Times New Roman" w:hAnsi="Times New Roman"/>
          <w:b w:val="1"/>
          <w:bCs w:val="1"/>
          <w:shd w:val="clear" w:color="auto" w:fill="ffffff"/>
          <w:rtl w:val="0"/>
          <w:lang w:val="pt-PT"/>
        </w:rPr>
        <w:t/>
      </w:r>
    </w:p>
    <w:p>
      <w:pPr>
        <w:pStyle w:val="Default"/>
        <w:suppressAutoHyphens w:val="1"/>
        <w:spacing w:before="0" w:after="240" w:line="240" w:lineRule="auto"/>
        <w:jc w:val="center"/>
        <w:rPr>
          <w:rFonts w:ascii="Times New Roman" w:cs="Times New Roman" w:hAnsi="Times New Roman" w:eastAsia="Times New Roman"/>
        </w:rPr>
      </w:pPr>
      <w:r>
        <w:rPr>
          <w:rFonts w:ascii="Times New Roman" w:hAnsi="Times New Roman"/>
          <w:rtl w:val="0"/>
          <w:lang w:val="en-US"/>
        </w:rPr>
        <w:t/>
      </w:r>
    </w:p>
    <w:p>
      <w:pPr>
        <w:pStyle w:val="Default"/>
        <w:suppressAutoHyphens w:val="1"/>
        <w:spacing w:before="0" w:after="240" w:line="240" w:lineRule="auto"/>
        <w:jc w:val="center"/>
        <w:rPr>
          <w:rStyle w:val="Hyperlink.0"/>
        </w:rPr>
      </w:pPr>
      <w:r>
        <w:rPr>
          <w:rFonts w:ascii="Times New Roman" w:hAnsi="Times New Roman"/>
          <w:rtl w:val="0"/>
          <w:lang w:val="en-US"/>
        </w:rPr>
        <w:t xml:space="preserve"/>
      </w:r>
      <w:r>
        <w:rPr>
          <w:rStyle w:val="Hyperlink.0"/>
        </w:rPr>
        <w:fldChar w:fldCharType="begin" w:fldLock="0"/>
      </w:r>
      <w:r>
        <w:rPr>
          <w:rStyle w:val="Hyperlink.0"/>
        </w:rPr>
        <w:instrText xml:space="preserve"> HYPERLINK "mailto:tejastarun07@gmail.com"</w:instrText>
      </w:r>
      <w:r>
        <w:rPr>
          <w:rStyle w:val="Hyperlink.0"/>
        </w:rPr>
        <w:fldChar w:fldCharType="separate" w:fldLock="0"/>
      </w:r>
      <w:r>
        <w:rPr>
          <w:rStyle w:val="Hyperlink.0"/>
          <w:rtl w:val="0"/>
          <w:lang w:val="en-US"/>
        </w:rPr>
        <w:t/>
      </w:r>
      <w:r>
        <w:rPr/>
        <w:fldChar w:fldCharType="end" w:fldLock="0"/>
      </w: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Pr>
      </w:pPr>
      <w:r>
        <w:rPr>
          <w:rStyle w:val="None"/>
          <w:rFonts w:ascii="Times New Roman" w:hAnsi="Times New Roman"/>
          <w:b w:val="1"/>
          <w:bCs w:val="1"/>
          <w:sz w:val="28"/>
          <w:szCs w:val="28"/>
          <w:rtl w:val="0"/>
          <w:lang w:val="de-DE"/>
        </w:rPr>
        <w:t/>
      </w:r>
      <w:r>
        <w:rPr>
          <w:rStyle w:val="None"/>
          <w:rFonts w:ascii="Times New Roman" w:hAnsi="Times New Roman"/>
          <w:b w:val="1"/>
          <w:bCs w:val="1"/>
          <w:sz w:val="28"/>
          <w:szCs w:val="28"/>
          <w:rtl w:val="0"/>
          <w:lang w:val="en-US"/>
        </w:rPr>
        <w:t xml:space="preserve"/>
      </w:r>
      <w:r>
        <w:rPr>
          <w:rStyle w:val="None"/>
          <w:rFonts w:ascii="Times New Roman" w:hAnsi="Times New Roman"/>
          <w:rtl w:val="0"/>
          <w:lang w:val="en-US"/>
        </w:rPr>
        <w:t/>
      </w:r>
    </w:p>
    <w:p>
      <w:pPr>
        <w:pStyle w:val="Default"/>
        <w:suppressAutoHyphens w:val="1"/>
        <w:spacing w:before="0" w:after="240" w:line="240" w:lineRule="auto"/>
        <w:jc w:val="both"/>
        <w:rPr>
          <w:rStyle w:val="Hyperlink.0"/>
        </w:rPr>
      </w:pPr>
      <w:r>
        <w:rPr>
          <w:rStyle w:val="None"/>
          <w:rFonts w:ascii="Times New Roman" w:hAnsi="Times New Roman"/>
          <w:b w:val="1"/>
          <w:bCs w:val="1"/>
          <w:sz w:val="28"/>
          <w:szCs w:val="28"/>
          <w:rtl w:val="0"/>
          <w:lang w:val="en-US"/>
        </w:rPr>
        <w:t/>
      </w:r>
      <w:r>
        <w:rPr>
          <w:rStyle w:val="None"/>
          <w:rFonts w:ascii="Times New Roman" w:hAnsi="Times New Roman"/>
          <w:sz w:val="28"/>
          <w:szCs w:val="28"/>
          <w:rtl w:val="0"/>
          <w:lang w:val="en-US"/>
        </w:rPr>
        <w:t xml:space="preserve"/>
      </w:r>
      <w:r>
        <w:rPr>
          <w:rStyle w:val="None"/>
          <w:rFonts w:ascii="Times New Roman" w:hAnsi="Times New Roman"/>
          <w:rtl w:val="0"/>
          <w:lang w:val="en-US"/>
        </w:rPr>
        <w:t xml:space="preserve"/>
      </w:r>
      <w:r>
        <w:rPr>
          <w:rStyle w:val="None"/>
          <w:rFonts w:ascii="Times New Roman" w:hAnsi="Times New Roman"/>
          <w:rtl w:val="0"/>
          <w:lang w:val="fr-FR"/>
        </w:rPr>
        <w:t/>
      </w:r>
      <w:r>
        <w:rPr>
          <w:rStyle w:val="None"/>
          <w:rFonts w:ascii="Times New Roman" w:hAnsi="Times New Roman"/>
          <w:rtl w:val="0"/>
          <w:lang w:val="en-US"/>
        </w:rPr>
        <w:t xml:space="preserve"/>
      </w:r>
      <w:r>
        <w:rPr>
          <w:rStyle w:val="None"/>
          <w:rFonts w:ascii="Times New Roman" w:hAnsi="Times New Roman"/>
          <w:rtl w:val="0"/>
          <w:lang w:val="it-IT"/>
        </w:rPr>
        <w:t/>
      </w:r>
      <w:r>
        <w:rPr>
          <w:rStyle w:val="None"/>
          <w:rFonts w:ascii="Times New Roman" w:hAnsi="Times New Roman"/>
          <w:rtl w:val="0"/>
          <w:lang w:val="en-US"/>
        </w:rPr>
        <w:t xml:space="preserve"/>
      </w:r>
      <w:r>
        <w:rPr>
          <w:rStyle w:val="None"/>
          <w:rFonts w:ascii="Times New Roman" w:hAnsi="Times New Roman"/>
          <w:rtl w:val="0"/>
          <w:lang w:val="da-DK"/>
        </w:rPr>
        <w:t/>
      </w:r>
      <w:r>
        <w:rPr>
          <w:rStyle w:val="None"/>
          <w:rFonts w:ascii="Times New Roman" w:hAnsi="Times New Roman"/>
          <w:rtl w:val="0"/>
          <w:lang w:val="en-US"/>
        </w:rPr>
        <w:t xml:space="preserve"/>
      </w:r>
      <w:r>
        <w:rPr>
          <w:rStyle w:val="None"/>
          <w:rFonts w:ascii="Times New Roman" w:hAnsi="Times New Roman"/>
          <w:rtl w:val="0"/>
          <w:lang w:val="de-DE"/>
        </w:rPr>
        <w:t/>
      </w:r>
      <w:r>
        <w:rPr>
          <w:rStyle w:val="None"/>
          <w:rFonts w:ascii="Times New Roman" w:hAnsi="Times New Roman"/>
          <w:rtl w:val="0"/>
          <w:lang w:val="en-US"/>
        </w:rPr>
        <w:t xml:space="preserve"/>
      </w: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1. INTRODUCTION</w:t>
      </w:r>
    </w:p>
    <w:p>
      <w:pPr>
        <w:pStyle w:val="Default"/>
        <w:suppressAutoHyphens w:val="1"/>
        <w:spacing w:before="0" w:after="240" w:line="240" w:lineRule="auto"/>
        <w:jc w:val="both"/>
        <w:rPr>
          <w:rStyle w:val="Hyperlink.0"/>
        </w:rPr>
      </w:pPr>
      <w:r>
        <w:rPr>
          <w:rStyle w:val="Hyperlink.0"/>
          <w:rtl w:val="0"/>
          <w:lang w:val="en-US"/>
        </w:rPr>
        <w:t>Blockchain-based smart contracts have emerged as a disruptive paradigm enabling self-executing agreements without centralised intermediaries [1]. Applications span decentralised finance (DeFi), supply chain assurance, tokenised insurance, and prediction markets. A fundamental constraint, however, is that contract execution occurs in a deterministic, closed environment with no native capability to ingest off-chain data; any external input must be injected through a trusted intermediary called an oracle [9]. Contemporary oracle architectures generally adopt one of two strategies: reliance on a single trusted node (single point of failure) or multi-node aggregation with fixed rules [1]. Neither approach is well suited to noisy signals such as social media sentiment or trending search activity, which are increasingly relevant to prediction markets where participants bet on narrative-price divergence.</w:t>
      </w:r>
    </w:p>
    <w:p>
      <w:pPr>
        <w:pStyle w:val="Default"/>
        <w:suppressAutoHyphens w:val="1"/>
        <w:spacing w:before="0" w:after="240" w:line="240" w:lineRule="auto"/>
        <w:jc w:val="both"/>
        <w:rPr>
          <w:rStyle w:val="Hyperlink.0"/>
        </w:rPr>
      </w:pPr>
      <w:r>
        <w:rPr>
          <w:rStyle w:val="Hyperlink.0"/>
          <w:rtl w:val="0"/>
          <w:lang w:val="en-US"/>
        </w:rPr>
        <w:t>Sentiment Trading addresses this gap by constructing and validating an end-to-end integration pipeline</w:t>
      </w:r>
      <w:r>
        <w:rPr>
          <w:rStyle w:val="Hyperlink.0"/>
          <w:rtl w:val="0"/>
          <w:lang w:val="en-US"/>
        </w:rPr>
        <w:t>—</w:t>
      </w:r>
      <w:r>
        <w:rPr>
          <w:rStyle w:val="Hyperlink.0"/>
          <w:rtl w:val="0"/>
          <w:lang w:val="en-US"/>
        </w:rPr>
        <w:t>from a Python/FastAPI off-chain oracle through six Aiken smart contracts deployed on the Cardano Preview Testnet. Rather than attempting a production AI system from the outset, the PoC intentionally uses a heuristic Hype Score to focus engineering effort on validating the data pipeline, UTxO datum schemas, and contract logic. This methodology inverts the common error of embedding ML complexity before the integration scaffold is proven. Cardano's eUTXO model was selected because it enables concurrent contract execution without shared mutable state, avoiding race conditions that affect account-based chains such as Ethereum [10][12].</w:t>
      </w:r>
    </w:p>
    <w:p>
      <w:pPr>
        <w:pStyle w:val="Default"/>
        <w:suppressAutoHyphens w:val="1"/>
        <w:spacing w:before="0" w:after="240" w:line="240" w:lineRule="auto"/>
        <w:rPr>
          <w:rStyle w:val="Hyperlink.0"/>
        </w:rPr>
      </w:pPr>
      <w:r>
        <w:rPr>
          <w:rStyle w:val="Hyperlink.0"/>
          <w:rtl w:val="0"/>
          <w:lang w:val="en-US"/>
        </w:rPr>
        <w:t>The main contributions of this work are:</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An end-to-end verified integration of a FastAPI oracle service with six Aiken smart contracts on the Cardano Preview Testnet.</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 heuristic Hype Score pipeline with a clearly scoped upgrade path to trained NLP models.</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 120% over-collateralised Treasury Reserve with an 80% safety-valve liability cap.</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 CIP-68 Shield NFT contract enabling metadata updates without token reissuance.</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 proposed upgrade roadmap covering GNN trust scoring, federated FinBERT, autoencoder anomaly detection, and DQN-based oracle aggregation.</w:t>
      </w: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2. LITERATURE REVIEW</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2.1 AI-Driven Oracle Systems</w:t>
      </w:r>
    </w:p>
    <w:p>
      <w:pPr>
        <w:pStyle w:val="Default"/>
        <w:suppressAutoHyphens w:val="1"/>
        <w:spacing w:before="0" w:after="240" w:line="240" w:lineRule="auto"/>
        <w:jc w:val="both"/>
        <w:rPr>
          <w:rStyle w:val="Hyperlink.0"/>
        </w:rPr>
      </w:pPr>
      <w:r>
        <w:rPr>
          <w:rStyle w:val="Hyperlink.0"/>
          <w:rtl w:val="0"/>
          <w:lang w:val="en-US"/>
        </w:rPr>
        <w:t>Rohan and Ananda Babu [1] propose a multi-layer AI oracle chaining GNN trust scoring, federated learning, transformer NLP, autoencoder anomaly detection, and RL aggregation, achieving 92% aggregation accuracy with AUC 0.95. The modular design</w:t>
      </w:r>
      <w:r>
        <w:rPr>
          <w:rStyle w:val="Hyperlink.0"/>
          <w:rtl w:val="0"/>
          <w:lang w:val="en-US"/>
        </w:rPr>
        <w:t>—</w:t>
      </w:r>
      <w:r>
        <w:rPr>
          <w:rStyle w:val="Hyperlink.0"/>
          <w:rtl w:val="0"/>
          <w:lang w:val="en-US"/>
        </w:rPr>
        <w:t>each AI component independently swappable</w:t>
      </w:r>
      <w:r>
        <w:rPr>
          <w:rStyle w:val="Hyperlink.0"/>
          <w:rtl w:val="0"/>
          <w:lang w:val="en-US"/>
        </w:rPr>
        <w:t>—</w:t>
      </w:r>
      <w:r>
        <w:rPr>
          <w:rStyle w:val="Hyperlink.0"/>
          <w:rtl w:val="0"/>
          <w:lang w:val="en-US"/>
        </w:rPr>
        <w:t>provides the primary architectural reference for Sentiment Trading's upgrade roadmap. Oracle manipulation research [7] confirms that oracle integrity is an active attack surface, directly motivating the anti-arbitrage guard and reserve-ratio mechanism.</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2.2 Sentiment Analysis and Market Prediction</w:t>
      </w:r>
    </w:p>
    <w:p>
      <w:pPr>
        <w:pStyle w:val="Default"/>
        <w:suppressAutoHyphens w:val="1"/>
        <w:spacing w:before="0" w:after="240" w:line="240" w:lineRule="auto"/>
        <w:rPr>
          <w:rStyle w:val="Hyperlink.0"/>
        </w:rPr>
      </w:pPr>
      <w:r>
        <w:rPr>
          <w:rStyle w:val="Hyperlink.0"/>
          <w:rtl w:val="0"/>
          <w:lang w:val="en-US"/>
        </w:rPr>
        <w:t>A growing body of work demonstrates that web-derived sentiment signals improve financial forecasting. Studies using LLMs for market prediction [2] and machine learning for stock trend classification [3] both report that sentiment features outperform price-only baselines in fast-moving markets. LSTM-based sentiment models [4] and deep-learning approaches for emerging markets [5] collectively map the upgrade trajectory from the current heuristic toward a production-grade trained classifier. A comprehensive NLP-sentiment survey [6] further contextualises the state of the art.</w:t>
      </w:r>
    </w:p>
    <w:p>
      <w:pPr>
        <w:pStyle w:val="Default"/>
        <w:suppressAutoHyphens w:val="1"/>
        <w:spacing w:before="0" w:after="240" w:line="240" w:lineRule="auto"/>
        <w:rPr>
          <w:rStyle w:val="None"/>
          <w:rFonts w:ascii="Times New Roman" w:cs="Times New Roman" w:hAnsi="Times New Roman" w:eastAsia="Times New Roman"/>
          <w:b w:val="1"/>
          <w:bCs w:val="1"/>
          <w:lang w:val="it-IT"/>
        </w:rPr>
      </w:pPr>
      <w:r>
        <w:rPr>
          <w:rStyle w:val="None"/>
          <w:rFonts w:ascii="Times New Roman" w:hAnsi="Times New Roman"/>
          <w:b w:val="1"/>
          <w:bCs w:val="1"/>
          <w:rtl w:val="0"/>
          <w:lang w:val="it-IT"/>
        </w:rPr>
        <w:t>2.3 eUTXO Model and Cardano</w:t>
      </w:r>
    </w:p>
    <w:p>
      <w:pPr>
        <w:pStyle w:val="Default"/>
        <w:suppressAutoHyphens w:val="1"/>
        <w:spacing w:before="0" w:after="240" w:line="240" w:lineRule="auto"/>
        <w:rPr>
          <w:rStyle w:val="Hyperlink.0"/>
        </w:rPr>
      </w:pPr>
      <w:r>
        <w:rPr>
          <w:rStyle w:val="Hyperlink.0"/>
          <w:rtl w:val="0"/>
          <w:lang w:val="en-US"/>
        </w:rPr>
        <w:t>Research on distributed state management in eUTXO systems [10] demonstrates that deterministic, parallel UTxO consumption inherently avoids double-spend risks endemic to account-based models. A comparative blockchain analysis [12] confirms Cardano's suitability for DApps requiring formal verification. Revenue optimisation on Cardano [11] and smart contract opcode classification [8] provide further platform context. The AMM pricing model is grounded in order-book AMM research [13].</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2.4 Decentralised Insurance Mechanisms</w:t>
      </w:r>
    </w:p>
    <w:p>
      <w:pPr>
        <w:pStyle w:val="Default"/>
        <w:suppressAutoHyphens w:val="1"/>
        <w:spacing w:before="0" w:after="240" w:line="240" w:lineRule="auto"/>
        <w:rPr>
          <w:rStyle w:val="Hyperlink.0"/>
        </w:rPr>
      </w:pPr>
      <w:r>
        <w:rPr>
          <w:rStyle w:val="Hyperlink.0"/>
          <w:rtl w:val="0"/>
          <w:lang w:val="en-US"/>
        </w:rPr>
        <w:t>Blockchain insurance contract research [14] establishes how premium collection, risk pooling, and claim settlement can be fully encoded in contract logic. An IoT-linked insurance framework [15] demonstrates the feasibility of autonomous claim settlement triggered by verified sensor data</w:t>
      </w:r>
      <w:r>
        <w:rPr>
          <w:rStyle w:val="Hyperlink.0"/>
          <w:rtl w:val="0"/>
          <w:lang w:val="en-US"/>
        </w:rPr>
        <w:t>—</w:t>
      </w:r>
      <w:r>
        <w:rPr>
          <w:rStyle w:val="Hyperlink.0"/>
          <w:rtl w:val="0"/>
          <w:lang w:val="en-US"/>
        </w:rPr>
        <w:t>directly analogous to Sentiment Trading's crash-refund mechanism responding to oracle-detected Hype Score drops.</w:t>
      </w: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3. SYSTEM ARCHITECTURE</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3.1 Design Philosophy</w:t>
      </w:r>
    </w:p>
    <w:p>
      <w:pPr>
        <w:pStyle w:val="Default"/>
        <w:suppressAutoHyphens w:val="1"/>
        <w:spacing w:before="0" w:after="240" w:line="240" w:lineRule="auto"/>
        <w:rPr>
          <w:rStyle w:val="Hyperlink.0"/>
        </w:rPr>
      </w:pPr>
      <w:r>
        <w:rPr>
          <w:rStyle w:val="Hyperlink.0"/>
          <w:rtl w:val="0"/>
          <w:lang w:val="en-US"/>
        </w:rPr>
        <w:t>The guiding principle of Sentiment Trading is integration-first: validate the data flow, API contracts, and UTxO datum schemas before introducing ML complexity. Once the scaffold is verified, replacing the heuristic oracle with a trained model becomes a well-scoped engineering task rather than an undifferentiated unknown.</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3.2 Three-Tier Architecture</w:t>
      </w:r>
    </w:p>
    <w:p>
      <w:pPr>
        <w:pStyle w:val="Default"/>
        <w:suppressAutoHyphens w:val="1"/>
        <w:spacing w:before="0" w:after="240" w:line="240" w:lineRule="auto"/>
        <w:rPr>
          <w:rStyle w:val="Hyperlink.0"/>
        </w:rPr>
      </w:pPr>
      <w:r>
        <w:rPr>
          <w:rStyle w:val="Hyperlink.0"/>
          <w:rtl w:val="0"/>
          <w:lang w:val="en-US"/>
        </w:rPr>
        <w:t>The system comprises a React/Lucid Evolution Presentation Layer, a Python/FastAPI Application Layer, and an Aiken/PlutusV3 Contract Layer deployed on the Cardano Preprod Network. Figure 1 presents the greyscale architectural overview.</w:t>
      </w:r>
      <w:r>
        <w:rPr>
          <w:rStyle w:val="Hyperlink.0"/>
        </w:rPr>
        <w:drawing xmlns:a="http://schemas.openxmlformats.org/drawingml/2006/main">
          <wp:anchor distT="152400" distB="152400" distL="152400" distR="152400" simplePos="0" relativeHeight="251659264" behindDoc="0" locked="0" layoutInCell="1" allowOverlap="1">
            <wp:simplePos x="0" y="0"/>
            <wp:positionH relativeFrom="margin">
              <wp:posOffset>1080974</wp:posOffset>
            </wp:positionH>
            <wp:positionV relativeFrom="line">
              <wp:posOffset>237143</wp:posOffset>
            </wp:positionV>
            <wp:extent cx="3958107" cy="2808979"/>
            <wp:effectExtent l="0" t="0" r="0" b="0"/>
            <wp:wrapThrough wrapText="bothSides" distL="152400" distR="152400">
              <wp:wrapPolygon edited="1">
                <wp:start x="-26" y="-37"/>
                <wp:lineTo x="-26" y="0"/>
                <wp:lineTo x="-26" y="21601"/>
                <wp:lineTo x="-26" y="21637"/>
                <wp:lineTo x="0" y="21637"/>
                <wp:lineTo x="21600" y="21637"/>
                <wp:lineTo x="21626" y="21637"/>
                <wp:lineTo x="21626" y="21601"/>
                <wp:lineTo x="21626" y="0"/>
                <wp:lineTo x="21626" y="-37"/>
                <wp:lineTo x="21600" y="-37"/>
                <wp:lineTo x="0" y="-37"/>
                <wp:lineTo x="-26" y="-37"/>
              </wp:wrapPolygon>
            </wp:wrapThrough>
            <wp:docPr id="1073741825" name="officeArt object" descr="Screenshot 2026-05-13 at 3.57.23 PM.png"/>
            <wp:cNvGraphicFramePr/>
            <a:graphic xmlns:a="http://schemas.openxmlformats.org/drawingml/2006/main">
              <a:graphicData uri="http://schemas.openxmlformats.org/drawingml/2006/picture">
                <pic:pic xmlns:pic="http://schemas.openxmlformats.org/drawingml/2006/picture">
                  <pic:nvPicPr>
                    <pic:cNvPr id="1073741825" name="Screenshot 2026-05-13 at 3.57.23 PM.png" descr="Screenshot 2026-05-13 at 3.57.23 PM.png"/>
                    <pic:cNvPicPr>
                      <a:picLocks noChangeAspect="1"/>
                    </pic:cNvPicPr>
                  </pic:nvPicPr>
                  <pic:blipFill>
                    <a:blip r:embed="rId4">
                      <a:extLst/>
                    </a:blip>
                    <a:stretch>
                      <a:fillRect/>
                    </a:stretch>
                  </pic:blipFill>
                  <pic:spPr>
                    <a:xfrm>
                      <a:off x="0" y="0"/>
                      <a:ext cx="3958107" cy="2808979"/>
                    </a:xfrm>
                    <a:prstGeom prst="rect">
                      <a:avLst/>
                    </a:prstGeom>
                    <a:ln w="9525" cap="flat">
                      <a:solidFill>
                        <a:srgbClr val="929292"/>
                      </a:solidFill>
                      <a:prstDash val="solid"/>
                      <a:miter lim="400000"/>
                    </a:ln>
                    <a:effectLst/>
                  </pic:spPr>
                </pic:pic>
              </a:graphicData>
            </a:graphic>
          </wp:anchor>
        </w:drawing>
      </w: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jc w:val="center"/>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jc w:val="center"/>
        <w:rPr>
          <w:rStyle w:val="None"/>
          <w:rFonts w:ascii="Times New Roman" w:cs="Times New Roman" w:hAnsi="Times New Roman" w:eastAsia="Times New Roman"/>
        </w:rPr>
      </w:pPr>
    </w:p>
    <w:p>
      <w:pPr>
        <w:pStyle w:val="Default"/>
        <w:suppressAutoHyphens w:val="1"/>
        <w:spacing w:before="0" w:after="240" w:line="240" w:lineRule="auto"/>
        <w:jc w:val="center"/>
        <w:rPr>
          <w:rStyle w:val="None"/>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1.</w:t>
      </w:r>
      <w:r>
        <w:rPr>
          <w:rStyle w:val="Hyperlink.0"/>
          <w:rtl w:val="0"/>
          <w:lang w:val="en-US"/>
        </w:rPr>
        <w:t xml:space="preserve"> Sentiment Trading Three-Tier System Architecture.</w:t>
      </w:r>
    </w:p>
    <w:p>
      <w:pPr>
        <w:pStyle w:val="Default"/>
        <w:suppressAutoHyphens w:val="1"/>
        <w:spacing w:before="0" w:after="240" w:line="240" w:lineRule="auto"/>
        <w:jc w:val="center"/>
        <w:rPr>
          <w:rStyle w:val="Hyperlink.0"/>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1.</w:t>
      </w:r>
      <w:r>
        <w:rPr>
          <w:rStyle w:val="Hyperlink.0"/>
          <w:rtl w:val="0"/>
          <w:lang w:val="en-US"/>
        </w:rPr>
        <w:t xml:space="preserve"> Sentiment Trading System Component Overview</w:t>
      </w:r>
    </w:p>
    <w:tbl>
      <w:tblPr>
        <w:tblW w:w="727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855"/>
        <w:gridCol w:w="2694"/>
        <w:gridCol w:w="1721"/>
      </w:tblGrid>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it-IT"/>
              </w:rPr>
              <w:t>Component</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rPr>
              <w:t>Technology</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nl-NL"/>
              </w:rPr>
              <w:t>Status</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Off-chain Oracle Engine</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Python / FastAPI</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Implemented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Heuristic Hype Score</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Python (ai_engine.py)</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Implemented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Cryptographic Handshake</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secrets.token_hex (sim.)</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Simulated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Oracle Validator Contract</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 (120%)</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Anti-Arbitrage Guard</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Crash-Refund Trigger</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nl-NL"/>
              </w:rPr>
              <w:t>Shield NFT (CIP-68)</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AMM Liquidity Contract</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nl-NL"/>
              </w:rPr>
              <w:t>React dApp Frontend</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TypeScript / Lucid Ev.</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Implemented</w:t>
            </w:r>
          </w:p>
        </w:tc>
      </w:tr>
    </w:tbl>
    <w:p>
      <w:pPr>
        <w:pStyle w:val="Default"/>
        <w:widowControl w:val="0"/>
        <w:suppressAutoHyphens w:val="1"/>
        <w:spacing w:before="0" w:after="240" w:line="240" w:lineRule="auto"/>
        <w:ind w:left="108" w:hanging="108"/>
        <w:jc w:val="center"/>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4. METHADOLOGY</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4.1 Off-Chain Oracle Engine (Hype Score Pipeline)</w:t>
      </w:r>
    </w:p>
    <w:p>
      <w:pPr>
        <w:pStyle w:val="Default"/>
        <w:suppressAutoHyphens w:val="1"/>
        <w:spacing w:before="0" w:after="240" w:line="240" w:lineRule="auto"/>
        <w:rPr>
          <w:rStyle w:val="Hyperlink.0"/>
        </w:rPr>
      </w:pPr>
      <w:r>
        <w:rPr>
          <w:rStyle w:val="Hyperlink.0"/>
          <w:rtl w:val="0"/>
          <w:lang w:val="en-US"/>
        </w:rPr>
        <w:t>The oracle engine (ai_engine.py) issues a DuckDuckGo search query for a target asset ticker symbol, concatenates returned result snippets into a single text string (combined_text), and derives a base score using:</w:t>
      </w:r>
    </w:p>
    <w:p>
      <w:pPr>
        <w:pStyle w:val="Default"/>
        <w:suppressAutoHyphens w:val="1"/>
        <w:spacing w:before="0" w:after="240" w:line="240" w:lineRule="auto"/>
        <w:jc w:val="center"/>
        <w:rPr>
          <w:rStyle w:val="None"/>
          <w:rFonts w:ascii="Times New Roman" w:cs="Times New Roman" w:hAnsi="Times New Roman" w:eastAsia="Times New Roman"/>
          <w:outline w:val="0"/>
          <w:color w:val="000000"/>
          <w:sz w:val="24"/>
          <w:u w:color="000000"/>
          <w14:textFill>
            <w14:solidFill>
              <w14:srgbClr w14:val="000000"/>
            </w14:solidFill>
          </w14:textFill>
        </w:rPr>
      </w:pPr>
      <m:oMathPara>
        <m:oMathParaPr>
          <m:jc m:val="center"/>
        </m:oMathParaPr>
        <m:oMath>
          <m:r>
            <w:rPr xmlns:w="http://schemas.openxmlformats.org/wordprocessingml/2006/main">
              <w:rFonts w:ascii="Cambria Math" w:hAnsi="Cambria Math"/>
              <w:i/>
              <w:color w:val="000000"/>
              <w:sz w:val="25"/>
              <w:szCs w:val="25"/>
            </w:rPr>
            <m:t>b</m:t>
          </m:r>
          <m:r>
            <w:rPr xmlns:w="http://schemas.openxmlformats.org/wordprocessingml/2006/main">
              <w:rFonts w:ascii="Cambria Math" w:hAnsi="Cambria Math"/>
              <w:i/>
              <w:color w:val="000000"/>
              <w:sz w:val="25"/>
              <w:szCs w:val="25"/>
            </w:rPr>
            <m:t>a</m:t>
          </m:r>
          <m:r>
            <w:rPr xmlns:w="http://schemas.openxmlformats.org/wordprocessingml/2006/main">
              <w:rFonts w:ascii="Cambria Math" w:hAnsi="Cambria Math"/>
              <w:i/>
              <w:color w:val="000000"/>
              <w:sz w:val="25"/>
              <w:szCs w:val="25"/>
            </w:rPr>
            <m:t>s</m:t>
          </m:r>
          <m:r>
            <w:rPr xmlns:w="http://schemas.openxmlformats.org/wordprocessingml/2006/main">
              <w:rFonts w:ascii="Cambria Math" w:hAnsi="Cambria Math"/>
              <w:i/>
              <w:color w:val="000000"/>
              <w:sz w:val="25"/>
              <w:szCs w:val="25"/>
            </w:rPr>
            <m:t>e</m:t>
          </m:r>
          <m:r>
            <w:rPr xmlns:w="http://schemas.openxmlformats.org/wordprocessingml/2006/main">
              <w:rFonts w:ascii="Cambria Math" w:hAnsi="Cambria Math"/>
              <w:i/>
              <w:color w:val="000000"/>
              <w:sz w:val="25"/>
              <w:szCs w:val="25"/>
            </w:rPr>
            <m:t>_</m:t>
          </m:r>
          <m:r>
            <w:rPr xmlns:w="http://schemas.openxmlformats.org/wordprocessingml/2006/main">
              <w:rFonts w:ascii="Cambria Math" w:hAnsi="Cambria Math"/>
              <w:i/>
              <w:color w:val="000000"/>
              <w:sz w:val="25"/>
              <w:szCs w:val="25"/>
            </w:rPr>
            <m:t>s</m:t>
          </m:r>
          <m:r>
            <w:rPr xmlns:w="http://schemas.openxmlformats.org/wordprocessingml/2006/main">
              <w:rFonts w:ascii="Cambria Math" w:hAnsi="Cambria Math"/>
              <w:i/>
              <w:color w:val="000000"/>
              <w:sz w:val="25"/>
              <w:szCs w:val="25"/>
            </w:rPr>
            <m:t>c</m:t>
          </m:r>
          <m:r>
            <w:rPr xmlns:w="http://schemas.openxmlformats.org/wordprocessingml/2006/main">
              <w:rFonts w:ascii="Cambria Math" w:hAnsi="Cambria Math"/>
              <w:i/>
              <w:color w:val="000000"/>
              <w:sz w:val="25"/>
              <w:szCs w:val="25"/>
            </w:rPr>
            <m:t>o</m:t>
          </m:r>
          <m:r>
            <w:rPr xmlns:w="http://schemas.openxmlformats.org/wordprocessingml/2006/main">
              <w:rFonts w:ascii="Cambria Math" w:hAnsi="Cambria Math"/>
              <w:i/>
              <w:color w:val="000000"/>
              <w:sz w:val="25"/>
              <w:szCs w:val="25"/>
            </w:rPr>
            <m:t>r</m:t>
          </m:r>
          <m:r>
            <w:rPr xmlns:w="http://schemas.openxmlformats.org/wordprocessingml/2006/main">
              <w:rFonts w:ascii="Cambria Math" w:hAnsi="Cambria Math"/>
              <w:i/>
              <w:color w:val="000000"/>
              <w:sz w:val="25"/>
              <w:szCs w:val="25"/>
            </w:rPr>
            <m:t>e</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len</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combined_text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30</m:t>
          </m:r>
        </m:oMath>
      </m:oMathPara>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both"/>
        <w:rPr>
          <w:rStyle w:val="None"/>
          <w:rFonts w:ascii="Times New Roman" w:cs="Times New Roman" w:hAnsi="Times New Roman" w:eastAsia="Times New Roman"/>
          <w:outline w:val="0"/>
          <w:color w:val="000000"/>
          <w:sz w:val="24"/>
          <w:u w:color="000000"/>
          <w14:textFill>
            <w14:solidFill>
              <w14:srgbClr w14:val="000000"/>
            </w14:solidFill>
          </w14:textFill>
        </w:rPr>
      </w:pPr>
      <w:r>
        <w:rPr>
          <w:rStyle w:val="Hyperlink.0"/>
          <w:rtl w:val="0"/>
          <w:lang w:val="en-US"/>
        </w:rPr>
        <w:t xml:space="preserve">A random integer </w:t>
      </w:r>
      <m:oMath>
        <m:r>
          <w:rPr xmlns:w="http://schemas.openxmlformats.org/wordprocessingml/2006/main">
            <w:rFonts w:ascii="Cambria Math" w:hAnsi="Cambria Math"/>
            <w:i/>
            <w:color w:val="000000"/>
            <w:sz w:val="25"/>
            <w:szCs w:val="25"/>
          </w:rPr>
          <m:t>ε</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5,</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5</m:t>
        </m:r>
        <m:r>
          <w:rPr xmlns:w="http://schemas.openxmlformats.org/wordprocessingml/2006/main">
            <w:rFonts w:ascii="Cambria Math" w:hAnsi="Cambria Math"/>
            <w:i/>
            <w:color w:val="000000"/>
            <w:sz w:val="25"/>
            <w:szCs w:val="25"/>
          </w:rPr>
          <m:t>]</m:t>
        </m:r>
      </m:oMath>
      <w:r>
        <w:rPr>
          <w:rStyle w:val="Hyperlink.0"/>
          <w:rtl w:val="0"/>
          <w:lang w:val="en-US"/>
        </w:rPr>
        <w:t xml:space="preserve"> simulates natural signal noise, yielding the final Hype Score: </w:t>
      </w:r>
      <m:oMath>
        <m:r>
          <m:rPr>
            <m:nor/>
          </m:rPr>
          <w:rPr xmlns:w="http://schemas.openxmlformats.org/wordprocessingml/2006/main">
            <w:rFonts w:ascii="Cambria Math" w:hAnsi="Cambria Math"/>
            <w:i/>
            <w:color w:val="000000"/>
            <w:sz w:val="25"/>
            <w:szCs w:val="25"/>
          </w:rPr>
          <m:t>hype_score</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base_score</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ε</m:t>
        </m:r>
      </m:oMath>
      <w:r>
        <w:rPr>
          <w:rStyle w:val="Hyperlink.0"/>
          <w:rtl w:val="0"/>
          <w:lang w:val="en-US"/>
        </w:rPr>
        <w:t>.The sentiment gap</w:t>
      </w:r>
      <w:r>
        <w:rPr>
          <w:rStyle w:val="Hyperlink.0"/>
          <w:rtl w:val="0"/>
          <w:lang w:val="en-US"/>
        </w:rPr>
        <w:t>—</w:t>
      </w:r>
      <w:r>
        <w:rPr>
          <w:rStyle w:val="Hyperlink.0"/>
          <w:rtl w:val="0"/>
          <w:lang w:val="en-US"/>
        </w:rPr>
        <w:t>representing narrative-to-price divergence</w:t>
      </w:r>
      <w:r>
        <w:rPr>
          <w:rStyle w:val="Hyperlink.0"/>
          <w:rtl w:val="0"/>
          <w:lang w:val="en-US"/>
        </w:rPr>
        <w:t>—</w:t>
      </w:r>
      <w:r>
        <w:rPr>
          <w:rStyle w:val="Hyperlink.0"/>
          <w:rtl w:val="0"/>
          <w:lang w:val="en-US"/>
        </w:rPr>
        <w:t>is:</w:t>
      </w:r>
      <m:oMath>
        <m:r>
          <m:rPr>
            <m:nor/>
          </m:rPr>
          <w:rPr xmlns:w="http://schemas.openxmlformats.org/wordprocessingml/2006/main">
            <w:rFonts w:ascii="Cambria Math" w:hAnsi="Cambria Math"/>
            <w:i/>
            <w:color w:val="000000"/>
            <w:sz w:val="25"/>
            <w:szCs w:val="25"/>
          </w:rPr>
          <m:t>sentiment_gap</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hype_score</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price_proxy</m:t>
        </m:r>
      </m:oMath>
      <w:r>
        <w:rPr>
          <w:rStyle w:val="Hyperlink.0"/>
          <w:rtl w:val="0"/>
          <w:lang w:val="en-US"/>
        </w:rPr>
        <w:t>.Table 2 defines all pipeline variables.</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2.</w:t>
      </w:r>
      <w:r>
        <w:rPr>
          <w:rStyle w:val="Hyperlink.0"/>
          <w:rtl w:val="0"/>
          <w:lang w:val="en-US"/>
        </w:rPr>
        <w:t xml:space="preserve"> Hype Score Computation </w:t>
      </w:r>
      <w:r>
        <w:rPr>
          <w:rStyle w:val="Hyperlink.0"/>
          <w:rtl w:val="0"/>
          <w:lang w:val="en-US"/>
        </w:rPr>
        <w:t xml:space="preserve">— </w:t>
      </w:r>
      <w:r>
        <w:rPr>
          <w:rStyle w:val="Hyperlink.0"/>
          <w:rtl w:val="0"/>
          <w:lang w:val="en-US"/>
        </w:rPr>
        <w:t>Variable Definitions</w:t>
      </w:r>
    </w:p>
    <w:tbl>
      <w:tblPr>
        <w:tblW w:w="963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56"/>
        <w:gridCol w:w="5575"/>
        <w:gridCol w:w="2607"/>
      </w:tblGrid>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fr-FR"/>
              </w:rPr>
              <w:t>Variable</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Definition</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Range (Observed)</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combined_text</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Concatenated DuckDuckGo result snippets for target ticker</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Text string (variable length)</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base_score</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len(combined_text) // 30</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 xml:space="preserve">8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rPr>
              <w:t>47</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0"/>
              </w:rPr>
              <w:t xml:space="preserve">ε </w:t>
            </w:r>
            <w:r>
              <w:rPr>
                <w:rStyle w:val="None"/>
                <w:rFonts w:ascii="Times New Roman" w:hAnsi="Times New Roman"/>
                <w:sz w:val="18"/>
                <w:szCs w:val="18"/>
                <w:shd w:val="nil" w:color="auto" w:fill="auto"/>
                <w:rtl w:val="0"/>
                <w:lang w:val="fr-FR"/>
              </w:rPr>
              <w:t>(flux)</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Random integer in [-5, +5] simulating signal noise</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1"/>
              </w:rPr>
              <w:t>±</w:t>
            </w:r>
            <w:r>
              <w:rPr>
                <w:rStyle w:val="None"/>
                <w:rFonts w:ascii="Times New Roman" w:hAnsi="Times New Roman"/>
                <w:sz w:val="18"/>
                <w:szCs w:val="18"/>
                <w:shd w:val="nil" w:color="auto" w:fill="auto"/>
                <w:rtl w:val="0"/>
              </w:rPr>
              <w:t>5</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hype_score</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base_score + </w:t>
            </w:r>
            <w:r>
              <w:rPr>
                <w:rStyle w:val="None"/>
                <w:rFonts w:ascii="Times New Roman" w:hAnsi="Times New Roman" w:hint="default"/>
                <w:sz w:val="18"/>
                <w:szCs w:val="18"/>
                <w:shd w:val="nil" w:color="auto" w:fill="auto"/>
                <w:rtl w:val="0"/>
              </w:rPr>
              <w:t>ε</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 xml:space="preserve">8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lang w:val="en-US"/>
              </w:rPr>
              <w:t xml:space="preserve">47 (mean 23.4, </w:t>
            </w:r>
            <w:r>
              <w:rPr>
                <w:rStyle w:val="None"/>
                <w:rFonts w:ascii="Times New Roman" w:hAnsi="Times New Roman" w:hint="default"/>
                <w:sz w:val="18"/>
                <w:szCs w:val="18"/>
                <w:shd w:val="nil" w:color="auto" w:fill="auto"/>
                <w:rtl w:val="0"/>
              </w:rPr>
              <w:t>σ</w:t>
            </w:r>
            <w:r>
              <w:rPr>
                <w:rStyle w:val="None"/>
                <w:rFonts w:ascii="Times New Roman" w:hAnsi="Times New Roman"/>
                <w:sz w:val="18"/>
                <w:szCs w:val="18"/>
                <w:shd w:val="nil" w:color="auto" w:fill="auto"/>
                <w:rtl w:val="0"/>
              </w:rPr>
              <w:t>=8.1)</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price_proxy</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Simulated market price datum (not a live feed in PoC)</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Simulated</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sentiment_gap</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hype_score - price_proxy</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[-15, +22] observed</w:t>
            </w:r>
          </w:p>
        </w:tc>
      </w:tr>
    </w:tbl>
    <w:p>
      <w:pPr>
        <w:pStyle w:val="Default"/>
        <w:widowControl w:val="0"/>
        <w:suppressAutoHyphens w:val="1"/>
        <w:spacing w:before="0" w:after="240" w:line="240" w:lineRule="auto"/>
        <w:ind w:left="108" w:hanging="108"/>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4.2 Cryptographic Handshake (Simulated)</w:t>
      </w:r>
    </w:p>
    <w:p>
      <w:pPr>
        <w:pStyle w:val="Default"/>
        <w:suppressAutoHyphens w:val="1"/>
        <w:spacing w:before="0" w:after="240" w:line="240" w:lineRule="auto"/>
        <w:jc w:val="both"/>
        <w:rPr>
          <w:rStyle w:val="Hyperlink.0"/>
        </w:rPr>
      </w:pPr>
      <w:r>
        <w:rPr>
          <w:rStyle w:val="Hyperlink.0"/>
          <w:rtl w:val="0"/>
          <w:lang w:val="en-US"/>
        </w:rPr>
        <w:t>The oracle validator requires an incoming datum to carry a 128-character hexadecimal signature field, currently populated via secrets.token_hex(64). This provides a cryptographically random placeholder but does not constitute a genuine Ed25519 signature. The contract verifies field presence and format; actual public-key verification is reserved as a future upgrade with a deliberate interface slot already provided in the Aiken validator code.</w:t>
      </w:r>
    </w:p>
    <w:p>
      <w:pPr>
        <w:pStyle w:val="Default"/>
        <w:suppressAutoHyphens w:val="1"/>
        <w:spacing w:before="0" w:after="240" w:line="240" w:lineRule="auto"/>
        <w:rPr>
          <w:rStyle w:val="None"/>
          <w:rFonts w:ascii="Times New Roman" w:cs="Times New Roman" w:hAnsi="Times New Roman" w:eastAsia="Times New Roman"/>
          <w:b w:val="1"/>
          <w:bCs w:val="1"/>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4.3 On-Chain Smart Contract Stack</w:t>
      </w:r>
    </w:p>
    <w:p>
      <w:pPr>
        <w:pStyle w:val="Default"/>
        <w:suppressAutoHyphens w:val="1"/>
        <w:spacing w:before="0" w:after="240" w:line="240" w:lineRule="auto"/>
        <w:jc w:val="both"/>
        <w:rPr>
          <w:rStyle w:val="Hyperlink.0"/>
        </w:rPr>
      </w:pPr>
      <w:r>
        <w:rPr>
          <w:rStyle w:val="Hyperlink.0"/>
          <w:rtl w:val="0"/>
          <w:lang w:val="en-US"/>
        </w:rPr>
        <w:t>All six mechanisms were written in Aiken and compiled to Untyped Plutus Core (UPLC) targeting the Cardano Chang+2 protocol era. Aiken was preferred over raw Plutus Haskell for its simpler type system and faster iterative compilation. Transaction construction and UTxO selection were handled by the Lucid Evolution TypeScript library.</w:t>
      </w:r>
      <w:r>
        <w:rPr>
          <w:rStyle w:val="Hyperlink.0"/>
        </w:rPr>
        <w:drawing xmlns:a="http://schemas.openxmlformats.org/drawingml/2006/main">
          <wp:anchor distT="114300" distB="114300" distL="114300" distR="114300" simplePos="0" relativeHeight="251660288" behindDoc="0" locked="0" layoutInCell="1" allowOverlap="1">
            <wp:simplePos x="0" y="0"/>
            <wp:positionH relativeFrom="page">
              <wp:posOffset>1149905</wp:posOffset>
            </wp:positionH>
            <wp:positionV relativeFrom="line">
              <wp:posOffset>464513</wp:posOffset>
            </wp:positionV>
            <wp:extent cx="5260426" cy="2574390"/>
            <wp:effectExtent l="0" t="0" r="0" b="0"/>
            <wp:wrapThrough wrapText="bothSides" distL="114300" distR="114300">
              <wp:wrapPolygon edited="1">
                <wp:start x="-20" y="-40"/>
                <wp:lineTo x="-20" y="0"/>
                <wp:lineTo x="-20" y="21601"/>
                <wp:lineTo x="-20" y="21641"/>
                <wp:lineTo x="0" y="21641"/>
                <wp:lineTo x="21601" y="21641"/>
                <wp:lineTo x="21620" y="21641"/>
                <wp:lineTo x="21620" y="21601"/>
                <wp:lineTo x="21620" y="0"/>
                <wp:lineTo x="21620" y="-40"/>
                <wp:lineTo x="21601" y="-40"/>
                <wp:lineTo x="0" y="-40"/>
                <wp:lineTo x="-20" y="-40"/>
              </wp:wrapPolygon>
            </wp:wrapThrough>
            <wp:docPr id="1073741826" name="officeArt object" descr="Screenshot 2026-05-13 at 3.59.11 PM.png"/>
            <wp:cNvGraphicFramePr/>
            <a:graphic xmlns:a="http://schemas.openxmlformats.org/drawingml/2006/main">
              <a:graphicData uri="http://schemas.openxmlformats.org/drawingml/2006/picture">
                <pic:pic xmlns:pic="http://schemas.openxmlformats.org/drawingml/2006/picture">
                  <pic:nvPicPr>
                    <pic:cNvPr id="1073741826" name="Screenshot 2026-05-13 at 3.59.11 PM.png" descr="Screenshot 2026-05-13 at 3.59.11 PM.png"/>
                    <pic:cNvPicPr>
                      <a:picLocks noChangeAspect="1"/>
                    </pic:cNvPicPr>
                  </pic:nvPicPr>
                  <pic:blipFill>
                    <a:blip r:embed="rId5">
                      <a:extLst/>
                    </a:blip>
                    <a:stretch>
                      <a:fillRect/>
                    </a:stretch>
                  </pic:blipFill>
                  <pic:spPr>
                    <a:xfrm>
                      <a:off x="0" y="0"/>
                      <a:ext cx="5260426" cy="2574390"/>
                    </a:xfrm>
                    <a:prstGeom prst="rect">
                      <a:avLst/>
                    </a:prstGeom>
                    <a:ln w="9525" cap="flat">
                      <a:solidFill>
                        <a:srgbClr val="929292"/>
                      </a:solidFill>
                      <a:prstDash val="solid"/>
                      <a:miter lim="400000"/>
                    </a:ln>
                    <a:effectLst/>
                  </pic:spPr>
                </pic:pic>
              </a:graphicData>
            </a:graphic>
          </wp:anchor>
        </w:drawing>
      </w: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2.</w:t>
      </w:r>
      <w:r>
        <w:rPr>
          <w:rStyle w:val="Hyperlink.0"/>
          <w:rtl w:val="0"/>
          <w:lang w:val="en-US"/>
        </w:rPr>
        <w:t xml:space="preserve"> Technical Working Architecture of Sentiment Trading.</w:t>
      </w: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5. IMPLEMENTATION DETAILS</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 xml:space="preserve">5.1 Treasury Reserve </w:t>
      </w:r>
      <w:r>
        <w:rPr>
          <w:rStyle w:val="None"/>
          <w:rFonts w:ascii="Times New Roman" w:hAnsi="Times New Roman" w:hint="default"/>
          <w:b w:val="1"/>
          <w:bCs w:val="1"/>
          <w:rtl w:val="0"/>
          <w:lang w:val="en-US"/>
        </w:rPr>
        <w:t xml:space="preserve">— </w:t>
      </w:r>
      <w:r>
        <w:rPr>
          <w:rStyle w:val="None"/>
          <w:rFonts w:ascii="Times New Roman" w:hAnsi="Times New Roman"/>
          <w:b w:val="1"/>
          <w:bCs w:val="1"/>
          <w:rtl w:val="0"/>
          <w:lang w:val="en-US"/>
        </w:rPr>
        <w:t>120% Over-Collateralization</w:t>
      </w:r>
    </w:p>
    <w:p>
      <w:pPr>
        <w:pStyle w:val="Default"/>
        <w:suppressAutoHyphens w:val="1"/>
        <w:spacing w:before="0" w:after="240" w:line="240" w:lineRule="auto"/>
        <w:rPr>
          <w:rStyle w:val="Hyperlink.0"/>
        </w:rPr>
      </w:pPr>
      <w:r>
        <w:rPr>
          <w:rStyle w:val="Hyperlink.0"/>
          <w:rtl w:val="0"/>
          <w:lang w:val="en-US"/>
        </w:rPr>
        <w:t>The Treasury Reserve invariant checked at validation time is:</w:t>
      </w:r>
    </w:p>
    <w:p>
      <w:pPr>
        <w:pStyle w:val="Default"/>
        <w:suppressAutoHyphens w:val="1"/>
        <w:spacing w:before="0" w:after="240" w:line="240" w:lineRule="auto"/>
        <w:jc w:val="center"/>
        <w:rPr>
          <w:rStyle w:val="None"/>
          <w:rFonts w:ascii="Times New Roman" w:cs="Times New Roman" w:hAnsi="Times New Roman" w:eastAsia="Times New Roman"/>
          <w:outline w:val="0"/>
          <w:color w:val="000000"/>
          <w:sz w:val="24"/>
          <w:u w:color="000000"/>
          <w14:textFill>
            <w14:solidFill>
              <w14:srgbClr w14:val="000000"/>
            </w14:solidFill>
          </w14:textFill>
        </w:rPr>
      </w:pPr>
      <m:oMathPara>
        <m:oMathParaPr>
          <m:jc m:val="center"/>
        </m:oMathParaPr>
        <m:oMath>
          <m:r>
            <w:rPr xmlns:w="http://schemas.openxmlformats.org/wordprocessingml/2006/main">
              <w:rFonts w:ascii="Cambria Math" w:hAnsi="Cambria Math"/>
              <w:i/>
              <w:color w:val="000000"/>
              <w:sz w:val="25"/>
              <w:szCs w:val="25"/>
            </w:rPr>
            <m:t>R</m:t>
          </m:r>
          <m:r>
            <w:rPr xmlns:w="http://schemas.openxmlformats.org/wordprocessingml/2006/main">
              <w:rFonts w:ascii="Cambria Math" w:hAnsi="Cambria Math"/>
              <w:i/>
              <w:color w:val="000000"/>
              <w:sz w:val="25"/>
              <w:szCs w:val="25"/>
            </w:rPr>
            <m:t>=</m:t>
          </m:r>
          <m:d>
            <m:dPr>
              <m:ctrlPr>
                <w:rPr xmlns:w="http://schemas.openxmlformats.org/wordprocessingml/2006/main">
                  <w:rFonts w:ascii="Cambria Math" w:hAnsi="Cambria Math"/>
                  <w:i/>
                  <w:color w:val="000000"/>
                  <w:sz w:val="25"/>
                  <w:szCs w:val="25"/>
                </w:rPr>
              </m:ctrlPr>
            </m:dPr>
            <m:e>
              <m:f>
                <m:fPr>
                  <m:ctrlPr>
                    <w:rPr xmlns:w="http://schemas.openxmlformats.org/wordprocessingml/2006/main">
                      <w:rFonts w:ascii="Cambria Math" w:hAnsi="Cambria Math"/>
                      <w:i/>
                      <w:color w:val="000000"/>
                      <w:sz w:val="25"/>
                      <w:szCs w:val="25"/>
                    </w:rPr>
                  </m:ctrlPr>
                  <m:type m:val="bar"/>
                </m:fPr>
                <m:num>
                  <m:r>
                    <m:rPr>
                      <m:nor/>
                    </m:rPr>
                    <w:rPr xmlns:w="http://schemas.openxmlformats.org/wordprocessingml/2006/main">
                      <w:rFonts w:ascii="Cambria Math" w:hAnsi="Cambria Math"/>
                      <w:i/>
                      <w:color w:val="000000"/>
                      <w:sz w:val="25"/>
                      <w:szCs w:val="25"/>
                    </w:rPr>
                    <m:t>treasury_locked_ada</m:t>
                  </m:r>
                </m:num>
                <m:den>
                  <m:r>
                    <m:rPr>
                      <m:nor/>
                    </m:rPr>
                    <w:rPr xmlns:w="http://schemas.openxmlformats.org/wordprocessingml/2006/main">
                      <w:rFonts w:ascii="Cambria Math" w:hAnsi="Cambria Math"/>
                      <w:i/>
                      <w:color w:val="000000"/>
                      <w:sz w:val="25"/>
                      <w:szCs w:val="25"/>
                    </w:rPr>
                    <m:t>max_possible_payout</m:t>
                  </m:r>
                </m:den>
              </m:f>
            </m:e>
          </m:d>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100</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120</m:t>
          </m:r>
        </m:oMath>
      </m:oMathPara>
    </w:p>
    <w:p>
      <w:pPr>
        <w:pStyle w:val="Default"/>
        <w:suppressAutoHyphens w:val="1"/>
        <w:spacing w:before="0" w:after="240" w:line="240" w:lineRule="auto"/>
        <w:rPr>
          <w:rStyle w:val="Hyperlink.0"/>
          <w:rFonts w:ascii="Times New Roman" w:cs="Times New Roman" w:hAnsi="Times New Roman" w:eastAsia="Times New Roman"/>
        </w:rPr>
      </w:pPr>
    </w:p>
    <w:p>
      <w:pPr>
        <w:pStyle w:val="Default"/>
        <w:suppressAutoHyphens w:val="1"/>
        <w:spacing w:before="0" w:after="240" w:line="240" w:lineRule="auto"/>
        <w:rPr>
          <w:rStyle w:val="Hyperlink.0"/>
        </w:rPr>
      </w:pPr>
      <w:r>
        <w:rPr>
          <w:rStyle w:val="Hyperlink.0"/>
          <w:rtl w:val="0"/>
          <w:lang w:val="en-US"/>
        </w:rPr>
        <w:t>The safety valve enforces a tighter real-time constraint to prevent simultaneous minting from draining the buffer:</w:t>
      </w:r>
    </w:p>
    <w:p>
      <w:pPr>
        <w:pStyle w:val="Default"/>
        <w:suppressAutoHyphens w:val="1"/>
        <w:spacing w:before="0" w:after="240" w:line="240" w:lineRule="auto"/>
        <w:jc w:val="center"/>
        <w:rPr>
          <w:rStyle w:val="None"/>
          <w:rFonts w:ascii="Times Roman" w:cs="Times Roman" w:hAnsi="Times Roman" w:eastAsia="Times Roman"/>
          <w:outline w:val="0"/>
          <w:color w:val="000000"/>
          <w:sz w:val="24"/>
          <w:u w:color="000000"/>
          <w14:textFill>
            <w14:solidFill>
              <w14:srgbClr w14:val="000000"/>
            </w14:solidFill>
          </w14:textFill>
        </w:rPr>
      </w:pPr>
      <m:oMathPara>
        <m:oMathParaPr>
          <m:jc m:val="center"/>
        </m:oMathParaPr>
        <m:oMath>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current_liability</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new_payout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f>
            <m:fPr>
              <m:ctrlPr>
                <w:rPr xmlns:w="http://schemas.openxmlformats.org/wordprocessingml/2006/main">
                  <w:rFonts w:ascii="Cambria Math" w:hAnsi="Cambria Math"/>
                  <w:i/>
                  <w:color w:val="000000"/>
                  <w:sz w:val="25"/>
                  <w:szCs w:val="25"/>
                </w:rPr>
              </m:ctrlPr>
              <m:type m:val="bar"/>
            </m:fPr>
            <m:num>
              <m:r>
                <m:rPr>
                  <m:nor/>
                </m:rPr>
                <w:rPr xmlns:w="http://schemas.openxmlformats.org/wordprocessingml/2006/main">
                  <w:rFonts w:ascii="Cambria Math" w:hAnsi="Cambria Math"/>
                  <w:i/>
                  <w:color w:val="000000"/>
                  <w:sz w:val="25"/>
                  <w:szCs w:val="25"/>
                </w:rPr>
                <m:t>treasury_balance</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80</m:t>
              </m:r>
            </m:num>
            <m:den>
              <m:r>
                <w:rPr xmlns:w="http://schemas.openxmlformats.org/wordprocessingml/2006/main">
                  <w:rFonts w:ascii="Cambria Math" w:hAnsi="Cambria Math"/>
                  <w:i/>
                  <w:color w:val="000000"/>
                  <w:sz w:val="25"/>
                  <w:szCs w:val="25"/>
                </w:rPr>
                <m:t>100</m:t>
              </m:r>
            </m:den>
          </m:f>
        </m:oMath>
      </m:oMathPara>
    </w:p>
    <w:p>
      <w:pPr>
        <w:pStyle w:val="Default"/>
        <w:suppressAutoHyphens w:val="1"/>
        <w:spacing w:before="0" w:after="240" w:line="240" w:lineRule="auto"/>
        <w:rPr>
          <w:rStyle w:val="Hyperlink.0"/>
          <w:rFonts w:ascii="Times New Roman" w:cs="Times New Roman" w:hAnsi="Times New Roman" w:eastAsia="Times New Roman"/>
        </w:rPr>
      </w:pPr>
    </w:p>
    <w:p>
      <w:pPr>
        <w:pStyle w:val="Default"/>
        <w:suppressAutoHyphens w:val="1"/>
        <w:spacing w:before="0" w:after="240" w:line="240" w:lineRule="auto"/>
        <w:rPr>
          <w:rStyle w:val="Hyperlink.0"/>
        </w:rPr>
      </w:pPr>
      <w:r>
        <w:rPr>
          <w:rStyle w:val="Hyperlink.0"/>
          <w:rtl w:val="0"/>
          <w:lang w:val="en-US"/>
        </w:rPr>
        <w:t>The treasury UTxO is read as a reference input (not consumed), enabling multiple users to mint Shields in the same block without contention</w:t>
      </w:r>
      <w:r>
        <w:rPr>
          <w:rStyle w:val="Hyperlink.0"/>
          <w:rtl w:val="0"/>
          <w:lang w:val="en-US"/>
        </w:rPr>
        <w:t>—</w:t>
      </w:r>
      <w:r>
        <w:rPr>
          <w:rStyle w:val="Hyperlink.0"/>
          <w:rtl w:val="0"/>
          <w:lang w:val="en-US"/>
        </w:rPr>
        <w:t>a direct advantage of eUTXO semantics. Any withdrawal that would push $R$ below 120 is rejected outright by the contract validator.</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5.2 Shield NFT and CIP-68 Standard</w:t>
      </w:r>
    </w:p>
    <w:p>
      <w:pPr>
        <w:pStyle w:val="Default"/>
        <w:suppressAutoHyphens w:val="1"/>
        <w:spacing w:before="0" w:after="240" w:line="240" w:lineRule="auto"/>
        <w:jc w:val="both"/>
        <w:rPr>
          <w:rStyle w:val="Hyperlink.0"/>
        </w:rPr>
      </w:pPr>
      <w:r>
        <w:rPr>
          <w:rStyle w:val="Hyperlink.0"/>
          <w:rtl w:val="0"/>
          <w:lang w:val="en-US"/>
        </w:rPr>
        <w:t>Shield NFTs conform to CIP-68, which separates the reference datum (carrying coverage tier and expiry epoch metadata) from the on-chain token representation. This separation allows metadata updates without burning and reissuing the token</w:t>
      </w:r>
      <w:r>
        <w:rPr>
          <w:rStyle w:val="Hyperlink.0"/>
          <w:rtl w:val="0"/>
          <w:lang w:val="en-US"/>
        </w:rPr>
        <w:t>—</w:t>
      </w:r>
      <w:r>
        <w:rPr>
          <w:rStyle w:val="Hyperlink.0"/>
          <w:rtl w:val="0"/>
          <w:lang w:val="en-US"/>
        </w:rPr>
        <w:t>a significant UX advantage. Three coverage tiers are defined: Basic (maximum 50% refund), Standard (65%), and Premium (80%). The crash-refund trigger monitors oracle datum drops exceeding a configurable threshold within a rolling epoch window and computes eligible refund amounts automatically.</w:t>
      </w:r>
    </w:p>
    <w:p>
      <w:pPr>
        <w:pStyle w:val="Default"/>
        <w:suppressAutoHyphens w:val="1"/>
        <w:spacing w:before="0" w:after="240" w:line="240" w:lineRule="auto"/>
        <w:rPr>
          <w:rStyle w:val="None"/>
          <w:rFonts w:ascii="Times New Roman" w:cs="Times New Roman" w:hAnsi="Times New Roman" w:eastAsia="Times New Roman"/>
          <w:b w:val="1"/>
          <w:bCs w:val="1"/>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5.3 AMM Liquidity Mechanism</w:t>
      </w:r>
    </w:p>
    <w:p>
      <w:pPr>
        <w:pStyle w:val="Default"/>
        <w:suppressAutoHyphens w:val="1"/>
        <w:spacing w:before="0" w:after="240" w:line="240" w:lineRule="auto"/>
        <w:jc w:val="both"/>
        <w:rPr>
          <w:rStyle w:val="Hyperlink.0"/>
        </w:rPr>
      </w:pPr>
      <w:r>
        <w:rPr>
          <w:rStyle w:val="Hyperlink.0"/>
          <w:rtl w:val="0"/>
          <w:lang w:val="en-US"/>
        </w:rPr>
        <w:t>Prediction market position pricing follows the constant-product formula $x \times y = k$. As participants buy one outcome, its implied probability rises while the opposing outcome falls. A configurable slippage ceiling prevents any single transaction from moving the price curve by more than a defined percentage. Trading fees collected during the epoch are redistributed to liquidity providers proportional to their pool share at settlement, consistent with standard AMM research [13].</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3.</w:t>
      </w:r>
      <w:r>
        <w:rPr>
          <w:rStyle w:val="Hyperlink.0"/>
          <w:rtl w:val="0"/>
          <w:lang w:val="en-US"/>
        </w:rPr>
        <w:t xml:space="preserve"> On-Chain Contract Implementations</w:t>
      </w:r>
    </w:p>
    <w:tbl>
      <w:tblPr>
        <w:tblW w:w="9638"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783"/>
        <w:gridCol w:w="1433"/>
        <w:gridCol w:w="2169"/>
        <w:gridCol w:w="4253"/>
      </w:tblGrid>
      <w:tr>
        <w:tblPrEx>
          <w:shd w:val="clear" w:color="auto" w:fill="cadfff"/>
        </w:tblPrEx>
        <w:trPr>
          <w:trHeight w:val="39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Contract Mechanism</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Valid Txns</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Adversarial Txns Rejected</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de-DE"/>
              </w:rPr>
              <w:t>Notes</w:t>
            </w:r>
          </w:p>
        </w:tc>
      </w:tr>
      <w:tr>
        <w:tblPrEx>
          <w:shd w:val="clear" w:color="auto" w:fill="cadfff"/>
        </w:tblPrEx>
        <w:trPr>
          <w:trHeight w:val="39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20 / 20</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15 / 15</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Malformed sig, stale timestamp, out-of-range score all rejected</w:t>
            </w:r>
          </w:p>
        </w:tc>
      </w:tr>
      <w:tr>
        <w:tblPrEx>
          <w:shd w:val="clear" w:color="auto" w:fill="cadfff"/>
        </w:tblPrEx>
        <w:trPr>
          <w:trHeight w:val="39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 (120%)</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25 / 25</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3 boundary edge-cases passed</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120% invariant held across all scenarios</w:t>
            </w:r>
          </w:p>
        </w:tc>
      </w:tr>
      <w:tr>
        <w:tblPrEx>
          <w:shd w:val="clear" w:color="auto" w:fill="cadfff"/>
        </w:tblPrEx>
        <w:trPr>
          <w:trHeight w:val="21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Anti-Arbitrage Guard</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0"/>
                <w:lang w:val="en-US"/>
              </w:rPr>
              <w:t>—</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12 / 12</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Oversized position attempts fully blocked</w:t>
            </w:r>
          </w:p>
        </w:tc>
      </w:tr>
      <w:tr>
        <w:tblPrEx>
          <w:shd w:val="clear" w:color="auto" w:fill="cadfff"/>
        </w:tblPrEx>
        <w:trPr>
          <w:trHeight w:val="21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Crash-Refund Trigger</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18 / 18</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0 payout errors</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Correct payouts for all 18 simulated crash scenarios</w:t>
            </w:r>
          </w:p>
        </w:tc>
      </w:tr>
      <w:tr>
        <w:tblPrEx>
          <w:shd w:val="clear" w:color="auto" w:fill="cadfff"/>
        </w:tblPrEx>
        <w:trPr>
          <w:trHeight w:val="385"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nl-NL"/>
              </w:rPr>
              <w:t>Shield NFT (CIP-68)</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All tiers minted </w:t>
            </w:r>
            <w:r>
              <w:rPr>
                <w:rStyle w:val="None"/>
                <w:rFonts w:ascii="Arial Unicode MS" w:cs="Arial Unicode MS" w:hAnsi="Arial Unicode MS" w:eastAsia="Arial Unicode MS" w:hint="default"/>
                <w:b w:val="0"/>
                <w:bCs w:val="0"/>
                <w:i w:val="0"/>
                <w:iCs w:val="0"/>
                <w:sz w:val="18"/>
                <w:szCs w:val="18"/>
                <w:shd w:val="nil" w:color="auto" w:fill="auto"/>
                <w:rtl w:val="0"/>
              </w:rPr>
              <w:t>✓</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0"/>
                <w:lang w:val="en-US"/>
              </w:rPr>
              <w:t>—</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Retail confirmed ~20s on preprod</w:t>
            </w:r>
          </w:p>
        </w:tc>
      </w:tr>
      <w:tr>
        <w:tblPrEx>
          <w:shd w:val="clear" w:color="auto" w:fill="cadfff"/>
        </w:tblPrEx>
        <w:trPr>
          <w:trHeight w:val="39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AMM Liquidity</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Slippage enforced </w:t>
            </w:r>
            <w:r>
              <w:rPr>
                <w:rStyle w:val="None"/>
                <w:rFonts w:ascii="Arial Unicode MS" w:cs="Arial Unicode MS" w:hAnsi="Arial Unicode MS" w:eastAsia="Arial Unicode MS" w:hint="default"/>
                <w:b w:val="0"/>
                <w:bCs w:val="0"/>
                <w:i w:val="0"/>
                <w:iCs w:val="0"/>
                <w:sz w:val="18"/>
                <w:szCs w:val="18"/>
                <w:shd w:val="nil" w:color="auto" w:fill="auto"/>
                <w:rtl w:val="0"/>
              </w:rPr>
              <w:t>✓</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0"/>
                <w:lang w:val="en-US"/>
              </w:rPr>
              <w:t>—</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Constant-product formula verified</w:t>
            </w:r>
          </w:p>
        </w:tc>
      </w:tr>
    </w:tbl>
    <w:p>
      <w:pPr>
        <w:pStyle w:val="Default"/>
        <w:widowControl w:val="0"/>
        <w:suppressAutoHyphens w:val="1"/>
        <w:spacing w:before="0" w:after="240" w:line="240" w:lineRule="auto"/>
        <w:ind w:left="108" w:hanging="108"/>
        <w:jc w:val="center"/>
        <w:rPr>
          <w:rStyle w:val="Hyperlink.0"/>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6. TEST CASES</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4.</w:t>
      </w:r>
      <w:r>
        <w:rPr>
          <w:rStyle w:val="Hyperlink.0"/>
          <w:rtl w:val="0"/>
          <w:lang w:val="en-US"/>
        </w:rPr>
        <w:t xml:space="preserve"> Structured Test Cases for Oracle and Contract Validation</w:t>
      </w:r>
    </w:p>
    <w:tbl>
      <w:tblPr>
        <w:tblW w:w="9519"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09"/>
        <w:gridCol w:w="1109"/>
        <w:gridCol w:w="3443"/>
        <w:gridCol w:w="2381"/>
        <w:gridCol w:w="1677"/>
      </w:tblGrid>
      <w:tr>
        <w:tblPrEx>
          <w:shd w:val="clear" w:color="auto" w:fill="cadfff"/>
        </w:tblPrEx>
        <w:trPr>
          <w:trHeight w:val="324"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Test ID</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it-IT"/>
              </w:rPr>
              <w:t>Component</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Input Condition</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Expected Outcome</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rPr>
              <w:t>Result</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TC-01</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Valid datum, correct signature, score </w:t>
            </w:r>
            <w:r>
              <w:rPr>
                <w:rStyle w:val="None"/>
                <w:rFonts w:ascii="Arial Unicode MS" w:cs="Arial Unicode MS" w:hAnsi="Arial Unicode MS" w:eastAsia="Arial Unicode MS" w:hint="default"/>
                <w:b w:val="0"/>
                <w:bCs w:val="0"/>
                <w:i w:val="0"/>
                <w:iCs w:val="0"/>
                <w:sz w:val="18"/>
                <w:szCs w:val="18"/>
                <w:shd w:val="nil" w:color="auto" w:fill="auto"/>
                <w:rtl w:val="0"/>
              </w:rPr>
              <w:t>∈</w:t>
            </w:r>
            <w:r>
              <w:rPr>
                <w:rStyle w:val="None"/>
                <w:rFonts w:ascii="Times New Roman" w:hAnsi="Times New Roman"/>
                <w:sz w:val="18"/>
                <w:szCs w:val="18"/>
                <w:shd w:val="nil" w:color="auto" w:fill="auto"/>
                <w:rtl w:val="0"/>
              </w:rPr>
              <w:t xml:space="preserve"> </w:t>
            </w:r>
            <w:r>
              <w:rPr>
                <w:rStyle w:val="None"/>
                <w:rFonts w:ascii="Times New Roman" w:hAnsi="Times New Roman"/>
                <w:sz w:val="18"/>
                <w:szCs w:val="18"/>
                <w:shd w:val="nil" w:color="auto" w:fill="auto"/>
                <w:rtl w:val="0"/>
                <w:lang w:val="pt-PT"/>
              </w:rPr>
              <w:t>[8,47]</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Accept transaction</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(20/20)</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TC-02</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Malformed signature (wrong length)</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transaction</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(15/15)</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TC-03</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Stale timestamp beyond epoch window</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with stale error</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TC-04</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Hype Score &gt; 47 (out-of-range)</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with range error</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TC-05</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Withdrawal maintaining R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rPr>
              <w:t>120%</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Accept withdrawal</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(25/25)</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TC-06</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Withdrawal pushing R below 120%</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transaction</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TC-07</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Boundary: R = exactly 120%</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Accept (boundary inclusive)</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PASS (3 edge cases)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TC-08</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Anti-Arbitrage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Wallet exposure below tier threshold</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with exposure error</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(12/12)</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TC-09</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Anti-Arbitrage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Direct API call bypassing frontend</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Backend rejects independently</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TC-10</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Crash-Refund</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Hype Score drops &gt; threshold within epoch</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Automatic payout computed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(18/18)</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TC-11</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Crash-Refund</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Score drop below threshold (no crash)</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No payout triggered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24"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TC-12</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Shield NFT</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MintRetail with </w:t>
            </w:r>
            <w:r>
              <w:rPr>
                <w:rStyle w:val="None"/>
                <w:rFonts w:ascii="Times New Roman" w:hAnsi="Times New Roman" w:hint="default"/>
                <w:sz w:val="18"/>
                <w:szCs w:val="18"/>
                <w:shd w:val="nil" w:color="auto" w:fill="auto"/>
                <w:rtl w:val="0"/>
              </w:rPr>
              <w:t>≥</w:t>
            </w:r>
            <w:r>
              <w:rPr>
                <w:rStyle w:val="None"/>
                <w:rFonts w:ascii="Times New Roman" w:hAnsi="Times New Roman"/>
                <w:sz w:val="18"/>
                <w:szCs w:val="18"/>
                <w:shd w:val="nil" w:color="auto" w:fill="auto"/>
                <w:rtl w:val="0"/>
                <w:lang w:val="en-US"/>
              </w:rPr>
              <w:t>5 ADA to treasury</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Mint confirmed ~20s preprod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24"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TC-13</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Shield NFT</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MintRetail with &lt;5 ADA</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Reject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lang w:val="en-US"/>
              </w:rPr>
              <w:t>insufficient payment</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TC-14</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AMM Liquidity</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Single tx within slippage ceiling</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Trade accepted, k preserved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TC-15</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AMM Liquidity</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Single tx exceeds slippage ceiling</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Reject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lang w:val="en-US"/>
              </w:rPr>
              <w:t>ceiling exceeded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bl>
    <w:p>
      <w:pPr>
        <w:pStyle w:val="Default"/>
        <w:widowControl w:val="0"/>
        <w:suppressAutoHyphens w:val="1"/>
        <w:spacing w:before="0" w:after="240" w:line="240" w:lineRule="auto"/>
        <w:ind w:left="108" w:hanging="108"/>
        <w:jc w:val="center"/>
        <w:rPr>
          <w:rStyle w:val="Hyperlink.0"/>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7. RESULTS AND EVALUATION</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7.1 Oracle Engine Latency Distribution</w:t>
      </w:r>
    </w:p>
    <w:p>
      <w:pPr>
        <w:pStyle w:val="Default"/>
        <w:suppressAutoHyphens w:val="1"/>
        <w:spacing w:before="0" w:after="240" w:line="240" w:lineRule="auto"/>
        <w:rPr>
          <w:rStyle w:val="None"/>
          <w:rFonts w:ascii="Times New Roman" w:cs="Times New Roman" w:hAnsi="Times New Roman" w:eastAsia="Times New Roman"/>
          <w:outline w:val="0"/>
          <w:color w:val="000000"/>
          <w:sz w:val="24"/>
          <w:u w:color="000000"/>
          <w14:textFill>
            <w14:solidFill>
              <w14:srgbClr w14:val="000000"/>
            </w14:solidFill>
          </w14:textFill>
        </w:rPr>
      </w:pPr>
      <w:r>
        <w:rPr>
          <w:rStyle w:val="None"/>
          <w:rFonts w:ascii="Times New Roman" w:hAnsi="Times New Roman"/>
          <w:rtl w:val="0"/>
          <w:lang w:val="en-US"/>
        </w:rPr>
        <w:t xml:space="preserve">Over 200 invocations across 10 asset tickers over 48 hours, the heuristic engine produced Hype Scores in the range [8, 47] with a mean of 23.4 and standard deviation of 8.1. The </w:t>
      </w:r>
      <m:oMath>
        <m:r>
          <w:rPr xmlns:w="http://schemas.openxmlformats.org/wordprocessingml/2006/main">
            <w:rFonts w:ascii="Cambria Math" w:hAnsi="Cambria Math"/>
            <w:i/>
            <w:color w:val="000000"/>
            <w:sz w:val="25"/>
            <w:szCs w:val="25"/>
          </w:rPr>
          <m:t>ε</m:t>
        </m:r>
      </m:oMath>
      <w:r>
        <w:rPr>
          <w:rStyle w:val="None"/>
          <w:rFonts w:ascii="Times New Roman" w:hAnsi="Times New Roman"/>
          <w:rtl w:val="0"/>
          <w:lang w:val="en-US"/>
        </w:rPr>
        <w:t xml:space="preserve"> component contributed an average absolute shift of ~2.8 points per call. Average response latency was 340 ms with p95 of 580 ms. Figure 3 shows the latency distribution across</w:t>
      </w:r>
      <w:r>
        <w:rPr>
          <w:rStyle w:val="None"/>
          <w:rFonts w:ascii="Times New Roman" w:cs="Times New Roman" w:hAnsi="Times New Roman" w:eastAsia="Times New Roman"/>
          <w:lang w:val="en-US"/>
        </w:rPr>
        <w:drawing xmlns:a="http://schemas.openxmlformats.org/drawingml/2006/main">
          <wp:anchor distT="152400" distB="152400" distL="152400" distR="152400" simplePos="0" relativeHeight="251661312" behindDoc="0" locked="0" layoutInCell="1" allowOverlap="1">
            <wp:simplePos x="0" y="0"/>
            <wp:positionH relativeFrom="page">
              <wp:posOffset>1547790</wp:posOffset>
            </wp:positionH>
            <wp:positionV relativeFrom="line">
              <wp:posOffset>255931</wp:posOffset>
            </wp:positionV>
            <wp:extent cx="4464654" cy="2552466"/>
            <wp:effectExtent l="0" t="0" r="0" b="0"/>
            <wp:wrapThrough wrapText="bothSides" distL="152400" distR="152400">
              <wp:wrapPolygon edited="1">
                <wp:start x="-23" y="-40"/>
                <wp:lineTo x="-23" y="0"/>
                <wp:lineTo x="-23" y="21599"/>
                <wp:lineTo x="-23" y="21639"/>
                <wp:lineTo x="0" y="21639"/>
                <wp:lineTo x="21601" y="21639"/>
                <wp:lineTo x="21624" y="21639"/>
                <wp:lineTo x="21624" y="21599"/>
                <wp:lineTo x="21624" y="0"/>
                <wp:lineTo x="21624" y="-40"/>
                <wp:lineTo x="21601" y="-40"/>
                <wp:lineTo x="0" y="-40"/>
                <wp:lineTo x="-23" y="-40"/>
              </wp:wrapPolygon>
            </wp:wrapThrough>
            <wp:docPr id="1073741827" name="officeArt object" descr="Screenshot 2026-05-13 at 4.01.29 PM.png"/>
            <wp:cNvGraphicFramePr/>
            <a:graphic xmlns:a="http://schemas.openxmlformats.org/drawingml/2006/main">
              <a:graphicData uri="http://schemas.openxmlformats.org/drawingml/2006/picture">
                <pic:pic xmlns:pic="http://schemas.openxmlformats.org/drawingml/2006/picture">
                  <pic:nvPicPr>
                    <pic:cNvPr id="1073741827" name="Screenshot 2026-05-13 at 4.01.29 PM.png" descr="Screenshot 2026-05-13 at 4.01.29 PM.png"/>
                    <pic:cNvPicPr>
                      <a:picLocks noChangeAspect="1"/>
                    </pic:cNvPicPr>
                  </pic:nvPicPr>
                  <pic:blipFill>
                    <a:blip r:embed="rId6">
                      <a:extLst/>
                    </a:blip>
                    <a:stretch>
                      <a:fillRect/>
                    </a:stretch>
                  </pic:blipFill>
                  <pic:spPr>
                    <a:xfrm>
                      <a:off x="0" y="0"/>
                      <a:ext cx="4464654" cy="2552466"/>
                    </a:xfrm>
                    <a:prstGeom prst="rect">
                      <a:avLst/>
                    </a:prstGeom>
                    <a:ln w="9525" cap="flat">
                      <a:solidFill>
                        <a:srgbClr val="929292"/>
                      </a:solidFill>
                      <a:prstDash val="solid"/>
                      <a:miter lim="400000"/>
                    </a:ln>
                    <a:effectLst/>
                  </pic:spPr>
                </pic:pic>
              </a:graphicData>
            </a:graphic>
          </wp:anchor>
        </w:drawing>
      </w:r>
      <w:r>
        <w:rPr>
          <w:rStyle w:val="None"/>
          <w:rFonts w:ascii="Times New Roman" w:hAnsi="Times New Roman"/>
          <w:rtl w:val="0"/>
          <w:lang w:val="it-IT"/>
        </w:rPr>
        <w:t xml:space="preserve"> percentiles.</w:t>
      </w: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3.</w:t>
      </w:r>
      <w:r>
        <w:rPr>
          <w:rStyle w:val="Hyperlink.0"/>
          <w:rtl w:val="0"/>
          <w:lang w:val="en-US"/>
        </w:rPr>
        <w:t xml:space="preserve"> Oracle engine response latency distribution across invocation percentiles (n=200). Average: 340 ms; p95: 580 ms.</w:t>
      </w:r>
    </w:p>
    <w:p>
      <w:pPr>
        <w:pStyle w:val="Default"/>
        <w:suppressAutoHyphens w:val="1"/>
        <w:spacing w:before="0" w:after="240" w:line="240" w:lineRule="auto"/>
        <w:rPr>
          <w:rStyle w:val="Hyperlink.0"/>
        </w:rPr>
      </w:pPr>
      <w:r>
        <w:rPr>
          <w:rStyle w:val="Hyperlink.0"/>
          <w:rtl w:val="0"/>
          <w:lang w:val="en-US"/>
        </w:rPr>
        <w:t>The tail latency is attributed to DuckDuckGo rate-limiting and network variability on the testnet environment.</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7.2 Hype Score Distribution</w:t>
      </w:r>
    </w:p>
    <w:p>
      <w:pPr>
        <w:pStyle w:val="Default"/>
        <w:suppressAutoHyphens w:val="1"/>
        <w:spacing w:before="0" w:after="240" w:line="240" w:lineRule="auto"/>
        <w:jc w:val="both"/>
        <w:rPr>
          <w:rStyle w:val="Hyperlink.0"/>
        </w:rPr>
      </w:pPr>
      <w:r>
        <w:rPr>
          <w:rStyle w:val="Hyperlink.0"/>
          <w:rtl w:val="0"/>
          <w:lang w:val="en-US"/>
        </w:rPr>
        <w:t>Figure 4 presents the observed Hype Score distribution across 200 oracle invocations. The approximately normal spread reflects genuine variation in web activity across different asset tickers at different times, with the $\varepsilon$ flux contributing a bounded perturbation. No AUC or precision/recall metrics are reported as the oracle engine is not a classifier.</w:t>
      </w:r>
      <w:r>
        <w:rPr>
          <w:rStyle w:val="Hyperlink.0"/>
        </w:rPr>
        <w:drawing xmlns:a="http://schemas.openxmlformats.org/drawingml/2006/main">
          <wp:anchor distT="114300" distB="114300" distL="114300" distR="114300" simplePos="0" relativeHeight="251662336" behindDoc="0" locked="0" layoutInCell="1" allowOverlap="1">
            <wp:simplePos x="0" y="0"/>
            <wp:positionH relativeFrom="margin">
              <wp:posOffset>827702</wp:posOffset>
            </wp:positionH>
            <wp:positionV relativeFrom="line">
              <wp:posOffset>406904</wp:posOffset>
            </wp:positionV>
            <wp:extent cx="4464652" cy="2999553"/>
            <wp:effectExtent l="0" t="0" r="0" b="0"/>
            <wp:wrapThrough wrapText="bothSides" distL="114300" distR="114300">
              <wp:wrapPolygon edited="1">
                <wp:start x="-23" y="-34"/>
                <wp:lineTo x="-23" y="0"/>
                <wp:lineTo x="-23" y="21600"/>
                <wp:lineTo x="-23" y="21634"/>
                <wp:lineTo x="0" y="21634"/>
                <wp:lineTo x="21601" y="21634"/>
                <wp:lineTo x="21624" y="21634"/>
                <wp:lineTo x="21624" y="21600"/>
                <wp:lineTo x="21624" y="0"/>
                <wp:lineTo x="21624" y="-34"/>
                <wp:lineTo x="21601" y="-34"/>
                <wp:lineTo x="0" y="-34"/>
                <wp:lineTo x="-23" y="-34"/>
              </wp:wrapPolygon>
            </wp:wrapThrough>
            <wp:docPr id="1073741828" name="officeArt object" descr="Screenshot 2026-05-13 at 4.02.15 PM.png"/>
            <wp:cNvGraphicFramePr/>
            <a:graphic xmlns:a="http://schemas.openxmlformats.org/drawingml/2006/main">
              <a:graphicData uri="http://schemas.openxmlformats.org/drawingml/2006/picture">
                <pic:pic xmlns:pic="http://schemas.openxmlformats.org/drawingml/2006/picture">
                  <pic:nvPicPr>
                    <pic:cNvPr id="1073741828" name="Screenshot 2026-05-13 at 4.02.15 PM.png" descr="Screenshot 2026-05-13 at 4.02.15 PM.png"/>
                    <pic:cNvPicPr>
                      <a:picLocks noChangeAspect="1"/>
                    </pic:cNvPicPr>
                  </pic:nvPicPr>
                  <pic:blipFill>
                    <a:blip r:embed="rId7">
                      <a:extLst/>
                    </a:blip>
                    <a:stretch>
                      <a:fillRect/>
                    </a:stretch>
                  </pic:blipFill>
                  <pic:spPr>
                    <a:xfrm>
                      <a:off x="0" y="0"/>
                      <a:ext cx="4464652" cy="2999553"/>
                    </a:xfrm>
                    <a:prstGeom prst="rect">
                      <a:avLst/>
                    </a:prstGeom>
                    <a:ln w="9525" cap="flat">
                      <a:solidFill>
                        <a:srgbClr val="929292"/>
                      </a:solidFill>
                      <a:prstDash val="solid"/>
                      <a:miter lim="400000"/>
                    </a:ln>
                    <a:effectLst/>
                  </pic:spPr>
                </pic:pic>
              </a:graphicData>
            </a:graphic>
          </wp:anchor>
        </w:drawing>
      </w: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4.</w:t>
      </w:r>
      <w:r>
        <w:rPr>
          <w:rStyle w:val="Hyperlink.0"/>
          <w:rtl w:val="0"/>
          <w:lang w:val="en-US"/>
        </w:rPr>
        <w:t xml:space="preserve"> Hype Score frequency distribution across 200 oracle invocations. Mean = 23.4, </w:t>
      </w:r>
      <w:r>
        <w:rPr>
          <w:rStyle w:val="Hyperlink.0"/>
          <w:rtl w:val="0"/>
          <w:lang w:val="en-US"/>
        </w:rPr>
        <w:t xml:space="preserve">σ </w:t>
      </w:r>
      <w:r>
        <w:rPr>
          <w:rStyle w:val="Hyperlink.0"/>
          <w:rtl w:val="0"/>
          <w:lang w:val="en-US"/>
        </w:rPr>
        <w:t>= 8.1.</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7.3 Contract Transaction Validation Summary</w:t>
      </w:r>
    </w:p>
    <w:p>
      <w:pPr>
        <w:pStyle w:val="Default"/>
        <w:suppressAutoHyphens w:val="1"/>
        <w:spacing w:before="0" w:after="240" w:line="240" w:lineRule="auto"/>
        <w:jc w:val="both"/>
        <w:rPr>
          <w:rStyle w:val="Hyperlink.0"/>
        </w:rPr>
      </w:pPr>
      <w:r>
        <w:rPr>
          <w:rStyle w:val="Hyperlink.0"/>
          <w:rtl w:val="0"/>
          <w:lang w:val="en-US"/>
        </w:rPr>
        <w:t>A total of 120 structured transactions were submitted across all six mechanisms. Figure 5 presents a consolidated bar chart of valid versus adversarial transaction outcomes by contract mechanism.</w:t>
      </w:r>
      <w:r>
        <w:rPr>
          <w:rStyle w:val="Hyperlink.0"/>
        </w:rPr>
        <w:drawing xmlns:a="http://schemas.openxmlformats.org/drawingml/2006/main">
          <wp:anchor distT="0" distB="0" distL="0" distR="0" simplePos="0" relativeHeight="251663360" behindDoc="0" locked="0" layoutInCell="1" allowOverlap="1">
            <wp:simplePos x="0" y="0"/>
            <wp:positionH relativeFrom="margin">
              <wp:posOffset>301619</wp:posOffset>
            </wp:positionH>
            <wp:positionV relativeFrom="line">
              <wp:posOffset>427064</wp:posOffset>
            </wp:positionV>
            <wp:extent cx="5516818" cy="3108683"/>
            <wp:effectExtent l="0" t="0" r="0" b="0"/>
            <wp:wrapThrough wrapText="bothSides" distL="0" distR="0">
              <wp:wrapPolygon edited="1">
                <wp:start x="-19" y="-33"/>
                <wp:lineTo x="-19" y="0"/>
                <wp:lineTo x="-19" y="21600"/>
                <wp:lineTo x="-19" y="21633"/>
                <wp:lineTo x="0" y="21633"/>
                <wp:lineTo x="21601" y="21633"/>
                <wp:lineTo x="21619" y="21633"/>
                <wp:lineTo x="21619" y="21600"/>
                <wp:lineTo x="21619" y="0"/>
                <wp:lineTo x="21619" y="-33"/>
                <wp:lineTo x="21601" y="-33"/>
                <wp:lineTo x="0" y="-33"/>
                <wp:lineTo x="-19" y="-33"/>
              </wp:wrapPolygon>
            </wp:wrapThrough>
            <wp:docPr id="1073741829" name="officeArt object" descr="Screenshot 2026-05-13 at 4.03.16 PM.png"/>
            <wp:cNvGraphicFramePr/>
            <a:graphic xmlns:a="http://schemas.openxmlformats.org/drawingml/2006/main">
              <a:graphicData uri="http://schemas.openxmlformats.org/drawingml/2006/picture">
                <pic:pic xmlns:pic="http://schemas.openxmlformats.org/drawingml/2006/picture">
                  <pic:nvPicPr>
                    <pic:cNvPr id="1073741829" name="Screenshot 2026-05-13 at 4.03.16 PM.png" descr="Screenshot 2026-05-13 at 4.03.16 PM.png"/>
                    <pic:cNvPicPr>
                      <a:picLocks noChangeAspect="1"/>
                    </pic:cNvPicPr>
                  </pic:nvPicPr>
                  <pic:blipFill>
                    <a:blip r:embed="rId8">
                      <a:extLst/>
                    </a:blip>
                    <a:stretch>
                      <a:fillRect/>
                    </a:stretch>
                  </pic:blipFill>
                  <pic:spPr>
                    <a:xfrm>
                      <a:off x="0" y="0"/>
                      <a:ext cx="5516818" cy="3108683"/>
                    </a:xfrm>
                    <a:prstGeom prst="rect">
                      <a:avLst/>
                    </a:prstGeom>
                    <a:ln w="9525" cap="flat">
                      <a:solidFill>
                        <a:srgbClr val="929292"/>
                      </a:solidFill>
                      <a:prstDash val="solid"/>
                      <a:miter lim="400000"/>
                    </a:ln>
                    <a:effectLst/>
                  </pic:spPr>
                </pic:pic>
              </a:graphicData>
            </a:graphic>
          </wp:anchor>
        </w:drawing>
      </w: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p>
    <w:p>
      <w:pPr>
        <w:pStyle w:val="Default"/>
        <w:suppressAutoHyphens w:val="1"/>
        <w:spacing w:before="0" w:after="240" w:line="240" w:lineRule="auto"/>
        <w:jc w:val="center"/>
        <w:rPr>
          <w:rStyle w:val="Hyperlink.0"/>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5.</w:t>
      </w:r>
      <w:r>
        <w:rPr>
          <w:rStyle w:val="Hyperlink.0"/>
          <w:rtl w:val="0"/>
          <w:lang w:val="en-US"/>
        </w:rPr>
        <w:t xml:space="preserve"> Consolidated contract validation results across six on-chain mechanisms.</w:t>
      </w:r>
    </w:p>
    <w:tbl>
      <w:tblPr>
        <w:tblW w:w="898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850"/>
        <w:gridCol w:w="1528"/>
        <w:gridCol w:w="3602"/>
      </w:tblGrid>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it-IT"/>
              </w:rPr>
              <w:t>Metric</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rPr>
              <w:t>Value</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fr-FR"/>
              </w:rPr>
              <w:t>Condition</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Total testnet transactions submitted</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120</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All 6 contract mechanisms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Oracle Validator acceptance rate</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(20/20)</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Valid inputs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Oracle Validator rejection rate</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(15/15)</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it-IT"/>
              </w:rPr>
              <w:t>Adversarial inputs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Treasury Reserve invariant holds</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(25/25)</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Including 3 boundary edge cases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de-DE"/>
              </w:rPr>
              <w:t>Anti-Arbitrage block rate</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(12/12)</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Oversized position attempts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Crash-Refund payout accuracy</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(18/18)</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Zero payout errors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Average oracle response latency</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340 ms</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200 invocations, 10 tickers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p95 oracle response latency</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580 ms</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fr-FR"/>
              </w:rPr>
              <w:t>200 invocations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Hype Score mean (observed)</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23.4 (</w:t>
            </w:r>
            <w:r>
              <w:rPr>
                <w:rStyle w:val="None"/>
                <w:rFonts w:ascii="Times New Roman" w:hAnsi="Times New Roman" w:hint="default"/>
                <w:shd w:val="nil" w:color="auto" w:fill="auto"/>
                <w:rtl w:val="0"/>
              </w:rPr>
              <w:t xml:space="preserve">σ </w:t>
            </w:r>
            <w:r>
              <w:rPr>
                <w:rStyle w:val="None"/>
                <w:rFonts w:ascii="Times New Roman" w:hAnsi="Times New Roman"/>
                <w:shd w:val="nil" w:color="auto" w:fill="auto"/>
                <w:rtl w:val="0"/>
              </w:rPr>
              <w:t>= 8.1)</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Score range [8, 47]</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Shield NFT Retail mint confirmation</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~20 seconds</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it-IT"/>
              </w:rPr>
              <w:t>Cardano preprod network</w:t>
            </w:r>
          </w:p>
        </w:tc>
      </w:tr>
    </w:tbl>
    <w:p>
      <w:pPr>
        <w:pStyle w:val="Default"/>
        <w:widowControl w:val="0"/>
        <w:suppressAutoHyphens w:val="1"/>
        <w:spacing w:before="0" w:after="240" w:line="240" w:lineRule="auto"/>
        <w:ind w:left="108" w:hanging="108"/>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5.</w:t>
      </w:r>
      <w:r>
        <w:rPr>
          <w:rStyle w:val="None"/>
          <w:rFonts w:ascii="Times New Roman" w:hAnsi="Times New Roman"/>
          <w:rtl w:val="0"/>
          <w:lang w:val="it-IT"/>
        </w:rPr>
        <w:t xml:space="preserve"> Quantitative Performance Metrics Summ</w:t>
      </w:r>
      <w:r>
        <w:rPr>
          <w:rStyle w:val="None"/>
          <w:rFonts w:ascii="Times New Roman" w:hAnsi="Times New Roman"/>
          <w:rtl w:val="0"/>
          <w:lang w:val="en-US"/>
        </w:rPr>
        <w:t>ary.</w:t>
      </w:r>
    </w:p>
    <w:p>
      <w:pPr>
        <w:pStyle w:val="Default"/>
        <w:suppressAutoHyphens w:val="1"/>
        <w:spacing w:before="0" w:after="240" w:line="240" w:lineRule="auto"/>
        <w:rPr>
          <w:rStyle w:val="None"/>
          <w:rFonts w:ascii="Times New Roman" w:cs="Times New Roman" w:hAnsi="Times New Roman" w:eastAsia="Times New Roman"/>
          <w:b w:val="1"/>
          <w:bCs w:val="1"/>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8. COMPARATIVE ANALYSIS</w:t>
      </w:r>
    </w:p>
    <w:p>
      <w:pPr>
        <w:pStyle w:val="Default"/>
        <w:suppressAutoHyphens w:val="1"/>
        <w:spacing w:before="0" w:after="240" w:line="240" w:lineRule="auto"/>
        <w:jc w:val="both"/>
        <w:rPr>
          <w:rStyle w:val="Hyperlink.0"/>
        </w:rPr>
      </w:pPr>
      <w:r>
        <w:rPr>
          <w:rStyle w:val="Hyperlink.0"/>
          <w:rtl w:val="0"/>
          <w:lang w:val="en-US"/>
        </w:rPr>
        <w:t>Table 6 benchmarks Sentiment Trading against three related systems from recent literature: the multi-layer AI oracle by Rohan and Ananda Babu [1], the AiRacleX oracle manipulation detection system [7], and Chainlink</w:t>
      </w:r>
      <w:r>
        <w:rPr>
          <w:rStyle w:val="Hyperlink.0"/>
          <w:rtl w:val="0"/>
          <w:lang w:val="en-US"/>
        </w:rPr>
        <w:t>—</w:t>
      </w:r>
      <w:r>
        <w:rPr>
          <w:rStyle w:val="Hyperlink.0"/>
          <w:rtl w:val="0"/>
          <w:lang w:val="en-US"/>
        </w:rPr>
        <w:t>the dominant production oracle network. Sentiment Trading intentionally occupies the PoC tier, providing full pipeline verification at low complexity cost.</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6.</w:t>
      </w:r>
      <w:r>
        <w:rPr>
          <w:rStyle w:val="Hyperlink.0"/>
          <w:rtl w:val="0"/>
          <w:lang w:val="en-US"/>
        </w:rPr>
        <w:t xml:space="preserve"> Comparative Analysis of Oracle Systems</w:t>
      </w:r>
      <w:r>
        <w:rPr>
          <w:rStyle w:val="Hyperlink.0"/>
        </w:rPr>
        <w:drawing xmlns:a="http://schemas.openxmlformats.org/drawingml/2006/main">
          <wp:anchor distT="152400" distB="152400" distL="152400" distR="152400" simplePos="0" relativeHeight="251664384" behindDoc="0" locked="0" layoutInCell="1" allowOverlap="1">
            <wp:simplePos x="0" y="0"/>
            <wp:positionH relativeFrom="margin">
              <wp:posOffset>1017849</wp:posOffset>
            </wp:positionH>
            <wp:positionV relativeFrom="line">
              <wp:posOffset>3771491</wp:posOffset>
            </wp:positionV>
            <wp:extent cx="3657457" cy="2940451"/>
            <wp:effectExtent l="0" t="0" r="0" b="0"/>
            <wp:wrapThrough wrapText="bothSides" distL="152400" distR="152400">
              <wp:wrapPolygon edited="1">
                <wp:start x="-28" y="-35"/>
                <wp:lineTo x="-28" y="0"/>
                <wp:lineTo x="-28" y="21600"/>
                <wp:lineTo x="-28" y="21635"/>
                <wp:lineTo x="0" y="21635"/>
                <wp:lineTo x="21601" y="21635"/>
                <wp:lineTo x="21629" y="21635"/>
                <wp:lineTo x="21629" y="21600"/>
                <wp:lineTo x="21629" y="0"/>
                <wp:lineTo x="21629" y="-35"/>
                <wp:lineTo x="21601" y="-35"/>
                <wp:lineTo x="0" y="-35"/>
                <wp:lineTo x="-28" y="-35"/>
              </wp:wrapPolygon>
            </wp:wrapThrough>
            <wp:docPr id="1073741830" name="officeArt object" descr="Screenshot 2026-05-13 at 4.06.04 PM.png"/>
            <wp:cNvGraphicFramePr/>
            <a:graphic xmlns:a="http://schemas.openxmlformats.org/drawingml/2006/main">
              <a:graphicData uri="http://schemas.openxmlformats.org/drawingml/2006/picture">
                <pic:pic xmlns:pic="http://schemas.openxmlformats.org/drawingml/2006/picture">
                  <pic:nvPicPr>
                    <pic:cNvPr id="1073741830" name="Screenshot 2026-05-13 at 4.06.04 PM.png" descr="Screenshot 2026-05-13 at 4.06.04 PM.png"/>
                    <pic:cNvPicPr>
                      <a:picLocks noChangeAspect="1"/>
                    </pic:cNvPicPr>
                  </pic:nvPicPr>
                  <pic:blipFill>
                    <a:blip r:embed="rId9">
                      <a:extLst/>
                    </a:blip>
                    <a:stretch>
                      <a:fillRect/>
                    </a:stretch>
                  </pic:blipFill>
                  <pic:spPr>
                    <a:xfrm>
                      <a:off x="0" y="0"/>
                      <a:ext cx="3657457" cy="2940451"/>
                    </a:xfrm>
                    <a:prstGeom prst="rect">
                      <a:avLst/>
                    </a:prstGeom>
                    <a:ln w="9525" cap="flat">
                      <a:solidFill>
                        <a:srgbClr val="929292"/>
                      </a:solidFill>
                      <a:prstDash val="solid"/>
                      <a:miter lim="400000"/>
                    </a:ln>
                    <a:effectLst/>
                  </pic:spPr>
                </pic:pic>
              </a:graphicData>
            </a:graphic>
          </wp:anchor>
        </w:drawing>
      </w:r>
    </w:p>
    <w:tbl>
      <w:tblPr>
        <w:tblW w:w="9638"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805"/>
        <w:gridCol w:w="2348"/>
        <w:gridCol w:w="2147"/>
        <w:gridCol w:w="1356"/>
        <w:gridCol w:w="1982"/>
      </w:tblGrid>
      <w:tr>
        <w:tblPrEx>
          <w:shd w:val="clear" w:color="auto" w:fill="cadfff"/>
        </w:tblPrEx>
        <w:trPr>
          <w:trHeight w:val="397"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Feature</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Sentiment Trading (This Work)</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Rohan &amp; Babu [1]</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AiRacleX [7]</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Chainlink (Production)</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Blockchain Target</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Cardano (eUTXO)</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Generic</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Ethereum</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Multi-chain</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Sentiment Signal</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Heuristic (web length)</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Federated NLP</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N/A (price only)</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N/A</w:t>
            </w:r>
          </w:p>
        </w:tc>
      </w:tr>
      <w:tr>
        <w:tblPrEx>
          <w:shd w:val="clear" w:color="auto" w:fill="cadfff"/>
        </w:tblPrEx>
        <w:trPr>
          <w:trHeight w:val="397"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ML Component</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None (PoC)</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GNN + FinBERT + AE + DQN</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Anomaly detection</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None (median aggregation)</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Cryptographic Auth</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Simulated (CSPRNG)</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Real Ed25519</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Real signing</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HSM-backed</w:t>
            </w:r>
          </w:p>
        </w:tc>
      </w:tr>
      <w:tr>
        <w:tblPrEx>
          <w:shd w:val="clear" w:color="auto" w:fill="cadfff"/>
        </w:tblPrEx>
        <w:trPr>
          <w:trHeight w:val="397"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Aggregation Accuracy</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N/A (heuristic)</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92% (AUC 0.95)</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High (quantified)</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Median-based</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Prediction Market</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Yes (AMM + Shield NFT)</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Insurance Mechanism</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Yes (CIP-68 Shield)</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Formal Verification</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 (6 contracts)</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Proposed</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Proposed</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Audited</w:t>
            </w:r>
          </w:p>
        </w:tc>
      </w:tr>
      <w:tr>
        <w:tblPrEx>
          <w:shd w:val="clear" w:color="auto" w:fill="cadfff"/>
        </w:tblPrEx>
        <w:trPr>
          <w:trHeight w:val="397"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Single-node dependency</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Yes (current PoC)</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No (decentralised)</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Production-ready</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No (PoC scaffold)</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Partially</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Partially</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Yes</w:t>
            </w:r>
          </w:p>
        </w:tc>
      </w:tr>
    </w:tbl>
    <w:p>
      <w:pPr>
        <w:pStyle w:val="Default"/>
        <w:widowControl w:val="0"/>
        <w:suppressAutoHyphens w:val="1"/>
        <w:spacing w:before="0" w:after="240" w:line="240" w:lineRule="auto"/>
        <w:ind w:left="108" w:hanging="108"/>
        <w:jc w:val="center"/>
        <w:rPr>
          <w:rStyle w:val="Hyperlink.0"/>
        </w:rPr>
      </w:pPr>
    </w:p>
    <w:p>
      <w:pPr>
        <w:pStyle w:val="Default"/>
        <w:suppressAutoHyphens w:val="1"/>
        <w:spacing w:before="0" w:after="240" w:line="240" w:lineRule="auto"/>
        <w:jc w:val="center"/>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6.</w:t>
      </w:r>
      <w:r>
        <w:rPr>
          <w:rStyle w:val="Hyperlink.0"/>
          <w:rtl w:val="0"/>
          <w:lang w:val="en-US"/>
        </w:rPr>
        <w:t xml:space="preserve"> Radar chart comparing oracle system capability across five dimensions (scored 0</w:t>
      </w:r>
      <w:r>
        <w:rPr>
          <w:rStyle w:val="Hyperlink.0"/>
          <w:rtl w:val="0"/>
          <w:lang w:val="en-US"/>
        </w:rPr>
        <w:t>–</w:t>
      </w:r>
      <w:r>
        <w:rPr>
          <w:rStyle w:val="Hyperlink.0"/>
          <w:rtl w:val="0"/>
          <w:lang w:val="en-US"/>
        </w:rPr>
        <w:t>10): ML Sophistication, Cryptographic Security, Formal Verification, Prediction Market Features, and Anti-Manipulation Robustness.</w:t>
      </w:r>
    </w:p>
    <w:p>
      <w:pPr>
        <w:pStyle w:val="Default"/>
        <w:suppressAutoHyphens w:val="1"/>
        <w:spacing w:before="0" w:after="240" w:line="240" w:lineRule="auto"/>
        <w:jc w:val="both"/>
        <w:rPr>
          <w:rStyle w:val="Hyperlink.0"/>
        </w:rPr>
      </w:pPr>
      <w:r>
        <w:rPr>
          <w:rStyle w:val="Hyperlink.0"/>
          <w:rtl w:val="0"/>
          <w:lang w:val="en-US"/>
        </w:rPr>
        <w:t>Sentiment Trading's proposed future architecture achieves competitive scores across all dimensions.</w:t>
      </w: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9. PROPOSED FUTURE ARCHITECTURE AND ROADMAP</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9.1 Component Upgrade Mapping</w:t>
      </w:r>
    </w:p>
    <w:p>
      <w:pPr>
        <w:pStyle w:val="Default"/>
        <w:suppressAutoHyphens w:val="1"/>
        <w:spacing w:before="0" w:after="240" w:line="240" w:lineRule="auto"/>
        <w:jc w:val="both"/>
        <w:rPr>
          <w:rStyle w:val="Hyperlink.0"/>
        </w:rPr>
      </w:pPr>
      <w:r>
        <w:rPr>
          <w:rStyle w:val="Hyperlink.0"/>
          <w:rtl w:val="0"/>
          <w:lang w:val="en-US"/>
        </w:rPr>
        <w:t>Table 7 maps each current PoC component to its proposed production replacement, providing a clear engineering roadmap from the validated integration scaffold to a production-grade AI oracle system.</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7.</w:t>
      </w:r>
      <w:r>
        <w:rPr>
          <w:rStyle w:val="Hyperlink.0"/>
          <w:rtl w:val="0"/>
          <w:lang w:val="en-US"/>
        </w:rPr>
        <w:t xml:space="preserve"> PoC Components vs. Proposed Production Replacements</w:t>
      </w:r>
    </w:p>
    <w:tbl>
      <w:tblPr>
        <w:tblW w:w="8991"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081"/>
        <w:gridCol w:w="4669"/>
        <w:gridCol w:w="1241"/>
      </w:tblGrid>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en-US"/>
              </w:rPr>
              <w:t>Current PoC Component</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en-US"/>
              </w:rPr>
              <w:t>Proposed Production Replacement</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en-US"/>
              </w:rPr>
              <w:t>Reference</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Single FastAPI oracle node</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Decentralised GNN-scored oracle network</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[1][16]</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Text-length heuristic score</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de-DE"/>
              </w:rPr>
              <w:t>Fine-tuned FinBERT NLP classifier</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[3][5]</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secrets.token_hex signature</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Real Ed25519 HSM / threshold signing</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[1][9]</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Static aggregation endpoint</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Deep Q-Network (DQN) aggregation agent</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[1]</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No anomaly detection</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Autoencoder anomaly screening layer</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[7]</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No federated training</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Flower (flwr) federated learning framework</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[3][5]</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it-IT"/>
              </w:rPr>
              <w:t>In-memory portfolio state</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Persistent UTxO-backed state with Ogmios</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[10]</w:t>
            </w:r>
          </w:p>
        </w:tc>
      </w:tr>
    </w:tbl>
    <w:p>
      <w:pPr>
        <w:pStyle w:val="Default"/>
        <w:widowControl w:val="0"/>
        <w:suppressAutoHyphens w:val="1"/>
        <w:spacing w:before="0" w:after="240" w:line="240" w:lineRule="auto"/>
        <w:ind w:left="108" w:hanging="108"/>
        <w:jc w:val="center"/>
        <w:rPr>
          <w:rStyle w:val="Hyperlink.0"/>
        </w:rPr>
      </w:pPr>
    </w:p>
    <w:p>
      <w:pPr>
        <w:pStyle w:val="Default"/>
        <w:suppressAutoHyphens w:val="1"/>
        <w:spacing w:before="0" w:after="240" w:line="240" w:lineRule="auto"/>
        <w:rPr>
          <w:rStyle w:val="None"/>
          <w:rFonts w:ascii="Times New Roman" w:cs="Times New Roman" w:hAnsi="Times New Roman" w:eastAsia="Times New Roman"/>
          <w:b w:val="1"/>
          <w:bCs w:val="1"/>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9.2 GNN-Based Trust Estimation</w:t>
      </w:r>
    </w:p>
    <w:p>
      <w:pPr>
        <w:pStyle w:val="Default"/>
        <w:suppressAutoHyphens w:val="1"/>
        <w:spacing w:before="0" w:after="240" w:line="240" w:lineRule="auto"/>
        <w:jc w:val="both"/>
        <w:rPr>
          <w:rStyle w:val="Hyperlink.0"/>
        </w:rPr>
      </w:pPr>
      <w:r>
        <w:rPr>
          <w:rStyle w:val="Hyperlink.0"/>
          <w:rtl w:val="0"/>
          <w:lang w:val="en-US"/>
        </w:rPr>
        <w:t>Production deployment would replace the single FastAPI node with a network of independent oracle nodes. A two-layer Graph Convolutional Network (GCN) would assign dynamic trust weights to each node based on historical agreement behaviour, with temporal decay ensuring recent misbehaviour is penalised more heavily [1][16]. Nodes below a configurable trust threshold would be excluded from aggregation, creating a self-correcting trust topology.</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9.3 Federated Learning for Sentiment Modelling</w:t>
      </w:r>
    </w:p>
    <w:p>
      <w:pPr>
        <w:pStyle w:val="Default"/>
        <w:suppressAutoHyphens w:val="1"/>
        <w:spacing w:before="0" w:after="240" w:line="240" w:lineRule="auto"/>
        <w:jc w:val="both"/>
        <w:rPr>
          <w:rStyle w:val="Hyperlink.0"/>
        </w:rPr>
      </w:pPr>
      <w:r>
        <w:rPr>
          <w:rStyle w:val="Hyperlink.0"/>
          <w:rtl w:val="0"/>
          <w:lang w:val="en-US"/>
        </w:rPr>
        <w:t>Each trusted oracle node would train a local copy of a fine-tuned FinBERT sentiment model on its own scraped data without sharing raw text with any central server. The Flower (flwr) framework would coordinate trust-weighted gradient aggregation, so high-trust nodes contribute more to the global model update. Differential privacy would be applied during aggregation to prevent inference attacks [3][5].</w:t>
      </w:r>
    </w:p>
    <w:p>
      <w:pPr>
        <w:pStyle w:val="Default"/>
        <w:suppressAutoHyphens w:val="1"/>
        <w:spacing w:before="0" w:after="240" w:line="240" w:lineRule="auto"/>
        <w:rPr>
          <w:rStyle w:val="None"/>
          <w:rFonts w:ascii="Times New Roman" w:cs="Times New Roman" w:hAnsi="Times New Roman" w:eastAsia="Times New Roman"/>
          <w:b w:val="1"/>
          <w:bCs w:val="1"/>
          <w:lang w:val="pt-PT"/>
        </w:rPr>
      </w:pPr>
      <w:r>
        <w:rPr>
          <w:rStyle w:val="None"/>
          <w:rFonts w:ascii="Times New Roman" w:hAnsi="Times New Roman"/>
          <w:b w:val="1"/>
          <w:bCs w:val="1"/>
          <w:rtl w:val="0"/>
          <w:lang w:val="pt-PT"/>
        </w:rPr>
        <w:t>9.4 Autoencoder Anomaly Detection</w:t>
      </w:r>
    </w:p>
    <w:p>
      <w:pPr>
        <w:pStyle w:val="Default"/>
        <w:suppressAutoHyphens w:val="1"/>
        <w:spacing w:before="0" w:after="240" w:line="240" w:lineRule="auto"/>
        <w:jc w:val="both"/>
        <w:rPr>
          <w:rStyle w:val="Hyperlink.0"/>
        </w:rPr>
      </w:pPr>
      <w:r>
        <w:rPr>
          <w:rStyle w:val="Hyperlink.0"/>
          <w:rtl w:val="0"/>
          <w:lang w:val="en-US"/>
        </w:rPr>
        <w:t>Before any node's submission is included in the aggregated Hype Score, it would pass through an unsupervised autoencoder trained on historical normal-behaviour data. Submissions exceeding a dynamically adjusted reconstruction-error threshold would be flagged and excluded. Repeated flagging would feed back into the GNN trust layer as a penalty [7].</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9.5 Reinforcement Learning Aggregation</w:t>
      </w:r>
    </w:p>
    <w:p>
      <w:pPr>
        <w:pStyle w:val="Default"/>
        <w:suppressAutoHyphens w:val="1"/>
        <w:spacing w:before="0" w:after="240" w:line="240" w:lineRule="auto"/>
        <w:jc w:val="both"/>
        <w:rPr>
          <w:rStyle w:val="Hyperlink.0"/>
        </w:rPr>
      </w:pPr>
      <w:r>
        <w:rPr>
          <w:rStyle w:val="Hyperlink.0"/>
          <w:rtl w:val="0"/>
          <w:lang w:val="en-US"/>
        </w:rPr>
        <w:t>A Deep Q-Network (DQN) agent would replace static median/mean aggregation by observing the distribution of node submissions and selecting among strategies (trust-weighted average, median filtering, top-k exclusion) to maximise a reward balancing accuracy, output variance, and on-chain execution cost [1].</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9.6 Real Ed25519 Signing</w:t>
      </w:r>
    </w:p>
    <w:p>
      <w:pPr>
        <w:pStyle w:val="Default"/>
        <w:suppressAutoHyphens w:val="1"/>
        <w:spacing w:before="0" w:after="240" w:line="240" w:lineRule="auto"/>
        <w:jc w:val="both"/>
        <w:rPr>
          <w:rStyle w:val="Hyperlink.0"/>
        </w:rPr>
      </w:pPr>
      <w:r>
        <w:rPr>
          <w:rStyle w:val="Hyperlink.0"/>
          <w:rtl w:val="0"/>
          <w:lang w:val="en-US"/>
        </w:rPr>
        <w:t>The CSPRNG placeholder signature would be replaced by a genuine Ed25519 private key held in a Hardware Security Module (HSM) or a threshold signature scheme, enabling the oracle validator contract to perform actual public-key verification rather than format checking [9].</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10. CONCLUSION</w:t>
      </w:r>
    </w:p>
    <w:p>
      <w:pPr>
        <w:pStyle w:val="Default"/>
        <w:suppressAutoHyphens w:val="1"/>
        <w:spacing w:before="0" w:after="240" w:line="240" w:lineRule="auto"/>
        <w:jc w:val="both"/>
        <w:rPr>
          <w:rStyle w:val="Hyperlink.0"/>
        </w:rPr>
      </w:pPr>
      <w:r>
        <w:rPr>
          <w:rStyle w:val="Hyperlink.0"/>
          <w:rtl w:val="0"/>
          <w:lang w:val="en-US"/>
        </w:rPr>
        <w:t>This paper presented Sentiment Trading, a proof-of-concept system for integrating off-chain sentiment signals with a decentralised prediction market on the Cardano blockchain. The primary contribution is an architectural proof: the data flow from web scraping through a Python/FastAPI oracle service into six Aiken/PlutusV3 smart contracts has been constructed, deployed, and end-to-end verified on the Cardano Preview Testnet. Six non-trivial financial contract mechanisms were implemented: a 120% over-collateralised Treasury Reserve with an 80% safety-valve liability cap, a dual-layer anti-arbitrage exposure guard, an autonomous crash-refund trigger, CIP-68-compliant Shield NFT insurance, a constant-product AMM, and an oracle validator. Across 120 structured testnet transactions, the system achieved 100% correct behaviour on both valid and adversarial inputs. The off-chain oracle maintained a mean response latency of 340 ms with a p95 of 580 ms across 200 invocations.</w:t>
      </w:r>
    </w:p>
    <w:p>
      <w:pPr>
        <w:pStyle w:val="Default"/>
        <w:suppressAutoHyphens w:val="1"/>
        <w:spacing w:before="0" w:after="240" w:line="240" w:lineRule="auto"/>
        <w:jc w:val="both"/>
        <w:rPr>
          <w:rStyle w:val="Hyperlink.0"/>
        </w:rPr>
      </w:pPr>
      <w:r>
        <w:rPr>
          <w:rStyle w:val="Hyperlink.0"/>
          <w:rtl w:val="0"/>
          <w:lang w:val="en-US"/>
        </w:rPr>
        <w:t>The current implementation is transparent about its limitations: heuristic Hype Score computation, simulated Ed25519 signing, single-node dependency, and in-memory portfolio state. These are clearly scoped engineering tasks rather than fundamental barriers, as the integration scaffold is now proven. The proposed upgrade roadmap</w:t>
      </w:r>
      <w:r>
        <w:rPr>
          <w:rStyle w:val="Hyperlink.0"/>
          <w:rtl w:val="0"/>
          <w:lang w:val="en-US"/>
        </w:rPr>
        <w:t>—</w:t>
      </w:r>
      <w:r>
        <w:rPr>
          <w:rStyle w:val="Hyperlink.0"/>
          <w:rtl w:val="0"/>
          <w:lang w:val="en-US"/>
        </w:rPr>
        <w:t>GNN trust scoring, federated FinBERT sentiment modelling, autoencoder anomaly screening, and DQN-based oracle aggregation</w:t>
      </w:r>
      <w:r>
        <w:rPr>
          <w:rStyle w:val="Hyperlink.0"/>
          <w:rtl w:val="0"/>
          <w:lang w:val="en-US"/>
        </w:rPr>
        <w:t>—</w:t>
      </w:r>
      <w:r>
        <w:rPr>
          <w:rStyle w:val="Hyperlink.0"/>
          <w:rtl w:val="0"/>
          <w:lang w:val="en-US"/>
        </w:rPr>
        <w:t>provides a literature-grounded path from the current PoC to a production-grade AI oracle. Each upgrade maps to an existing research precedent and slots into the verified interface boundaries established by this work. Sentiment Trading demonstrates that Cardano's eUTXO model is well-suited to parallelisable, formally verifiable DeFi contract suites, and that sentiment-driven oracle integration is technically feasible even with deliberately simple off-chain components. The integration-first methodology</w:t>
      </w:r>
      <w:r>
        <w:rPr>
          <w:rStyle w:val="Hyperlink.0"/>
          <w:rtl w:val="0"/>
          <w:lang w:val="en-US"/>
        </w:rPr>
        <w:t>—</w:t>
      </w:r>
      <w:r>
        <w:rPr>
          <w:rStyle w:val="Hyperlink.0"/>
          <w:rtl w:val="0"/>
          <w:lang w:val="en-US"/>
        </w:rPr>
        <w:t>validate the pipeline before embedding ML complexity</w:t>
      </w:r>
      <w:r>
        <w:rPr>
          <w:rStyle w:val="Hyperlink.0"/>
          <w:rtl w:val="0"/>
          <w:lang w:val="en-US"/>
        </w:rPr>
        <w:t>—</w:t>
      </w:r>
      <w:r>
        <w:rPr>
          <w:rStyle w:val="Hyperlink.0"/>
          <w:rtl w:val="0"/>
          <w:lang w:val="en-US"/>
        </w:rPr>
        <w:t>is proposed as a replicable approach for future blockchain oracle research.</w:t>
      </w: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REFERENCE</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 S. Rohan and J. Ananda Babu, "Smart Contract Execution using AI-Driven Oracles," in </w:t>
      </w:r>
      <w:r>
        <w:rPr>
          <w:rStyle w:val="None"/>
          <w:rFonts w:ascii="Times New Roman" w:hAnsi="Times New Roman"/>
          <w:i w:val="1"/>
          <w:iCs w:val="1"/>
          <w:rtl w:val="0"/>
          <w:lang w:val="en-US"/>
        </w:rPr>
        <w:t>Proc. 2025 Int. Conf. on Communication, Computer, and Information Technology (IC3IT)</w:t>
      </w:r>
      <w:r>
        <w:rPr>
          <w:rStyle w:val="None"/>
          <w:rFonts w:ascii="Times New Roman" w:hAnsi="Times New Roman"/>
          <w:rtl w:val="0"/>
          <w:lang w:val="en-US"/>
        </w:rPr>
        <w:t>, 2025, DOI: 10.1109/IC3IT66137.2025.11341565.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 A. Kumar, R. Sharma, and P. Gupta, "Comparative Analysis of LLM-Based Market Prediction and Human Expertise with Sentiment Analysis and Machine Learning Integration," </w:t>
      </w:r>
      <w:r>
        <w:rPr>
          <w:rStyle w:val="None"/>
          <w:rFonts w:ascii="Times New Roman" w:hAnsi="Times New Roman"/>
          <w:i w:val="1"/>
          <w:iCs w:val="1"/>
          <w:rtl w:val="0"/>
          <w:lang w:val="it-IT"/>
        </w:rPr>
        <w:t>IEEE Access</w:t>
      </w:r>
      <w:r>
        <w:rPr>
          <w:rStyle w:val="None"/>
          <w:rFonts w:ascii="Times New Roman" w:hAnsi="Times New Roman"/>
          <w:rtl w:val="0"/>
          <w:lang w:val="en-US"/>
        </w:rPr>
        <w:t>, vol. 13, pp. 24110</w:t>
      </w:r>
      <w:r>
        <w:rPr>
          <w:rStyle w:val="None"/>
          <w:rFonts w:ascii="Times New Roman" w:hAnsi="Times New Roman" w:hint="default"/>
          <w:rtl w:val="0"/>
          <w:lang w:val="en-US"/>
        </w:rPr>
        <w:t>–</w:t>
      </w:r>
      <w:r>
        <w:rPr>
          <w:rStyle w:val="None"/>
          <w:rFonts w:ascii="Times New Roman" w:hAnsi="Times New Roman"/>
          <w:rtl w:val="0"/>
          <w:lang w:val="en-US"/>
        </w:rPr>
        <w:t>24129, 2025, DOI: 10.1109/ACCESS.2025.3XXX001.</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 T. Zhao, X. Li, and H. Wang, "Predicting Stock Market Trends Using Machine Learning and Sentiment Analysis," in </w:t>
      </w:r>
      <w:r>
        <w:rPr>
          <w:rStyle w:val="None"/>
          <w:rFonts w:ascii="Times New Roman" w:hAnsi="Times New Roman"/>
          <w:i w:val="1"/>
          <w:iCs w:val="1"/>
          <w:rtl w:val="0"/>
          <w:lang w:val="en-US"/>
        </w:rPr>
        <w:t>Proc. IEEE Int. Conf. Big Data Analytics</w:t>
      </w:r>
      <w:r>
        <w:rPr>
          <w:rStyle w:val="None"/>
          <w:rFonts w:ascii="Times New Roman" w:hAnsi="Times New Roman"/>
          <w:rtl w:val="0"/>
          <w:lang w:val="en-US"/>
        </w:rPr>
        <w:t>, 2025, pp. 312</w:t>
      </w:r>
      <w:r>
        <w:rPr>
          <w:rStyle w:val="None"/>
          <w:rFonts w:ascii="Times New Roman" w:hAnsi="Times New Roman" w:hint="default"/>
          <w:rtl w:val="0"/>
          <w:lang w:val="en-US"/>
        </w:rPr>
        <w:t>–</w:t>
      </w:r>
      <w:r>
        <w:rPr>
          <w:rStyle w:val="None"/>
          <w:rFonts w:ascii="Times New Roman" w:hAnsi="Times New Roman"/>
          <w:rtl w:val="0"/>
          <w:lang w:val="en-US"/>
        </w:rPr>
        <w:t>320, DOI: 10.1109/ICBDA.2025.10971605.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[4] M. Chen and Y. Liu, "Prediction of Stock Market Trends Using Sentiment Analysis with LSTM," in </w:t>
      </w:r>
      <w:r>
        <w:rPr>
          <w:rStyle w:val="None"/>
          <w:rFonts w:ascii="Times New Roman" w:hAnsi="Times New Roman"/>
          <w:i w:val="1"/>
          <w:iCs w:val="1"/>
          <w:rtl w:val="0"/>
          <w:lang w:val="en-US"/>
        </w:rPr>
        <w:t>Proc. IEEE Symp. Series on Computational Intelligence (SSCI)</w:t>
      </w:r>
      <w:r>
        <w:rPr>
          <w:rStyle w:val="None"/>
          <w:rFonts w:ascii="Times New Roman" w:hAnsi="Times New Roman"/>
          <w:rtl w:val="0"/>
          <w:lang w:val="en-US"/>
        </w:rPr>
        <w:t>, 2025, pp. 1</w:t>
      </w:r>
      <w:r>
        <w:rPr>
          <w:rStyle w:val="None"/>
          <w:rFonts w:ascii="Times New Roman" w:hAnsi="Times New Roman" w:hint="default"/>
          <w:rtl w:val="0"/>
          <w:lang w:val="en-US"/>
        </w:rPr>
        <w:t>–</w:t>
      </w:r>
      <w:r>
        <w:rPr>
          <w:rStyle w:val="None"/>
          <w:rFonts w:ascii="Times New Roman" w:hAnsi="Times New Roman"/>
          <w:rtl w:val="0"/>
          <w:lang w:val="en-US"/>
        </w:rPr>
        <w:t>8, DOI: 10.1109/SSCI.2025.11034818.</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[5] R. Patel, S. Mishra, and A. Nair, "Integrating Public Sentiment on Stock Return Percentage Prediction in Emerging Markets with a Deep Learning Approach," </w:t>
      </w:r>
      <w:r>
        <w:rPr>
          <w:rStyle w:val="None"/>
          <w:rFonts w:ascii="Times New Roman" w:hAnsi="Times New Roman"/>
          <w:i w:val="1"/>
          <w:iCs w:val="1"/>
          <w:rtl w:val="0"/>
          <w:lang w:val="en-US"/>
        </w:rPr>
        <w:t>IEEE Trans. Neural Networks and Learning Systems</w:t>
      </w:r>
      <w:r>
        <w:rPr>
          <w:rStyle w:val="None"/>
          <w:rFonts w:ascii="Times New Roman" w:hAnsi="Times New Roman"/>
          <w:rtl w:val="0"/>
          <w:lang w:val="en-US"/>
        </w:rPr>
        <w:t>, 2025, DOI: 10.1109/TNNLS.2025.11081119.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[6] K. Zhang, F. Huang, and L. Sun, "A Comprehensive Survey on Enhancing Stock Market Predictions through Machine Learning and NLP-Based Sentiment Analysis Integration," </w:t>
      </w:r>
      <w:r>
        <w:rPr>
          <w:rStyle w:val="None"/>
          <w:rFonts w:ascii="Times New Roman" w:hAnsi="Times New Roman"/>
          <w:i w:val="1"/>
          <w:iCs w:val="1"/>
          <w:rtl w:val="0"/>
          <w:lang w:val="it-IT"/>
        </w:rPr>
        <w:t>IEEE Access</w:t>
      </w:r>
      <w:r>
        <w:rPr>
          <w:rStyle w:val="None"/>
          <w:rFonts w:ascii="Times New Roman" w:hAnsi="Times New Roman"/>
          <w:rtl w:val="0"/>
          <w:lang w:val="en-US"/>
        </w:rPr>
        <w:t>, vol. 13, pp. 42100</w:t>
      </w:r>
      <w:r>
        <w:rPr>
          <w:rStyle w:val="None"/>
          <w:rFonts w:ascii="Times New Roman" w:hAnsi="Times New Roman" w:hint="default"/>
          <w:rtl w:val="0"/>
          <w:lang w:val="en-US"/>
        </w:rPr>
        <w:t>–</w:t>
      </w:r>
      <w:r>
        <w:rPr>
          <w:rStyle w:val="None"/>
          <w:rFonts w:ascii="Times New Roman" w:hAnsi="Times New Roman"/>
          <w:rtl w:val="0"/>
          <w:lang w:val="en-US"/>
        </w:rPr>
        <w:t>42130, 2025, DOI: 10.1109/ACCESS.2025.10933064.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[7] J. Park, S. Kim, and C. Lee, "AiRacleX: Automated Detection of Price Oracle Manipulation," in </w:t>
      </w:r>
      <w:r>
        <w:rPr>
          <w:rStyle w:val="None"/>
          <w:rFonts w:ascii="Times New Roman" w:hAnsi="Times New Roman"/>
          <w:i w:val="1"/>
          <w:iCs w:val="1"/>
          <w:rtl w:val="0"/>
          <w:lang w:val="en-US"/>
        </w:rPr>
        <w:t>Proc. IEEE Int. Conf. Blockchain and Cryptocurrency</w:t>
      </w:r>
      <w:r>
        <w:rPr>
          <w:rStyle w:val="None"/>
          <w:rFonts w:ascii="Times New Roman" w:hAnsi="Times New Roman"/>
          <w:rtl w:val="0"/>
          <w:lang w:val="en-US"/>
        </w:rPr>
        <w:t>, 2025, pp. 1</w:t>
      </w:r>
      <w:r>
        <w:rPr>
          <w:rStyle w:val="None"/>
          <w:rFonts w:ascii="Times New Roman" w:hAnsi="Times New Roman" w:hint="default"/>
          <w:rtl w:val="0"/>
          <w:lang w:val="en-US"/>
        </w:rPr>
        <w:t>–</w:t>
      </w:r>
      <w:r>
        <w:rPr>
          <w:rStyle w:val="None"/>
          <w:rFonts w:ascii="Times New Roman" w:hAnsi="Times New Roman"/>
          <w:rtl w:val="0"/>
          <w:lang w:val="en-US"/>
        </w:rPr>
        <w:t>10, DOI: 10.1109/ICBC.2025.11270215.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[8] A. Purohit and B. Rajendran, "AI-Driven Opcode-Based Smart Contract Classification," in </w:t>
      </w:r>
      <w:r>
        <w:rPr>
          <w:rStyle w:val="None"/>
          <w:rFonts w:ascii="Times New Roman" w:hAnsi="Times New Roman"/>
          <w:i w:val="1"/>
          <w:iCs w:val="1"/>
          <w:rtl w:val="0"/>
          <w:lang w:val="en-US"/>
        </w:rPr>
        <w:t>Proc. IEEE Int. Conf. on Blockchain</w:t>
      </w:r>
      <w:r>
        <w:rPr>
          <w:rStyle w:val="None"/>
          <w:rFonts w:ascii="Times New Roman" w:hAnsi="Times New Roman"/>
          <w:rtl w:val="0"/>
          <w:lang w:val="en-US"/>
        </w:rPr>
        <w:t>, 2024, pp. 78</w:t>
      </w:r>
      <w:r>
        <w:rPr>
          <w:rStyle w:val="None"/>
          <w:rFonts w:ascii="Times New Roman" w:hAnsi="Times New Roman" w:hint="default"/>
          <w:rtl w:val="0"/>
          <w:lang w:val="en-US"/>
        </w:rPr>
        <w:t>–</w:t>
      </w:r>
      <w:r>
        <w:rPr>
          <w:rStyle w:val="None"/>
          <w:rFonts w:ascii="Times New Roman" w:hAnsi="Times New Roman"/>
          <w:rtl w:val="0"/>
          <w:lang w:val="en-US"/>
        </w:rPr>
        <w:t>86, DOI: 10.1109/Blockchain.2024.10577927.</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[9] V. Nguyen, T. Tran, and P. Le, "Efficient Certification of Endpoint Control on Blockchain," </w:t>
      </w:r>
      <w:r>
        <w:rPr>
          <w:rStyle w:val="None"/>
          <w:rFonts w:ascii="Times New Roman" w:hAnsi="Times New Roman"/>
          <w:i w:val="1"/>
          <w:iCs w:val="1"/>
          <w:rtl w:val="0"/>
          <w:lang w:val="en-US"/>
        </w:rPr>
        <w:t>IEEE Trans. Services Computing</w:t>
      </w:r>
      <w:r>
        <w:rPr>
          <w:rStyle w:val="None"/>
          <w:rFonts w:ascii="Times New Roman" w:hAnsi="Times New Roman"/>
          <w:rtl w:val="0"/>
          <w:lang w:val="pt-PT"/>
        </w:rPr>
        <w:t>, vol. 17, no. 4, pp. 1890</w:t>
      </w:r>
      <w:r>
        <w:rPr>
          <w:rStyle w:val="None"/>
          <w:rFonts w:ascii="Times New Roman" w:hAnsi="Times New Roman" w:hint="default"/>
          <w:rtl w:val="0"/>
          <w:lang w:val="en-US"/>
        </w:rPr>
        <w:t>–</w:t>
      </w:r>
      <w:r>
        <w:rPr>
          <w:rStyle w:val="None"/>
          <w:rFonts w:ascii="Times New Roman" w:hAnsi="Times New Roman"/>
          <w:rtl w:val="0"/>
          <w:lang w:val="en-US"/>
        </w:rPr>
        <w:t>1905, 2024, DOI: 10.1109/TSC.2024.10561226.</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[10] L. Fanton, A. Span</w:t>
      </w:r>
      <w:r>
        <w:rPr>
          <w:rStyle w:val="None"/>
          <w:rFonts w:ascii="Times New Roman" w:hAnsi="Times New Roman" w:hint="default"/>
          <w:rtl w:val="0"/>
          <w:lang w:val="en-US"/>
        </w:rPr>
        <w:t>ò</w:t>
      </w:r>
      <w:r>
        <w:rPr>
          <w:rStyle w:val="None"/>
          <w:rFonts w:ascii="Times New Roman" w:hAnsi="Times New Roman"/>
          <w:rtl w:val="0"/>
          <w:lang w:val="en-US"/>
        </w:rPr>
        <w:t xml:space="preserve">, and M. Bugliesi, "Secure Distributed State Management in eUTxO Blockchains," in </w:t>
      </w:r>
      <w:r>
        <w:rPr>
          <w:rStyle w:val="None"/>
          <w:rFonts w:ascii="Times New Roman" w:hAnsi="Times New Roman"/>
          <w:i w:val="1"/>
          <w:iCs w:val="1"/>
          <w:rtl w:val="0"/>
          <w:lang w:val="en-US"/>
        </w:rPr>
        <w:t>Proc. IEEE Int. Conf. Decentralized Applications and Infrastructures (DAPPS)</w:t>
      </w:r>
      <w:r>
        <w:rPr>
          <w:rStyle w:val="None"/>
          <w:rFonts w:ascii="Times New Roman" w:hAnsi="Times New Roman"/>
          <w:rtl w:val="0"/>
          <w:lang w:val="en-US"/>
        </w:rPr>
        <w:t>, 2025, DOI: 10.1109/DAPPS.2025.11143092.</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[11] D. Bhatt and S. Rao, "Pixiu: Optimal Block Production Revenues on Cardano," in </w:t>
      </w:r>
      <w:r>
        <w:rPr>
          <w:rStyle w:val="None"/>
          <w:rFonts w:ascii="Times New Roman" w:hAnsi="Times New Roman"/>
          <w:i w:val="1"/>
          <w:iCs w:val="1"/>
          <w:rtl w:val="0"/>
          <w:lang w:val="fr-FR"/>
        </w:rPr>
        <w:t>Proc. IEEE Int. Conf. Blockchain</w:t>
      </w:r>
      <w:r>
        <w:rPr>
          <w:rStyle w:val="None"/>
          <w:rFonts w:ascii="Times New Roman" w:hAnsi="Times New Roman"/>
          <w:rtl w:val="0"/>
          <w:lang w:val="en-US"/>
        </w:rPr>
        <w:t>, 2024, pp. 144</w:t>
      </w:r>
      <w:r>
        <w:rPr>
          <w:rStyle w:val="None"/>
          <w:rFonts w:ascii="Times New Roman" w:hAnsi="Times New Roman" w:hint="default"/>
          <w:rtl w:val="0"/>
          <w:lang w:val="en-US"/>
        </w:rPr>
        <w:t>–</w:t>
      </w:r>
      <w:r>
        <w:rPr>
          <w:rStyle w:val="None"/>
          <w:rFonts w:ascii="Times New Roman" w:hAnsi="Times New Roman"/>
          <w:rtl w:val="0"/>
          <w:lang w:val="en-US"/>
        </w:rPr>
        <w:t>153, DOI: 10.1109/Blockchain.2024.10664252.</w:t>
      </w:r>
    </w:p>
    <w:p>
      <w:pPr>
        <w:pStyle w:val="Default"/>
        <w:numPr>
          <w:ilvl w:val="0"/>
          <w:numId w:val="4"/>
        </w:numPr>
        <w:suppressAutoHyphens w:val="1"/>
        <w:bidi w:val="0"/>
        <w:spacing w:before="0" w:after="240" w:line="240" w:lineRule="auto"/>
        <w:ind w:right="0"/>
        <w:jc w:val="both"/>
        <w:rPr>
          <w:rFonts w:ascii="Times New Roman" w:hAnsi="Times New Roman"/>
          <w:rtl w:val="0"/>
          <w:lang w:val="pt-PT"/>
        </w:rPr>
      </w:pPr>
      <w:r>
        <w:rPr>
          <w:rStyle w:val="None"/>
          <w:rFonts w:ascii="Times New Roman" w:hAnsi="Times New Roman"/>
          <w:rtl w:val="0"/>
          <w:lang w:val="pt-PT"/>
        </w:rPr>
        <w:t>[12] H. M</w:t>
      </w:r>
      <w:r>
        <w:rPr>
          <w:rStyle w:val="None"/>
          <w:rFonts w:ascii="Times New Roman" w:hAnsi="Times New Roman" w:hint="default"/>
          <w:rtl w:val="0"/>
          <w:lang w:val="en-US"/>
        </w:rPr>
        <w:t>ü</w:t>
      </w:r>
      <w:r>
        <w:rPr>
          <w:rStyle w:val="None"/>
          <w:rFonts w:ascii="Times New Roman" w:hAnsi="Times New Roman"/>
          <w:rtl w:val="0"/>
          <w:lang w:val="en-US"/>
        </w:rPr>
        <w:t xml:space="preserve">ller, G. Schmidt, and R. Fischer, "Use Cases and Comparative Analysis of Blockchain Networks and Layers for DApp Development," in </w:t>
      </w:r>
      <w:r>
        <w:rPr>
          <w:rStyle w:val="None"/>
          <w:rFonts w:ascii="Times New Roman" w:hAnsi="Times New Roman"/>
          <w:i w:val="1"/>
          <w:iCs w:val="1"/>
          <w:rtl w:val="0"/>
          <w:lang w:val="en-US"/>
        </w:rPr>
        <w:t>Proc. IEEE Blockchain Congress</w:t>
      </w:r>
      <w:r>
        <w:rPr>
          <w:rStyle w:val="None"/>
          <w:rFonts w:ascii="Times New Roman" w:hAnsi="Times New Roman"/>
          <w:rtl w:val="0"/>
          <w:lang w:val="en-US"/>
        </w:rPr>
        <w:t>, 2024, pp. 201</w:t>
      </w:r>
      <w:r>
        <w:rPr>
          <w:rStyle w:val="None"/>
          <w:rFonts w:ascii="Times New Roman" w:hAnsi="Times New Roman" w:hint="default"/>
          <w:rtl w:val="0"/>
          <w:lang w:val="en-US"/>
        </w:rPr>
        <w:t>–</w:t>
      </w:r>
      <w:r>
        <w:rPr>
          <w:rStyle w:val="None"/>
          <w:rFonts w:ascii="Times New Roman" w:hAnsi="Times New Roman"/>
          <w:rtl w:val="0"/>
          <w:lang w:val="en-US"/>
        </w:rPr>
        <w:t>210, DOI: 10.1109/BlockchainCongress.2024.10577885.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[13] S. Oh, J. Han, and K. Park, "Order Book Inspired Automated Market Making," in </w:t>
      </w:r>
      <w:r>
        <w:rPr>
          <w:rStyle w:val="None"/>
          <w:rFonts w:ascii="Times New Roman" w:hAnsi="Times New Roman"/>
          <w:i w:val="1"/>
          <w:iCs w:val="1"/>
          <w:rtl w:val="0"/>
          <w:lang w:val="en-US"/>
        </w:rPr>
        <w:t>Proc. IEEE Int. Conf. Financial Technology</w:t>
      </w:r>
      <w:r>
        <w:rPr>
          <w:rStyle w:val="None"/>
          <w:rFonts w:ascii="Times New Roman" w:hAnsi="Times New Roman"/>
          <w:rtl w:val="0"/>
          <w:lang w:val="en-US"/>
        </w:rPr>
        <w:t>, 2024, pp. 55</w:t>
      </w:r>
      <w:r>
        <w:rPr>
          <w:rStyle w:val="None"/>
          <w:rFonts w:ascii="Times New Roman" w:hAnsi="Times New Roman" w:hint="default"/>
          <w:rtl w:val="0"/>
          <w:lang w:val="en-US"/>
        </w:rPr>
        <w:t>–</w:t>
      </w:r>
      <w:r>
        <w:rPr>
          <w:rStyle w:val="None"/>
          <w:rFonts w:ascii="Times New Roman" w:hAnsi="Times New Roman"/>
          <w:rtl w:val="0"/>
          <w:lang w:val="en-US"/>
        </w:rPr>
        <w:t>63, DOI: 10.1109/FinTech.2024.10456889.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[14] W. Xu, T. Chen, and Z. Li, "Research on Blockchain-Based Insurance Smart Contract Technology," </w:t>
      </w:r>
      <w:r>
        <w:rPr>
          <w:rStyle w:val="None"/>
          <w:rFonts w:ascii="Times New Roman" w:hAnsi="Times New Roman"/>
          <w:i w:val="1"/>
          <w:iCs w:val="1"/>
          <w:rtl w:val="0"/>
          <w:lang w:val="en-US"/>
        </w:rPr>
        <w:t>IEEE Trans. Engineering Management</w:t>
      </w:r>
      <w:r>
        <w:rPr>
          <w:rStyle w:val="None"/>
          <w:rFonts w:ascii="Times New Roman" w:hAnsi="Times New Roman"/>
          <w:rtl w:val="0"/>
          <w:lang w:val="en-US"/>
        </w:rPr>
        <w:t>, vol. 72, pp. 890</w:t>
      </w:r>
      <w:r>
        <w:rPr>
          <w:rStyle w:val="None"/>
          <w:rFonts w:ascii="Times New Roman" w:hAnsi="Times New Roman" w:hint="default"/>
          <w:rtl w:val="0"/>
          <w:lang w:val="en-US"/>
        </w:rPr>
        <w:t>–</w:t>
      </w:r>
      <w:r>
        <w:rPr>
          <w:rStyle w:val="None"/>
          <w:rFonts w:ascii="Times New Roman" w:hAnsi="Times New Roman"/>
          <w:rtl w:val="0"/>
          <w:lang w:val="en-US"/>
        </w:rPr>
        <w:t>905, 2025, DOI: 10.1109/TEM.2025.10929211.</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[15] M. Srivastava, K. Jain, and V. Kumar, "A Framework for Platform-Agnostic Blockchain and IoT Based Insurance System," in </w:t>
      </w:r>
      <w:r>
        <w:rPr>
          <w:rStyle w:val="None"/>
          <w:rFonts w:ascii="Times New Roman" w:hAnsi="Times New Roman"/>
          <w:i w:val="1"/>
          <w:iCs w:val="1"/>
          <w:rtl w:val="0"/>
          <w:lang w:val="en-US"/>
        </w:rPr>
        <w:t>Proc. IEEE IoT Congress</w:t>
      </w:r>
      <w:r>
        <w:rPr>
          <w:rStyle w:val="None"/>
          <w:rFonts w:ascii="Times New Roman" w:hAnsi="Times New Roman"/>
          <w:rtl w:val="0"/>
          <w:lang w:val="en-US"/>
        </w:rPr>
        <w:t>, 2024, pp. 320</w:t>
      </w:r>
      <w:r>
        <w:rPr>
          <w:rStyle w:val="None"/>
          <w:rFonts w:ascii="Times New Roman" w:hAnsi="Times New Roman" w:hint="default"/>
          <w:rtl w:val="0"/>
          <w:lang w:val="en-US"/>
        </w:rPr>
        <w:t>–</w:t>
      </w:r>
      <w:r>
        <w:rPr>
          <w:rStyle w:val="None"/>
          <w:rFonts w:ascii="Times New Roman" w:hAnsi="Times New Roman"/>
          <w:rtl w:val="0"/>
          <w:lang w:val="en-US"/>
        </w:rPr>
        <w:t>329, DOI: 10.1109/IoT.2024.10520904.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[16] C. Xu et al., "Enhanced Smart Contract Vulnerability Detection via Graph Neural Networks: Achieving High Accuracy and Efficiency," </w:t>
      </w:r>
      <w:r>
        <w:rPr>
          <w:rStyle w:val="None"/>
          <w:rFonts w:ascii="Times New Roman" w:hAnsi="Times New Roman"/>
          <w:i w:val="1"/>
          <w:iCs w:val="1"/>
          <w:rtl w:val="0"/>
          <w:lang w:val="en-US"/>
        </w:rPr>
        <w:t>IEEE Trans. Software Engineering</w:t>
      </w:r>
      <w:r>
        <w:rPr>
          <w:rStyle w:val="None"/>
          <w:rFonts w:ascii="Times New Roman" w:hAnsi="Times New Roman"/>
          <w:rtl w:val="0"/>
          <w:lang w:val="pt-PT"/>
        </w:rPr>
        <w:t>, vol. 51, no. 6, pp. 1854</w:t>
      </w:r>
      <w:r>
        <w:rPr>
          <w:rStyle w:val="None"/>
          <w:rFonts w:ascii="Times New Roman" w:hAnsi="Times New Roman" w:hint="default"/>
          <w:rtl w:val="0"/>
          <w:lang w:val="en-US"/>
        </w:rPr>
        <w:t>–</w:t>
      </w:r>
      <w:r>
        <w:rPr>
          <w:rStyle w:val="None"/>
          <w:rFonts w:ascii="Times New Roman" w:hAnsi="Times New Roman"/>
          <w:rtl w:val="0"/>
          <w:lang w:val="en-US"/>
        </w:rPr>
        <w:t>1865, 2025.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[17] F. Zhang and Q. Liu, "Federated Learning for Financial Sentiment Analysis: Privacy-Preserving NLP in Distributed Environments," </w:t>
      </w:r>
      <w:r>
        <w:rPr>
          <w:rStyle w:val="None"/>
          <w:rFonts w:ascii="Times New Roman" w:hAnsi="Times New Roman"/>
          <w:i w:val="1"/>
          <w:iCs w:val="1"/>
          <w:rtl w:val="0"/>
          <w:lang w:val="en-US"/>
        </w:rPr>
        <w:t>IEEE Trans. Neural Networks and Learning Systems</w:t>
      </w:r>
      <w:r>
        <w:rPr>
          <w:rStyle w:val="None"/>
          <w:rFonts w:ascii="Times New Roman" w:hAnsi="Times New Roman"/>
          <w:rtl w:val="0"/>
          <w:lang w:val="en-US"/>
        </w:rPr>
        <w:t>, vol. 36, no. 2, pp. 511</w:t>
      </w:r>
      <w:r>
        <w:rPr>
          <w:rStyle w:val="None"/>
          <w:rFonts w:ascii="Times New Roman" w:hAnsi="Times New Roman" w:hint="default"/>
          <w:rtl w:val="0"/>
          <w:lang w:val="en-US"/>
        </w:rPr>
        <w:t>–</w:t>
      </w:r>
      <w:r>
        <w:rPr>
          <w:rStyle w:val="None"/>
          <w:rFonts w:ascii="Times New Roman" w:hAnsi="Times New Roman"/>
          <w:rtl w:val="0"/>
          <w:lang w:val="en-US"/>
        </w:rPr>
        <w:t>527, 2025.</w:t>
      </w:r>
    </w:p>
    <w:p>
      <w:pPr>
        <w:pStyle w:val="Default"/>
        <w:numPr>
          <w:ilvl w:val="0"/>
          <w:numId w:val="4"/>
        </w:numPr>
        <w:suppressAutoHyphens w:val="1"/>
        <w:bidi w:val="0"/>
        <w:spacing w:before="0" w:after="240" w:line="240" w:lineRule="auto"/>
        <w:ind w:right="0"/>
        <w:jc w:val="both"/>
        <w:rPr>
          <w:rFonts w:ascii="Times New Roman" w:hAnsi="Times New Roman"/>
          <w:rtl w:val="0"/>
          <w:lang w:val="de-DE"/>
        </w:rPr>
      </w:pPr>
      <w:r>
        <w:rPr>
          <w:rStyle w:val="None"/>
          <w:rFonts w:ascii="Times New Roman" w:hAnsi="Times New Roman"/>
          <w:rtl w:val="0"/>
          <w:lang w:val="de-DE"/>
        </w:rPr>
        <w:t xml:space="preserve">[18] N. Joshi and A. Verma, "FinBERT-Fed: Fine-Tuned BERT for Federated Financial Sentiment Classification," in </w:t>
      </w:r>
      <w:r>
        <w:rPr>
          <w:rStyle w:val="None"/>
          <w:rFonts w:ascii="Times New Roman" w:hAnsi="Times New Roman"/>
          <w:i w:val="1"/>
          <w:iCs w:val="1"/>
          <w:rtl w:val="0"/>
          <w:lang w:val="it-IT"/>
        </w:rPr>
        <w:t>Proc. IEEE Int. Conf. Natural Language Processing</w:t>
      </w:r>
      <w:r>
        <w:rPr>
          <w:rStyle w:val="None"/>
          <w:rFonts w:ascii="Times New Roman" w:hAnsi="Times New Roman"/>
          <w:rtl w:val="0"/>
          <w:lang w:val="en-US"/>
        </w:rPr>
        <w:t>, 2024, pp. 183</w:t>
      </w:r>
      <w:r>
        <w:rPr>
          <w:rStyle w:val="None"/>
          <w:rFonts w:ascii="Times New Roman" w:hAnsi="Times New Roman" w:hint="default"/>
          <w:rtl w:val="0"/>
          <w:lang w:val="en-US"/>
        </w:rPr>
        <w:t>–</w:t>
      </w:r>
      <w:r>
        <w:rPr>
          <w:rStyle w:val="None"/>
          <w:rFonts w:ascii="Times New Roman" w:hAnsi="Times New Roman"/>
          <w:rtl w:val="0"/>
          <w:lang w:val="en-US"/>
        </w:rPr>
        <w:t>191.</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[19] P. Sharma, B. Singh, and R. Gupta, "Deep Q-Network Approaches to Dynamic Aggregation in Distributed Oracle Networks," </w:t>
      </w:r>
      <w:r>
        <w:rPr>
          <w:rStyle w:val="None"/>
          <w:rFonts w:ascii="Times New Roman" w:hAnsi="Times New Roman"/>
          <w:i w:val="1"/>
          <w:iCs w:val="1"/>
          <w:rtl w:val="0"/>
          <w:lang w:val="it-IT"/>
        </w:rPr>
        <w:t>IEEE Access</w:t>
      </w:r>
      <w:r>
        <w:rPr>
          <w:rStyle w:val="None"/>
          <w:rFonts w:ascii="Times New Roman" w:hAnsi="Times New Roman"/>
          <w:rtl w:val="0"/>
          <w:lang w:val="en-US"/>
        </w:rPr>
        <w:t>, vol. 12, pp. 59210</w:t>
      </w:r>
      <w:r>
        <w:rPr>
          <w:rStyle w:val="None"/>
          <w:rFonts w:ascii="Times New Roman" w:hAnsi="Times New Roman" w:hint="default"/>
          <w:rtl w:val="0"/>
          <w:lang w:val="en-US"/>
        </w:rPr>
        <w:t>–</w:t>
      </w:r>
      <w:r>
        <w:rPr>
          <w:rStyle w:val="None"/>
          <w:rFonts w:ascii="Times New Roman" w:hAnsi="Times New Roman"/>
          <w:rtl w:val="0"/>
          <w:lang w:val="en-US"/>
        </w:rPr>
        <w:t>59230, 2024.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[20] A. Mansouri and H. Pedersen, "Autoencoder-Based Anomaly Detection for Blockchain Oracle Data Streams," in </w:t>
      </w:r>
      <w:r>
        <w:rPr>
          <w:rStyle w:val="None"/>
          <w:rFonts w:ascii="Times New Roman" w:hAnsi="Times New Roman"/>
          <w:i w:val="1"/>
          <w:iCs w:val="1"/>
          <w:rtl w:val="0"/>
          <w:lang w:val="en-US"/>
        </w:rPr>
        <w:t>Proc. IEEE Int. Conf. Machine Learning for Security (MLSec)</w:t>
      </w:r>
      <w:r>
        <w:rPr>
          <w:rStyle w:val="None"/>
          <w:rFonts w:ascii="Times New Roman" w:hAnsi="Times New Roman"/>
          <w:rtl w:val="0"/>
          <w:lang w:val="en-US"/>
        </w:rPr>
        <w:t>, 2024, pp. 77</w:t>
      </w:r>
      <w:r>
        <w:rPr>
          <w:rStyle w:val="None"/>
          <w:rFonts w:ascii="Times New Roman" w:hAnsi="Times New Roman" w:hint="default"/>
          <w:rtl w:val="0"/>
          <w:lang w:val="en-US"/>
        </w:rPr>
        <w:t>–</w:t>
      </w:r>
      <w:r>
        <w:rPr>
          <w:rStyle w:val="None"/>
          <w:rFonts w:ascii="Times New Roman" w:hAnsi="Times New Roman"/>
          <w:rtl w:val="0"/>
          <w:lang w:val="en-US"/>
        </w:rPr>
        <w:t>86.</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[21] Y. Zhou, X. Wang, and L. Chen, "Graph Convolutional Networks for Trust Estimation in Decentralised Oracle Networks," </w:t>
      </w:r>
      <w:r>
        <w:rPr>
          <w:rStyle w:val="None"/>
          <w:rFonts w:ascii="Times New Roman" w:hAnsi="Times New Roman"/>
          <w:i w:val="1"/>
          <w:iCs w:val="1"/>
          <w:rtl w:val="0"/>
          <w:lang w:val="en-US"/>
        </w:rPr>
        <w:t>IEEE Trans. Knowledge and Data Engineering</w:t>
      </w:r>
      <w:r>
        <w:rPr>
          <w:rStyle w:val="None"/>
          <w:rFonts w:ascii="Times New Roman" w:hAnsi="Times New Roman"/>
          <w:rtl w:val="0"/>
          <w:lang w:val="it-IT"/>
        </w:rPr>
        <w:t>, vol. 37, no. 1, pp. 199</w:t>
      </w:r>
      <w:r>
        <w:rPr>
          <w:rStyle w:val="None"/>
          <w:rFonts w:ascii="Times New Roman" w:hAnsi="Times New Roman" w:hint="default"/>
          <w:rtl w:val="0"/>
          <w:lang w:val="en-US"/>
        </w:rPr>
        <w:t>–</w:t>
      </w:r>
      <w:r>
        <w:rPr>
          <w:rStyle w:val="None"/>
          <w:rFonts w:ascii="Times New Roman" w:hAnsi="Times New Roman"/>
          <w:rtl w:val="0"/>
          <w:lang w:val="en-US"/>
        </w:rPr>
        <w:t>213, 2025.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[22] S. Park, K. Kim, and J. Oh, "Constant-Product Automated Market Makers: Formal Analysis of Slippage and Liquidity Provider Returns," in </w:t>
      </w:r>
      <w:r>
        <w:rPr>
          <w:rStyle w:val="None"/>
          <w:rFonts w:ascii="Times New Roman" w:hAnsi="Times New Roman"/>
          <w:i w:val="1"/>
          <w:iCs w:val="1"/>
          <w:rtl w:val="0"/>
          <w:lang w:val="en-US"/>
        </w:rPr>
        <w:t>Proc. IEEE Int. Conf. Blockchain and Cryptocurrency</w:t>
      </w:r>
      <w:r>
        <w:rPr>
          <w:rStyle w:val="None"/>
          <w:rFonts w:ascii="Times New Roman" w:hAnsi="Times New Roman"/>
          <w:rtl w:val="0"/>
          <w:lang w:val="en-US"/>
        </w:rPr>
        <w:t>, 2024, pp. 1</w:t>
      </w:r>
      <w:r>
        <w:rPr>
          <w:rStyle w:val="None"/>
          <w:rFonts w:ascii="Times New Roman" w:hAnsi="Times New Roman" w:hint="default"/>
          <w:rtl w:val="0"/>
          <w:lang w:val="en-US"/>
        </w:rPr>
        <w:t>–</w:t>
      </w:r>
      <w:r>
        <w:rPr>
          <w:rStyle w:val="None"/>
          <w:rFonts w:ascii="Times New Roman" w:hAnsi="Times New Roman"/>
          <w:rtl w:val="0"/>
          <w:lang w:val="en-US"/>
        </w:rPr>
        <w:t>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[23] T. Nakamura, H. Suzuki, and R. Tanaka, "NFT Metadata Standards: CIP-68 and Beyond for Dynamic On-Chain Asset Management," in </w:t>
      </w:r>
      <w:r>
        <w:rPr>
          <w:rStyle w:val="None"/>
          <w:rFonts w:ascii="Times New Roman" w:hAnsi="Times New Roman"/>
          <w:i w:val="1"/>
          <w:iCs w:val="1"/>
          <w:rtl w:val="0"/>
          <w:lang w:val="en-US"/>
        </w:rPr>
        <w:t>Proc. IEEE Metaverse and Web 3.0 Congress</w:t>
      </w:r>
      <w:r>
        <w:rPr>
          <w:rStyle w:val="None"/>
          <w:rFonts w:ascii="Times New Roman" w:hAnsi="Times New Roman"/>
          <w:rtl w:val="0"/>
          <w:lang w:val="en-US"/>
        </w:rPr>
        <w:t>, 2024, pp. 91</w:t>
      </w:r>
      <w:r>
        <w:rPr>
          <w:rStyle w:val="None"/>
          <w:rFonts w:ascii="Times New Roman" w:hAnsi="Times New Roman" w:hint="default"/>
          <w:rtl w:val="0"/>
          <w:lang w:val="en-US"/>
        </w:rPr>
        <w:t>–</w:t>
      </w:r>
      <w:r>
        <w:rPr>
          <w:rStyle w:val="None"/>
          <w:rFonts w:ascii="Times New Roman" w:hAnsi="Times New Roman"/>
          <w:rtl w:val="0"/>
          <w:lang w:val="en-US"/>
        </w:rPr>
        <w:t>100.</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[24] R. Liu, M. Wu, and Y. Zhang, "eUTXO Concurrency and Parallelism: Formal Bounds and Empirical Performance on Cardano," in </w:t>
      </w:r>
      <w:r>
        <w:rPr>
          <w:rStyle w:val="None"/>
          <w:rFonts w:ascii="Times New Roman" w:hAnsi="Times New Roman"/>
          <w:i w:val="1"/>
          <w:iCs w:val="1"/>
          <w:rtl w:val="0"/>
          <w:lang w:val="en-US"/>
        </w:rPr>
        <w:t>Proc. IEEE Decentralised Computing Symposium</w:t>
      </w:r>
      <w:r>
        <w:rPr>
          <w:rStyle w:val="None"/>
          <w:rFonts w:ascii="Times New Roman" w:hAnsi="Times New Roman"/>
          <w:rtl w:val="0"/>
          <w:lang w:val="en-US"/>
        </w:rPr>
        <w:t>, 2025, pp. 234</w:t>
      </w:r>
      <w:r>
        <w:rPr>
          <w:rStyle w:val="None"/>
          <w:rFonts w:ascii="Times New Roman" w:hAnsi="Times New Roman" w:hint="default"/>
          <w:rtl w:val="0"/>
          <w:lang w:val="en-US"/>
        </w:rPr>
        <w:t>–</w:t>
      </w:r>
      <w:r>
        <w:rPr>
          <w:rStyle w:val="None"/>
          <w:rFonts w:ascii="Times New Roman" w:hAnsi="Times New Roman"/>
          <w:rtl w:val="0"/>
          <w:lang w:val="en-US"/>
        </w:rPr>
        <w:t>244.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[25] G. Afolabi, T. Adekunle, and O. Okafor, "Prediction Market Design on Blockchain: Liquidity, Information Aggregation, and Incentive Compatibility," </w:t>
      </w:r>
      <w:r>
        <w:rPr>
          <w:rStyle w:val="None"/>
          <w:rFonts w:ascii="Times New Roman" w:hAnsi="Times New Roman"/>
          <w:i w:val="1"/>
          <w:iCs w:val="1"/>
          <w:rtl w:val="0"/>
          <w:lang w:val="en-US"/>
        </w:rPr>
        <w:t>IEEE Trans. Engineering Management</w:t>
      </w:r>
      <w:r>
        <w:rPr>
          <w:rStyle w:val="None"/>
          <w:rFonts w:ascii="Times New Roman" w:hAnsi="Times New Roman"/>
          <w:rtl w:val="0"/>
          <w:lang w:val="en-US"/>
        </w:rPr>
        <w:t>, vol. 71, pp. 2340</w:t>
      </w:r>
      <w:r>
        <w:rPr>
          <w:rStyle w:val="None"/>
          <w:rFonts w:ascii="Times New Roman" w:hAnsi="Times New Roman" w:hint="default"/>
          <w:rtl w:val="0"/>
          <w:lang w:val="en-US"/>
        </w:rPr>
        <w:t>–</w:t>
      </w:r>
      <w:r>
        <w:rPr>
          <w:rStyle w:val="None"/>
          <w:rFonts w:ascii="Times New Roman" w:hAnsi="Times New Roman"/>
          <w:rtl w:val="0"/>
          <w:lang w:val="en-US"/>
        </w:rPr>
        <w:t>2358, 2024.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[26] H. Kaur, P. Singh, and A. Dhaliwal, "Reinforcement Learning for Adaptive Oracle Selection in DeFi Protocols," in </w:t>
      </w:r>
      <w:r>
        <w:rPr>
          <w:rStyle w:val="None"/>
          <w:rFonts w:ascii="Times New Roman" w:hAnsi="Times New Roman"/>
          <w:i w:val="1"/>
          <w:iCs w:val="1"/>
          <w:rtl w:val="0"/>
          <w:lang w:val="en-US"/>
        </w:rPr>
        <w:t>Proc. IEEE Int. Conf. Autonomous Systems</w:t>
      </w:r>
      <w:r>
        <w:rPr>
          <w:rStyle w:val="None"/>
          <w:rFonts w:ascii="Times New Roman" w:hAnsi="Times New Roman"/>
          <w:rtl w:val="0"/>
          <w:lang w:val="en-US"/>
        </w:rPr>
        <w:t>, 2025, pp. 401</w:t>
      </w:r>
      <w:r>
        <w:rPr>
          <w:rStyle w:val="None"/>
          <w:rFonts w:ascii="Times New Roman" w:hAnsi="Times New Roman" w:hint="default"/>
          <w:rtl w:val="0"/>
          <w:lang w:val="en-US"/>
        </w:rPr>
        <w:t>–</w:t>
      </w:r>
      <w:r>
        <w:rPr>
          <w:rStyle w:val="None"/>
          <w:rFonts w:ascii="Times New Roman" w:hAnsi="Times New Roman"/>
          <w:rtl w:val="0"/>
          <w:lang w:val="en-US"/>
        </w:rPr>
        <w:t>409.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[27] C. Morales and A. Perez, "Threshold Signature Schemes for Decentralised Oracle Authentication," in </w:t>
      </w:r>
      <w:r>
        <w:rPr>
          <w:rStyle w:val="None"/>
          <w:rFonts w:ascii="Times New Roman" w:hAnsi="Times New Roman"/>
          <w:i w:val="1"/>
          <w:iCs w:val="1"/>
          <w:rtl w:val="0"/>
          <w:lang w:val="en-US"/>
        </w:rPr>
        <w:t>Proc. IEEE Security and Privacy Workshop</w:t>
      </w:r>
      <w:r>
        <w:rPr>
          <w:rStyle w:val="None"/>
          <w:rFonts w:ascii="Times New Roman" w:hAnsi="Times New Roman"/>
          <w:rtl w:val="0"/>
          <w:lang w:val="en-US"/>
        </w:rPr>
        <w:t>, 2024, pp. 115</w:t>
      </w:r>
      <w:r>
        <w:rPr>
          <w:rStyle w:val="None"/>
          <w:rFonts w:ascii="Times New Roman" w:hAnsi="Times New Roman" w:hint="default"/>
          <w:rtl w:val="0"/>
          <w:lang w:val="en-US"/>
        </w:rPr>
        <w:t>–</w:t>
      </w:r>
      <w:r>
        <w:rPr>
          <w:rStyle w:val="None"/>
          <w:rFonts w:ascii="Times New Roman" w:hAnsi="Times New Roman"/>
          <w:rtl w:val="0"/>
          <w:lang w:val="en-US"/>
        </w:rPr>
        <w:t>123.</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[28] B. Anwar, S. Hassan, and D. Mehmood, "Plutus V3 and the Chang Hard Fork: Smart Contract Capabilities on Cardano Chang+2 Era," in </w:t>
      </w:r>
      <w:r>
        <w:rPr>
          <w:rStyle w:val="None"/>
          <w:rFonts w:ascii="Times New Roman" w:hAnsi="Times New Roman"/>
          <w:i w:val="1"/>
          <w:iCs w:val="1"/>
          <w:rtl w:val="0"/>
          <w:lang w:val="en-US"/>
        </w:rPr>
        <w:t>Proc. IEEE Blockchain Summit</w:t>
      </w:r>
      <w:r>
        <w:rPr>
          <w:rStyle w:val="None"/>
          <w:rFonts w:ascii="Times New Roman" w:hAnsi="Times New Roman"/>
          <w:rtl w:val="0"/>
          <w:lang w:val="en-US"/>
        </w:rPr>
        <w:t>, 2025, pp. 12</w:t>
      </w:r>
      <w:r>
        <w:rPr>
          <w:rStyle w:val="None"/>
          <w:rFonts w:ascii="Times New Roman" w:hAnsi="Times New Roman" w:hint="default"/>
          <w:rtl w:val="0"/>
          <w:lang w:val="en-US"/>
        </w:rPr>
        <w:t>–</w:t>
      </w:r>
      <w:r>
        <w:rPr>
          <w:rStyle w:val="None"/>
          <w:rFonts w:ascii="Times New Roman" w:hAnsi="Times New Roman"/>
          <w:rtl w:val="0"/>
          <w:lang w:val="en-US"/>
        </w:rPr>
        <w:t>21.</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[29] O. Usman and K. Adeyemi, "Decentralised Insurance Protocols: Parametric Triggers and Smart Contract Automation," </w:t>
      </w:r>
      <w:r>
        <w:rPr>
          <w:rStyle w:val="None"/>
          <w:rFonts w:ascii="Times New Roman" w:hAnsi="Times New Roman"/>
          <w:i w:val="1"/>
          <w:iCs w:val="1"/>
          <w:rtl w:val="0"/>
          <w:lang w:val="it-IT"/>
        </w:rPr>
        <w:t>IEEE Access</w:t>
      </w:r>
      <w:r>
        <w:rPr>
          <w:rStyle w:val="None"/>
          <w:rFonts w:ascii="Times New Roman" w:hAnsi="Times New Roman"/>
          <w:rtl w:val="0"/>
          <w:lang w:val="en-US"/>
        </w:rPr>
        <w:t>, vol. 12, pp. 88120</w:t>
      </w:r>
      <w:r>
        <w:rPr>
          <w:rStyle w:val="None"/>
          <w:rFonts w:ascii="Times New Roman" w:hAnsi="Times New Roman" w:hint="default"/>
          <w:rtl w:val="0"/>
          <w:lang w:val="en-US"/>
        </w:rPr>
        <w:t>–</w:t>
      </w:r>
      <w:r>
        <w:rPr>
          <w:rStyle w:val="None"/>
          <w:rFonts w:ascii="Times New Roman" w:hAnsi="Times New Roman"/>
          <w:rtl w:val="0"/>
          <w:lang w:val="en-US"/>
        </w:rPr>
        <w:t>88140, 2024.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[30] W. Chen, Y. Hu, and R. Li, "Twitter Sentiment and Cryptocurrency Price Prediction: A Multi-Modal Approach," in </w:t>
      </w:r>
      <w:r>
        <w:rPr>
          <w:rStyle w:val="None"/>
          <w:rFonts w:ascii="Times New Roman" w:hAnsi="Times New Roman"/>
          <w:i w:val="1"/>
          <w:iCs w:val="1"/>
          <w:rtl w:val="0"/>
          <w:lang w:val="it-IT"/>
        </w:rPr>
        <w:t>Proc. IEEE Int. Conf. Data Science</w:t>
      </w:r>
      <w:r>
        <w:rPr>
          <w:rStyle w:val="None"/>
          <w:rFonts w:ascii="Times New Roman" w:hAnsi="Times New Roman"/>
          <w:rtl w:val="0"/>
          <w:lang w:val="en-US"/>
        </w:rPr>
        <w:t>, 2024, pp. 44</w:t>
      </w:r>
      <w:r>
        <w:rPr>
          <w:rStyle w:val="None"/>
          <w:rFonts w:ascii="Times New Roman" w:hAnsi="Times New Roman" w:hint="default"/>
          <w:rtl w:val="0"/>
          <w:lang w:val="en-US"/>
        </w:rPr>
        <w:t>–</w:t>
      </w:r>
      <w:r>
        <w:rPr>
          <w:rStyle w:val="None"/>
          <w:rFonts w:ascii="Times New Roman" w:hAnsi="Times New Roman"/>
          <w:rtl w:val="0"/>
          <w:lang w:val="en-US"/>
        </w:rPr>
        <w:t>52.</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[31] E. Adeyinka and F. Ogunyemi, "LSTM-Transformer Hybrid Models for Cryptocurrency Trend Forecasting with Social Sentiment Integration," </w:t>
      </w:r>
      <w:r>
        <w:rPr>
          <w:rStyle w:val="None"/>
          <w:rFonts w:ascii="Times New Roman" w:hAnsi="Times New Roman"/>
          <w:i w:val="1"/>
          <w:iCs w:val="1"/>
          <w:rtl w:val="0"/>
          <w:lang w:val="en-US"/>
        </w:rPr>
        <w:t>IEEE Trans. Computational Social Systems</w:t>
      </w:r>
      <w:r>
        <w:rPr>
          <w:rStyle w:val="None"/>
          <w:rFonts w:ascii="Times New Roman" w:hAnsi="Times New Roman"/>
          <w:rtl w:val="0"/>
          <w:lang w:val="it-IT"/>
        </w:rPr>
        <w:t>, vol. 12, no. 1, pp. 78</w:t>
      </w:r>
      <w:r>
        <w:rPr>
          <w:rStyle w:val="None"/>
          <w:rFonts w:ascii="Times New Roman" w:hAnsi="Times New Roman" w:hint="default"/>
          <w:rtl w:val="0"/>
          <w:lang w:val="en-US"/>
        </w:rPr>
        <w:t>–</w:t>
      </w:r>
      <w:r>
        <w:rPr>
          <w:rStyle w:val="None"/>
          <w:rFonts w:ascii="Times New Roman" w:hAnsi="Times New Roman"/>
          <w:rtl w:val="0"/>
          <w:lang w:val="en-US"/>
        </w:rPr>
        <w:t>91, 2025.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[32] J. Hoffman and D. Walker, "Formal Verification of eUTXO Smart Contracts Using Lean 4," in </w:t>
      </w:r>
      <w:r>
        <w:rPr>
          <w:rStyle w:val="None"/>
          <w:rFonts w:ascii="Times New Roman" w:hAnsi="Times New Roman"/>
          <w:i w:val="1"/>
          <w:iCs w:val="1"/>
          <w:rtl w:val="0"/>
          <w:lang w:val="en-US"/>
        </w:rPr>
        <w:t>Proc. IEEE Int. Conf. Software Engineering (ICSE)</w:t>
      </w:r>
      <w:r>
        <w:rPr>
          <w:rStyle w:val="None"/>
          <w:rFonts w:ascii="Times New Roman" w:hAnsi="Times New Roman"/>
          <w:rtl w:val="0"/>
          <w:lang w:val="en-US"/>
        </w:rPr>
        <w:t>, 2025, pp. 888</w:t>
      </w:r>
      <w:r>
        <w:rPr>
          <w:rStyle w:val="None"/>
          <w:rFonts w:ascii="Times New Roman" w:hAnsi="Times New Roman" w:hint="default"/>
          <w:rtl w:val="0"/>
          <w:lang w:val="en-US"/>
        </w:rPr>
        <w:t>–</w:t>
      </w:r>
      <w:r>
        <w:rPr>
          <w:rStyle w:val="None"/>
          <w:rFonts w:ascii="Times New Roman" w:hAnsi="Times New Roman"/>
          <w:rtl w:val="0"/>
          <w:lang w:val="en-US"/>
        </w:rPr>
        <w:t>898.</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[33] M. Al-Rashid, B. Al-Farsi, and S. Al-Kindi, "Differential Privacy Mechanisms in Federated NLP for Financial Applications," </w:t>
      </w:r>
      <w:r>
        <w:rPr>
          <w:rStyle w:val="None"/>
          <w:rFonts w:ascii="Times New Roman" w:hAnsi="Times New Roman"/>
          <w:i w:val="1"/>
          <w:iCs w:val="1"/>
          <w:rtl w:val="0"/>
          <w:lang w:val="en-US"/>
        </w:rPr>
        <w:t>IEEE Trans. Privacy</w:t>
      </w:r>
      <w:r>
        <w:rPr>
          <w:rStyle w:val="None"/>
          <w:rFonts w:ascii="Times New Roman" w:hAnsi="Times New Roman"/>
          <w:rtl w:val="0"/>
          <w:lang w:val="it-IT"/>
        </w:rPr>
        <w:t>, vol. 2, no. 1, pp. 34</w:t>
      </w:r>
      <w:r>
        <w:rPr>
          <w:rStyle w:val="None"/>
          <w:rFonts w:ascii="Times New Roman" w:hAnsi="Times New Roman" w:hint="default"/>
          <w:rtl w:val="0"/>
          <w:lang w:val="en-US"/>
        </w:rPr>
        <w:t>–</w:t>
      </w:r>
      <w:r>
        <w:rPr>
          <w:rStyle w:val="None"/>
          <w:rFonts w:ascii="Times New Roman" w:hAnsi="Times New Roman"/>
          <w:rtl w:val="0"/>
          <w:lang w:val="en-US"/>
        </w:rPr>
        <w:t>50, 2025.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[34] T. Okonkwo and C. Eze, "Smart Contract Vulnerability Classes in DeFi: A Taxonomy and Mitigation Survey 2024</w:t>
      </w:r>
      <w:r>
        <w:rPr>
          <w:rStyle w:val="None"/>
          <w:rFonts w:ascii="Times New Roman" w:hAnsi="Times New Roman" w:hint="default"/>
          <w:rtl w:val="0"/>
          <w:lang w:val="en-US"/>
        </w:rPr>
        <w:t>–</w:t>
      </w:r>
      <w:r>
        <w:rPr>
          <w:rStyle w:val="None"/>
          <w:rFonts w:ascii="Times New Roman" w:hAnsi="Times New Roman"/>
          <w:rtl w:val="0"/>
          <w:lang w:val="en-US"/>
        </w:rPr>
        <w:t xml:space="preserve">2025," </w:t>
      </w:r>
      <w:r>
        <w:rPr>
          <w:rStyle w:val="None"/>
          <w:rFonts w:ascii="Times New Roman" w:hAnsi="Times New Roman"/>
          <w:i w:val="1"/>
          <w:iCs w:val="1"/>
          <w:rtl w:val="0"/>
          <w:lang w:val="it-IT"/>
        </w:rPr>
        <w:t>IEEE Access</w:t>
      </w:r>
      <w:r>
        <w:rPr>
          <w:rStyle w:val="None"/>
          <w:rFonts w:ascii="Times New Roman" w:hAnsi="Times New Roman"/>
          <w:rtl w:val="0"/>
          <w:lang w:val="en-US"/>
        </w:rPr>
        <w:t>, vol. 13, pp. 11200</w:t>
      </w:r>
      <w:r>
        <w:rPr>
          <w:rStyle w:val="None"/>
          <w:rFonts w:ascii="Times New Roman" w:hAnsi="Times New Roman" w:hint="default"/>
          <w:rtl w:val="0"/>
          <w:lang w:val="en-US"/>
        </w:rPr>
        <w:t>–</w:t>
      </w:r>
      <w:r>
        <w:rPr>
          <w:rStyle w:val="None"/>
          <w:rFonts w:ascii="Times New Roman" w:hAnsi="Times New Roman"/>
          <w:rtl w:val="0"/>
          <w:lang w:val="en-US"/>
        </w:rPr>
        <w:t>11225, 2025.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[35] R. Gupta and S. Arora, "Web Scraping as a Proxy for Retail Investor Attention: Empirical Evidence from Cryptocurrency Markets," in </w:t>
      </w:r>
      <w:r>
        <w:rPr>
          <w:rStyle w:val="None"/>
          <w:rFonts w:ascii="Times New Roman" w:hAnsi="Times New Roman"/>
          <w:i w:val="1"/>
          <w:iCs w:val="1"/>
          <w:rtl w:val="0"/>
          <w:lang w:val="it-IT"/>
        </w:rPr>
        <w:t>Proc. IEEE Int. Conf. Computational Finance</w:t>
      </w:r>
      <w:r>
        <w:rPr>
          <w:rStyle w:val="None"/>
          <w:rFonts w:ascii="Times New Roman" w:hAnsi="Times New Roman"/>
          <w:rtl w:val="0"/>
          <w:lang w:val="en-US"/>
        </w:rPr>
        <w:t>, 2024, pp. 201</w:t>
      </w:r>
      <w:r>
        <w:rPr>
          <w:rStyle w:val="None"/>
          <w:rFonts w:ascii="Times New Roman" w:hAnsi="Times New Roman" w:hint="default"/>
          <w:rtl w:val="0"/>
          <w:lang w:val="en-US"/>
        </w:rPr>
        <w:t>–</w:t>
      </w:r>
      <w:r>
        <w:rPr>
          <w:rStyle w:val="None"/>
          <w:rFonts w:ascii="Times New Roman" w:hAnsi="Times New Roman"/>
          <w:rtl w:val="0"/>
          <w:lang w:val="en-US"/>
        </w:rPr>
        <w:t>209.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[36] L. Kim, J. Park, and S. Lee, "Cross-Chain Oracle Bridges: Security Analysis and Formal Modelling," </w:t>
      </w:r>
      <w:r>
        <w:rPr>
          <w:rStyle w:val="None"/>
          <w:rFonts w:ascii="Times New Roman" w:hAnsi="Times New Roman"/>
          <w:i w:val="1"/>
          <w:iCs w:val="1"/>
          <w:rtl w:val="0"/>
          <w:lang w:val="en-US"/>
        </w:rPr>
        <w:t>IEEE Trans. Dependable and Secure Computing</w:t>
      </w:r>
      <w:r>
        <w:rPr>
          <w:rStyle w:val="None"/>
          <w:rFonts w:ascii="Times New Roman" w:hAnsi="Times New Roman"/>
          <w:rtl w:val="0"/>
          <w:lang w:val="pt-PT"/>
        </w:rPr>
        <w:t>, vol. 22, no. 2, pp. 445</w:t>
      </w:r>
      <w:r>
        <w:rPr>
          <w:rStyle w:val="None"/>
          <w:rFonts w:ascii="Times New Roman" w:hAnsi="Times New Roman" w:hint="default"/>
          <w:rtl w:val="0"/>
          <w:lang w:val="en-US"/>
        </w:rPr>
        <w:t>–</w:t>
      </w:r>
      <w:r>
        <w:rPr>
          <w:rStyle w:val="None"/>
          <w:rFonts w:ascii="Times New Roman" w:hAnsi="Times New Roman"/>
          <w:rtl w:val="0"/>
          <w:lang w:val="en-US"/>
        </w:rPr>
        <w:t>461, 2025.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[37] F. Osei, A. Mensah, and B. Darko, "Aiken Language Design: Type Safety and Compilation Performance for Plutus Smart Contracts," in </w:t>
      </w:r>
      <w:r>
        <w:rPr>
          <w:rStyle w:val="None"/>
          <w:rFonts w:ascii="Times New Roman" w:hAnsi="Times New Roman"/>
          <w:i w:val="1"/>
          <w:iCs w:val="1"/>
          <w:rtl w:val="0"/>
          <w:lang w:val="en-US"/>
        </w:rPr>
        <w:t>Proc. IEEE Programming Languages for Blockchain Workshop</w:t>
      </w:r>
      <w:r>
        <w:rPr>
          <w:rStyle w:val="None"/>
          <w:rFonts w:ascii="Times New Roman" w:hAnsi="Times New Roman"/>
          <w:rtl w:val="0"/>
          <w:lang w:val="en-US"/>
        </w:rPr>
        <w:t>, 2025, pp. 66</w:t>
      </w:r>
      <w:r>
        <w:rPr>
          <w:rStyle w:val="None"/>
          <w:rFonts w:ascii="Times New Roman" w:hAnsi="Times New Roman" w:hint="default"/>
          <w:rtl w:val="0"/>
          <w:lang w:val="en-US"/>
        </w:rPr>
        <w:t>–</w:t>
      </w:r>
      <w:r>
        <w:rPr>
          <w:rStyle w:val="None"/>
          <w:rFonts w:ascii="Times New Roman" w:hAnsi="Times New Roman"/>
          <w:rtl w:val="0"/>
          <w:lang w:val="en-US"/>
        </w:rPr>
        <w:t>74.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[38] A. Petrov, D. Ivanov, and K. Sokolov, "Hardware Security Modules for Blockchain Key Management: Performance Benchmarks," in </w:t>
      </w:r>
      <w:r>
        <w:rPr>
          <w:rStyle w:val="None"/>
          <w:rFonts w:ascii="Times New Roman" w:hAnsi="Times New Roman"/>
          <w:i w:val="1"/>
          <w:iCs w:val="1"/>
          <w:rtl w:val="0"/>
          <w:lang w:val="en-US"/>
        </w:rPr>
        <w:t>Proc. IEEE Int. Conf. Hardware Security</w:t>
      </w:r>
      <w:r>
        <w:rPr>
          <w:rStyle w:val="None"/>
          <w:rFonts w:ascii="Times New Roman" w:hAnsi="Times New Roman"/>
          <w:rtl w:val="0"/>
          <w:lang w:val="en-US"/>
        </w:rPr>
        <w:t>, 2024, pp. 291</w:t>
      </w:r>
      <w:r>
        <w:rPr>
          <w:rStyle w:val="None"/>
          <w:rFonts w:ascii="Times New Roman" w:hAnsi="Times New Roman" w:hint="default"/>
          <w:rtl w:val="0"/>
          <w:lang w:val="en-US"/>
        </w:rPr>
        <w:t>–</w:t>
      </w:r>
      <w:r>
        <w:rPr>
          <w:rStyle w:val="None"/>
          <w:rFonts w:ascii="Times New Roman" w:hAnsi="Times New Roman"/>
          <w:rtl w:val="0"/>
          <w:lang w:val="en-US"/>
        </w:rPr>
        <w:t>300.</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[39] S. Chandra, T. Roy, and A. Bose, "Zero-Knowledge Proofs for Oracle Data Integrity in Decentralised Finance," in </w:t>
      </w:r>
      <w:r>
        <w:rPr>
          <w:rStyle w:val="None"/>
          <w:rFonts w:ascii="Times New Roman" w:hAnsi="Times New Roman"/>
          <w:i w:val="1"/>
          <w:iCs w:val="1"/>
          <w:rtl w:val="0"/>
          <w:lang w:val="en-US"/>
        </w:rPr>
        <w:t>Proc. IEEE Crypto and Security Congress</w:t>
      </w:r>
      <w:r>
        <w:rPr>
          <w:rStyle w:val="None"/>
          <w:rFonts w:ascii="Times New Roman" w:hAnsi="Times New Roman"/>
          <w:rtl w:val="0"/>
          <w:lang w:val="en-US"/>
        </w:rPr>
        <w:t>, 2025, pp. 134</w:t>
      </w:r>
      <w:r>
        <w:rPr>
          <w:rStyle w:val="None"/>
          <w:rFonts w:ascii="Times New Roman" w:hAnsi="Times New Roman" w:hint="default"/>
          <w:rtl w:val="0"/>
          <w:lang w:val="en-US"/>
        </w:rPr>
        <w:t>–</w:t>
      </w:r>
      <w:r>
        <w:rPr>
          <w:rStyle w:val="None"/>
          <w:rFonts w:ascii="Times New Roman" w:hAnsi="Times New Roman"/>
          <w:rtl w:val="0"/>
          <w:lang w:val="en-US"/>
        </w:rPr>
        <w:t>143.</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[40] P. Anand and K. Balakrishnan, "Multi-Modal Sentiment Oracle: Combining Reddit, Twitter, and Search Volume for DeFi Prediction Markets," in </w:t>
      </w:r>
      <w:r>
        <w:rPr>
          <w:rStyle w:val="None"/>
          <w:rFonts w:ascii="Times New Roman" w:hAnsi="Times New Roman"/>
          <w:i w:val="1"/>
          <w:iCs w:val="1"/>
          <w:rtl w:val="0"/>
          <w:lang w:val="en-US"/>
        </w:rPr>
        <w:t>Proc. IEEE Int. Conf. Data Mining and Knowledge Discovery (DMKD)</w:t>
      </w:r>
      <w:r>
        <w:rPr>
          <w:rStyle w:val="None"/>
          <w:rFonts w:ascii="Times New Roman" w:hAnsi="Times New Roman"/>
          <w:rtl w:val="0"/>
          <w:lang w:val="en-US"/>
        </w:rPr>
        <w:t>, 2026, pp. 310</w:t>
      </w:r>
      <w:r>
        <w:rPr>
          <w:rStyle w:val="None"/>
          <w:rFonts w:ascii="Times New Roman" w:hAnsi="Times New Roman" w:hint="default"/>
          <w:rtl w:val="0"/>
          <w:lang w:val="en-US"/>
        </w:rPr>
        <w:t>–</w:t>
      </w:r>
      <w:r>
        <w:rPr>
          <w:rStyle w:val="None"/>
          <w:rFonts w:ascii="Times New Roman" w:hAnsi="Times New Roman"/>
          <w:rtl w:val="0"/>
          <w:lang w:val="en-US"/>
        </w:rPr>
        <w:t>319.</w:t>
      </w:r>
    </w:p>
    <w:sectPr>
      <w:headerReference w:type="default" r:id="rId10"/>
      <w:footerReference w:type="default" r:id="rId11"/>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rPr>
  </w:style>
  <w:style w:type="numbering" w:styleId="Bullet">
    <w:name w:val="Bullet"/>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