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761F" w14:textId="0DFA5199" w:rsidR="00695D83" w:rsidRPr="0057754A" w:rsidRDefault="0057754A" w:rsidP="004815BC">
      <w:pPr>
        <w:spacing w:line="276" w:lineRule="auto"/>
        <w:jc w:val="center"/>
        <w:rPr>
          <w:rFonts w:ascii="Times New Roman" w:hAnsi="Times New Roman" w:cs="Times New Roman"/>
          <w:b/>
          <w:bCs/>
        </w:rPr>
      </w:pPr>
      <w:bookmarkStart w:id="0" w:name="_Hlk187325359"/>
      <w:r w:rsidRPr="0057754A">
        <w:rPr>
          <w:rFonts w:ascii="Times New Roman" w:hAnsi="Times New Roman" w:cs="Times New Roman"/>
          <w:b/>
          <w:bCs/>
        </w:rPr>
        <w:t>IMPACT OF HEALTH OUTCOMES ON ECONOMIC PERFORMANCE IN SUB-SAHARAN AFRICA</w:t>
      </w:r>
    </w:p>
    <w:bookmarkEnd w:id="0"/>
    <w:p w14:paraId="79D5E995" w14:textId="4E6DE6DA" w:rsidR="00695D83" w:rsidRDefault="00695D83" w:rsidP="004815BC">
      <w:pPr>
        <w:spacing w:after="0" w:line="276" w:lineRule="auto"/>
        <w:jc w:val="center"/>
        <w:rPr>
          <w:rFonts w:ascii="Times New Roman" w:hAnsi="Times New Roman" w:cs="Times New Roman"/>
          <w:b/>
          <w:bCs/>
          <w:vertAlign w:val="superscript"/>
        </w:rPr>
      </w:pPr>
      <w:r w:rsidRPr="006B1DD4">
        <w:rPr>
          <w:rFonts w:ascii="Times New Roman" w:hAnsi="Times New Roman" w:cs="Times New Roman"/>
          <w:b/>
          <w:bCs/>
        </w:rPr>
        <w:t>Phillips Panotani Asaph</w:t>
      </w:r>
      <w:r>
        <w:rPr>
          <w:rFonts w:ascii="Times New Roman" w:hAnsi="Times New Roman" w:cs="Times New Roman"/>
          <w:b/>
          <w:bCs/>
          <w:vertAlign w:val="superscript"/>
        </w:rPr>
        <w:t>1</w:t>
      </w:r>
    </w:p>
    <w:p w14:paraId="4700D570" w14:textId="7C42A271" w:rsidR="0057754A" w:rsidRDefault="00EF67D2" w:rsidP="004815BC">
      <w:pPr>
        <w:spacing w:after="0" w:line="276" w:lineRule="auto"/>
        <w:jc w:val="center"/>
        <w:rPr>
          <w:rFonts w:ascii="Times New Roman" w:hAnsi="Times New Roman" w:cs="Times New Roman"/>
        </w:rPr>
      </w:pPr>
      <w:r w:rsidRPr="00EF67D2">
        <w:rPr>
          <w:rFonts w:ascii="Times New Roman" w:hAnsi="Times New Roman" w:cs="Times New Roman"/>
        </w:rPr>
        <w:t xml:space="preserve">ORCID ID: </w:t>
      </w:r>
      <w:hyperlink r:id="rId7" w:history="1">
        <w:r w:rsidR="0057754A" w:rsidRPr="0057754A">
          <w:rPr>
            <w:rStyle w:val="Hyperlink"/>
            <w:rFonts w:ascii="Times New Roman" w:hAnsi="Times New Roman" w:cs="Times New Roman"/>
          </w:rPr>
          <w:t>0000-0001-7032-9889</w:t>
        </w:r>
      </w:hyperlink>
    </w:p>
    <w:p w14:paraId="1EE30A77" w14:textId="534205D8" w:rsidR="00EF67D2" w:rsidRPr="00EF67D2" w:rsidRDefault="00EF67D2" w:rsidP="004815BC">
      <w:pPr>
        <w:spacing w:after="0" w:line="276" w:lineRule="auto"/>
        <w:jc w:val="center"/>
        <w:rPr>
          <w:rFonts w:ascii="Times New Roman" w:hAnsi="Times New Roman" w:cs="Times New Roman"/>
          <w:b/>
          <w:bCs/>
        </w:rPr>
      </w:pPr>
      <w:hyperlink r:id="rId8" w:history="1">
        <w:r w:rsidRPr="00424652">
          <w:rPr>
            <w:rStyle w:val="Hyperlink"/>
            <w:rFonts w:ascii="Times New Roman" w:hAnsi="Times New Roman" w:cs="Times New Roman"/>
            <w:b/>
            <w:bCs/>
          </w:rPr>
          <w:t>panotani786@adsu.edu.ng</w:t>
        </w:r>
      </w:hyperlink>
    </w:p>
    <w:p w14:paraId="1E6EEB79" w14:textId="77777777" w:rsidR="00695D83" w:rsidRPr="0057754A" w:rsidRDefault="00695D83" w:rsidP="004815BC">
      <w:pPr>
        <w:spacing w:after="0" w:line="276" w:lineRule="auto"/>
        <w:jc w:val="center"/>
        <w:rPr>
          <w:rFonts w:ascii="Times New Roman" w:hAnsi="Times New Roman" w:cs="Times New Roman"/>
        </w:rPr>
      </w:pPr>
      <w:r w:rsidRPr="0057754A">
        <w:rPr>
          <w:rFonts w:ascii="Times New Roman" w:hAnsi="Times New Roman" w:cs="Times New Roman"/>
        </w:rPr>
        <w:t xml:space="preserve">Department of Economics </w:t>
      </w:r>
    </w:p>
    <w:p w14:paraId="204C3BA1" w14:textId="77777777" w:rsidR="00695D83" w:rsidRPr="0057754A" w:rsidRDefault="00695D83" w:rsidP="004815BC">
      <w:pPr>
        <w:spacing w:after="0" w:line="276" w:lineRule="auto"/>
        <w:jc w:val="center"/>
        <w:rPr>
          <w:rFonts w:ascii="Times New Roman" w:hAnsi="Times New Roman" w:cs="Times New Roman"/>
        </w:rPr>
      </w:pPr>
      <w:r w:rsidRPr="0057754A">
        <w:rPr>
          <w:rFonts w:ascii="Times New Roman" w:hAnsi="Times New Roman" w:cs="Times New Roman"/>
        </w:rPr>
        <w:t xml:space="preserve">Adamawa State University. Mubi, Nigeria </w:t>
      </w:r>
    </w:p>
    <w:p w14:paraId="29CDB123" w14:textId="57190E5B" w:rsidR="00105409" w:rsidRDefault="00695D83" w:rsidP="004815BC">
      <w:pPr>
        <w:spacing w:line="276" w:lineRule="auto"/>
        <w:jc w:val="center"/>
        <w:rPr>
          <w:rFonts w:ascii="Times New Roman" w:hAnsi="Times New Roman" w:cs="Times New Roman"/>
          <w:b/>
          <w:bCs/>
          <w:vertAlign w:val="superscript"/>
        </w:rPr>
      </w:pPr>
      <w:r w:rsidRPr="0057754A">
        <w:rPr>
          <w:rFonts w:ascii="Times New Roman" w:hAnsi="Times New Roman" w:cs="Times New Roman"/>
          <w:b/>
          <w:bCs/>
        </w:rPr>
        <w:t>Mohammed Inuwa Dauda</w:t>
      </w:r>
      <w:r w:rsidR="0057754A">
        <w:rPr>
          <w:rFonts w:ascii="Times New Roman" w:hAnsi="Times New Roman" w:cs="Times New Roman"/>
          <w:b/>
          <w:bCs/>
          <w:vertAlign w:val="superscript"/>
        </w:rPr>
        <w:t>2</w:t>
      </w:r>
    </w:p>
    <w:p w14:paraId="76657922" w14:textId="73481B34" w:rsidR="0057754A" w:rsidRPr="002432A1" w:rsidRDefault="002432A1" w:rsidP="004815BC">
      <w:pPr>
        <w:spacing w:line="276" w:lineRule="auto"/>
        <w:jc w:val="center"/>
        <w:rPr>
          <w:rFonts w:ascii="Times New Roman" w:hAnsi="Times New Roman" w:cs="Times New Roman"/>
          <w:bCs/>
        </w:rPr>
      </w:pPr>
      <w:hyperlink r:id="rId9" w:history="1">
        <w:r w:rsidRPr="002432A1">
          <w:rPr>
            <w:rStyle w:val="Hyperlink"/>
            <w:rFonts w:ascii="Times New Roman" w:hAnsi="Times New Roman" w:cs="Times New Roman"/>
            <w:bCs/>
          </w:rPr>
          <w:t>migonidauda@gmail.com</w:t>
        </w:r>
      </w:hyperlink>
    </w:p>
    <w:p w14:paraId="3B5BAD0A" w14:textId="7748A69A" w:rsidR="0057754A" w:rsidRDefault="0057754A" w:rsidP="004815BC">
      <w:pPr>
        <w:spacing w:line="276" w:lineRule="auto"/>
        <w:jc w:val="center"/>
        <w:rPr>
          <w:rFonts w:ascii="Times New Roman" w:hAnsi="Times New Roman" w:cs="Times New Roman"/>
          <w:b/>
          <w:bCs/>
          <w:vertAlign w:val="superscript"/>
        </w:rPr>
      </w:pPr>
      <w:r w:rsidRPr="0057754A">
        <w:rPr>
          <w:rFonts w:ascii="Times New Roman" w:hAnsi="Times New Roman" w:cs="Times New Roman"/>
          <w:b/>
          <w:bCs/>
        </w:rPr>
        <w:t>Mustapha Yusuf Kabara</w:t>
      </w:r>
      <w:r>
        <w:rPr>
          <w:rFonts w:ascii="Times New Roman" w:hAnsi="Times New Roman" w:cs="Times New Roman"/>
          <w:b/>
          <w:bCs/>
          <w:vertAlign w:val="superscript"/>
        </w:rPr>
        <w:t>3</w:t>
      </w:r>
    </w:p>
    <w:p w14:paraId="02EFD41C" w14:textId="527784DC" w:rsidR="00EF67D2" w:rsidRPr="00EF67D2" w:rsidRDefault="00EF67D2" w:rsidP="004815BC">
      <w:pPr>
        <w:spacing w:line="276" w:lineRule="auto"/>
        <w:jc w:val="center"/>
        <w:rPr>
          <w:rFonts w:ascii="Times New Roman" w:hAnsi="Times New Roman" w:cs="Times New Roman"/>
        </w:rPr>
      </w:pPr>
      <w:r w:rsidRPr="00EF67D2">
        <w:rPr>
          <w:rFonts w:ascii="Times New Roman" w:hAnsi="Times New Roman" w:cs="Times New Roman"/>
        </w:rPr>
        <w:t>ORCID ID: 0009-0001-4282-4177</w:t>
      </w:r>
    </w:p>
    <w:p w14:paraId="74347AC7" w14:textId="0D0CD32D" w:rsidR="0057754A" w:rsidRPr="0057754A" w:rsidRDefault="0057754A" w:rsidP="004815BC">
      <w:pPr>
        <w:spacing w:line="276" w:lineRule="auto"/>
        <w:jc w:val="center"/>
        <w:rPr>
          <w:rFonts w:ascii="Times New Roman" w:hAnsi="Times New Roman" w:cs="Times New Roman"/>
        </w:rPr>
      </w:pPr>
      <w:r w:rsidRPr="0057754A">
        <w:rPr>
          <w:rFonts w:ascii="Times New Roman" w:hAnsi="Times New Roman" w:cs="Times New Roman"/>
        </w:rPr>
        <w:t>mustapha.yusuf@fukashere.edu.ng</w:t>
      </w:r>
    </w:p>
    <w:p w14:paraId="6DFCE51D" w14:textId="249B9F8A" w:rsidR="00695D83" w:rsidRPr="0057754A" w:rsidRDefault="0057754A" w:rsidP="004815BC">
      <w:pPr>
        <w:spacing w:line="276" w:lineRule="auto"/>
        <w:jc w:val="center"/>
        <w:rPr>
          <w:rFonts w:ascii="Times New Roman" w:hAnsi="Times New Roman" w:cs="Times New Roman"/>
        </w:rPr>
      </w:pPr>
      <w:r w:rsidRPr="0057754A">
        <w:rPr>
          <w:rFonts w:ascii="Times New Roman" w:hAnsi="Times New Roman" w:cs="Times New Roman"/>
          <w:vertAlign w:val="superscript"/>
        </w:rPr>
        <w:t>2&amp;3</w:t>
      </w:r>
      <w:r w:rsidR="00695D83" w:rsidRPr="0057754A">
        <w:rPr>
          <w:rFonts w:ascii="Times New Roman" w:hAnsi="Times New Roman" w:cs="Times New Roman"/>
        </w:rPr>
        <w:t xml:space="preserve">Department of Economics and Development Studies, Federal University of </w:t>
      </w:r>
      <w:proofErr w:type="spellStart"/>
      <w:r w:rsidR="00695D83" w:rsidRPr="0057754A">
        <w:rPr>
          <w:rFonts w:ascii="Times New Roman" w:hAnsi="Times New Roman" w:cs="Times New Roman"/>
        </w:rPr>
        <w:t>Kashere</w:t>
      </w:r>
      <w:proofErr w:type="spellEnd"/>
      <w:r w:rsidR="00695D83" w:rsidRPr="0057754A">
        <w:rPr>
          <w:rFonts w:ascii="Times New Roman" w:hAnsi="Times New Roman" w:cs="Times New Roman"/>
        </w:rPr>
        <w:t>,</w:t>
      </w:r>
    </w:p>
    <w:p w14:paraId="684ED99F" w14:textId="19EE8D7D" w:rsidR="00695D83" w:rsidRPr="0057754A" w:rsidRDefault="00695D83" w:rsidP="004815BC">
      <w:pPr>
        <w:spacing w:line="276" w:lineRule="auto"/>
        <w:jc w:val="center"/>
        <w:rPr>
          <w:rFonts w:ascii="Times New Roman" w:hAnsi="Times New Roman" w:cs="Times New Roman"/>
        </w:rPr>
      </w:pPr>
      <w:r w:rsidRPr="0057754A">
        <w:rPr>
          <w:rFonts w:ascii="Times New Roman" w:hAnsi="Times New Roman" w:cs="Times New Roman"/>
        </w:rPr>
        <w:t>Gombe State.</w:t>
      </w:r>
    </w:p>
    <w:p w14:paraId="27BEDEFC" w14:textId="77777777" w:rsidR="00D9135C" w:rsidRPr="005C6634" w:rsidRDefault="00D9135C" w:rsidP="004815BC">
      <w:pPr>
        <w:spacing w:line="276" w:lineRule="auto"/>
        <w:jc w:val="center"/>
        <w:rPr>
          <w:rFonts w:ascii="Times New Roman" w:eastAsia="Times New Roman" w:hAnsi="Times New Roman" w:cs="Times New Roman"/>
          <w:b/>
          <w:bCs/>
          <w:kern w:val="0"/>
          <w:lang w:val="en-GB"/>
          <w14:ligatures w14:val="none"/>
        </w:rPr>
      </w:pPr>
      <w:r w:rsidRPr="005C6634">
        <w:rPr>
          <w:rFonts w:ascii="Times New Roman" w:eastAsia="Times New Roman" w:hAnsi="Times New Roman" w:cs="Times New Roman"/>
          <w:b/>
          <w:bCs/>
          <w:kern w:val="0"/>
          <w:lang w:val="en-GB"/>
          <w14:ligatures w14:val="none"/>
        </w:rPr>
        <w:t>ABSTRACT</w:t>
      </w:r>
    </w:p>
    <w:p w14:paraId="301E1390" w14:textId="333CC5D7" w:rsidR="0057754A" w:rsidRPr="007105EE" w:rsidRDefault="00D9135C" w:rsidP="004815BC">
      <w:pPr>
        <w:spacing w:line="276" w:lineRule="auto"/>
        <w:jc w:val="both"/>
        <w:rPr>
          <w:rFonts w:ascii="Times New Roman" w:hAnsi="Times New Roman" w:cs="Times New Roman"/>
          <w:i/>
          <w:iCs/>
        </w:rPr>
      </w:pPr>
      <w:r w:rsidRPr="00B82294">
        <w:rPr>
          <w:rFonts w:ascii="Times New Roman" w:eastAsia="Times New Roman" w:hAnsi="Times New Roman" w:cs="Times New Roman"/>
          <w:i/>
          <w:iCs/>
          <w:kern w:val="0"/>
          <w:lang w:val="en-GB"/>
          <w14:ligatures w14:val="none"/>
        </w:rPr>
        <w:t>Using panel data from 46 Sub-Saharan Countries</w:t>
      </w:r>
      <w:r>
        <w:rPr>
          <w:rFonts w:ascii="Times New Roman" w:eastAsia="Times New Roman" w:hAnsi="Times New Roman" w:cs="Times New Roman"/>
          <w:i/>
          <w:iCs/>
          <w:kern w:val="0"/>
          <w:lang w:val="en-GB"/>
          <w14:ligatures w14:val="none"/>
        </w:rPr>
        <w:t>,</w:t>
      </w:r>
      <w:r w:rsidRPr="00B82294">
        <w:rPr>
          <w:rFonts w:ascii="Times New Roman" w:eastAsia="Times New Roman" w:hAnsi="Times New Roman" w:cs="Times New Roman"/>
          <w:i/>
          <w:iCs/>
          <w:kern w:val="0"/>
          <w:lang w:val="en-GB"/>
          <w14:ligatures w14:val="none"/>
        </w:rPr>
        <w:t xml:space="preserve"> this study employed Descriptives statistics, Correlation, Bound test for cointegration, Panel ARDL analysis to analysed the data</w:t>
      </w:r>
      <w:bookmarkStart w:id="1" w:name="_Hlk177983731"/>
      <w:r>
        <w:rPr>
          <w:rFonts w:ascii="Times New Roman" w:eastAsia="Times New Roman" w:hAnsi="Times New Roman" w:cs="Times New Roman"/>
          <w:i/>
          <w:iCs/>
          <w:kern w:val="0"/>
          <w:lang w:val="en-GB"/>
          <w14:ligatures w14:val="none"/>
        </w:rPr>
        <w:t xml:space="preserve"> by </w:t>
      </w:r>
      <w:r w:rsidRPr="00B82294">
        <w:rPr>
          <w:rFonts w:ascii="Times New Roman" w:hAnsi="Times New Roman" w:cs="Times New Roman"/>
          <w:i/>
          <w:iCs/>
        </w:rPr>
        <w:t>examin</w:t>
      </w:r>
      <w:r>
        <w:rPr>
          <w:rFonts w:ascii="Times New Roman" w:hAnsi="Times New Roman" w:cs="Times New Roman"/>
          <w:i/>
          <w:iCs/>
        </w:rPr>
        <w:t>ing</w:t>
      </w:r>
      <w:r w:rsidRPr="00B82294">
        <w:rPr>
          <w:rFonts w:ascii="Times New Roman" w:hAnsi="Times New Roman" w:cs="Times New Roman"/>
          <w:i/>
          <w:iCs/>
        </w:rPr>
        <w:t xml:space="preserve"> how health outcomes affect economic performance in Sub-Saharan</w:t>
      </w:r>
      <w:bookmarkEnd w:id="1"/>
      <w:r>
        <w:rPr>
          <w:rFonts w:ascii="Times New Roman" w:hAnsi="Times New Roman" w:cs="Times New Roman"/>
          <w:i/>
          <w:iCs/>
        </w:rPr>
        <w:t xml:space="preserve">. </w:t>
      </w:r>
      <w:r w:rsidR="007105EE" w:rsidRPr="007105EE">
        <w:rPr>
          <w:rFonts w:ascii="Times New Roman" w:hAnsi="Times New Roman" w:cs="Times New Roman"/>
          <w:i/>
          <w:iCs/>
        </w:rPr>
        <w:t>The study was motivated by the growing recognition that health is an important component of human capital development and a critical determinant of productivity, labor efficiency, and sustainable economic growth. Despite various healthcare reforms and increased investments in the health sector across the region, many countries in Sub-Saharan Africa continue to experience poor health outcomes, including low life expectancy and high under-five mortality rates, which may hinder economic performance. Against this background, the study investigated the extent to which selected health outcome indicators influence economic growth in the region.</w:t>
      </w:r>
      <w:r w:rsidR="007105EE">
        <w:rPr>
          <w:rFonts w:ascii="Times New Roman" w:hAnsi="Times New Roman" w:cs="Times New Roman"/>
          <w:i/>
          <w:iCs/>
        </w:rPr>
        <w:t xml:space="preserve"> </w:t>
      </w:r>
      <w:r>
        <w:rPr>
          <w:rFonts w:ascii="Times New Roman" w:hAnsi="Times New Roman" w:cs="Times New Roman"/>
          <w:i/>
          <w:iCs/>
        </w:rPr>
        <w:t xml:space="preserve">The findings </w:t>
      </w:r>
      <w:r w:rsidRPr="00B82294">
        <w:rPr>
          <w:rFonts w:ascii="Times New Roman" w:hAnsi="Times New Roman" w:cs="Times New Roman"/>
          <w:i/>
          <w:iCs/>
        </w:rPr>
        <w:t>indicates that life expectancy, under-five mortality, health expenditure and Population have significant impact on economic growth</w:t>
      </w:r>
      <w:r>
        <w:rPr>
          <w:rFonts w:ascii="Times New Roman" w:hAnsi="Times New Roman" w:cs="Times New Roman"/>
          <w:i/>
          <w:iCs/>
        </w:rPr>
        <w:t xml:space="preserve">. </w:t>
      </w:r>
      <w:r w:rsidRPr="00B82294">
        <w:rPr>
          <w:rFonts w:ascii="Times New Roman" w:eastAsia="Times New Roman" w:hAnsi="Times New Roman" w:cs="Times New Roman"/>
          <w:i/>
          <w:iCs/>
          <w:kern w:val="0"/>
          <w14:ligatures w14:val="none"/>
        </w:rPr>
        <w:t xml:space="preserve">The study recommends among others that </w:t>
      </w:r>
      <w:r w:rsidRPr="00D9135C">
        <w:rPr>
          <w:rFonts w:ascii="Times New Roman" w:hAnsi="Times New Roman" w:cs="Times New Roman"/>
          <w:i/>
          <w:iCs/>
        </w:rPr>
        <w:t>Authorities in Sub-Saharan Africa should place more emphasis on measurable improvements in life expectancy and reductions in under-five mortality by adopting targeted, high-impact health interventions.</w:t>
      </w:r>
    </w:p>
    <w:p w14:paraId="3BA02DB8" w14:textId="25EAFD7C" w:rsidR="007105EE" w:rsidRDefault="004815BC" w:rsidP="004815BC">
      <w:pPr>
        <w:spacing w:line="276" w:lineRule="auto"/>
        <w:rPr>
          <w:rFonts w:ascii="Times New Roman" w:hAnsi="Times New Roman" w:cs="Times New Roman"/>
        </w:rPr>
      </w:pPr>
      <w:r w:rsidRPr="004815BC">
        <w:rPr>
          <w:rFonts w:ascii="Times New Roman" w:hAnsi="Times New Roman" w:cs="Times New Roman"/>
          <w:b/>
          <w:bCs/>
        </w:rPr>
        <w:t>Keywords:</w:t>
      </w:r>
      <w:r w:rsidRPr="004815BC">
        <w:rPr>
          <w:rFonts w:ascii="Times New Roman" w:hAnsi="Times New Roman" w:cs="Times New Roman"/>
        </w:rPr>
        <w:t xml:space="preserve"> Health Outcomes, Economic Performance, Life Expectancy, Under-Five Mortality, Health Expenditure,</w:t>
      </w:r>
      <w:r>
        <w:rPr>
          <w:rFonts w:ascii="Times New Roman" w:hAnsi="Times New Roman" w:cs="Times New Roman"/>
        </w:rPr>
        <w:t xml:space="preserve"> </w:t>
      </w:r>
      <w:r w:rsidRPr="004815BC">
        <w:rPr>
          <w:rFonts w:ascii="Times New Roman" w:hAnsi="Times New Roman" w:cs="Times New Roman"/>
        </w:rPr>
        <w:t>Panel ARDL</w:t>
      </w:r>
      <w:r>
        <w:rPr>
          <w:rFonts w:ascii="Times New Roman" w:hAnsi="Times New Roman" w:cs="Times New Roman"/>
        </w:rPr>
        <w:t>.</w:t>
      </w:r>
    </w:p>
    <w:p w14:paraId="5D8F80A4" w14:textId="77777777" w:rsidR="004815BC" w:rsidRDefault="004815BC" w:rsidP="004815BC">
      <w:pPr>
        <w:spacing w:line="276" w:lineRule="auto"/>
        <w:rPr>
          <w:rFonts w:ascii="Times New Roman" w:hAnsi="Times New Roman" w:cs="Times New Roman"/>
        </w:rPr>
      </w:pPr>
      <w:r w:rsidRPr="002432A1">
        <w:rPr>
          <w:rFonts w:ascii="Times New Roman" w:hAnsi="Times New Roman" w:cs="Times New Roman"/>
          <w:b/>
          <w:bCs/>
        </w:rPr>
        <w:t>JEL Code:</w:t>
      </w:r>
      <w:r>
        <w:rPr>
          <w:rFonts w:ascii="Times New Roman" w:hAnsi="Times New Roman" w:cs="Times New Roman"/>
        </w:rPr>
        <w:t xml:space="preserve"> I15, O15, O47, O55</w:t>
      </w:r>
    </w:p>
    <w:p w14:paraId="333BB7E7" w14:textId="77777777" w:rsidR="004815BC" w:rsidRDefault="004815BC" w:rsidP="004815BC">
      <w:pPr>
        <w:spacing w:line="276" w:lineRule="auto"/>
        <w:rPr>
          <w:rFonts w:ascii="Times New Roman" w:hAnsi="Times New Roman" w:cs="Times New Roman"/>
        </w:rPr>
      </w:pPr>
    </w:p>
    <w:p w14:paraId="17C8762F" w14:textId="27545277" w:rsidR="00EF67D2" w:rsidRPr="00EF67D2" w:rsidRDefault="007F5D2D" w:rsidP="007F5D2D">
      <w:pPr>
        <w:rPr>
          <w:rFonts w:ascii="Times New Roman" w:hAnsi="Times New Roman" w:cs="Times New Roman"/>
          <w:b/>
          <w:bCs/>
        </w:rPr>
      </w:pPr>
      <w:r>
        <w:rPr>
          <w:rFonts w:ascii="Times New Roman" w:hAnsi="Times New Roman" w:cs="Times New Roman"/>
          <w:b/>
          <w:bCs/>
        </w:rPr>
        <w:t xml:space="preserve">1.0 </w:t>
      </w:r>
      <w:r w:rsidR="00EF67D2" w:rsidRPr="00EF67D2">
        <w:rPr>
          <w:rFonts w:ascii="Times New Roman" w:hAnsi="Times New Roman" w:cs="Times New Roman"/>
          <w:b/>
          <w:bCs/>
        </w:rPr>
        <w:t xml:space="preserve">INTRODUCTION </w:t>
      </w:r>
    </w:p>
    <w:p w14:paraId="33CE23B1" w14:textId="77777777" w:rsidR="00F97164" w:rsidRPr="00F97164" w:rsidRDefault="00F97164" w:rsidP="00F97164">
      <w:pPr>
        <w:jc w:val="both"/>
        <w:rPr>
          <w:rFonts w:ascii="Times New Roman" w:hAnsi="Times New Roman" w:cs="Times New Roman"/>
        </w:rPr>
      </w:pPr>
      <w:r w:rsidRPr="00F97164">
        <w:rPr>
          <w:rFonts w:ascii="Times New Roman" w:hAnsi="Times New Roman" w:cs="Times New Roman"/>
        </w:rPr>
        <w:lastRenderedPageBreak/>
        <w:t>Health is increasingly recognized as a key driver of economic development because the wellbeing of a population directly affects productivity, innovation, and overall national growth. A healthy population is more capable of working efficiently, learning new skills, and contributing meaningfully to economic activities. In developing regions such as Sub-Saharan Africa, where poverty, disease burden, and weak healthcare systems remain widespread, health outcomes have become an important factor in determining the pace and sustainability of economic performance. People who enjoy good health are more likely to participate actively in the labor force, work for longer periods, and contribute positively to economic growth. In contrast, poor health outcomes such as high maternal and infant mortality rates, low life expectancy, malnutrition, and the increasing spread of communicable and non-communicable diseases reduce labor productivity, increase healthcare spending, discourage investment, and slow economic progress (</w:t>
      </w:r>
      <w:proofErr w:type="spellStart"/>
      <w:r w:rsidRPr="00F97164">
        <w:rPr>
          <w:rFonts w:ascii="Times New Roman" w:hAnsi="Times New Roman" w:cs="Times New Roman"/>
        </w:rPr>
        <w:t>Asongu</w:t>
      </w:r>
      <w:proofErr w:type="spellEnd"/>
      <w:r w:rsidRPr="00F97164">
        <w:rPr>
          <w:rFonts w:ascii="Times New Roman" w:hAnsi="Times New Roman" w:cs="Times New Roman"/>
        </w:rPr>
        <w:t xml:space="preserve"> &amp; Odhiambo, 2023; Musah et al., 2025).</w:t>
      </w:r>
    </w:p>
    <w:p w14:paraId="063C0982" w14:textId="77777777" w:rsidR="00F97164" w:rsidRPr="00F97164" w:rsidRDefault="00F97164" w:rsidP="00F97164">
      <w:pPr>
        <w:jc w:val="both"/>
        <w:rPr>
          <w:rFonts w:ascii="Times New Roman" w:hAnsi="Times New Roman" w:cs="Times New Roman"/>
        </w:rPr>
      </w:pPr>
      <w:r w:rsidRPr="00F97164">
        <w:rPr>
          <w:rFonts w:ascii="Times New Roman" w:hAnsi="Times New Roman" w:cs="Times New Roman"/>
        </w:rPr>
        <w:t>Over the years, the connection between health outcomes and economic performance has attracted increasing attention from scholars, governments, and international development organizations. This growing interest is largely influenced by the human capital theory, which explains that investment in people’s wellbeing, especially health and education, enhances productivity and supports long-term economic growth. Countries with stronger healthcare systems and better health conditions often experience higher economic performance because healthy individuals are more productive and capable of contributing effectively to development activities. In many developed countries, improvements in healthcare services, nutrition, sanitation, and disease prevention have contributed significantly to economic transformation and higher standards of living. However, despite several policy reforms and international health interventions, many countries in Sub-Saharan Africa still experience poor health indicators alongside weak economic performance (</w:t>
      </w:r>
      <w:proofErr w:type="spellStart"/>
      <w:r w:rsidRPr="00F97164">
        <w:rPr>
          <w:rFonts w:ascii="Times New Roman" w:hAnsi="Times New Roman" w:cs="Times New Roman"/>
        </w:rPr>
        <w:t>Gebrihet</w:t>
      </w:r>
      <w:proofErr w:type="spellEnd"/>
      <w:r w:rsidRPr="00F97164">
        <w:rPr>
          <w:rFonts w:ascii="Times New Roman" w:hAnsi="Times New Roman" w:cs="Times New Roman"/>
        </w:rPr>
        <w:t xml:space="preserve"> et al., 2024).</w:t>
      </w:r>
    </w:p>
    <w:p w14:paraId="48456949" w14:textId="77777777" w:rsidR="00F97164" w:rsidRPr="00F97164" w:rsidRDefault="00F97164" w:rsidP="00F97164">
      <w:pPr>
        <w:jc w:val="both"/>
        <w:rPr>
          <w:rFonts w:ascii="Times New Roman" w:hAnsi="Times New Roman" w:cs="Times New Roman"/>
        </w:rPr>
      </w:pPr>
      <w:r w:rsidRPr="00F97164">
        <w:rPr>
          <w:rFonts w:ascii="Times New Roman" w:hAnsi="Times New Roman" w:cs="Times New Roman"/>
        </w:rPr>
        <w:t>The healthcare sector in Sub-Saharan Africa continues to face numerous structural and institutional problems. Many countries in the region struggle with inadequate healthcare infrastructure, poor funding of health services, shortage of qualified medical personnel, limited access to quality healthcare facilities, poor sanitation, and recurring outbreaks of diseases such as malaria, tuberculosis, and HIV/AIDS. More recently, emerging epidemics and public health emergencies have exposed the weaknesses and fragility of healthcare systems across the region. These persistent challenges have contributed to low life expectancy, high maternal and child mortality rates, and declining labor productivity, all of which negatively affect economic performance. As a result, many countries in the region continue to experience slow economic growth, high unemployment, widespread poverty, and low per capita income despite being richly endowed with human and natural resources (World Bank, 2024).</w:t>
      </w:r>
    </w:p>
    <w:p w14:paraId="29E5040A" w14:textId="77777777" w:rsidR="00F97164" w:rsidRPr="00F97164" w:rsidRDefault="00F97164" w:rsidP="00F97164">
      <w:pPr>
        <w:jc w:val="both"/>
        <w:rPr>
          <w:rFonts w:ascii="Times New Roman" w:hAnsi="Times New Roman" w:cs="Times New Roman"/>
        </w:rPr>
      </w:pPr>
      <w:r w:rsidRPr="00F97164">
        <w:rPr>
          <w:rFonts w:ascii="Times New Roman" w:hAnsi="Times New Roman" w:cs="Times New Roman"/>
        </w:rPr>
        <w:t>In response to these challenges, governments and development partners have introduced several reforms and healthcare policies aimed at improving health outcomes and promoting economic growth. These measures include increased government expenditure on healthcare, expansion of health insurance schemes, vaccination campaigns, maternal and child healthcare programs, and greater investment in primary healthcare services. International donor agencies and development organizations have also provided financial and technical support to strengthen healthcare delivery across the region. Although these interventions have contributed to some improvements in healthcare access and disease control, their overall impact on economic performance has remained uneven across many Sub-Saharan African countries. This has raised concerns about the effectiveness, sustainability, and inclusiveness of existing healthcare policies and interventions in achieving long-term economic development. Recent studies also suggest that increased investment in healthcare contributes significantly to productivity growth and human capital development across African economies (Journal of Economic Structures, 2025).</w:t>
      </w:r>
    </w:p>
    <w:p w14:paraId="51D8CA66" w14:textId="77777777" w:rsidR="00F97164" w:rsidRPr="00F97164" w:rsidRDefault="00F97164" w:rsidP="00F97164">
      <w:pPr>
        <w:jc w:val="both"/>
        <w:rPr>
          <w:rFonts w:ascii="Times New Roman" w:hAnsi="Times New Roman" w:cs="Times New Roman"/>
        </w:rPr>
      </w:pPr>
      <w:r w:rsidRPr="00F97164">
        <w:rPr>
          <w:rFonts w:ascii="Times New Roman" w:hAnsi="Times New Roman" w:cs="Times New Roman"/>
        </w:rPr>
        <w:t xml:space="preserve">Despite the growing recognition of the importance of health in economic development, there are still major gaps in the literature regarding how health outcomes influence economic performance in Sub-Saharan Africa. Existing empirical studies such as Olabisi and </w:t>
      </w:r>
      <w:proofErr w:type="spellStart"/>
      <w:r w:rsidRPr="00F97164">
        <w:rPr>
          <w:rFonts w:ascii="Times New Roman" w:hAnsi="Times New Roman" w:cs="Times New Roman"/>
        </w:rPr>
        <w:t>Adegbenro</w:t>
      </w:r>
      <w:proofErr w:type="spellEnd"/>
      <w:r w:rsidRPr="00F97164">
        <w:rPr>
          <w:rFonts w:ascii="Times New Roman" w:hAnsi="Times New Roman" w:cs="Times New Roman"/>
        </w:rPr>
        <w:t xml:space="preserve"> (2025), Tonny (2026), and Olowu and Ojo (2021) have mainly focused on the relationship between health expenditure and health outcomes or between specific health indicators and economic growth. For example, Olabisi and </w:t>
      </w:r>
      <w:proofErr w:type="spellStart"/>
      <w:r w:rsidRPr="00F97164">
        <w:rPr>
          <w:rFonts w:ascii="Times New Roman" w:hAnsi="Times New Roman" w:cs="Times New Roman"/>
        </w:rPr>
        <w:t>Adegbenro</w:t>
      </w:r>
      <w:proofErr w:type="spellEnd"/>
      <w:r w:rsidRPr="00F97164">
        <w:rPr>
          <w:rFonts w:ascii="Times New Roman" w:hAnsi="Times New Roman" w:cs="Times New Roman"/>
        </w:rPr>
        <w:t xml:space="preserve"> (2025) examined the interaction between fiscal policy, government health expenditure, and child health outcomes in Sub-Saharan Africa between 2010 and 2022 using the Generalized Method of Moments (GMM) approach. Similarly, Musah et al. (2025) investigated the relationship between financial development, public health financing, and health outcomes in 45 Sub-Saharan African countries and found that improved healthcare financing positively affects life expectancy and reduces mortality rates. While these studies provide valuable insights, most of them focus mainly on selected dimensions of health outcomes without adequately addressing the broader issue of health inequality across different socioeconomic groups within the region.</w:t>
      </w:r>
    </w:p>
    <w:p w14:paraId="04D991EF" w14:textId="4F195FAF" w:rsidR="00F97164" w:rsidRDefault="00F97164" w:rsidP="00F97164">
      <w:pPr>
        <w:jc w:val="both"/>
        <w:rPr>
          <w:rFonts w:ascii="Times New Roman" w:hAnsi="Times New Roman" w:cs="Times New Roman"/>
        </w:rPr>
      </w:pPr>
      <w:r w:rsidRPr="00F97164">
        <w:rPr>
          <w:rFonts w:ascii="Times New Roman" w:hAnsi="Times New Roman" w:cs="Times New Roman"/>
        </w:rPr>
        <w:t xml:space="preserve">Furthermore, many previous studies rely mainly on conventional health indicators and pay limited attention to inequalities in healthcare access and health outcomes among different populations. Consequently, there is still limited empirical evidence on how disparities in health outcomes affect economic performance in Sub-Saharan Africa. Recent findings also indicate that poor healthcare systems, the circulation of substandard medicines, malnutrition, and increasing youth mortality continue to weaken labor productivity and sustainable development across the region (The Guardian, 2024; The Guardian, 2025). This study therefore seeks to fill this gap by providing a more comprehensive and evidence-based analysis of the impact of health outcomes on economic performance in Sub-Saharan Africa. Specifically, the study employs a robust methodological approach through the use of a concentration index to measure socioeconomic inequalities in health outcomes, thereby providing a clearer understanding of disparities across populations and over time. By linking measures of health </w:t>
      </w:r>
      <w:r>
        <w:rPr>
          <w:rFonts w:ascii="Times New Roman" w:hAnsi="Times New Roman" w:cs="Times New Roman"/>
        </w:rPr>
        <w:t xml:space="preserve">outcomes </w:t>
      </w:r>
      <w:r w:rsidRPr="00F97164">
        <w:rPr>
          <w:rFonts w:ascii="Times New Roman" w:hAnsi="Times New Roman" w:cs="Times New Roman"/>
        </w:rPr>
        <w:t xml:space="preserve">with indicators of economic performance, the study contributes to the growing literature on health economics and development </w:t>
      </w:r>
      <w:r>
        <w:rPr>
          <w:rFonts w:ascii="Times New Roman" w:hAnsi="Times New Roman" w:cs="Times New Roman"/>
        </w:rPr>
        <w:t>by examining the impact of health outcomes on economic performance in Sub-Saharan Africa. W</w:t>
      </w:r>
      <w:r w:rsidRPr="00F97164">
        <w:rPr>
          <w:rFonts w:ascii="Times New Roman" w:hAnsi="Times New Roman" w:cs="Times New Roman"/>
        </w:rPr>
        <w:t>hile also providing policy-relevant recommendations for improving both health outcomes and economic growth in Sub-Saharan Africa.</w:t>
      </w:r>
    </w:p>
    <w:p w14:paraId="7AD68B26" w14:textId="0D75945C" w:rsidR="00765EDF" w:rsidRPr="007F5D2D" w:rsidRDefault="007F5D2D" w:rsidP="007F5D2D">
      <w:pPr>
        <w:spacing w:line="276" w:lineRule="auto"/>
        <w:rPr>
          <w:rFonts w:ascii="Times New Roman" w:hAnsi="Times New Roman" w:cs="Times New Roman"/>
          <w:b/>
          <w:bCs/>
        </w:rPr>
      </w:pPr>
      <w:r>
        <w:rPr>
          <w:rFonts w:ascii="Times New Roman" w:hAnsi="Times New Roman" w:cs="Times New Roman"/>
          <w:b/>
          <w:bCs/>
        </w:rPr>
        <w:t xml:space="preserve">2.0 </w:t>
      </w:r>
      <w:r w:rsidRPr="007F5D2D">
        <w:rPr>
          <w:rFonts w:ascii="Times New Roman" w:hAnsi="Times New Roman" w:cs="Times New Roman"/>
          <w:b/>
          <w:bCs/>
        </w:rPr>
        <w:t>LITERATURE REVIEW AND THEORETICAL FRAMEWORK</w:t>
      </w:r>
    </w:p>
    <w:p w14:paraId="40D8AD5A" w14:textId="55569903" w:rsidR="00B54471" w:rsidRDefault="00B54471" w:rsidP="007F5D2D">
      <w:pPr>
        <w:spacing w:line="276" w:lineRule="auto"/>
        <w:jc w:val="both"/>
        <w:rPr>
          <w:rFonts w:ascii="Times New Roman" w:hAnsi="Times New Roman" w:cs="Times New Roman"/>
          <w:b/>
          <w:bCs/>
        </w:rPr>
      </w:pPr>
      <w:r>
        <w:rPr>
          <w:rFonts w:ascii="Times New Roman" w:hAnsi="Times New Roman" w:cs="Times New Roman"/>
          <w:b/>
          <w:bCs/>
        </w:rPr>
        <w:t xml:space="preserve"> </w:t>
      </w:r>
      <w:r w:rsidRPr="00CC370F">
        <w:rPr>
          <w:rFonts w:ascii="Times New Roman" w:hAnsi="Times New Roman" w:cs="Times New Roman"/>
          <w:b/>
          <w:bCs/>
        </w:rPr>
        <w:t xml:space="preserve">Conceptual Review </w:t>
      </w:r>
    </w:p>
    <w:p w14:paraId="532C96F9" w14:textId="4AD4B366" w:rsidR="00B54471" w:rsidRDefault="00B54471" w:rsidP="007F5D2D">
      <w:pPr>
        <w:spacing w:line="276" w:lineRule="auto"/>
        <w:jc w:val="both"/>
        <w:rPr>
          <w:rFonts w:ascii="Times New Roman" w:hAnsi="Times New Roman" w:cs="Times New Roman"/>
          <w:b/>
          <w:bCs/>
        </w:rPr>
      </w:pPr>
      <w:r w:rsidRPr="00352983">
        <w:rPr>
          <w:rFonts w:ascii="Times New Roman" w:hAnsi="Times New Roman" w:cs="Times New Roman"/>
          <w:b/>
          <w:bCs/>
        </w:rPr>
        <w:t>Concept</w:t>
      </w:r>
      <w:r>
        <w:rPr>
          <w:rFonts w:ascii="Times New Roman" w:hAnsi="Times New Roman" w:cs="Times New Roman"/>
          <w:b/>
          <w:bCs/>
        </w:rPr>
        <w:t xml:space="preserve"> of</w:t>
      </w:r>
      <w:r w:rsidRPr="00352983">
        <w:rPr>
          <w:rFonts w:ascii="Times New Roman" w:hAnsi="Times New Roman" w:cs="Times New Roman"/>
          <w:b/>
          <w:bCs/>
        </w:rPr>
        <w:t xml:space="preserve"> Health </w:t>
      </w:r>
    </w:p>
    <w:p w14:paraId="70A8AE4A" w14:textId="77777777" w:rsidR="00B54471" w:rsidRPr="00932C6C" w:rsidRDefault="00B54471" w:rsidP="007F5D2D">
      <w:pPr>
        <w:spacing w:line="276" w:lineRule="auto"/>
        <w:jc w:val="both"/>
        <w:rPr>
          <w:rFonts w:ascii="Times New Roman" w:hAnsi="Times New Roman" w:cs="Times New Roman"/>
        </w:rPr>
      </w:pPr>
      <w:r w:rsidRPr="00932C6C">
        <w:rPr>
          <w:rFonts w:ascii="Times New Roman" w:hAnsi="Times New Roman" w:cs="Times New Roman"/>
        </w:rPr>
        <w:t>Understanding what “health” means is an essential starting point for exploring how health inequality affects economic growth. Across disciplines, health is recognized as a multidimensional concept that goes beyond simply avoiding illness. The classic WHO definition describes health as complete physical, mental, and social well-being (WHO, 1948), but this idealized view has been widely debated for being too absolute. As a result, scholars and global health institutions have developed broader and more practical interpretations.</w:t>
      </w:r>
    </w:p>
    <w:p w14:paraId="123332F0" w14:textId="77777777" w:rsidR="00B54471" w:rsidRPr="00932C6C" w:rsidRDefault="00B54471" w:rsidP="007F5D2D">
      <w:pPr>
        <w:spacing w:line="276" w:lineRule="auto"/>
        <w:jc w:val="both"/>
        <w:rPr>
          <w:rFonts w:ascii="Times New Roman" w:hAnsi="Times New Roman" w:cs="Times New Roman"/>
        </w:rPr>
      </w:pPr>
      <w:r w:rsidRPr="00932C6C">
        <w:rPr>
          <w:rFonts w:ascii="Times New Roman" w:hAnsi="Times New Roman" w:cs="Times New Roman"/>
        </w:rPr>
        <w:t xml:space="preserve">The WHO’s Ottawa Charter (1986) reframes health as a </w:t>
      </w:r>
      <w:r w:rsidRPr="00932C6C">
        <w:rPr>
          <w:rFonts w:ascii="Times New Roman" w:hAnsi="Times New Roman" w:cs="Times New Roman"/>
          <w:i/>
          <w:iCs/>
        </w:rPr>
        <w:t>resource for everyday life</w:t>
      </w:r>
      <w:r w:rsidRPr="00932C6C">
        <w:rPr>
          <w:rFonts w:ascii="Times New Roman" w:hAnsi="Times New Roman" w:cs="Times New Roman"/>
        </w:rPr>
        <w:t>, highlighting that good health enables people to function, participate in society, and pursue meaningful goals. This perspective aligns with the idea that health supports productivity and economic contribution.</w:t>
      </w:r>
    </w:p>
    <w:p w14:paraId="5135E3F3" w14:textId="77777777" w:rsidR="00B54471" w:rsidRPr="00932C6C" w:rsidRDefault="00B54471" w:rsidP="007F5D2D">
      <w:pPr>
        <w:spacing w:line="276" w:lineRule="auto"/>
        <w:jc w:val="both"/>
        <w:rPr>
          <w:rFonts w:ascii="Times New Roman" w:hAnsi="Times New Roman" w:cs="Times New Roman"/>
        </w:rPr>
      </w:pPr>
      <w:r w:rsidRPr="00932C6C">
        <w:rPr>
          <w:rFonts w:ascii="Times New Roman" w:hAnsi="Times New Roman" w:cs="Times New Roman"/>
        </w:rPr>
        <w:t>More traditional biomedical views define health as the absence of disease or biological problems (Boorse, 1977), but this approach is limited because it overlooks social, psychological, and environmental influences. The biopsychosocial model introduced by Engel (1977) addresses this gap by showing that health is shaped by the interaction of biological conditions, mental states, and social environments.</w:t>
      </w:r>
    </w:p>
    <w:p w14:paraId="1B76B50D" w14:textId="77777777" w:rsidR="00B54471" w:rsidRPr="00932C6C" w:rsidRDefault="00B54471" w:rsidP="007F5D2D">
      <w:pPr>
        <w:spacing w:line="276" w:lineRule="auto"/>
        <w:jc w:val="both"/>
        <w:rPr>
          <w:rFonts w:ascii="Times New Roman" w:hAnsi="Times New Roman" w:cs="Times New Roman"/>
        </w:rPr>
      </w:pPr>
      <w:r w:rsidRPr="00932C6C">
        <w:rPr>
          <w:rFonts w:ascii="Times New Roman" w:hAnsi="Times New Roman" w:cs="Times New Roman"/>
        </w:rPr>
        <w:t xml:space="preserve">Public health scholars extend this thinking by viewing health as the ability of individuals and communities to reach their full potential and live productive lives (Fawcett et al., 2000). Economists further emphasize health as a form of </w:t>
      </w:r>
      <w:r w:rsidRPr="00932C6C">
        <w:rPr>
          <w:rFonts w:ascii="Times New Roman" w:hAnsi="Times New Roman" w:cs="Times New Roman"/>
          <w:i/>
          <w:iCs/>
        </w:rPr>
        <w:t>human capital</w:t>
      </w:r>
      <w:r w:rsidRPr="00932C6C">
        <w:rPr>
          <w:rFonts w:ascii="Times New Roman" w:hAnsi="Times New Roman" w:cs="Times New Roman"/>
        </w:rPr>
        <w:t xml:space="preserve"> that increases productivity, raises earnings, and supports long-term economic growth (Grossman, 1972).</w:t>
      </w:r>
    </w:p>
    <w:p w14:paraId="340C6A0C" w14:textId="77777777" w:rsidR="00B54471" w:rsidRPr="00932C6C" w:rsidRDefault="00B54471" w:rsidP="007F5D2D">
      <w:pPr>
        <w:spacing w:line="276" w:lineRule="auto"/>
        <w:jc w:val="both"/>
        <w:rPr>
          <w:rFonts w:ascii="Times New Roman" w:hAnsi="Times New Roman" w:cs="Times New Roman"/>
        </w:rPr>
      </w:pPr>
      <w:r w:rsidRPr="00932C6C">
        <w:rPr>
          <w:rFonts w:ascii="Times New Roman" w:hAnsi="Times New Roman" w:cs="Times New Roman"/>
        </w:rPr>
        <w:t>From a development perspective, Amartya Sen’s capability approach defines health as the real freedom to achieve well-being and live a life one values (Sen, 1999), drawing attention to social and institutional factors that create or limit health opportunities.</w:t>
      </w:r>
    </w:p>
    <w:p w14:paraId="5B4D1C49" w14:textId="77777777" w:rsidR="00B54471" w:rsidRPr="00932C6C" w:rsidRDefault="00B54471" w:rsidP="007F5D2D">
      <w:pPr>
        <w:spacing w:line="276" w:lineRule="auto"/>
        <w:jc w:val="both"/>
        <w:rPr>
          <w:rFonts w:ascii="Times New Roman" w:hAnsi="Times New Roman" w:cs="Times New Roman"/>
        </w:rPr>
      </w:pPr>
      <w:r w:rsidRPr="00932C6C">
        <w:rPr>
          <w:rFonts w:ascii="Times New Roman" w:hAnsi="Times New Roman" w:cs="Times New Roman"/>
        </w:rPr>
        <w:t>More recent thinking sees health as the ability to adapt and manage life’s challenges (Huber et al., 2011), while environmental health scholars stress the importance of conditions such as air quality, water safety, housing, and climate (McMichael, 1999).</w:t>
      </w:r>
    </w:p>
    <w:p w14:paraId="3842F2C3" w14:textId="77777777" w:rsidR="00B54471" w:rsidRDefault="00B54471" w:rsidP="007F5D2D">
      <w:pPr>
        <w:spacing w:line="276" w:lineRule="auto"/>
        <w:jc w:val="both"/>
        <w:rPr>
          <w:rFonts w:ascii="Times New Roman" w:hAnsi="Times New Roman" w:cs="Times New Roman"/>
        </w:rPr>
      </w:pPr>
      <w:r w:rsidRPr="00932C6C">
        <w:rPr>
          <w:rFonts w:ascii="Times New Roman" w:hAnsi="Times New Roman" w:cs="Times New Roman"/>
        </w:rPr>
        <w:t>Together, these perspectives show that health is a complex and dynamic concept influenced by biological, economic, social, and environmental forces. This comprehensive understanding provides a strong foundation for examining how health inequalities arise and how they ultimately affect economic growth in Sub-Saharan Africa.</w:t>
      </w:r>
    </w:p>
    <w:p w14:paraId="1DF47B16" w14:textId="77777777" w:rsidR="007105EE" w:rsidRPr="00DF6BF9" w:rsidRDefault="007105EE" w:rsidP="007F5D2D">
      <w:pPr>
        <w:spacing w:line="276" w:lineRule="auto"/>
        <w:jc w:val="both"/>
        <w:rPr>
          <w:rFonts w:ascii="Times New Roman" w:hAnsi="Times New Roman" w:cs="Times New Roman"/>
        </w:rPr>
      </w:pPr>
    </w:p>
    <w:p w14:paraId="5278C976" w14:textId="33653CE0" w:rsidR="00B54471" w:rsidRDefault="00B54471" w:rsidP="007F5D2D">
      <w:pPr>
        <w:spacing w:line="276" w:lineRule="auto"/>
        <w:jc w:val="both"/>
        <w:rPr>
          <w:rFonts w:ascii="Times New Roman" w:hAnsi="Times New Roman" w:cs="Times New Roman"/>
          <w:b/>
          <w:bCs/>
        </w:rPr>
      </w:pPr>
      <w:r w:rsidRPr="00E70297">
        <w:rPr>
          <w:rFonts w:ascii="Times New Roman" w:hAnsi="Times New Roman" w:cs="Times New Roman"/>
          <w:b/>
          <w:bCs/>
        </w:rPr>
        <w:t xml:space="preserve">Health Outcomes and Economic Performance </w:t>
      </w:r>
    </w:p>
    <w:p w14:paraId="7ED5A861" w14:textId="77777777" w:rsidR="00B54471" w:rsidRPr="00932C6C" w:rsidRDefault="00B54471" w:rsidP="007F5D2D">
      <w:pPr>
        <w:spacing w:line="276" w:lineRule="auto"/>
        <w:jc w:val="both"/>
        <w:rPr>
          <w:rFonts w:ascii="Times New Roman" w:hAnsi="Times New Roman" w:cs="Times New Roman"/>
        </w:rPr>
      </w:pPr>
      <w:r w:rsidRPr="00932C6C">
        <w:rPr>
          <w:rFonts w:ascii="Times New Roman" w:hAnsi="Times New Roman" w:cs="Times New Roman"/>
        </w:rPr>
        <w:t>Health outcomes such as life expectancy, child mortality, and disease burden are central indicators of population well-being and play a significant role in shaping the economic trajectory of nations. In the context of Sub-Saharan Africa, where health challenges remain pervasive, these outcomes offer important insight into how variations in population health influence economic performance and long-term development. Theoretical and empirical literature consistently highlights that improvements in population health enhance productivity, strengthen human capital, and support sustained economic growth (Bloom &amp; Canning, 2000; Weil, 2007).</w:t>
      </w:r>
    </w:p>
    <w:p w14:paraId="65A97C62" w14:textId="77777777" w:rsidR="00B54471" w:rsidRPr="00932C6C" w:rsidRDefault="00B54471" w:rsidP="007F5D2D">
      <w:pPr>
        <w:spacing w:line="276" w:lineRule="auto"/>
        <w:jc w:val="both"/>
        <w:rPr>
          <w:rFonts w:ascii="Times New Roman" w:hAnsi="Times New Roman" w:cs="Times New Roman"/>
        </w:rPr>
      </w:pPr>
      <w:r w:rsidRPr="00932C6C">
        <w:rPr>
          <w:rFonts w:ascii="Times New Roman" w:hAnsi="Times New Roman" w:cs="Times New Roman"/>
          <w:b/>
          <w:bCs/>
        </w:rPr>
        <w:t>Life expectancy</w:t>
      </w:r>
      <w:r w:rsidRPr="00932C6C">
        <w:rPr>
          <w:rFonts w:ascii="Times New Roman" w:hAnsi="Times New Roman" w:cs="Times New Roman"/>
        </w:rPr>
        <w:t xml:space="preserve"> serves as a widely used proxy for overall population health and longevity. Higher life expectancy reflects improved healthcare systems, better nutrition, disease control, and increased living standards. Economic theories of human capital suggest that when individuals live longer and healthier lives, they tend to invest more in education and skills, resulting in a more productive labor force (Becker, 2007). Furthermore, longer life expectancy increases the number of working years, allowing economies to benefit from a larger and more experienced workforce. Conversely, low life expectancy reduces productive years and undermines the accumulation of skills and knowledge, ultimately limiting economic growth potential (Barro, 2013).</w:t>
      </w:r>
    </w:p>
    <w:p w14:paraId="3215B237" w14:textId="77777777" w:rsidR="00B54471" w:rsidRPr="00932C6C" w:rsidRDefault="00B54471" w:rsidP="007F5D2D">
      <w:pPr>
        <w:spacing w:line="276" w:lineRule="auto"/>
        <w:jc w:val="both"/>
        <w:rPr>
          <w:rFonts w:ascii="Times New Roman" w:hAnsi="Times New Roman" w:cs="Times New Roman"/>
        </w:rPr>
      </w:pPr>
      <w:r w:rsidRPr="00932C6C">
        <w:rPr>
          <w:rFonts w:ascii="Times New Roman" w:hAnsi="Times New Roman" w:cs="Times New Roman"/>
          <w:b/>
          <w:bCs/>
        </w:rPr>
        <w:t>Child mortality</w:t>
      </w:r>
      <w:r w:rsidRPr="00932C6C">
        <w:rPr>
          <w:rFonts w:ascii="Times New Roman" w:hAnsi="Times New Roman" w:cs="Times New Roman"/>
        </w:rPr>
        <w:t xml:space="preserve"> is another critical health outcome that provides insight into the broader socioeconomic and health environment. High child mortality rates reflect deficiencies in healthcare access, maternal health, sanitation, and socioeconomic conditions (UNICEF, 2023). Economically, high child mortality weakens future labor supply and productivity, as fewer children survive to adulthood and those who do often suffer long-term health consequences associated with early-life deprivations (Currie &amp; Vogl, 2013). The loss of children also imposes emotional and financial burdens on households, reducing savings, increasing healthcare spending, and lowering overall economic welfare. Countries with persistently high child mortality rates often face long-term growth constraints due to a weakened demographic and human capital base.</w:t>
      </w:r>
    </w:p>
    <w:p w14:paraId="46DA5416" w14:textId="622BE811" w:rsidR="00B54471" w:rsidRDefault="00B54471" w:rsidP="007F5D2D">
      <w:pPr>
        <w:spacing w:line="276" w:lineRule="auto"/>
        <w:jc w:val="both"/>
        <w:rPr>
          <w:rFonts w:ascii="Times New Roman" w:hAnsi="Times New Roman" w:cs="Times New Roman"/>
        </w:rPr>
      </w:pPr>
      <w:r w:rsidRPr="00932C6C">
        <w:rPr>
          <w:rFonts w:ascii="Times New Roman" w:hAnsi="Times New Roman" w:cs="Times New Roman"/>
          <w:b/>
          <w:bCs/>
        </w:rPr>
        <w:t>Disease burden</w:t>
      </w:r>
      <w:r w:rsidRPr="00932C6C">
        <w:rPr>
          <w:rFonts w:ascii="Times New Roman" w:hAnsi="Times New Roman" w:cs="Times New Roman"/>
        </w:rPr>
        <w:t>, encompassing both communicable and non-communicable diseases, exerts a direct and indirect influence on economic performance. Illness reduces labor availability, lowers productivity, and increases absenteeism, while simultaneously imposing high healthcare costs on households and governments (Sachs &amp; Malaney, 2002). Sub-Saharan Africa bears a disproportionate burden of diseases such as malaria, HIV/AIDS, tuberculosis, and rising non-communicable diseases, all of which significantly erode human capital and limit economic participation (WHO, 2021). High disease burden also diverts public expenditures from productive investments</w:t>
      </w:r>
      <w:r>
        <w:rPr>
          <w:rFonts w:ascii="Times New Roman" w:hAnsi="Times New Roman" w:cs="Times New Roman"/>
        </w:rPr>
        <w:t xml:space="preserve"> </w:t>
      </w:r>
      <w:r w:rsidRPr="00932C6C">
        <w:rPr>
          <w:rFonts w:ascii="Times New Roman" w:hAnsi="Times New Roman" w:cs="Times New Roman"/>
        </w:rPr>
        <w:t>such as education, infrastructure, and technology</w:t>
      </w:r>
      <w:r>
        <w:rPr>
          <w:rFonts w:ascii="Times New Roman" w:hAnsi="Times New Roman" w:cs="Times New Roman"/>
        </w:rPr>
        <w:t xml:space="preserve"> </w:t>
      </w:r>
      <w:r w:rsidRPr="00932C6C">
        <w:rPr>
          <w:rFonts w:ascii="Times New Roman" w:hAnsi="Times New Roman" w:cs="Times New Roman"/>
        </w:rPr>
        <w:t>toward healthcare and disease management, thereby constraining long-term development prospects (Bloom, Canning &amp; Sevilla, 2004).</w:t>
      </w:r>
      <w:r w:rsidR="007F5D2D">
        <w:rPr>
          <w:rFonts w:ascii="Times New Roman" w:hAnsi="Times New Roman" w:cs="Times New Roman"/>
        </w:rPr>
        <w:t xml:space="preserve"> </w:t>
      </w:r>
      <w:r w:rsidRPr="00932C6C">
        <w:rPr>
          <w:rFonts w:ascii="Times New Roman" w:hAnsi="Times New Roman" w:cs="Times New Roman"/>
        </w:rPr>
        <w:t>Collectively, variations in life expectancy, child mortality, and disease burden directly shape economic performance by influencing labor supply, productivity, public expenditure patterns, and human capital formation. Improvements in health outcomes enhance economic growth, whereas poor health conditions reinforce cycles of poverty and underdevelopment.</w:t>
      </w:r>
    </w:p>
    <w:p w14:paraId="33DC00CB" w14:textId="77777777" w:rsidR="007F5D2D" w:rsidRPr="007F5D2D" w:rsidRDefault="007F5D2D" w:rsidP="007F5D2D">
      <w:pPr>
        <w:spacing w:line="276" w:lineRule="auto"/>
        <w:jc w:val="both"/>
        <w:rPr>
          <w:rFonts w:ascii="Times New Roman" w:hAnsi="Times New Roman" w:cs="Times New Roman"/>
          <w:b/>
          <w:bCs/>
        </w:rPr>
      </w:pPr>
      <w:r w:rsidRPr="007F5D2D">
        <w:rPr>
          <w:rFonts w:ascii="Times New Roman" w:hAnsi="Times New Roman" w:cs="Times New Roman"/>
          <w:b/>
          <w:bCs/>
        </w:rPr>
        <w:t xml:space="preserve">Theoretical Review </w:t>
      </w:r>
    </w:p>
    <w:p w14:paraId="1A1741EB" w14:textId="2E0195EB" w:rsidR="007F5D2D" w:rsidRPr="007F5D2D" w:rsidRDefault="007F5D2D" w:rsidP="007F5D2D">
      <w:pPr>
        <w:spacing w:line="276" w:lineRule="auto"/>
        <w:jc w:val="both"/>
        <w:rPr>
          <w:rFonts w:ascii="Times New Roman" w:hAnsi="Times New Roman" w:cs="Times New Roman"/>
          <w:b/>
          <w:bCs/>
        </w:rPr>
      </w:pPr>
      <w:r w:rsidRPr="007F5D2D">
        <w:rPr>
          <w:rFonts w:ascii="Times New Roman" w:hAnsi="Times New Roman" w:cs="Times New Roman"/>
          <w:b/>
          <w:bCs/>
        </w:rPr>
        <w:t xml:space="preserve">Human Capital Theory </w:t>
      </w:r>
    </w:p>
    <w:p w14:paraId="09488381" w14:textId="77777777" w:rsidR="007F5D2D" w:rsidRPr="007F5D2D" w:rsidRDefault="007F5D2D" w:rsidP="007F5D2D">
      <w:pPr>
        <w:spacing w:line="276" w:lineRule="auto"/>
        <w:jc w:val="both"/>
        <w:rPr>
          <w:rFonts w:ascii="Times New Roman" w:hAnsi="Times New Roman" w:cs="Times New Roman"/>
          <w:b/>
          <w:bCs/>
        </w:rPr>
      </w:pPr>
      <w:r w:rsidRPr="007F5D2D">
        <w:rPr>
          <w:rFonts w:ascii="Times New Roman" w:hAnsi="Times New Roman" w:cs="Times New Roman"/>
        </w:rPr>
        <w:t xml:space="preserve"> Michael Grossman's propounded the model of investment in health capital in 1972. This has provided a breakthrough of the manner economic researchers model healthcare related behavior (Grossman, 1972). The model by Grossman is strongly in the tradition of Becker “Human Capital theory” the Grossman model presumes that “the individual is a forward looking, optimizing individual who, in making decisions today, takes account of their possible future consequences” In the Grossman's model, the components provided that “an individual's fundamental state of health is treated as a capital good, to be built up by investment and run down by lack of investment” Thus it is not a goods that can be obtain immediately.  A person who desires to raise his wealth of health capital to a particular target can only do so over period time. Health Capital in this case is conceived to be different from how healthy a person happens to be. The state of sickness or even severe sickness, may not essentially lessen one’s wealth of health capital, regardless of how much it might lessen one’s immediate state of satisfaction. Health capital is the best idea of relating to a person’s capability to withstand disease, and to execute what the health care researchers termed as activities of daily life. For instance, a severe arthritis, which can make a person to have difficult going upstairs or downstairs, does reflect a reduction in the person’s stock of health capital (Grossman, 1972).</w:t>
      </w:r>
    </w:p>
    <w:p w14:paraId="2AC21BAB" w14:textId="6FC779C8" w:rsidR="007F5D2D" w:rsidRPr="007F5D2D" w:rsidRDefault="007F5D2D" w:rsidP="007F5D2D">
      <w:pPr>
        <w:spacing w:line="276" w:lineRule="auto"/>
        <w:jc w:val="both"/>
        <w:rPr>
          <w:rFonts w:ascii="Times New Roman" w:hAnsi="Times New Roman" w:cs="Times New Roman"/>
          <w:b/>
          <w:bCs/>
        </w:rPr>
      </w:pPr>
      <w:r w:rsidRPr="007F5D2D">
        <w:rPr>
          <w:rFonts w:ascii="Times New Roman" w:hAnsi="Times New Roman" w:cs="Times New Roman"/>
          <w:b/>
          <w:bCs/>
        </w:rPr>
        <w:t>Demographic Transition Theory</w:t>
      </w:r>
    </w:p>
    <w:p w14:paraId="73AC3B9F" w14:textId="77777777" w:rsidR="007F5D2D" w:rsidRPr="007F5D2D" w:rsidRDefault="007F5D2D" w:rsidP="007F5D2D">
      <w:pPr>
        <w:spacing w:line="276" w:lineRule="auto"/>
        <w:jc w:val="both"/>
        <w:rPr>
          <w:rFonts w:ascii="Times New Roman" w:hAnsi="Times New Roman" w:cs="Times New Roman"/>
        </w:rPr>
      </w:pPr>
      <w:r w:rsidRPr="007F5D2D">
        <w:rPr>
          <w:rFonts w:ascii="Times New Roman" w:hAnsi="Times New Roman" w:cs="Times New Roman"/>
        </w:rPr>
        <w:t>Demographic transition is the factual movement in demographics from soaring infant mortality and birth rates in a given community that has little economic growth and education, to demographics of decreased death and birth rates in a community with high level of technology, education and economic growth, to the phase between these two scenarios. Although the shift has taken place in many industrialized countries. This theory and methodology are often inaccurate when applied to different nations because of specific socio-economic and political factors influencing specifically populations (</w:t>
      </w:r>
      <w:proofErr w:type="spellStart"/>
      <w:r w:rsidRPr="007F5D2D">
        <w:rPr>
          <w:rFonts w:ascii="Times New Roman" w:hAnsi="Times New Roman" w:cs="Times New Roman"/>
        </w:rPr>
        <w:t>Notestein</w:t>
      </w:r>
      <w:proofErr w:type="spellEnd"/>
      <w:r w:rsidRPr="007F5D2D">
        <w:rPr>
          <w:rFonts w:ascii="Times New Roman" w:hAnsi="Times New Roman" w:cs="Times New Roman"/>
        </w:rPr>
        <w:t>, 1953).</w:t>
      </w:r>
    </w:p>
    <w:p w14:paraId="31782E0F" w14:textId="77777777" w:rsidR="007F5D2D" w:rsidRPr="007F5D2D" w:rsidRDefault="007F5D2D" w:rsidP="007F5D2D">
      <w:pPr>
        <w:spacing w:line="276" w:lineRule="auto"/>
        <w:jc w:val="both"/>
        <w:rPr>
          <w:rFonts w:ascii="Times New Roman" w:hAnsi="Times New Roman" w:cs="Times New Roman"/>
        </w:rPr>
      </w:pPr>
      <w:r w:rsidRPr="007F5D2D">
        <w:rPr>
          <w:rFonts w:ascii="Times New Roman" w:hAnsi="Times New Roman" w:cs="Times New Roman"/>
        </w:rPr>
        <w:t xml:space="preserve">The theory of demographic transition is drawn from an exposition to demographic account which began in 1929 by a demographer in America named Warren Thompson from 1887 to1973. Similar observation was also made by Adolphe Landry from France on the issue of demographic marking and development of population potentials within 1934s. Frank W. </w:t>
      </w:r>
      <w:proofErr w:type="spellStart"/>
      <w:r w:rsidRPr="007F5D2D">
        <w:rPr>
          <w:rFonts w:ascii="Times New Roman" w:hAnsi="Times New Roman" w:cs="Times New Roman"/>
        </w:rPr>
        <w:t>Notestein</w:t>
      </w:r>
      <w:proofErr w:type="spellEnd"/>
      <w:r w:rsidRPr="007F5D2D">
        <w:rPr>
          <w:rFonts w:ascii="Times New Roman" w:hAnsi="Times New Roman" w:cs="Times New Roman"/>
        </w:rPr>
        <w:t xml:space="preserve"> in the 1940s-1960s also review a more comprehensive demographic transition theory. By 2009, the extant of a pessimistic coexistence between productiveness and industrial growth had become one of the keys generally acceptable findings the field of social science (Dyson, 2009).</w:t>
      </w:r>
    </w:p>
    <w:p w14:paraId="15D37514" w14:textId="5297E1A5" w:rsidR="007F5D2D" w:rsidRPr="007F5D2D" w:rsidRDefault="007F5D2D" w:rsidP="007F5D2D">
      <w:pPr>
        <w:spacing w:line="276" w:lineRule="auto"/>
        <w:jc w:val="both"/>
        <w:rPr>
          <w:rFonts w:ascii="Times New Roman" w:hAnsi="Times New Roman" w:cs="Times New Roman"/>
          <w:b/>
          <w:bCs/>
        </w:rPr>
      </w:pPr>
      <w:r w:rsidRPr="007F5D2D">
        <w:rPr>
          <w:rFonts w:ascii="Times New Roman" w:hAnsi="Times New Roman" w:cs="Times New Roman"/>
          <w:b/>
          <w:bCs/>
        </w:rPr>
        <w:t>Epidemiologic Transition Theory</w:t>
      </w:r>
    </w:p>
    <w:p w14:paraId="6C3F42A6" w14:textId="77777777" w:rsidR="007F5D2D" w:rsidRPr="007F5D2D" w:rsidRDefault="007F5D2D" w:rsidP="007F5D2D">
      <w:pPr>
        <w:spacing w:line="276" w:lineRule="auto"/>
        <w:jc w:val="both"/>
        <w:rPr>
          <w:rFonts w:ascii="Times New Roman" w:hAnsi="Times New Roman" w:cs="Times New Roman"/>
        </w:rPr>
      </w:pPr>
      <w:r w:rsidRPr="007F5D2D">
        <w:rPr>
          <w:rFonts w:ascii="Times New Roman" w:hAnsi="Times New Roman" w:cs="Times New Roman"/>
        </w:rPr>
        <w:t xml:space="preserve">In 1971, Omran Abdel (1971) who was an Egyptian American epidemiologist published “The Epidemiologic Transition: The theory was regarded as the Theory of the Epidemiology of Population Change” This is based on the mortality and morbidity patterns which was observed to have been changing world over with variations in timing and pace over the past century. </w:t>
      </w:r>
    </w:p>
    <w:p w14:paraId="0625C360" w14:textId="77777777" w:rsidR="007F5D2D" w:rsidRDefault="007F5D2D" w:rsidP="007F5D2D">
      <w:pPr>
        <w:spacing w:line="276" w:lineRule="auto"/>
        <w:jc w:val="both"/>
        <w:rPr>
          <w:rFonts w:ascii="Times New Roman" w:hAnsi="Times New Roman" w:cs="Times New Roman"/>
        </w:rPr>
      </w:pPr>
      <w:r w:rsidRPr="007F5D2D">
        <w:rPr>
          <w:rFonts w:ascii="Times New Roman" w:hAnsi="Times New Roman" w:cs="Times New Roman"/>
        </w:rPr>
        <w:t>Epidemiology has to do with the distribution of death and disease alongside with their determinants as well as their implications in population. So long as patterns of disease and health are important parts of population dynamics, epidemiology's ideas on these markings and their components in population set, serves not only as an important predictor of population dynamics but also as a birth place of supposition that can be to a great extent verified to correct, refine and build population theory. Moreover, a lot of epidemiologic approach that have been restricted to the evaluation of disease and health patterns can be applied and benefit well when explore by other fields of studies has to do with fertility control (McMichael, 2001; Caldwell, 2001)</w:t>
      </w:r>
    </w:p>
    <w:p w14:paraId="430EA450" w14:textId="4082721A" w:rsidR="007F5D2D" w:rsidRDefault="007F5D2D" w:rsidP="007F5D2D">
      <w:pPr>
        <w:spacing w:line="276" w:lineRule="auto"/>
        <w:jc w:val="both"/>
        <w:rPr>
          <w:rFonts w:ascii="Times New Roman" w:hAnsi="Times New Roman" w:cs="Times New Roman"/>
          <w:b/>
          <w:bCs/>
        </w:rPr>
      </w:pPr>
      <w:r w:rsidRPr="007F5D2D">
        <w:rPr>
          <w:rFonts w:ascii="Times New Roman" w:hAnsi="Times New Roman" w:cs="Times New Roman"/>
          <w:b/>
          <w:bCs/>
        </w:rPr>
        <w:t xml:space="preserve">Empirical review </w:t>
      </w:r>
    </w:p>
    <w:p w14:paraId="5989D1CE" w14:textId="77777777" w:rsidR="007F5D2D" w:rsidRPr="007F5D2D" w:rsidRDefault="007F5D2D" w:rsidP="007F5D2D">
      <w:pPr>
        <w:spacing w:line="276" w:lineRule="auto"/>
        <w:jc w:val="both"/>
        <w:rPr>
          <w:rFonts w:ascii="Times New Roman" w:hAnsi="Times New Roman" w:cs="Times New Roman"/>
        </w:rPr>
      </w:pPr>
      <w:r w:rsidRPr="007F5D2D">
        <w:rPr>
          <w:rFonts w:ascii="Times New Roman" w:hAnsi="Times New Roman" w:cs="Times New Roman"/>
        </w:rPr>
        <w:t xml:space="preserve">The empirical literature on health outcomes and economic performance in Sub-Saharan Africa largely supports the view that improvements in health outcomes contribute positively to economic growth and development. Several studies have consistently shown that increased investment in healthcare, improved life expectancy, and reductions in infant and child mortality enhance labor productivity, strengthen human capital formation, and promote higher GDP per capita growth across the region. For instance, Olabisi and </w:t>
      </w:r>
      <w:proofErr w:type="spellStart"/>
      <w:r w:rsidRPr="007F5D2D">
        <w:rPr>
          <w:rFonts w:ascii="Times New Roman" w:hAnsi="Times New Roman" w:cs="Times New Roman"/>
        </w:rPr>
        <w:t>Adegbenro</w:t>
      </w:r>
      <w:proofErr w:type="spellEnd"/>
      <w:r w:rsidRPr="007F5D2D">
        <w:rPr>
          <w:rFonts w:ascii="Times New Roman" w:hAnsi="Times New Roman" w:cs="Times New Roman"/>
        </w:rPr>
        <w:t xml:space="preserve"> (2025) found that efficient government health spending significantly reduced under-five mortality rates in Sub-Saharan Africa, emphasizing that fiscal commitment to healthcare promotes a healthier and more productive population. Similarly, Ahmed and Idowu (2024) revealed that public, private, and external health expenditures contributed to reducing infant mortality while simultaneously improving life expectancy in 45 Sub-Saharan African countries.</w:t>
      </w:r>
    </w:p>
    <w:p w14:paraId="1742B9AF" w14:textId="77777777" w:rsidR="007F5D2D" w:rsidRPr="007F5D2D" w:rsidRDefault="007F5D2D" w:rsidP="007F5D2D">
      <w:pPr>
        <w:spacing w:line="276" w:lineRule="auto"/>
        <w:jc w:val="both"/>
        <w:rPr>
          <w:rFonts w:ascii="Times New Roman" w:hAnsi="Times New Roman" w:cs="Times New Roman"/>
        </w:rPr>
      </w:pPr>
      <w:r w:rsidRPr="007F5D2D">
        <w:rPr>
          <w:rFonts w:ascii="Times New Roman" w:hAnsi="Times New Roman" w:cs="Times New Roman"/>
        </w:rPr>
        <w:t xml:space="preserve">In the same vein, Sirag et al. (2022) and Arthur and </w:t>
      </w:r>
      <w:proofErr w:type="spellStart"/>
      <w:r w:rsidRPr="007F5D2D">
        <w:rPr>
          <w:rFonts w:ascii="Times New Roman" w:hAnsi="Times New Roman" w:cs="Times New Roman"/>
        </w:rPr>
        <w:t>Oaikhenan</w:t>
      </w:r>
      <w:proofErr w:type="spellEnd"/>
      <w:r w:rsidRPr="007F5D2D">
        <w:rPr>
          <w:rFonts w:ascii="Times New Roman" w:hAnsi="Times New Roman" w:cs="Times New Roman"/>
        </w:rPr>
        <w:t xml:space="preserve"> (2020) established that higher life expectancy and lower child mortality rates positively influence GDP per capita growth, suggesting that better health conditions improve workforce productivity and economic performance. </w:t>
      </w:r>
      <w:proofErr w:type="spellStart"/>
      <w:r w:rsidRPr="007F5D2D">
        <w:rPr>
          <w:rFonts w:ascii="Times New Roman" w:hAnsi="Times New Roman" w:cs="Times New Roman"/>
        </w:rPr>
        <w:t>Kiross</w:t>
      </w:r>
      <w:proofErr w:type="spellEnd"/>
      <w:r w:rsidRPr="007F5D2D">
        <w:rPr>
          <w:rFonts w:ascii="Times New Roman" w:hAnsi="Times New Roman" w:cs="Times New Roman"/>
        </w:rPr>
        <w:t xml:space="preserve"> et al. (2020) further demonstrated that increased health expenditure significantly reduces infant and neonatal mortality, thereby supporting long-term economic growth through improvements in the quality of the future labor force. Adebowale and </w:t>
      </w:r>
      <w:proofErr w:type="spellStart"/>
      <w:r w:rsidRPr="007F5D2D">
        <w:rPr>
          <w:rFonts w:ascii="Times New Roman" w:hAnsi="Times New Roman" w:cs="Times New Roman"/>
        </w:rPr>
        <w:t>Onisanwa</w:t>
      </w:r>
      <w:proofErr w:type="spellEnd"/>
      <w:r w:rsidRPr="007F5D2D">
        <w:rPr>
          <w:rFonts w:ascii="Times New Roman" w:hAnsi="Times New Roman" w:cs="Times New Roman"/>
        </w:rPr>
        <w:t xml:space="preserve"> (2024) corroborated these findings by showing that targeted public and private health investments contribute significantly to better health outcomes and macroeconomic performance across Sub-Saharan Africa.</w:t>
      </w:r>
    </w:p>
    <w:p w14:paraId="716FAC6B" w14:textId="26D14E97" w:rsidR="007F5D2D" w:rsidRDefault="007F5D2D" w:rsidP="007F5D2D">
      <w:pPr>
        <w:spacing w:line="276" w:lineRule="auto"/>
        <w:jc w:val="both"/>
        <w:rPr>
          <w:rFonts w:ascii="Times New Roman" w:hAnsi="Times New Roman" w:cs="Times New Roman"/>
        </w:rPr>
      </w:pPr>
      <w:r w:rsidRPr="007F5D2D">
        <w:rPr>
          <w:rFonts w:ascii="Times New Roman" w:hAnsi="Times New Roman" w:cs="Times New Roman"/>
        </w:rPr>
        <w:t xml:space="preserve">Furthermore, Ajak and </w:t>
      </w:r>
      <w:proofErr w:type="spellStart"/>
      <w:r w:rsidRPr="007F5D2D">
        <w:rPr>
          <w:rFonts w:ascii="Times New Roman" w:hAnsi="Times New Roman" w:cs="Times New Roman"/>
        </w:rPr>
        <w:t>Moracha</w:t>
      </w:r>
      <w:proofErr w:type="spellEnd"/>
      <w:r w:rsidRPr="007F5D2D">
        <w:rPr>
          <w:rFonts w:ascii="Times New Roman" w:hAnsi="Times New Roman" w:cs="Times New Roman"/>
        </w:rPr>
        <w:t xml:space="preserve"> (2020) identified a bidirectional relationship between economic growth and health outcomes, arguing that economic growth improves health conditions while better health simultaneously stimulates productivity and economic expansion. Chewe et al. (2020) also highlighted the importance of healthcare access and quality, noting that countries with more equitable healthcare systems recorded higher life expectancy and lower child mortality, which translated into stronger economic performance. Beyond healthcare expenditure alone, Sisay (2023) demonstrated that food insecurity negatively affects health outcomes and economic productivity by increasing infant mortality and reducing life expectancy. In addition, Helena (2025) emphasized that the economic benefits of improved maternal and child health outcomes depend greatly on institutional quality, governance, and the efficiency of health expenditure, with countries possessing stronger institutions achieving better economic returns from health investments.</w:t>
      </w:r>
    </w:p>
    <w:p w14:paraId="1CA4F4F8" w14:textId="59BE7799" w:rsidR="003D19C9" w:rsidRPr="003D19C9" w:rsidRDefault="003D19C9" w:rsidP="003D19C9">
      <w:pPr>
        <w:spacing w:line="276" w:lineRule="auto"/>
        <w:jc w:val="both"/>
        <w:rPr>
          <w:rFonts w:ascii="Times New Roman" w:hAnsi="Times New Roman" w:cs="Times New Roman"/>
          <w:b/>
        </w:rPr>
      </w:pPr>
      <w:r w:rsidRPr="003D19C9">
        <w:rPr>
          <w:rFonts w:ascii="Times New Roman" w:hAnsi="Times New Roman" w:cs="Times New Roman"/>
          <w:b/>
        </w:rPr>
        <w:t xml:space="preserve">Theoretical framework </w:t>
      </w:r>
    </w:p>
    <w:p w14:paraId="35A704D9" w14:textId="77777777" w:rsidR="003D19C9" w:rsidRPr="003D19C9" w:rsidRDefault="003D19C9" w:rsidP="003D19C9">
      <w:pPr>
        <w:spacing w:line="276" w:lineRule="auto"/>
        <w:jc w:val="both"/>
        <w:rPr>
          <w:rFonts w:ascii="Times New Roman" w:hAnsi="Times New Roman" w:cs="Times New Roman"/>
        </w:rPr>
      </w:pPr>
      <w:r w:rsidRPr="003D19C9">
        <w:rPr>
          <w:rFonts w:ascii="Times New Roman" w:hAnsi="Times New Roman" w:cs="Times New Roman"/>
        </w:rPr>
        <w:t xml:space="preserve">Endogenous growth happened due to forces engendered within the economic system and not otherwise. It can also be referred to as growth emanating from the actions of the economic agents within a particular economic system. Even technological change is the outcome of the actions of profit maximizing economic agents. </w:t>
      </w:r>
    </w:p>
    <w:p w14:paraId="7D770B36" w14:textId="4EADBC7B" w:rsidR="003D19C9" w:rsidRPr="003D19C9" w:rsidRDefault="003D19C9" w:rsidP="003D19C9">
      <w:pPr>
        <w:spacing w:line="276" w:lineRule="auto"/>
        <w:jc w:val="both"/>
        <w:rPr>
          <w:rFonts w:ascii="Times New Roman" w:hAnsi="Times New Roman" w:cs="Times New Roman"/>
        </w:rPr>
      </w:pPr>
      <w:r w:rsidRPr="003D19C9">
        <w:rPr>
          <w:rFonts w:ascii="Times New Roman" w:hAnsi="Times New Roman" w:cs="Times New Roman"/>
        </w:rPr>
        <w:t xml:space="preserve">According to Romer, investments in human capital, including health, are key drivers of economic growth. Health </w:t>
      </w:r>
      <w:r>
        <w:rPr>
          <w:rFonts w:ascii="Times New Roman" w:hAnsi="Times New Roman" w:cs="Times New Roman"/>
        </w:rPr>
        <w:t xml:space="preserve">outcomes </w:t>
      </w:r>
      <w:r w:rsidRPr="003D19C9">
        <w:rPr>
          <w:rFonts w:ascii="Times New Roman" w:hAnsi="Times New Roman" w:cs="Times New Roman"/>
        </w:rPr>
        <w:t>play a vital role in enhancing productivity, increased health expenditure improves population health, reducing absenteeism and increasing labor productivity. A healthier workforce is better equipped to engage in research, learning, and innovation, which are critical to sustaining growth in Romer’s framework. In Sub-Saharan Africa, where health challenges are significant, higher health expenditure represents a direct investment in human capital that aligns with Romer’s emphasis on endogenous growth (Romer, 1990).</w:t>
      </w:r>
    </w:p>
    <w:p w14:paraId="6C9148DB" w14:textId="7A248A2E" w:rsidR="003D19C9" w:rsidRDefault="003D19C9" w:rsidP="007F5D2D">
      <w:pPr>
        <w:spacing w:line="276" w:lineRule="auto"/>
        <w:jc w:val="both"/>
        <w:rPr>
          <w:rFonts w:ascii="Times New Roman" w:hAnsi="Times New Roman" w:cs="Times New Roman"/>
        </w:rPr>
      </w:pPr>
      <w:r w:rsidRPr="003D19C9">
        <w:rPr>
          <w:rFonts w:ascii="Times New Roman" w:hAnsi="Times New Roman" w:cs="Times New Roman"/>
        </w:rPr>
        <w:t xml:space="preserve">Human capital is central to Romer’s model, and health </w:t>
      </w:r>
      <w:r>
        <w:rPr>
          <w:rFonts w:ascii="Times New Roman" w:hAnsi="Times New Roman" w:cs="Times New Roman"/>
        </w:rPr>
        <w:t>outcomes came</w:t>
      </w:r>
      <w:r w:rsidRPr="003D19C9">
        <w:rPr>
          <w:rFonts w:ascii="Times New Roman" w:hAnsi="Times New Roman" w:cs="Times New Roman"/>
        </w:rPr>
        <w:t xml:space="preserve"> undermines its development by reducing educational attainment. With poor health outcomes limit school attendance and cognitive development, thereby reducing the quality of human capital formation. In addition, it limiting skill acquisition.  </w:t>
      </w:r>
    </w:p>
    <w:p w14:paraId="6378AFE6" w14:textId="7694738B" w:rsidR="003D19C9" w:rsidRDefault="003D19C9" w:rsidP="003D19C9">
      <w:pPr>
        <w:spacing w:line="276" w:lineRule="auto"/>
        <w:jc w:val="both"/>
        <w:rPr>
          <w:rFonts w:ascii="Times New Roman" w:hAnsi="Times New Roman" w:cs="Times New Roman"/>
          <w:b/>
          <w:bCs/>
        </w:rPr>
      </w:pPr>
      <w:r>
        <w:rPr>
          <w:rFonts w:ascii="Times New Roman" w:hAnsi="Times New Roman" w:cs="Times New Roman"/>
          <w:b/>
          <w:bCs/>
        </w:rPr>
        <w:t xml:space="preserve">3.0 </w:t>
      </w:r>
      <w:r w:rsidR="007F5D2D" w:rsidRPr="007F5D2D">
        <w:rPr>
          <w:rFonts w:ascii="Times New Roman" w:hAnsi="Times New Roman" w:cs="Times New Roman"/>
          <w:b/>
          <w:bCs/>
        </w:rPr>
        <w:t xml:space="preserve">METHODOLOGY </w:t>
      </w:r>
    </w:p>
    <w:p w14:paraId="6F4EA035" w14:textId="4EF33658" w:rsidR="003D19C9" w:rsidRPr="003D19C9" w:rsidRDefault="003D19C9" w:rsidP="003D19C9">
      <w:pPr>
        <w:spacing w:line="276" w:lineRule="auto"/>
        <w:jc w:val="both"/>
        <w:rPr>
          <w:rFonts w:ascii="Times New Roman" w:hAnsi="Times New Roman" w:cs="Times New Roman"/>
          <w:b/>
          <w:bCs/>
        </w:rPr>
      </w:pPr>
      <w:r w:rsidRPr="003D19C9">
        <w:rPr>
          <w:rFonts w:ascii="Times New Roman" w:hAnsi="Times New Roman" w:cs="Times New Roman"/>
          <w:b/>
          <w:bCs/>
        </w:rPr>
        <w:t>Research design</w:t>
      </w:r>
    </w:p>
    <w:p w14:paraId="228F0452" w14:textId="77777777" w:rsidR="006C4FEB" w:rsidRDefault="003D19C9" w:rsidP="006C4FEB">
      <w:pPr>
        <w:spacing w:line="276" w:lineRule="auto"/>
        <w:jc w:val="both"/>
        <w:rPr>
          <w:rFonts w:ascii="Times New Roman" w:hAnsi="Times New Roman" w:cs="Times New Roman"/>
        </w:rPr>
      </w:pPr>
      <w:r w:rsidRPr="003D19C9">
        <w:rPr>
          <w:rFonts w:ascii="Times New Roman" w:hAnsi="Times New Roman" w:cs="Times New Roman"/>
        </w:rPr>
        <w:t xml:space="preserve">This study will adopt a longitudinal research design, leveraging on panel data to investigate the relationship between health </w:t>
      </w:r>
      <w:r>
        <w:rPr>
          <w:rFonts w:ascii="Times New Roman" w:hAnsi="Times New Roman" w:cs="Times New Roman"/>
        </w:rPr>
        <w:t xml:space="preserve">outcomes </w:t>
      </w:r>
      <w:r w:rsidRPr="003D19C9">
        <w:rPr>
          <w:rFonts w:ascii="Times New Roman" w:hAnsi="Times New Roman" w:cs="Times New Roman"/>
        </w:rPr>
        <w:t xml:space="preserve">and economic </w:t>
      </w:r>
      <w:r>
        <w:rPr>
          <w:rFonts w:ascii="Times New Roman" w:hAnsi="Times New Roman" w:cs="Times New Roman"/>
        </w:rPr>
        <w:t>performance</w:t>
      </w:r>
      <w:r w:rsidRPr="003D19C9">
        <w:rPr>
          <w:rFonts w:ascii="Times New Roman" w:hAnsi="Times New Roman" w:cs="Times New Roman"/>
        </w:rPr>
        <w:t xml:space="preserve"> across Sub-Saharan Africa from 1990 to 2022. The data for this </w:t>
      </w:r>
      <w:r w:rsidR="00747CD6">
        <w:rPr>
          <w:rFonts w:ascii="Times New Roman" w:hAnsi="Times New Roman" w:cs="Times New Roman"/>
        </w:rPr>
        <w:t>paper</w:t>
      </w:r>
      <w:r w:rsidRPr="003D19C9">
        <w:rPr>
          <w:rFonts w:ascii="Times New Roman" w:hAnsi="Times New Roman" w:cs="Times New Roman"/>
        </w:rPr>
        <w:t xml:space="preserve"> w</w:t>
      </w:r>
      <w:r w:rsidR="00747CD6">
        <w:rPr>
          <w:rFonts w:ascii="Times New Roman" w:hAnsi="Times New Roman" w:cs="Times New Roman"/>
        </w:rPr>
        <w:t>as</w:t>
      </w:r>
      <w:r w:rsidRPr="003D19C9">
        <w:rPr>
          <w:rFonts w:ascii="Times New Roman" w:hAnsi="Times New Roman" w:cs="Times New Roman"/>
        </w:rPr>
        <w:t xml:space="preserve"> obtained from secondary sources</w:t>
      </w:r>
      <w:r w:rsidR="00747CD6">
        <w:rPr>
          <w:rFonts w:ascii="Times New Roman" w:hAnsi="Times New Roman" w:cs="Times New Roman"/>
        </w:rPr>
        <w:t>.</w:t>
      </w:r>
    </w:p>
    <w:p w14:paraId="155F4BB6" w14:textId="4DF09B9F" w:rsidR="003D19C9" w:rsidRPr="003D19C9" w:rsidRDefault="006C4FEB" w:rsidP="006C4FEB">
      <w:pPr>
        <w:spacing w:line="276" w:lineRule="auto"/>
        <w:jc w:val="both"/>
        <w:rPr>
          <w:rFonts w:ascii="Times New Roman" w:hAnsi="Times New Roman" w:cs="Times New Roman"/>
          <w:b/>
          <w:bCs/>
        </w:rPr>
      </w:pPr>
      <w:r w:rsidRPr="003D19C9">
        <w:rPr>
          <w:rFonts w:ascii="Times New Roman" w:hAnsi="Times New Roman" w:cs="Times New Roman"/>
          <w:b/>
          <w:bCs/>
        </w:rPr>
        <w:t xml:space="preserve"> </w:t>
      </w:r>
      <w:r w:rsidR="003D19C9" w:rsidRPr="003D19C9">
        <w:rPr>
          <w:rFonts w:ascii="Times New Roman" w:hAnsi="Times New Roman" w:cs="Times New Roman"/>
          <w:b/>
          <w:bCs/>
        </w:rPr>
        <w:t>Model specification</w:t>
      </w:r>
    </w:p>
    <w:p w14:paraId="10CB241B" w14:textId="77777777" w:rsidR="003D19C9" w:rsidRPr="003D19C9" w:rsidRDefault="003D19C9" w:rsidP="003D19C9">
      <w:pPr>
        <w:spacing w:line="276" w:lineRule="auto"/>
        <w:jc w:val="both"/>
        <w:rPr>
          <w:rFonts w:ascii="Times New Roman" w:hAnsi="Times New Roman" w:cs="Times New Roman"/>
        </w:rPr>
      </w:pPr>
      <w:bookmarkStart w:id="2" w:name="_Hlk203382107"/>
      <w:r w:rsidRPr="003D19C9">
        <w:rPr>
          <w:rFonts w:ascii="Times New Roman" w:hAnsi="Times New Roman" w:cs="Times New Roman"/>
        </w:rPr>
        <w:t xml:space="preserve">To achieve this objective, which seeks to determine the influence of health outcome on economic performance, the study adopted and modify the model of </w:t>
      </w:r>
      <w:bookmarkStart w:id="3" w:name="_Hlk203374766"/>
      <w:r w:rsidRPr="003D19C9">
        <w:rPr>
          <w:rFonts w:ascii="Times New Roman" w:hAnsi="Times New Roman" w:cs="Times New Roman"/>
        </w:rPr>
        <w:t>Helena (2025)</w:t>
      </w:r>
    </w:p>
    <w:p w14:paraId="5C34D861" w14:textId="77777777" w:rsidR="003D19C9" w:rsidRPr="003D19C9" w:rsidRDefault="003D19C9" w:rsidP="003D19C9">
      <w:pPr>
        <w:spacing w:line="276" w:lineRule="auto"/>
        <w:jc w:val="both"/>
        <w:rPr>
          <w:rFonts w:ascii="Times New Roman" w:hAnsi="Times New Roman" w:cs="Times New Roman"/>
        </w:rPr>
      </w:pPr>
      <w:r w:rsidRPr="003D19C9">
        <w:rPr>
          <w:rFonts w:ascii="Times New Roman" w:hAnsi="Times New Roman" w:cs="Times New Roman"/>
        </w:rPr>
        <w:t>The functional form of the equation is given as:</w:t>
      </w:r>
    </w:p>
    <w:p w14:paraId="725DE065" w14:textId="5B6F183D" w:rsidR="003D19C9" w:rsidRPr="003D19C9" w:rsidRDefault="00000000" w:rsidP="003D19C9">
      <w:pPr>
        <w:spacing w:line="276" w:lineRule="auto"/>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RGDP</m:t>
            </m:r>
          </m:e>
          <m:sub>
            <m:r>
              <w:rPr>
                <w:rFonts w:ascii="Cambria Math" w:hAnsi="Cambria Math" w:cs="Times New Roman"/>
              </w:rPr>
              <m:t>it</m:t>
            </m:r>
          </m:sub>
        </m:sSub>
      </m:oMath>
      <w:r w:rsidR="003D19C9" w:rsidRPr="003D19C9">
        <w:rPr>
          <w:rFonts w:ascii="Times New Roman" w:hAnsi="Times New Roman" w:cs="Times New Roman"/>
        </w:rPr>
        <w:t xml:space="preserve"> = </w:t>
      </w:r>
      <m:oMath>
        <m:r>
          <w:rPr>
            <w:rFonts w:ascii="Cambria Math" w:hAnsi="Cambria Math" w:cs="Times New Roman"/>
          </w:rPr>
          <m:t>f(</m:t>
        </m:r>
        <m:sSub>
          <m:sSubPr>
            <m:ctrlPr>
              <w:rPr>
                <w:rFonts w:ascii="Cambria Math" w:hAnsi="Cambria Math" w:cs="Times New Roman"/>
                <w:i/>
              </w:rPr>
            </m:ctrlPr>
          </m:sSubPr>
          <m:e>
            <m:r>
              <w:rPr>
                <w:rFonts w:ascii="Cambria Math" w:hAnsi="Cambria Math" w:cs="Times New Roman"/>
              </w:rPr>
              <m:t>LEX</m:t>
            </m:r>
          </m:e>
          <m:sub>
            <m:r>
              <w:rPr>
                <w:rFonts w:ascii="Cambria Math" w:hAnsi="Cambria Math" w:cs="Times New Roman"/>
              </w:rPr>
              <m:t>it</m:t>
            </m:r>
          </m:sub>
        </m:sSub>
      </m:oMath>
      <w:r w:rsidR="003D19C9" w:rsidRPr="003D19C9">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UNM</m:t>
            </m:r>
          </m:e>
          <m:sub>
            <m:r>
              <w:rPr>
                <w:rFonts w:ascii="Cambria Math" w:hAnsi="Cambria Math" w:cs="Times New Roman"/>
              </w:rPr>
              <m:t>it</m:t>
            </m:r>
          </m:sub>
        </m:sSub>
      </m:oMath>
      <w:r w:rsidR="003D19C9" w:rsidRPr="003D19C9">
        <w:rPr>
          <w:rFonts w:ascii="Times New Roman" w:hAnsi="Times New Roman" w:cs="Times New Roman"/>
        </w:rPr>
        <w:t xml:space="preserve">, HEX, </w:t>
      </w:r>
      <m:oMath>
        <m:sSub>
          <m:sSubPr>
            <m:ctrlPr>
              <w:rPr>
                <w:rFonts w:ascii="Cambria Math" w:hAnsi="Cambria Math" w:cs="Times New Roman"/>
                <w:i/>
              </w:rPr>
            </m:ctrlPr>
          </m:sSubPr>
          <m:e>
            <m:r>
              <w:rPr>
                <w:rFonts w:ascii="Cambria Math" w:hAnsi="Cambria Math" w:cs="Times New Roman"/>
              </w:rPr>
              <m:t>EDU</m:t>
            </m:r>
          </m:e>
          <m:sub>
            <m:r>
              <w:rPr>
                <w:rFonts w:ascii="Cambria Math" w:hAnsi="Cambria Math" w:cs="Times New Roman"/>
              </w:rPr>
              <m:t>it</m:t>
            </m:r>
          </m:sub>
        </m:sSub>
      </m:oMath>
      <w:r w:rsidR="003D19C9" w:rsidRPr="003D19C9">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POP</m:t>
            </m:r>
          </m:e>
          <m:sub>
            <m:r>
              <w:rPr>
                <w:rFonts w:ascii="Cambria Math" w:hAnsi="Cambria Math" w:cs="Times New Roman"/>
              </w:rPr>
              <m:t>it</m:t>
            </m:r>
          </m:sub>
        </m:sSub>
      </m:oMath>
      <w:r w:rsidR="003D19C9" w:rsidRPr="003D19C9">
        <w:rPr>
          <w:rFonts w:ascii="Times New Roman" w:hAnsi="Times New Roman" w:cs="Times New Roman"/>
        </w:rPr>
        <w:t xml:space="preserve">)                                                          </w:t>
      </w:r>
      <w:proofErr w:type="gramStart"/>
      <w:r w:rsidR="003D19C9" w:rsidRPr="003D19C9">
        <w:rPr>
          <w:rFonts w:ascii="Times New Roman" w:hAnsi="Times New Roman" w:cs="Times New Roman"/>
        </w:rPr>
        <w:t xml:space="preserve">   (</w:t>
      </w:r>
      <w:proofErr w:type="gramEnd"/>
      <w:r w:rsidR="00747CD6">
        <w:rPr>
          <w:rFonts w:ascii="Times New Roman" w:hAnsi="Times New Roman" w:cs="Times New Roman"/>
        </w:rPr>
        <w:t>3.0</w:t>
      </w:r>
      <w:r w:rsidR="003D19C9" w:rsidRPr="003D19C9">
        <w:rPr>
          <w:rFonts w:ascii="Times New Roman" w:hAnsi="Times New Roman" w:cs="Times New Roman"/>
        </w:rPr>
        <w:t>)</w:t>
      </w:r>
    </w:p>
    <w:p w14:paraId="167676C2" w14:textId="77777777" w:rsidR="003D19C9" w:rsidRPr="003D19C9" w:rsidRDefault="003D19C9" w:rsidP="003D19C9">
      <w:pPr>
        <w:spacing w:line="276" w:lineRule="auto"/>
        <w:jc w:val="both"/>
        <w:rPr>
          <w:rFonts w:ascii="Times New Roman" w:hAnsi="Times New Roman" w:cs="Times New Roman"/>
        </w:rPr>
      </w:pPr>
    </w:p>
    <w:p w14:paraId="59B6B1E3" w14:textId="6D0E3493" w:rsidR="003D19C9" w:rsidRPr="003D19C9" w:rsidRDefault="003D19C9" w:rsidP="003D19C9">
      <w:pPr>
        <w:spacing w:line="276" w:lineRule="auto"/>
        <w:jc w:val="both"/>
        <w:rPr>
          <w:rFonts w:ascii="Times New Roman" w:hAnsi="Times New Roman" w:cs="Times New Roman"/>
        </w:rPr>
      </w:pPr>
      <w:r w:rsidRPr="003D19C9">
        <w:rPr>
          <w:rFonts w:ascii="Times New Roman" w:hAnsi="Times New Roman" w:cs="Times New Roman"/>
        </w:rPr>
        <w:t xml:space="preserve">Hence, the estimated Model is specified in equation </w:t>
      </w:r>
      <w:r w:rsidR="00747CD6">
        <w:rPr>
          <w:rFonts w:ascii="Times New Roman" w:hAnsi="Times New Roman" w:cs="Times New Roman"/>
        </w:rPr>
        <w:t xml:space="preserve">                                                     </w:t>
      </w:r>
      <w:proofErr w:type="gramStart"/>
      <w:r w:rsidR="00747CD6">
        <w:rPr>
          <w:rFonts w:ascii="Times New Roman" w:hAnsi="Times New Roman" w:cs="Times New Roman"/>
        </w:rPr>
        <w:t xml:space="preserve">   </w:t>
      </w:r>
      <w:r w:rsidRPr="003D19C9">
        <w:rPr>
          <w:rFonts w:ascii="Times New Roman" w:hAnsi="Times New Roman" w:cs="Times New Roman"/>
        </w:rPr>
        <w:t>(</w:t>
      </w:r>
      <w:proofErr w:type="gramEnd"/>
      <w:r w:rsidR="00747CD6">
        <w:rPr>
          <w:rFonts w:ascii="Times New Roman" w:hAnsi="Times New Roman" w:cs="Times New Roman"/>
        </w:rPr>
        <w:t>3.1</w:t>
      </w:r>
      <w:r w:rsidRPr="003D19C9">
        <w:rPr>
          <w:rFonts w:ascii="Times New Roman" w:hAnsi="Times New Roman" w:cs="Times New Roman"/>
        </w:rPr>
        <w:t>)</w:t>
      </w:r>
    </w:p>
    <w:p w14:paraId="50D34142" w14:textId="77777777" w:rsidR="003D19C9" w:rsidRPr="003D19C9" w:rsidRDefault="003D19C9" w:rsidP="003D19C9">
      <w:pPr>
        <w:spacing w:line="276" w:lineRule="auto"/>
        <w:jc w:val="both"/>
        <w:rPr>
          <w:rFonts w:ascii="Times New Roman" w:hAnsi="Times New Roman" w:cs="Times New Roman"/>
        </w:rPr>
      </w:pPr>
    </w:p>
    <w:p w14:paraId="537B5B1D" w14:textId="77777777" w:rsidR="003D19C9" w:rsidRPr="003D19C9" w:rsidRDefault="003D19C9" w:rsidP="003D19C9">
      <w:pPr>
        <w:spacing w:line="276" w:lineRule="auto"/>
        <w:jc w:val="both"/>
        <w:rPr>
          <w:rFonts w:ascii="Times New Roman" w:hAnsi="Times New Roman" w:cs="Times New Roman"/>
          <w:b/>
          <w:bCs/>
        </w:rPr>
      </w:pPr>
      <w:r w:rsidRPr="003D19C9">
        <w:rPr>
          <w:rFonts w:ascii="Times New Roman" w:hAnsi="Times New Roman" w:cs="Times New Roman"/>
          <w:b/>
          <w:bCs/>
        </w:rPr>
        <w:t xml:space="preserve">Bounds Test for Cointegration Equation </w:t>
      </w:r>
    </w:p>
    <w:p w14:paraId="3E635515" w14:textId="1E8ABF81" w:rsidR="003D19C9" w:rsidRPr="003D19C9" w:rsidRDefault="003D19C9" w:rsidP="003D19C9">
      <w:pPr>
        <w:spacing w:line="276" w:lineRule="auto"/>
        <w:jc w:val="both"/>
        <w:rPr>
          <w:rFonts w:ascii="Times New Roman" w:hAnsi="Times New Roman" w:cs="Times New Roman"/>
          <w:b/>
          <w:bCs/>
        </w:rPr>
      </w:pPr>
      <m:oMathPara>
        <m:oMath>
          <m:r>
            <m:rPr>
              <m:sty m:val="p"/>
            </m:rPr>
            <w:rPr>
              <w:rFonts w:ascii="Cambria Math" w:hAnsi="Cambria Math" w:cs="Times New Roman"/>
            </w:rPr>
            <m:t>Δ</m:t>
          </m:r>
          <m:r>
            <w:rPr>
              <w:rFonts w:ascii="Cambria Math" w:hAnsi="Cambria Math" w:cs="Times New Roman"/>
            </w:rPr>
            <m:t>RGD</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0</m:t>
              </m:r>
            </m:sub>
          </m:sSub>
          <m:r>
            <w:rPr>
              <w:rFonts w:ascii="Cambria Math" w:hAnsi="Cambria Math" w:cs="Times New Roman"/>
            </w:rPr>
            <m:t>+</m:t>
          </m:r>
          <m:nary>
            <m:naryPr>
              <m:chr m:val="∑"/>
              <m:limLoc m:val="undOvr"/>
              <m:grow m:val="1"/>
              <m:ctrlPr>
                <w:rPr>
                  <w:rFonts w:ascii="Cambria Math" w:hAnsi="Cambria Math" w:cs="Times New Roman"/>
                </w:rPr>
              </m:ctrlPr>
            </m:naryPr>
            <m:sub>
              <m:r>
                <w:rPr>
                  <w:rFonts w:ascii="Cambria Math" w:hAnsi="Cambria Math" w:cs="Times New Roman"/>
                </w:rPr>
                <m:t>j=1</m:t>
              </m:r>
            </m:sub>
            <m:sup>
              <m:r>
                <w:rPr>
                  <w:rFonts w:ascii="Cambria Math" w:hAnsi="Cambria Math" w:cs="Times New Roman"/>
                </w:rPr>
                <m:t>p</m:t>
              </m:r>
            </m:sup>
            <m:e>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1</m:t>
                  </m:r>
                </m:sub>
              </m:sSub>
            </m:e>
          </m:nary>
          <m:r>
            <m:rPr>
              <m:sty m:val="p"/>
            </m:rPr>
            <w:rPr>
              <w:rFonts w:ascii="Cambria Math" w:hAnsi="Cambria Math" w:cs="Times New Roman"/>
            </w:rPr>
            <m:t>Δ</m:t>
          </m:r>
          <m:r>
            <w:rPr>
              <w:rFonts w:ascii="Cambria Math" w:hAnsi="Cambria Math" w:cs="Times New Roman"/>
            </w:rPr>
            <m:t>RGD</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i,t-j</m:t>
              </m:r>
            </m:sub>
          </m:sSub>
          <m:r>
            <w:rPr>
              <w:rFonts w:ascii="Cambria Math" w:hAnsi="Cambria Math" w:cs="Times New Roman"/>
            </w:rPr>
            <m:t>+</m:t>
          </m:r>
          <m:nary>
            <m:naryPr>
              <m:chr m:val="∑"/>
              <m:limLoc m:val="undOvr"/>
              <m:grow m:val="1"/>
              <m:ctrlPr>
                <w:rPr>
                  <w:rFonts w:ascii="Cambria Math" w:hAnsi="Cambria Math" w:cs="Times New Roman"/>
                </w:rPr>
              </m:ctrlPr>
            </m:naryPr>
            <m:sub>
              <m:r>
                <w:rPr>
                  <w:rFonts w:ascii="Cambria Math" w:hAnsi="Cambria Math" w:cs="Times New Roman"/>
                </w:rPr>
                <m:t>j=0</m:t>
              </m:r>
            </m:sub>
            <m:sup>
              <m:r>
                <w:rPr>
                  <w:rFonts w:ascii="Cambria Math" w:hAnsi="Cambria Math" w:cs="Times New Roman"/>
                </w:rPr>
                <m:t>q</m:t>
              </m:r>
            </m:sup>
            <m:e>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2</m:t>
                  </m:r>
                </m:sub>
              </m:sSub>
            </m:e>
          </m:nary>
          <m:r>
            <m:rPr>
              <m:sty m:val="p"/>
            </m:rPr>
            <w:rPr>
              <w:rFonts w:ascii="Cambria Math" w:hAnsi="Cambria Math" w:cs="Times New Roman"/>
            </w:rPr>
            <m:t>Δ</m:t>
          </m:r>
          <m:r>
            <w:rPr>
              <w:rFonts w:ascii="Cambria Math" w:hAnsi="Cambria Math" w:cs="Times New Roman"/>
            </w:rPr>
            <m:t>LE</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i,t-j</m:t>
              </m:r>
            </m:sub>
          </m:sSub>
          <m:r>
            <w:rPr>
              <w:rFonts w:ascii="Cambria Math" w:hAnsi="Cambria Math" w:cs="Times New Roman"/>
            </w:rPr>
            <m:t>+</m:t>
          </m:r>
          <m:nary>
            <m:naryPr>
              <m:chr m:val="∑"/>
              <m:limLoc m:val="undOvr"/>
              <m:grow m:val="1"/>
              <m:ctrlPr>
                <w:rPr>
                  <w:rFonts w:ascii="Cambria Math" w:hAnsi="Cambria Math" w:cs="Times New Roman"/>
                </w:rPr>
              </m:ctrlPr>
            </m:naryPr>
            <m:sub>
              <m:r>
                <w:rPr>
                  <w:rFonts w:ascii="Cambria Math" w:hAnsi="Cambria Math" w:cs="Times New Roman"/>
                </w:rPr>
                <m:t>j=0</m:t>
              </m:r>
            </m:sub>
            <m:sup>
              <m:r>
                <w:rPr>
                  <w:rFonts w:ascii="Cambria Math" w:hAnsi="Cambria Math" w:cs="Times New Roman"/>
                </w:rPr>
                <m:t>q</m:t>
              </m:r>
            </m:sup>
            <m:e>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3</m:t>
                  </m:r>
                </m:sub>
              </m:sSub>
            </m:e>
          </m:nary>
          <m:r>
            <m:rPr>
              <m:sty m:val="p"/>
            </m:rPr>
            <w:rPr>
              <w:rFonts w:ascii="Cambria Math" w:hAnsi="Cambria Math" w:cs="Times New Roman"/>
            </w:rPr>
            <m:t>Δ</m:t>
          </m:r>
          <m:r>
            <w:rPr>
              <w:rFonts w:ascii="Cambria Math" w:hAnsi="Cambria Math" w:cs="Times New Roman"/>
            </w:rPr>
            <m:t>UN+</m:t>
          </m:r>
          <m:nary>
            <m:naryPr>
              <m:chr m:val="∑"/>
              <m:limLoc m:val="undOvr"/>
              <m:grow m:val="1"/>
              <m:ctrlPr>
                <w:rPr>
                  <w:rFonts w:ascii="Cambria Math" w:hAnsi="Cambria Math" w:cs="Times New Roman"/>
                </w:rPr>
              </m:ctrlPr>
            </m:naryPr>
            <m:sub>
              <m:r>
                <w:rPr>
                  <w:rFonts w:ascii="Cambria Math" w:hAnsi="Cambria Math" w:cs="Times New Roman"/>
                </w:rPr>
                <m:t>j=0</m:t>
              </m:r>
            </m:sub>
            <m:sup>
              <m:r>
                <w:rPr>
                  <w:rFonts w:ascii="Cambria Math" w:hAnsi="Cambria Math" w:cs="Times New Roman"/>
                </w:rPr>
                <m:t>q</m:t>
              </m:r>
            </m:sup>
            <m:e>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4</m:t>
                  </m:r>
                </m:sub>
              </m:sSub>
            </m:e>
          </m:nary>
          <m:r>
            <m:rPr>
              <m:sty m:val="p"/>
            </m:rPr>
            <w:rPr>
              <w:rFonts w:ascii="Cambria Math" w:hAnsi="Cambria Math" w:cs="Times New Roman"/>
            </w:rPr>
            <m:t>Δ</m:t>
          </m:r>
          <m:r>
            <w:rPr>
              <w:rFonts w:ascii="Cambria Math" w:hAnsi="Cambria Math" w:cs="Times New Roman"/>
            </w:rPr>
            <m:t>HE</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i,t-j</m:t>
              </m:r>
            </m:sub>
          </m:sSub>
          <m:r>
            <w:rPr>
              <w:rFonts w:ascii="Cambria Math" w:hAnsi="Cambria Math" w:cs="Times New Roman"/>
            </w:rPr>
            <m:t>+</m:t>
          </m:r>
          <m:nary>
            <m:naryPr>
              <m:chr m:val="∑"/>
              <m:limLoc m:val="undOvr"/>
              <m:grow m:val="1"/>
              <m:ctrlPr>
                <w:rPr>
                  <w:rFonts w:ascii="Cambria Math" w:hAnsi="Cambria Math" w:cs="Times New Roman"/>
                </w:rPr>
              </m:ctrlPr>
            </m:naryPr>
            <m:sub>
              <m:r>
                <w:rPr>
                  <w:rFonts w:ascii="Cambria Math" w:hAnsi="Cambria Math" w:cs="Times New Roman"/>
                </w:rPr>
                <m:t>j=0</m:t>
              </m:r>
            </m:sub>
            <m:sup>
              <m:r>
                <w:rPr>
                  <w:rFonts w:ascii="Cambria Math" w:hAnsi="Cambria Math" w:cs="Times New Roman"/>
                </w:rPr>
                <m:t>q</m:t>
              </m:r>
            </m:sup>
            <m:e>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5</m:t>
                  </m:r>
                </m:sub>
              </m:sSub>
            </m:e>
          </m:nary>
          <m:r>
            <m:rPr>
              <m:sty m:val="p"/>
            </m:rPr>
            <w:rPr>
              <w:rFonts w:ascii="Cambria Math" w:hAnsi="Cambria Math" w:cs="Times New Roman"/>
            </w:rPr>
            <m:t>Δ</m:t>
          </m:r>
          <m:r>
            <w:rPr>
              <w:rFonts w:ascii="Cambria Math" w:hAnsi="Cambria Math" w:cs="Times New Roman"/>
            </w:rPr>
            <m:t>ED</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i,t-j</m:t>
              </m:r>
            </m:sub>
          </m:sSub>
          <m:r>
            <w:rPr>
              <w:rFonts w:ascii="Cambria Math" w:hAnsi="Cambria Math" w:cs="Times New Roman"/>
            </w:rPr>
            <m:t>+</m:t>
          </m:r>
          <m:nary>
            <m:naryPr>
              <m:chr m:val="∑"/>
              <m:limLoc m:val="undOvr"/>
              <m:grow m:val="1"/>
              <m:ctrlPr>
                <w:rPr>
                  <w:rFonts w:ascii="Cambria Math" w:hAnsi="Cambria Math" w:cs="Times New Roman"/>
                </w:rPr>
              </m:ctrlPr>
            </m:naryPr>
            <m:sub>
              <m:r>
                <w:rPr>
                  <w:rFonts w:ascii="Cambria Math" w:hAnsi="Cambria Math" w:cs="Times New Roman"/>
                </w:rPr>
                <m:t>j=0</m:t>
              </m:r>
            </m:sub>
            <m:sup>
              <m:r>
                <w:rPr>
                  <w:rFonts w:ascii="Cambria Math" w:hAnsi="Cambria Math" w:cs="Times New Roman"/>
                </w:rPr>
                <m:t>q</m:t>
              </m:r>
            </m:sup>
            <m:e>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6</m:t>
                  </m:r>
                </m:sub>
              </m:sSub>
            </m:e>
          </m:nary>
          <m:r>
            <m:rPr>
              <m:sty m:val="p"/>
            </m:rPr>
            <w:rPr>
              <w:rFonts w:ascii="Cambria Math" w:hAnsi="Cambria Math" w:cs="Times New Roman"/>
            </w:rPr>
            <m:t>Δ</m:t>
          </m:r>
          <m:r>
            <w:rPr>
              <w:rFonts w:ascii="Cambria Math" w:hAnsi="Cambria Math" w:cs="Times New Roman"/>
            </w:rPr>
            <m:t>PO</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i,t-j</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1</m:t>
              </m:r>
            </m:sub>
          </m:sSub>
          <m:r>
            <w:rPr>
              <w:rFonts w:ascii="Cambria Math" w:hAnsi="Cambria Math" w:cs="Times New Roman"/>
            </w:rPr>
            <m:t>RGD</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2</m:t>
              </m:r>
            </m:sub>
          </m:sSub>
          <m:r>
            <w:rPr>
              <w:rFonts w:ascii="Cambria Math" w:hAnsi="Cambria Math" w:cs="Times New Roman"/>
            </w:rPr>
            <m:t>LE</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3</m:t>
              </m:r>
            </m:sub>
          </m:sSub>
          <m:r>
            <w:rPr>
              <w:rFonts w:ascii="Cambria Math" w:hAnsi="Cambria Math" w:cs="Times New Roman"/>
            </w:rPr>
            <m:t>UN</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i,t-1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4</m:t>
              </m:r>
            </m:sub>
          </m:sSub>
          <m:r>
            <w:rPr>
              <w:rFonts w:ascii="Cambria Math" w:hAnsi="Cambria Math" w:cs="Times New Roman"/>
            </w:rPr>
            <m:t>HE</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5</m:t>
              </m:r>
            </m:sub>
          </m:sSub>
          <m:r>
            <w:rPr>
              <w:rFonts w:ascii="Cambria Math" w:hAnsi="Cambria Math" w:cs="Times New Roman"/>
            </w:rPr>
            <m:t>ED</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i,t-1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6</m:t>
              </m:r>
            </m:sub>
          </m:sSub>
          <m:r>
            <w:rPr>
              <w:rFonts w:ascii="Cambria Math" w:hAnsi="Cambria Math" w:cs="Times New Roman"/>
            </w:rPr>
            <m:t>PO</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γ</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it</m:t>
              </m:r>
            </m:sub>
          </m:sSub>
          <m:r>
            <w:rPr>
              <w:rFonts w:ascii="Cambria Math" w:hAnsi="Cambria Math" w:cs="Times New Roman"/>
            </w:rPr>
            <m:t xml:space="preserve">         (3.2)</m:t>
          </m:r>
          <m:r>
            <m:rPr>
              <m:sty m:val="p"/>
            </m:rPr>
            <w:rPr>
              <w:rFonts w:ascii="Cambria Math" w:hAnsi="Cambria Math" w:cs="Times New Roman"/>
            </w:rPr>
            <w:br/>
          </m:r>
        </m:oMath>
      </m:oMathPara>
      <w:r w:rsidRPr="003D19C9">
        <w:rPr>
          <w:rFonts w:ascii="Times New Roman" w:hAnsi="Times New Roman" w:cs="Times New Roman"/>
          <w:b/>
          <w:bCs/>
        </w:rPr>
        <w:t xml:space="preserve"> Long-Run Equation</w:t>
      </w:r>
    </w:p>
    <w:p w14:paraId="03C3CF8A" w14:textId="77777777" w:rsidR="003D19C9" w:rsidRPr="003D19C9" w:rsidRDefault="003D19C9" w:rsidP="003D19C9">
      <w:pPr>
        <w:spacing w:line="276" w:lineRule="auto"/>
        <w:jc w:val="both"/>
        <w:rPr>
          <w:rFonts w:ascii="Times New Roman" w:hAnsi="Times New Roman" w:cs="Times New Roman"/>
        </w:rPr>
      </w:pPr>
      <w:r w:rsidRPr="003D19C9">
        <w:rPr>
          <w:rFonts w:ascii="Times New Roman" w:hAnsi="Times New Roman" w:cs="Times New Roman"/>
        </w:rPr>
        <w:t>Since it was confirmed that cointegration exist in the model, the long-run relationship is:</w:t>
      </w:r>
    </w:p>
    <w:p w14:paraId="09FD8A7F" w14:textId="74CD1BB5" w:rsidR="003D19C9" w:rsidRPr="003D19C9" w:rsidRDefault="003D19C9" w:rsidP="003D19C9">
      <w:pPr>
        <w:spacing w:line="276" w:lineRule="auto"/>
        <w:jc w:val="both"/>
        <w:rPr>
          <w:rFonts w:ascii="Times New Roman" w:hAnsi="Times New Roman" w:cs="Times New Roman"/>
        </w:rPr>
      </w:pPr>
      <m:oMathPara>
        <m:oMath>
          <m:r>
            <w:rPr>
              <w:rFonts w:ascii="Cambria Math" w:hAnsi="Cambria Math" w:cs="Times New Roman"/>
            </w:rPr>
            <m:t>RGD</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LE</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UN</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HE</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4</m:t>
              </m:r>
            </m:sub>
          </m:sSub>
          <m:r>
            <w:rPr>
              <w:rFonts w:ascii="Cambria Math" w:hAnsi="Cambria Math" w:cs="Times New Roman"/>
            </w:rPr>
            <m:t>ED</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5</m:t>
              </m:r>
            </m:sub>
          </m:sSub>
          <m:r>
            <w:rPr>
              <w:rFonts w:ascii="Cambria Math" w:hAnsi="Cambria Math" w:cs="Times New Roman"/>
            </w:rPr>
            <m:t>PO</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γ</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it</m:t>
              </m:r>
            </m:sub>
          </m:sSub>
          <m:r>
            <w:rPr>
              <w:rFonts w:ascii="Cambria Math" w:hAnsi="Cambria Math" w:cs="Times New Roman"/>
            </w:rPr>
            <m:t xml:space="preserve">      (3.3)</m:t>
          </m:r>
        </m:oMath>
      </m:oMathPara>
    </w:p>
    <w:p w14:paraId="5EB6E7CD" w14:textId="77777777" w:rsidR="003D19C9" w:rsidRPr="003D19C9" w:rsidRDefault="003D19C9" w:rsidP="003D19C9">
      <w:pPr>
        <w:spacing w:line="276" w:lineRule="auto"/>
        <w:jc w:val="both"/>
        <w:rPr>
          <w:rFonts w:ascii="Times New Roman" w:hAnsi="Times New Roman" w:cs="Times New Roman"/>
        </w:rPr>
      </w:pPr>
      <w:r w:rsidRPr="003D19C9">
        <w:rPr>
          <w:rFonts w:ascii="Times New Roman" w:hAnsi="Times New Roman" w:cs="Times New Roman"/>
          <w:b/>
          <w:bCs/>
        </w:rPr>
        <w:t>Short-Run Equation (ECM)</w:t>
      </w:r>
    </w:p>
    <w:p w14:paraId="29E7901F" w14:textId="74FE7475" w:rsidR="003D19C9" w:rsidRPr="003D19C9" w:rsidRDefault="003D19C9" w:rsidP="003D19C9">
      <w:pPr>
        <w:spacing w:line="276" w:lineRule="auto"/>
        <w:jc w:val="both"/>
        <w:rPr>
          <w:rFonts w:ascii="Times New Roman" w:hAnsi="Times New Roman" w:cs="Times New Roman"/>
        </w:rPr>
      </w:pPr>
      <m:oMathPara>
        <m:oMath>
          <m:r>
            <m:rPr>
              <m:sty m:val="p"/>
            </m:rPr>
            <w:rPr>
              <w:rFonts w:ascii="Cambria Math" w:hAnsi="Cambria Math" w:cs="Times New Roman"/>
            </w:rPr>
            <m:t>Δ</m:t>
          </m:r>
          <m:r>
            <w:rPr>
              <w:rFonts w:ascii="Cambria Math" w:hAnsi="Cambria Math" w:cs="Times New Roman"/>
            </w:rPr>
            <m:t>RGD</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0</m:t>
              </m:r>
            </m:sub>
          </m:sSub>
          <m:r>
            <w:rPr>
              <w:rFonts w:ascii="Cambria Math" w:hAnsi="Cambria Math" w:cs="Times New Roman"/>
            </w:rPr>
            <m:t>+</m:t>
          </m:r>
          <m:nary>
            <m:naryPr>
              <m:chr m:val="∑"/>
              <m:limLoc m:val="undOvr"/>
              <m:grow m:val="1"/>
              <m:ctrlPr>
                <w:rPr>
                  <w:rFonts w:ascii="Cambria Math" w:hAnsi="Cambria Math" w:cs="Times New Roman"/>
                </w:rPr>
              </m:ctrlPr>
            </m:naryPr>
            <m:sub>
              <m:r>
                <w:rPr>
                  <w:rFonts w:ascii="Cambria Math" w:hAnsi="Cambria Math" w:cs="Times New Roman"/>
                </w:rPr>
                <m:t>j=1</m:t>
              </m:r>
            </m:sub>
            <m:sup>
              <m:r>
                <w:rPr>
                  <w:rFonts w:ascii="Cambria Math" w:hAnsi="Cambria Math" w:cs="Times New Roman"/>
                </w:rPr>
                <m:t>p</m:t>
              </m:r>
            </m:sup>
            <m:e>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1</m:t>
                  </m:r>
                </m:sub>
              </m:sSub>
            </m:e>
          </m:nary>
          <m:r>
            <m:rPr>
              <m:sty m:val="p"/>
            </m:rPr>
            <w:rPr>
              <w:rFonts w:ascii="Cambria Math" w:hAnsi="Cambria Math" w:cs="Times New Roman"/>
            </w:rPr>
            <m:t>Δ</m:t>
          </m:r>
          <m:r>
            <w:rPr>
              <w:rFonts w:ascii="Cambria Math" w:hAnsi="Cambria Math" w:cs="Times New Roman"/>
            </w:rPr>
            <m:t>RGD</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i,t-j</m:t>
              </m:r>
            </m:sub>
          </m:sSub>
          <m:r>
            <w:rPr>
              <w:rFonts w:ascii="Cambria Math" w:hAnsi="Cambria Math" w:cs="Times New Roman"/>
            </w:rPr>
            <m:t>+</m:t>
          </m:r>
          <m:nary>
            <m:naryPr>
              <m:chr m:val="∑"/>
              <m:limLoc m:val="undOvr"/>
              <m:grow m:val="1"/>
              <m:ctrlPr>
                <w:rPr>
                  <w:rFonts w:ascii="Cambria Math" w:hAnsi="Cambria Math" w:cs="Times New Roman"/>
                </w:rPr>
              </m:ctrlPr>
            </m:naryPr>
            <m:sub>
              <m:r>
                <w:rPr>
                  <w:rFonts w:ascii="Cambria Math" w:hAnsi="Cambria Math" w:cs="Times New Roman"/>
                </w:rPr>
                <m:t>j=0</m:t>
              </m:r>
            </m:sub>
            <m:sup>
              <m:r>
                <w:rPr>
                  <w:rFonts w:ascii="Cambria Math" w:hAnsi="Cambria Math" w:cs="Times New Roman"/>
                </w:rPr>
                <m:t>q</m:t>
              </m:r>
            </m:sup>
            <m:e>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2</m:t>
                  </m:r>
                </m:sub>
              </m:sSub>
            </m:e>
          </m:nary>
          <m:r>
            <m:rPr>
              <m:sty m:val="p"/>
            </m:rPr>
            <w:rPr>
              <w:rFonts w:ascii="Cambria Math" w:hAnsi="Cambria Math" w:cs="Times New Roman"/>
            </w:rPr>
            <m:t>Δ</m:t>
          </m:r>
          <m:r>
            <w:rPr>
              <w:rFonts w:ascii="Cambria Math" w:hAnsi="Cambria Math" w:cs="Times New Roman"/>
            </w:rPr>
            <m:t>LE</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i,t-j</m:t>
              </m:r>
            </m:sub>
          </m:sSub>
          <m:r>
            <w:rPr>
              <w:rFonts w:ascii="Cambria Math" w:hAnsi="Cambria Math" w:cs="Times New Roman"/>
            </w:rPr>
            <m:t>+</m:t>
          </m:r>
          <m:nary>
            <m:naryPr>
              <m:chr m:val="∑"/>
              <m:limLoc m:val="undOvr"/>
              <m:grow m:val="1"/>
              <m:ctrlPr>
                <w:rPr>
                  <w:rFonts w:ascii="Cambria Math" w:hAnsi="Cambria Math" w:cs="Times New Roman"/>
                </w:rPr>
              </m:ctrlPr>
            </m:naryPr>
            <m:sub>
              <m:r>
                <w:rPr>
                  <w:rFonts w:ascii="Cambria Math" w:hAnsi="Cambria Math" w:cs="Times New Roman"/>
                </w:rPr>
                <m:t>j=0</m:t>
              </m:r>
            </m:sub>
            <m:sup>
              <m:r>
                <w:rPr>
                  <w:rFonts w:ascii="Cambria Math" w:hAnsi="Cambria Math" w:cs="Times New Roman"/>
                </w:rPr>
                <m:t>q</m:t>
              </m:r>
            </m:sup>
            <m:e>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3</m:t>
                  </m:r>
                </m:sub>
              </m:sSub>
            </m:e>
          </m:nary>
          <m:r>
            <m:rPr>
              <m:sty m:val="p"/>
            </m:rPr>
            <w:rPr>
              <w:rFonts w:ascii="Cambria Math" w:hAnsi="Cambria Math" w:cs="Times New Roman"/>
            </w:rPr>
            <m:t>Δ</m:t>
          </m:r>
          <m:r>
            <w:rPr>
              <w:rFonts w:ascii="Cambria Math" w:hAnsi="Cambria Math" w:cs="Times New Roman"/>
            </w:rPr>
            <m:t>UN+</m:t>
          </m:r>
          <m:nary>
            <m:naryPr>
              <m:chr m:val="∑"/>
              <m:limLoc m:val="undOvr"/>
              <m:grow m:val="1"/>
              <m:ctrlPr>
                <w:rPr>
                  <w:rFonts w:ascii="Cambria Math" w:hAnsi="Cambria Math" w:cs="Times New Roman"/>
                </w:rPr>
              </m:ctrlPr>
            </m:naryPr>
            <m:sub>
              <m:r>
                <w:rPr>
                  <w:rFonts w:ascii="Cambria Math" w:hAnsi="Cambria Math" w:cs="Times New Roman"/>
                </w:rPr>
                <m:t>j=0</m:t>
              </m:r>
            </m:sub>
            <m:sup>
              <m:r>
                <w:rPr>
                  <w:rFonts w:ascii="Cambria Math" w:hAnsi="Cambria Math" w:cs="Times New Roman"/>
                </w:rPr>
                <m:t>q</m:t>
              </m:r>
            </m:sup>
            <m:e>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4</m:t>
                  </m:r>
                </m:sub>
              </m:sSub>
            </m:e>
          </m:nary>
          <m:r>
            <m:rPr>
              <m:sty m:val="p"/>
            </m:rPr>
            <w:rPr>
              <w:rFonts w:ascii="Cambria Math" w:hAnsi="Cambria Math" w:cs="Times New Roman"/>
            </w:rPr>
            <m:t>Δ</m:t>
          </m:r>
          <m:r>
            <w:rPr>
              <w:rFonts w:ascii="Cambria Math" w:hAnsi="Cambria Math" w:cs="Times New Roman"/>
            </w:rPr>
            <m:t>HE</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i,t-j</m:t>
              </m:r>
            </m:sub>
          </m:sSub>
          <m:r>
            <w:rPr>
              <w:rFonts w:ascii="Cambria Math" w:hAnsi="Cambria Math" w:cs="Times New Roman"/>
            </w:rPr>
            <m:t>+</m:t>
          </m:r>
          <m:nary>
            <m:naryPr>
              <m:chr m:val="∑"/>
              <m:limLoc m:val="undOvr"/>
              <m:grow m:val="1"/>
              <m:ctrlPr>
                <w:rPr>
                  <w:rFonts w:ascii="Cambria Math" w:hAnsi="Cambria Math" w:cs="Times New Roman"/>
                </w:rPr>
              </m:ctrlPr>
            </m:naryPr>
            <m:sub>
              <m:r>
                <w:rPr>
                  <w:rFonts w:ascii="Cambria Math" w:hAnsi="Cambria Math" w:cs="Times New Roman"/>
                </w:rPr>
                <m:t>j=0</m:t>
              </m:r>
            </m:sub>
            <m:sup>
              <m:r>
                <w:rPr>
                  <w:rFonts w:ascii="Cambria Math" w:hAnsi="Cambria Math" w:cs="Times New Roman"/>
                </w:rPr>
                <m:t>q</m:t>
              </m:r>
            </m:sup>
            <m:e>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5</m:t>
                  </m:r>
                </m:sub>
              </m:sSub>
            </m:e>
          </m:nary>
          <m:r>
            <m:rPr>
              <m:sty m:val="p"/>
            </m:rPr>
            <w:rPr>
              <w:rFonts w:ascii="Cambria Math" w:hAnsi="Cambria Math" w:cs="Times New Roman"/>
            </w:rPr>
            <m:t>Δ</m:t>
          </m:r>
          <m:r>
            <w:rPr>
              <w:rFonts w:ascii="Cambria Math" w:hAnsi="Cambria Math" w:cs="Times New Roman"/>
            </w:rPr>
            <m:t>ED</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i,t-j</m:t>
              </m:r>
            </m:sub>
          </m:sSub>
          <m:r>
            <w:rPr>
              <w:rFonts w:ascii="Cambria Math" w:hAnsi="Cambria Math" w:cs="Times New Roman"/>
            </w:rPr>
            <m:t>+</m:t>
          </m:r>
          <m:nary>
            <m:naryPr>
              <m:chr m:val="∑"/>
              <m:limLoc m:val="undOvr"/>
              <m:grow m:val="1"/>
              <m:ctrlPr>
                <w:rPr>
                  <w:rFonts w:ascii="Cambria Math" w:hAnsi="Cambria Math" w:cs="Times New Roman"/>
                </w:rPr>
              </m:ctrlPr>
            </m:naryPr>
            <m:sub>
              <m:r>
                <w:rPr>
                  <w:rFonts w:ascii="Cambria Math" w:hAnsi="Cambria Math" w:cs="Times New Roman"/>
                </w:rPr>
                <m:t>j=0</m:t>
              </m:r>
            </m:sub>
            <m:sup>
              <m:r>
                <w:rPr>
                  <w:rFonts w:ascii="Cambria Math" w:hAnsi="Cambria Math" w:cs="Times New Roman"/>
                </w:rPr>
                <m:t>q</m:t>
              </m:r>
            </m:sup>
            <m:e>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6</m:t>
                  </m:r>
                </m:sub>
              </m:sSub>
            </m:e>
          </m:nary>
          <m:r>
            <m:rPr>
              <m:sty m:val="p"/>
            </m:rPr>
            <w:rPr>
              <w:rFonts w:ascii="Cambria Math" w:hAnsi="Cambria Math" w:cs="Times New Roman"/>
            </w:rPr>
            <m:t>Δ</m:t>
          </m:r>
          <m:r>
            <w:rPr>
              <w:rFonts w:ascii="Cambria Math" w:hAnsi="Cambria Math" w:cs="Times New Roman"/>
            </w:rPr>
            <m:t>PO</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i,t-j</m:t>
              </m:r>
            </m:sub>
          </m:sSub>
          <m:r>
            <w:rPr>
              <w:rFonts w:ascii="Cambria Math" w:hAnsi="Cambria Math" w:cs="Times New Roman"/>
            </w:rPr>
            <m:t>+ϕEC</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i,t-1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γ</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it</m:t>
              </m:r>
            </m:sub>
          </m:sSub>
          <m:r>
            <w:rPr>
              <w:rFonts w:ascii="Cambria Math" w:hAnsi="Cambria Math" w:cs="Times New Roman"/>
            </w:rPr>
            <m:t xml:space="preserve">               (3.4)</m:t>
          </m:r>
          <m:r>
            <m:rPr>
              <m:sty m:val="p"/>
            </m:rPr>
            <w:rPr>
              <w:rFonts w:ascii="Cambria Math" w:hAnsi="Cambria Math" w:cs="Times New Roman"/>
            </w:rPr>
            <w:br/>
          </m:r>
        </m:oMath>
      </m:oMathPara>
      <w:r w:rsidRPr="003D19C9">
        <w:rPr>
          <w:rFonts w:ascii="Times New Roman" w:hAnsi="Times New Roman" w:cs="Times New Roman"/>
          <w:b/>
          <w:bCs/>
        </w:rPr>
        <w:t>Error Correction Term (ECT)</w:t>
      </w:r>
    </w:p>
    <w:p w14:paraId="3390B746" w14:textId="7C344F36" w:rsidR="003D19C9" w:rsidRPr="003D19C9" w:rsidRDefault="003D19C9" w:rsidP="003D19C9">
      <w:pPr>
        <w:spacing w:line="276" w:lineRule="auto"/>
        <w:jc w:val="both"/>
        <w:rPr>
          <w:rFonts w:ascii="Times New Roman" w:hAnsi="Times New Roman" w:cs="Times New Roman"/>
        </w:rPr>
      </w:pPr>
      <m:oMathPara>
        <m:oMath>
          <m:r>
            <w:rPr>
              <w:rFonts w:ascii="Cambria Math" w:hAnsi="Cambria Math" w:cs="Times New Roman"/>
            </w:rPr>
            <m:t>EC</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i,t-1</m:t>
              </m:r>
            </m:sub>
          </m:sSub>
          <m:r>
            <w:rPr>
              <w:rFonts w:ascii="Cambria Math" w:hAnsi="Cambria Math" w:cs="Times New Roman"/>
            </w:rPr>
            <m:t>=RGD</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LE</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UN</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i,t-1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HE</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4</m:t>
              </m:r>
            </m:sub>
          </m:sSub>
          <m:r>
            <w:rPr>
              <w:rFonts w:ascii="Cambria Math" w:hAnsi="Cambria Math" w:cs="Times New Roman"/>
            </w:rPr>
            <m:t>EDU-</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5</m:t>
              </m:r>
            </m:sub>
          </m:sSub>
          <m:r>
            <w:rPr>
              <w:rFonts w:ascii="Cambria Math" w:hAnsi="Cambria Math" w:cs="Times New Roman"/>
            </w:rPr>
            <m:t>PO</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 xml:space="preserve">i,t-1 </m:t>
              </m:r>
            </m:sub>
          </m:sSub>
          <m:r>
            <w:rPr>
              <w:rFonts w:ascii="Cambria Math" w:hAnsi="Cambria Math" w:cs="Times New Roman"/>
            </w:rPr>
            <m:t xml:space="preserve">                                                                                                    (3.5)</m:t>
          </m:r>
          <m:r>
            <m:rPr>
              <m:sty m:val="p"/>
            </m:rPr>
            <w:rPr>
              <w:rFonts w:ascii="Cambria Math" w:hAnsi="Cambria Math" w:cs="Times New Roman"/>
            </w:rPr>
            <w:br/>
          </m:r>
        </m:oMath>
      </m:oMathPara>
    </w:p>
    <w:p w14:paraId="465BD10F" w14:textId="5001B267" w:rsidR="003D19C9" w:rsidRPr="003D19C9" w:rsidRDefault="003D19C9" w:rsidP="003D19C9">
      <w:pPr>
        <w:spacing w:line="276" w:lineRule="auto"/>
        <w:jc w:val="both"/>
        <w:rPr>
          <w:rFonts w:ascii="Times New Roman" w:hAnsi="Times New Roman" w:cs="Times New Roman"/>
        </w:rPr>
      </w:pPr>
      <w:r w:rsidRPr="003D19C9">
        <w:rPr>
          <w:rFonts w:ascii="Times New Roman" w:hAnsi="Times New Roman" w:cs="Times New Roman"/>
        </w:rPr>
        <w:t>where:</w:t>
      </w:r>
    </w:p>
    <w:p w14:paraId="4B6FF6A1" w14:textId="73263889" w:rsidR="003D19C9" w:rsidRPr="003D19C9" w:rsidRDefault="00000000" w:rsidP="003D19C9">
      <w:pPr>
        <w:spacing w:line="276" w:lineRule="auto"/>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RGPD</m:t>
            </m:r>
          </m:e>
          <m:sub>
            <m:r>
              <w:rPr>
                <w:rFonts w:ascii="Cambria Math" w:hAnsi="Cambria Math" w:cs="Times New Roman"/>
              </w:rPr>
              <m:t>it</m:t>
            </m:r>
          </m:sub>
        </m:sSub>
        <m:r>
          <w:rPr>
            <w:rFonts w:ascii="Cambria Math" w:hAnsi="Cambria Math" w:cs="Times New Roman"/>
          </w:rPr>
          <m:t xml:space="preserve">= </m:t>
        </m:r>
      </m:oMath>
      <w:r w:rsidR="003D19C9" w:rsidRPr="003D19C9">
        <w:rPr>
          <w:rFonts w:ascii="Times New Roman" w:hAnsi="Times New Roman" w:cs="Times New Roman"/>
        </w:rPr>
        <w:t>Real GDP growth rate</w:t>
      </w:r>
    </w:p>
    <w:p w14:paraId="21555196" w14:textId="2F486B3A" w:rsidR="003D19C9" w:rsidRPr="003D19C9" w:rsidRDefault="00000000" w:rsidP="003D19C9">
      <w:pPr>
        <w:spacing w:line="276" w:lineRule="auto"/>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LEX</m:t>
            </m:r>
          </m:e>
          <m:sub>
            <m:r>
              <w:rPr>
                <w:rFonts w:ascii="Cambria Math" w:hAnsi="Cambria Math" w:cs="Times New Roman"/>
              </w:rPr>
              <m:t>it</m:t>
            </m:r>
          </m:sub>
        </m:sSub>
        <m:r>
          <w:rPr>
            <w:rFonts w:ascii="Cambria Math" w:hAnsi="Cambria Math" w:cs="Times New Roman"/>
          </w:rPr>
          <m:t xml:space="preserve">= </m:t>
        </m:r>
      </m:oMath>
      <w:r w:rsidR="003D19C9" w:rsidRPr="003D19C9">
        <w:rPr>
          <w:rFonts w:ascii="Times New Roman" w:hAnsi="Times New Roman" w:cs="Times New Roman"/>
        </w:rPr>
        <w:t xml:space="preserve">Life expectancy </w:t>
      </w:r>
    </w:p>
    <w:p w14:paraId="6127ABD3" w14:textId="0768A2DE" w:rsidR="003D19C9" w:rsidRPr="003D19C9" w:rsidRDefault="00000000" w:rsidP="003D19C9">
      <w:pPr>
        <w:spacing w:line="276" w:lineRule="auto"/>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UNM</m:t>
            </m:r>
          </m:e>
          <m:sub>
            <m:r>
              <w:rPr>
                <w:rFonts w:ascii="Cambria Math" w:hAnsi="Cambria Math" w:cs="Times New Roman"/>
              </w:rPr>
              <m:t>it</m:t>
            </m:r>
          </m:sub>
        </m:sSub>
      </m:oMath>
      <w:r w:rsidR="003D19C9" w:rsidRPr="003D19C9">
        <w:rPr>
          <w:rFonts w:ascii="Times New Roman" w:hAnsi="Times New Roman" w:cs="Times New Roman"/>
        </w:rPr>
        <w:t xml:space="preserve"> = Under five mortalities</w:t>
      </w:r>
    </w:p>
    <w:p w14:paraId="49F7B0AB" w14:textId="27374D8C" w:rsidR="003D19C9" w:rsidRPr="003D19C9" w:rsidRDefault="00000000" w:rsidP="003D19C9">
      <w:pPr>
        <w:spacing w:line="276" w:lineRule="auto"/>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HEX</m:t>
            </m:r>
          </m:e>
          <m:sub>
            <m:r>
              <w:rPr>
                <w:rFonts w:ascii="Cambria Math" w:hAnsi="Cambria Math" w:cs="Times New Roman"/>
              </w:rPr>
              <m:t>it</m:t>
            </m:r>
          </m:sub>
        </m:sSub>
        <m:r>
          <w:rPr>
            <w:rFonts w:ascii="Cambria Math" w:hAnsi="Cambria Math" w:cs="Times New Roman"/>
          </w:rPr>
          <m:t xml:space="preserve">= </m:t>
        </m:r>
      </m:oMath>
      <w:r w:rsidR="003D19C9" w:rsidRPr="003D19C9">
        <w:rPr>
          <w:rFonts w:ascii="Times New Roman" w:hAnsi="Times New Roman" w:cs="Times New Roman"/>
        </w:rPr>
        <w:t xml:space="preserve">Health expenditure </w:t>
      </w:r>
    </w:p>
    <w:p w14:paraId="3E4162FE" w14:textId="4E57E483" w:rsidR="003D19C9" w:rsidRPr="003D19C9" w:rsidRDefault="00000000" w:rsidP="003D19C9">
      <w:pPr>
        <w:spacing w:line="276" w:lineRule="auto"/>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EDU</m:t>
            </m:r>
          </m:e>
          <m:sub>
            <m:r>
              <w:rPr>
                <w:rFonts w:ascii="Cambria Math" w:hAnsi="Cambria Math" w:cs="Times New Roman"/>
              </w:rPr>
              <m:t>it</m:t>
            </m:r>
          </m:sub>
        </m:sSub>
        <m:r>
          <w:rPr>
            <w:rFonts w:ascii="Cambria Math" w:hAnsi="Cambria Math" w:cs="Times New Roman"/>
          </w:rPr>
          <m:t xml:space="preserve">= </m:t>
        </m:r>
      </m:oMath>
      <w:r w:rsidR="003D19C9" w:rsidRPr="003D19C9">
        <w:rPr>
          <w:rFonts w:ascii="Times New Roman" w:hAnsi="Times New Roman" w:cs="Times New Roman"/>
        </w:rPr>
        <w:t>Educational expenditure</w:t>
      </w:r>
    </w:p>
    <w:p w14:paraId="6D7F8010" w14:textId="661A28E4" w:rsidR="003D19C9" w:rsidRPr="003D19C9" w:rsidRDefault="00000000" w:rsidP="003D19C9">
      <w:pPr>
        <w:spacing w:line="276" w:lineRule="auto"/>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POP</m:t>
            </m:r>
          </m:e>
          <m:sub>
            <m:r>
              <w:rPr>
                <w:rFonts w:ascii="Cambria Math" w:hAnsi="Cambria Math" w:cs="Times New Roman"/>
              </w:rPr>
              <m:t>it</m:t>
            </m:r>
          </m:sub>
        </m:sSub>
        <m:r>
          <w:rPr>
            <w:rFonts w:ascii="Cambria Math" w:hAnsi="Cambria Math" w:cs="Times New Roman"/>
          </w:rPr>
          <m:t xml:space="preserve">= </m:t>
        </m:r>
      </m:oMath>
      <w:r w:rsidR="003D19C9" w:rsidRPr="003D19C9">
        <w:rPr>
          <w:rFonts w:ascii="Times New Roman" w:hAnsi="Times New Roman" w:cs="Times New Roman"/>
        </w:rPr>
        <w:t>Population</w:t>
      </w:r>
    </w:p>
    <w:bookmarkEnd w:id="2"/>
    <w:p w14:paraId="4F60E531" w14:textId="73994BB6" w:rsidR="003D19C9" w:rsidRPr="003D19C9" w:rsidRDefault="00000000" w:rsidP="003D19C9">
      <w:pPr>
        <w:spacing w:line="276" w:lineRule="auto"/>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Ԑ</m:t>
            </m:r>
          </m:e>
          <m:sub>
            <m:r>
              <w:rPr>
                <w:rFonts w:ascii="Cambria Math" w:hAnsi="Cambria Math" w:cs="Times New Roman"/>
              </w:rPr>
              <m:t>it</m:t>
            </m:r>
          </m:sub>
        </m:sSub>
      </m:oMath>
      <w:r w:rsidR="003D19C9" w:rsidRPr="003D19C9">
        <w:rPr>
          <w:rFonts w:ascii="Times New Roman" w:hAnsi="Times New Roman" w:cs="Times New Roman"/>
        </w:rPr>
        <w:t xml:space="preserve"> = Error term</w:t>
      </w:r>
    </w:p>
    <w:p w14:paraId="53455A8C" w14:textId="77777777" w:rsidR="003D19C9" w:rsidRPr="003D19C9" w:rsidRDefault="003D19C9" w:rsidP="003D19C9">
      <w:pPr>
        <w:spacing w:line="276" w:lineRule="auto"/>
        <w:jc w:val="both"/>
        <w:rPr>
          <w:rFonts w:ascii="Times New Roman" w:hAnsi="Times New Roman" w:cs="Times New Roman"/>
        </w:rPr>
      </w:pPr>
      <w:proofErr w:type="spellStart"/>
      <w:r w:rsidRPr="003D19C9">
        <w:rPr>
          <w:rFonts w:ascii="Times New Roman" w:hAnsi="Times New Roman" w:cs="Times New Roman"/>
        </w:rPr>
        <w:t>i</w:t>
      </w:r>
      <w:proofErr w:type="spellEnd"/>
      <w:r w:rsidRPr="003D19C9">
        <w:rPr>
          <w:rFonts w:ascii="Times New Roman" w:hAnsi="Times New Roman" w:cs="Times New Roman"/>
        </w:rPr>
        <w:t xml:space="preserve"> = country specific</w:t>
      </w:r>
      <w:bookmarkEnd w:id="3"/>
    </w:p>
    <w:p w14:paraId="68F9C041" w14:textId="23CE62DC" w:rsidR="003D19C9" w:rsidRPr="003D19C9" w:rsidRDefault="003D19C9" w:rsidP="003D19C9">
      <w:pPr>
        <w:spacing w:line="276" w:lineRule="auto"/>
        <w:jc w:val="both"/>
        <w:rPr>
          <w:rFonts w:ascii="Times New Roman" w:hAnsi="Times New Roman" w:cs="Times New Roman"/>
          <w:b/>
          <w:bCs/>
        </w:rPr>
      </w:pPr>
      <w:r w:rsidRPr="003D19C9">
        <w:rPr>
          <w:rFonts w:ascii="Times New Roman" w:hAnsi="Times New Roman" w:cs="Times New Roman"/>
          <w:b/>
          <w:bCs/>
        </w:rPr>
        <w:t>Technique of analysis</w:t>
      </w:r>
    </w:p>
    <w:p w14:paraId="505166F6" w14:textId="77777777" w:rsidR="003D19C9" w:rsidRPr="003D19C9" w:rsidRDefault="003D19C9" w:rsidP="003D19C9">
      <w:pPr>
        <w:spacing w:line="276" w:lineRule="auto"/>
        <w:jc w:val="both"/>
        <w:rPr>
          <w:rFonts w:ascii="Times New Roman" w:hAnsi="Times New Roman" w:cs="Times New Roman"/>
        </w:rPr>
      </w:pPr>
      <w:r w:rsidRPr="003D19C9">
        <w:rPr>
          <w:rFonts w:ascii="Times New Roman" w:hAnsi="Times New Roman" w:cs="Times New Roman"/>
        </w:rPr>
        <w:t>This study employs panel econometric techniques to examine the long-run and short-run relationships among health inequality, macroeconomic variables, and development outcomes in Sub-Saharan Africa. Given the dynamic nature of the relationships and the mixed order of integration of the variables, the Panel Autoregressive Distributed Lag (Panel ARDL) model using the Pooled Mean Group (PMG) estimator is adopted as the main estimation technique.</w:t>
      </w:r>
    </w:p>
    <w:p w14:paraId="257DD1C4" w14:textId="77777777" w:rsidR="003D19C9" w:rsidRPr="003D19C9" w:rsidRDefault="003D19C9" w:rsidP="003D19C9">
      <w:pPr>
        <w:spacing w:line="276" w:lineRule="auto"/>
        <w:jc w:val="both"/>
        <w:rPr>
          <w:rFonts w:ascii="Times New Roman" w:hAnsi="Times New Roman" w:cs="Times New Roman"/>
          <w:b/>
          <w:bCs/>
        </w:rPr>
      </w:pPr>
      <w:r w:rsidRPr="003D19C9">
        <w:rPr>
          <w:rFonts w:ascii="Times New Roman" w:hAnsi="Times New Roman" w:cs="Times New Roman"/>
          <w:b/>
          <w:bCs/>
        </w:rPr>
        <w:t>Variables and Measurement</w:t>
      </w:r>
    </w:p>
    <w:tbl>
      <w:tblPr>
        <w:tblStyle w:val="TableGrid"/>
        <w:tblW w:w="9283" w:type="dxa"/>
        <w:tblLook w:val="04A0" w:firstRow="1" w:lastRow="0" w:firstColumn="1" w:lastColumn="0" w:noHBand="0" w:noVBand="1"/>
      </w:tblPr>
      <w:tblGrid>
        <w:gridCol w:w="2190"/>
        <w:gridCol w:w="1266"/>
        <w:gridCol w:w="5827"/>
      </w:tblGrid>
      <w:tr w:rsidR="003D19C9" w:rsidRPr="003D19C9" w14:paraId="2EB51A9C" w14:textId="77777777" w:rsidTr="00747CD6">
        <w:trPr>
          <w:trHeight w:val="490"/>
        </w:trPr>
        <w:tc>
          <w:tcPr>
            <w:tcW w:w="2190" w:type="dxa"/>
            <w:tcBorders>
              <w:top w:val="single" w:sz="4" w:space="0" w:color="auto"/>
            </w:tcBorders>
          </w:tcPr>
          <w:p w14:paraId="66E4FFE7" w14:textId="77777777" w:rsidR="003D19C9" w:rsidRPr="003D19C9" w:rsidRDefault="003D19C9" w:rsidP="003D19C9">
            <w:pPr>
              <w:spacing w:after="160" w:line="276" w:lineRule="auto"/>
              <w:jc w:val="both"/>
              <w:rPr>
                <w:rFonts w:ascii="Times New Roman" w:hAnsi="Times New Roman" w:cs="Times New Roman"/>
                <w:b/>
                <w:bCs/>
              </w:rPr>
            </w:pPr>
            <w:r w:rsidRPr="003D19C9">
              <w:rPr>
                <w:rFonts w:ascii="Times New Roman" w:hAnsi="Times New Roman" w:cs="Times New Roman"/>
                <w:b/>
                <w:bCs/>
              </w:rPr>
              <w:t xml:space="preserve">Variable </w:t>
            </w:r>
          </w:p>
        </w:tc>
        <w:tc>
          <w:tcPr>
            <w:tcW w:w="1266" w:type="dxa"/>
          </w:tcPr>
          <w:p w14:paraId="7A3A277E" w14:textId="77777777" w:rsidR="003D19C9" w:rsidRPr="003D19C9" w:rsidRDefault="003D19C9" w:rsidP="003D19C9">
            <w:pPr>
              <w:spacing w:after="160" w:line="276" w:lineRule="auto"/>
              <w:jc w:val="both"/>
              <w:rPr>
                <w:rFonts w:ascii="Times New Roman" w:hAnsi="Times New Roman" w:cs="Times New Roman"/>
                <w:b/>
                <w:bCs/>
              </w:rPr>
            </w:pPr>
            <w:r w:rsidRPr="003D19C9">
              <w:rPr>
                <w:rFonts w:ascii="Times New Roman" w:hAnsi="Times New Roman" w:cs="Times New Roman"/>
                <w:b/>
                <w:bCs/>
              </w:rPr>
              <w:t xml:space="preserve">Notation </w:t>
            </w:r>
          </w:p>
        </w:tc>
        <w:tc>
          <w:tcPr>
            <w:tcW w:w="5827" w:type="dxa"/>
          </w:tcPr>
          <w:p w14:paraId="240A002A" w14:textId="77777777" w:rsidR="003D19C9" w:rsidRPr="003D19C9" w:rsidRDefault="003D19C9" w:rsidP="003D19C9">
            <w:pPr>
              <w:spacing w:after="160" w:line="276" w:lineRule="auto"/>
              <w:jc w:val="both"/>
              <w:rPr>
                <w:rFonts w:ascii="Times New Roman" w:hAnsi="Times New Roman" w:cs="Times New Roman"/>
                <w:b/>
                <w:bCs/>
              </w:rPr>
            </w:pPr>
            <w:r w:rsidRPr="003D19C9">
              <w:rPr>
                <w:rFonts w:ascii="Times New Roman" w:hAnsi="Times New Roman" w:cs="Times New Roman"/>
                <w:b/>
                <w:bCs/>
              </w:rPr>
              <w:t xml:space="preserve">Measurement </w:t>
            </w:r>
          </w:p>
        </w:tc>
      </w:tr>
      <w:tr w:rsidR="003D19C9" w:rsidRPr="003D19C9" w14:paraId="0BD1BF53" w14:textId="77777777" w:rsidTr="00747CD6">
        <w:trPr>
          <w:trHeight w:val="490"/>
        </w:trPr>
        <w:tc>
          <w:tcPr>
            <w:tcW w:w="2190" w:type="dxa"/>
            <w:tcBorders>
              <w:top w:val="single" w:sz="4" w:space="0" w:color="auto"/>
            </w:tcBorders>
          </w:tcPr>
          <w:p w14:paraId="74CA93DB"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 xml:space="preserve">Real GDP </w:t>
            </w:r>
          </w:p>
        </w:tc>
        <w:tc>
          <w:tcPr>
            <w:tcW w:w="1266" w:type="dxa"/>
          </w:tcPr>
          <w:p w14:paraId="1A9739D0"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RGDP</w:t>
            </w:r>
          </w:p>
        </w:tc>
        <w:tc>
          <w:tcPr>
            <w:tcW w:w="5827" w:type="dxa"/>
          </w:tcPr>
          <w:p w14:paraId="3691A0C7"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Annual growth rate of real GDP (inflation-adjusted)</w:t>
            </w:r>
          </w:p>
        </w:tc>
      </w:tr>
      <w:tr w:rsidR="003D19C9" w:rsidRPr="003D19C9" w14:paraId="078DC85C" w14:textId="77777777" w:rsidTr="00747CD6">
        <w:trPr>
          <w:trHeight w:val="490"/>
        </w:trPr>
        <w:tc>
          <w:tcPr>
            <w:tcW w:w="2190" w:type="dxa"/>
          </w:tcPr>
          <w:p w14:paraId="08A57C24"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 xml:space="preserve">GDP per capita </w:t>
            </w:r>
          </w:p>
        </w:tc>
        <w:tc>
          <w:tcPr>
            <w:tcW w:w="1266" w:type="dxa"/>
          </w:tcPr>
          <w:p w14:paraId="4F983244"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GDP</w:t>
            </w:r>
          </w:p>
        </w:tc>
        <w:tc>
          <w:tcPr>
            <w:tcW w:w="5827" w:type="dxa"/>
          </w:tcPr>
          <w:p w14:paraId="1CCD3598"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GDP per capita growth rate (% annual)</w:t>
            </w:r>
          </w:p>
        </w:tc>
      </w:tr>
      <w:tr w:rsidR="003D19C9" w:rsidRPr="003D19C9" w14:paraId="01E79BFC" w14:textId="77777777" w:rsidTr="00747CD6">
        <w:trPr>
          <w:trHeight w:val="314"/>
        </w:trPr>
        <w:tc>
          <w:tcPr>
            <w:tcW w:w="2190" w:type="dxa"/>
          </w:tcPr>
          <w:p w14:paraId="654C377A"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Life expectancy</w:t>
            </w:r>
          </w:p>
        </w:tc>
        <w:tc>
          <w:tcPr>
            <w:tcW w:w="1266" w:type="dxa"/>
          </w:tcPr>
          <w:p w14:paraId="37F93D28"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LEX</w:t>
            </w:r>
          </w:p>
        </w:tc>
        <w:tc>
          <w:tcPr>
            <w:tcW w:w="5827" w:type="dxa"/>
          </w:tcPr>
          <w:p w14:paraId="6FABE857"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The average number of years a newborn is expected to live</w:t>
            </w:r>
          </w:p>
          <w:p w14:paraId="30FD5661"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w:t>
            </w:r>
            <w:r w:rsidRPr="003D19C9">
              <w:rPr>
                <w:rFonts w:ascii="Times New Roman" w:hAnsi="Times New Roman" w:cs="Times New Roman"/>
                <w:i/>
                <w:iCs/>
              </w:rPr>
              <w:t>life expectancy at birth total</w:t>
            </w:r>
            <w:r w:rsidRPr="003D19C9">
              <w:rPr>
                <w:rFonts w:ascii="Times New Roman" w:hAnsi="Times New Roman" w:cs="Times New Roman"/>
              </w:rPr>
              <w:t>)</w:t>
            </w:r>
          </w:p>
        </w:tc>
      </w:tr>
      <w:tr w:rsidR="003D19C9" w:rsidRPr="003D19C9" w14:paraId="2D771F3C" w14:textId="77777777" w:rsidTr="00747CD6">
        <w:trPr>
          <w:trHeight w:val="402"/>
        </w:trPr>
        <w:tc>
          <w:tcPr>
            <w:tcW w:w="2190" w:type="dxa"/>
          </w:tcPr>
          <w:p w14:paraId="2D57D6BC"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 xml:space="preserve">Health expenditure, </w:t>
            </w:r>
          </w:p>
        </w:tc>
        <w:tc>
          <w:tcPr>
            <w:tcW w:w="1266" w:type="dxa"/>
          </w:tcPr>
          <w:p w14:paraId="1DD5A904"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HEX</w:t>
            </w:r>
          </w:p>
        </w:tc>
        <w:tc>
          <w:tcPr>
            <w:tcW w:w="5827" w:type="dxa"/>
          </w:tcPr>
          <w:p w14:paraId="28C1CA35"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Total health expenditure as % of GDP</w:t>
            </w:r>
          </w:p>
        </w:tc>
      </w:tr>
      <w:tr w:rsidR="003D19C9" w:rsidRPr="003D19C9" w14:paraId="5689241A" w14:textId="77777777" w:rsidTr="00747CD6">
        <w:trPr>
          <w:trHeight w:val="471"/>
        </w:trPr>
        <w:tc>
          <w:tcPr>
            <w:tcW w:w="2190" w:type="dxa"/>
          </w:tcPr>
          <w:p w14:paraId="4DF5FB51"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 xml:space="preserve"> Health inequality.</w:t>
            </w:r>
          </w:p>
        </w:tc>
        <w:tc>
          <w:tcPr>
            <w:tcW w:w="1266" w:type="dxa"/>
          </w:tcPr>
          <w:p w14:paraId="70B726F1"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HIQ</w:t>
            </w:r>
          </w:p>
        </w:tc>
        <w:tc>
          <w:tcPr>
            <w:tcW w:w="5827" w:type="dxa"/>
          </w:tcPr>
          <w:p w14:paraId="3D5DE78F"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Concentration index</w:t>
            </w:r>
          </w:p>
        </w:tc>
      </w:tr>
      <w:tr w:rsidR="003D19C9" w:rsidRPr="003D19C9" w14:paraId="14E1274B" w14:textId="77777777" w:rsidTr="00747CD6">
        <w:trPr>
          <w:trHeight w:val="471"/>
        </w:trPr>
        <w:tc>
          <w:tcPr>
            <w:tcW w:w="2190" w:type="dxa"/>
          </w:tcPr>
          <w:p w14:paraId="663ADA67" w14:textId="77777777" w:rsidR="003D19C9" w:rsidRPr="003D19C9" w:rsidRDefault="003D19C9" w:rsidP="003D19C9">
            <w:pPr>
              <w:spacing w:after="160" w:line="276" w:lineRule="auto"/>
              <w:jc w:val="both"/>
              <w:rPr>
                <w:rFonts w:ascii="Times New Roman" w:hAnsi="Times New Roman" w:cs="Times New Roman"/>
              </w:rPr>
            </w:pPr>
            <w:proofErr w:type="spellStart"/>
            <w:r w:rsidRPr="003D19C9">
              <w:rPr>
                <w:rFonts w:ascii="Times New Roman" w:hAnsi="Times New Roman" w:cs="Times New Roman"/>
              </w:rPr>
              <w:t>Labour</w:t>
            </w:r>
            <w:proofErr w:type="spellEnd"/>
            <w:r w:rsidRPr="003D19C9">
              <w:rPr>
                <w:rFonts w:ascii="Times New Roman" w:hAnsi="Times New Roman" w:cs="Times New Roman"/>
              </w:rPr>
              <w:t xml:space="preserve"> productivity</w:t>
            </w:r>
          </w:p>
        </w:tc>
        <w:tc>
          <w:tcPr>
            <w:tcW w:w="1266" w:type="dxa"/>
          </w:tcPr>
          <w:p w14:paraId="7AD97CE7"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LPR</w:t>
            </w:r>
          </w:p>
        </w:tc>
        <w:tc>
          <w:tcPr>
            <w:tcW w:w="5827" w:type="dxa"/>
          </w:tcPr>
          <w:p w14:paraId="0499A1CF"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Labor force participation rate (% of working-age population)</w:t>
            </w:r>
          </w:p>
        </w:tc>
      </w:tr>
      <w:tr w:rsidR="003D19C9" w:rsidRPr="003D19C9" w14:paraId="14483518" w14:textId="77777777" w:rsidTr="00747CD6">
        <w:trPr>
          <w:trHeight w:val="461"/>
        </w:trPr>
        <w:tc>
          <w:tcPr>
            <w:tcW w:w="2190" w:type="dxa"/>
          </w:tcPr>
          <w:p w14:paraId="1CAD185A"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 xml:space="preserve">Under five mortalities </w:t>
            </w:r>
          </w:p>
        </w:tc>
        <w:tc>
          <w:tcPr>
            <w:tcW w:w="1266" w:type="dxa"/>
          </w:tcPr>
          <w:p w14:paraId="378BFFB3"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UNM</w:t>
            </w:r>
          </w:p>
        </w:tc>
        <w:tc>
          <w:tcPr>
            <w:tcW w:w="5827" w:type="dxa"/>
          </w:tcPr>
          <w:p w14:paraId="10DD490D"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Number of deaths of children under 5 years of age per 1,000</w:t>
            </w:r>
          </w:p>
        </w:tc>
      </w:tr>
      <w:tr w:rsidR="003D19C9" w:rsidRPr="003D19C9" w14:paraId="6B70250A" w14:textId="77777777" w:rsidTr="00747CD6">
        <w:trPr>
          <w:trHeight w:val="785"/>
        </w:trPr>
        <w:tc>
          <w:tcPr>
            <w:tcW w:w="2190" w:type="dxa"/>
          </w:tcPr>
          <w:p w14:paraId="31298421"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Education expenditure</w:t>
            </w:r>
          </w:p>
        </w:tc>
        <w:tc>
          <w:tcPr>
            <w:tcW w:w="1266" w:type="dxa"/>
            <w:vAlign w:val="center"/>
          </w:tcPr>
          <w:p w14:paraId="20BEB87D"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EDU</w:t>
            </w:r>
          </w:p>
        </w:tc>
        <w:tc>
          <w:tcPr>
            <w:tcW w:w="5827" w:type="dxa"/>
            <w:vAlign w:val="center"/>
          </w:tcPr>
          <w:p w14:paraId="4FB8465C"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Government education expenditure as % of GDP</w:t>
            </w:r>
          </w:p>
        </w:tc>
      </w:tr>
      <w:tr w:rsidR="003D19C9" w:rsidRPr="003D19C9" w14:paraId="320F4898" w14:textId="77777777" w:rsidTr="00747CD6">
        <w:trPr>
          <w:trHeight w:val="471"/>
        </w:trPr>
        <w:tc>
          <w:tcPr>
            <w:tcW w:w="2190" w:type="dxa"/>
          </w:tcPr>
          <w:p w14:paraId="4849E6DF"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Air pollution</w:t>
            </w:r>
          </w:p>
        </w:tc>
        <w:tc>
          <w:tcPr>
            <w:tcW w:w="1266" w:type="dxa"/>
          </w:tcPr>
          <w:p w14:paraId="562AC4C3"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POLL</w:t>
            </w:r>
          </w:p>
        </w:tc>
        <w:tc>
          <w:tcPr>
            <w:tcW w:w="5827" w:type="dxa"/>
          </w:tcPr>
          <w:p w14:paraId="41CB5F2E"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 xml:space="preserve">Carbon dioxide emission </w:t>
            </w:r>
          </w:p>
        </w:tc>
      </w:tr>
      <w:tr w:rsidR="003D19C9" w:rsidRPr="003D19C9" w14:paraId="4157A27F" w14:textId="77777777" w:rsidTr="00747CD6">
        <w:trPr>
          <w:trHeight w:val="461"/>
        </w:trPr>
        <w:tc>
          <w:tcPr>
            <w:tcW w:w="2190" w:type="dxa"/>
          </w:tcPr>
          <w:p w14:paraId="0F60C3BE"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 xml:space="preserve">Population </w:t>
            </w:r>
          </w:p>
        </w:tc>
        <w:tc>
          <w:tcPr>
            <w:tcW w:w="1266" w:type="dxa"/>
          </w:tcPr>
          <w:p w14:paraId="0E41FF4E"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POP</w:t>
            </w:r>
          </w:p>
        </w:tc>
        <w:tc>
          <w:tcPr>
            <w:tcW w:w="5827" w:type="dxa"/>
          </w:tcPr>
          <w:p w14:paraId="14EC1E6B"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Annual population growth rate (%)</w:t>
            </w:r>
          </w:p>
        </w:tc>
      </w:tr>
      <w:tr w:rsidR="003D19C9" w:rsidRPr="003D19C9" w14:paraId="18135719" w14:textId="77777777" w:rsidTr="00747CD6">
        <w:trPr>
          <w:trHeight w:val="471"/>
        </w:trPr>
        <w:tc>
          <w:tcPr>
            <w:tcW w:w="2190" w:type="dxa"/>
          </w:tcPr>
          <w:p w14:paraId="5A01C1BE"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Institutional quality</w:t>
            </w:r>
          </w:p>
        </w:tc>
        <w:tc>
          <w:tcPr>
            <w:tcW w:w="1266" w:type="dxa"/>
          </w:tcPr>
          <w:p w14:paraId="10728D8A"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INQ</w:t>
            </w:r>
          </w:p>
        </w:tc>
        <w:tc>
          <w:tcPr>
            <w:tcW w:w="5827" w:type="dxa"/>
          </w:tcPr>
          <w:p w14:paraId="15AC8FBF"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 xml:space="preserve">Control of Corruption </w:t>
            </w:r>
          </w:p>
        </w:tc>
      </w:tr>
      <w:tr w:rsidR="003D19C9" w:rsidRPr="003D19C9" w14:paraId="5FCDC224" w14:textId="77777777" w:rsidTr="00747CD6">
        <w:trPr>
          <w:trHeight w:val="471"/>
        </w:trPr>
        <w:tc>
          <w:tcPr>
            <w:tcW w:w="2190" w:type="dxa"/>
          </w:tcPr>
          <w:p w14:paraId="39012336"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 xml:space="preserve">Investment </w:t>
            </w:r>
          </w:p>
        </w:tc>
        <w:tc>
          <w:tcPr>
            <w:tcW w:w="1266" w:type="dxa"/>
          </w:tcPr>
          <w:p w14:paraId="7BB0B33E"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INV</w:t>
            </w:r>
          </w:p>
        </w:tc>
        <w:tc>
          <w:tcPr>
            <w:tcW w:w="5827" w:type="dxa"/>
          </w:tcPr>
          <w:p w14:paraId="44D94F8E"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Gross fixed capital formation (% of GDP)</w:t>
            </w:r>
          </w:p>
        </w:tc>
      </w:tr>
    </w:tbl>
    <w:p w14:paraId="739DCAD2" w14:textId="77777777" w:rsidR="003D19C9" w:rsidRPr="003D19C9" w:rsidRDefault="003D19C9" w:rsidP="003D19C9">
      <w:pPr>
        <w:spacing w:line="276" w:lineRule="auto"/>
        <w:jc w:val="both"/>
        <w:rPr>
          <w:rFonts w:ascii="Times New Roman" w:hAnsi="Times New Roman" w:cs="Times New Roman"/>
          <w:b/>
          <w:bCs/>
        </w:rPr>
      </w:pPr>
    </w:p>
    <w:p w14:paraId="4F2F8822" w14:textId="2AF46973" w:rsidR="003D19C9" w:rsidRDefault="006C4FEB" w:rsidP="003D19C9">
      <w:pPr>
        <w:spacing w:line="276" w:lineRule="auto"/>
        <w:jc w:val="both"/>
        <w:rPr>
          <w:rFonts w:ascii="Times New Roman" w:hAnsi="Times New Roman" w:cs="Times New Roman"/>
          <w:b/>
          <w:bCs/>
        </w:rPr>
      </w:pPr>
      <w:r>
        <w:rPr>
          <w:rFonts w:ascii="Times New Roman" w:hAnsi="Times New Roman" w:cs="Times New Roman"/>
          <w:b/>
          <w:bCs/>
        </w:rPr>
        <w:t xml:space="preserve">4.0 RESULTS AND DISCUSSIONS </w:t>
      </w:r>
    </w:p>
    <w:p w14:paraId="0EDB22D6" w14:textId="7FED1DD2" w:rsidR="00747CD6" w:rsidRPr="00747CD6" w:rsidRDefault="00747CD6" w:rsidP="00747CD6">
      <w:pPr>
        <w:spacing w:line="276" w:lineRule="auto"/>
        <w:jc w:val="both"/>
        <w:rPr>
          <w:rFonts w:ascii="Times New Roman" w:hAnsi="Times New Roman" w:cs="Times New Roman"/>
          <w:b/>
          <w:bCs/>
        </w:rPr>
      </w:pPr>
      <w:r w:rsidRPr="00747CD6">
        <w:rPr>
          <w:rFonts w:ascii="Times New Roman" w:hAnsi="Times New Roman" w:cs="Times New Roman"/>
          <w:b/>
          <w:bCs/>
        </w:rPr>
        <w:t xml:space="preserve">Table 4.1 Descriptive Analysis of the variables (1990-2022) </w:t>
      </w:r>
    </w:p>
    <w:tbl>
      <w:tblPr>
        <w:tblW w:w="0" w:type="auto"/>
        <w:tblInd w:w="30" w:type="dxa"/>
        <w:tblLayout w:type="fixed"/>
        <w:tblCellMar>
          <w:left w:w="0" w:type="dxa"/>
          <w:right w:w="0" w:type="dxa"/>
        </w:tblCellMar>
        <w:tblLook w:val="0000" w:firstRow="0" w:lastRow="0" w:firstColumn="0" w:lastColumn="0" w:noHBand="0" w:noVBand="0"/>
      </w:tblPr>
      <w:tblGrid>
        <w:gridCol w:w="1420"/>
        <w:gridCol w:w="1250"/>
        <w:gridCol w:w="1250"/>
        <w:gridCol w:w="1250"/>
        <w:gridCol w:w="1250"/>
        <w:gridCol w:w="1250"/>
        <w:gridCol w:w="1250"/>
      </w:tblGrid>
      <w:tr w:rsidR="00747CD6" w:rsidRPr="00747CD6" w14:paraId="7E890458" w14:textId="77777777" w:rsidTr="000F126D">
        <w:trPr>
          <w:trHeight w:val="220"/>
        </w:trPr>
        <w:tc>
          <w:tcPr>
            <w:tcW w:w="1420" w:type="dxa"/>
            <w:tcBorders>
              <w:top w:val="single" w:sz="4" w:space="0" w:color="auto"/>
              <w:left w:val="nil"/>
              <w:bottom w:val="single" w:sz="4" w:space="0" w:color="auto"/>
              <w:right w:val="nil"/>
            </w:tcBorders>
            <w:vAlign w:val="bottom"/>
          </w:tcPr>
          <w:p w14:paraId="07D42A3C"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p>
        </w:tc>
        <w:tc>
          <w:tcPr>
            <w:tcW w:w="1250" w:type="dxa"/>
            <w:tcBorders>
              <w:top w:val="single" w:sz="4" w:space="0" w:color="auto"/>
              <w:left w:val="nil"/>
              <w:bottom w:val="single" w:sz="4" w:space="0" w:color="auto"/>
              <w:right w:val="nil"/>
            </w:tcBorders>
            <w:vAlign w:val="bottom"/>
          </w:tcPr>
          <w:p w14:paraId="71650601"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RGDP</w:t>
            </w:r>
          </w:p>
        </w:tc>
        <w:tc>
          <w:tcPr>
            <w:tcW w:w="1250" w:type="dxa"/>
            <w:tcBorders>
              <w:top w:val="single" w:sz="4" w:space="0" w:color="auto"/>
              <w:left w:val="nil"/>
              <w:bottom w:val="single" w:sz="4" w:space="0" w:color="auto"/>
              <w:right w:val="nil"/>
            </w:tcBorders>
            <w:vAlign w:val="bottom"/>
          </w:tcPr>
          <w:p w14:paraId="4BA435C5"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LEX</w:t>
            </w:r>
          </w:p>
        </w:tc>
        <w:tc>
          <w:tcPr>
            <w:tcW w:w="1250" w:type="dxa"/>
            <w:tcBorders>
              <w:top w:val="single" w:sz="4" w:space="0" w:color="auto"/>
              <w:left w:val="nil"/>
              <w:bottom w:val="single" w:sz="4" w:space="0" w:color="auto"/>
              <w:right w:val="nil"/>
            </w:tcBorders>
            <w:vAlign w:val="bottom"/>
          </w:tcPr>
          <w:p w14:paraId="75AFA57F"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UNM</w:t>
            </w:r>
          </w:p>
        </w:tc>
        <w:tc>
          <w:tcPr>
            <w:tcW w:w="1250" w:type="dxa"/>
            <w:tcBorders>
              <w:top w:val="single" w:sz="4" w:space="0" w:color="auto"/>
              <w:left w:val="nil"/>
              <w:bottom w:val="single" w:sz="4" w:space="0" w:color="auto"/>
              <w:right w:val="nil"/>
            </w:tcBorders>
            <w:vAlign w:val="bottom"/>
          </w:tcPr>
          <w:p w14:paraId="6E6CFEA8"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HEX</w:t>
            </w:r>
          </w:p>
        </w:tc>
        <w:tc>
          <w:tcPr>
            <w:tcW w:w="1250" w:type="dxa"/>
            <w:tcBorders>
              <w:top w:val="single" w:sz="4" w:space="0" w:color="auto"/>
              <w:left w:val="nil"/>
              <w:bottom w:val="single" w:sz="4" w:space="0" w:color="auto"/>
              <w:right w:val="nil"/>
            </w:tcBorders>
            <w:vAlign w:val="bottom"/>
          </w:tcPr>
          <w:p w14:paraId="6672673E"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EDU</w:t>
            </w:r>
          </w:p>
        </w:tc>
        <w:tc>
          <w:tcPr>
            <w:tcW w:w="1250" w:type="dxa"/>
            <w:tcBorders>
              <w:top w:val="single" w:sz="4" w:space="0" w:color="auto"/>
              <w:left w:val="nil"/>
              <w:bottom w:val="single" w:sz="4" w:space="0" w:color="auto"/>
              <w:right w:val="nil"/>
            </w:tcBorders>
            <w:vAlign w:val="bottom"/>
          </w:tcPr>
          <w:p w14:paraId="4DEFAB3C"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POP</w:t>
            </w:r>
          </w:p>
        </w:tc>
      </w:tr>
      <w:tr w:rsidR="00747CD6" w:rsidRPr="00747CD6" w14:paraId="736F6E17" w14:textId="77777777" w:rsidTr="000F126D">
        <w:trPr>
          <w:trHeight w:val="220"/>
        </w:trPr>
        <w:tc>
          <w:tcPr>
            <w:tcW w:w="1420" w:type="dxa"/>
            <w:tcBorders>
              <w:top w:val="single" w:sz="4" w:space="0" w:color="auto"/>
              <w:left w:val="nil"/>
              <w:bottom w:val="nil"/>
              <w:right w:val="nil"/>
            </w:tcBorders>
            <w:vAlign w:val="bottom"/>
          </w:tcPr>
          <w:p w14:paraId="6978A538" w14:textId="77777777" w:rsidR="00747CD6" w:rsidRPr="00747CD6" w:rsidRDefault="00747CD6" w:rsidP="00747CD6">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 Mean</w:t>
            </w:r>
          </w:p>
        </w:tc>
        <w:tc>
          <w:tcPr>
            <w:tcW w:w="1250" w:type="dxa"/>
            <w:tcBorders>
              <w:top w:val="single" w:sz="4" w:space="0" w:color="auto"/>
              <w:left w:val="nil"/>
              <w:bottom w:val="nil"/>
              <w:right w:val="nil"/>
            </w:tcBorders>
            <w:vAlign w:val="bottom"/>
          </w:tcPr>
          <w:p w14:paraId="54673BEB"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4.509146</w:t>
            </w:r>
          </w:p>
        </w:tc>
        <w:tc>
          <w:tcPr>
            <w:tcW w:w="1250" w:type="dxa"/>
            <w:tcBorders>
              <w:top w:val="single" w:sz="4" w:space="0" w:color="auto"/>
              <w:left w:val="nil"/>
              <w:bottom w:val="nil"/>
              <w:right w:val="nil"/>
            </w:tcBorders>
            <w:vAlign w:val="bottom"/>
          </w:tcPr>
          <w:p w14:paraId="177299C3"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56.69764</w:t>
            </w:r>
          </w:p>
        </w:tc>
        <w:tc>
          <w:tcPr>
            <w:tcW w:w="1250" w:type="dxa"/>
            <w:tcBorders>
              <w:top w:val="single" w:sz="4" w:space="0" w:color="auto"/>
              <w:left w:val="nil"/>
              <w:bottom w:val="nil"/>
              <w:right w:val="nil"/>
            </w:tcBorders>
            <w:vAlign w:val="bottom"/>
          </w:tcPr>
          <w:p w14:paraId="22819D31"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7.711258</w:t>
            </w:r>
          </w:p>
        </w:tc>
        <w:tc>
          <w:tcPr>
            <w:tcW w:w="1250" w:type="dxa"/>
            <w:tcBorders>
              <w:top w:val="single" w:sz="4" w:space="0" w:color="auto"/>
              <w:left w:val="nil"/>
              <w:bottom w:val="nil"/>
              <w:right w:val="nil"/>
            </w:tcBorders>
            <w:vAlign w:val="bottom"/>
          </w:tcPr>
          <w:p w14:paraId="617821FD"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59.21100</w:t>
            </w:r>
          </w:p>
        </w:tc>
        <w:tc>
          <w:tcPr>
            <w:tcW w:w="1250" w:type="dxa"/>
            <w:tcBorders>
              <w:top w:val="single" w:sz="4" w:space="0" w:color="auto"/>
              <w:left w:val="nil"/>
              <w:bottom w:val="nil"/>
              <w:right w:val="nil"/>
            </w:tcBorders>
            <w:vAlign w:val="bottom"/>
          </w:tcPr>
          <w:p w14:paraId="58BCC1CC"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6.303130</w:t>
            </w:r>
          </w:p>
        </w:tc>
        <w:tc>
          <w:tcPr>
            <w:tcW w:w="1250" w:type="dxa"/>
            <w:tcBorders>
              <w:top w:val="single" w:sz="4" w:space="0" w:color="auto"/>
              <w:left w:val="nil"/>
              <w:bottom w:val="nil"/>
              <w:right w:val="nil"/>
            </w:tcBorders>
            <w:vAlign w:val="bottom"/>
          </w:tcPr>
          <w:p w14:paraId="5C63959C"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16060972</w:t>
            </w:r>
          </w:p>
        </w:tc>
      </w:tr>
      <w:tr w:rsidR="00747CD6" w:rsidRPr="00747CD6" w14:paraId="39FCF7FB" w14:textId="77777777" w:rsidTr="000F126D">
        <w:trPr>
          <w:trHeight w:val="220"/>
        </w:trPr>
        <w:tc>
          <w:tcPr>
            <w:tcW w:w="1420" w:type="dxa"/>
            <w:tcBorders>
              <w:top w:val="nil"/>
              <w:left w:val="nil"/>
              <w:bottom w:val="nil"/>
              <w:right w:val="nil"/>
            </w:tcBorders>
            <w:vAlign w:val="bottom"/>
          </w:tcPr>
          <w:p w14:paraId="14DF6231" w14:textId="77777777" w:rsidR="00747CD6" w:rsidRPr="00747CD6" w:rsidRDefault="00747CD6" w:rsidP="00747CD6">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 Median</w:t>
            </w:r>
          </w:p>
        </w:tc>
        <w:tc>
          <w:tcPr>
            <w:tcW w:w="1250" w:type="dxa"/>
            <w:tcBorders>
              <w:top w:val="nil"/>
              <w:left w:val="nil"/>
              <w:bottom w:val="nil"/>
              <w:right w:val="nil"/>
            </w:tcBorders>
            <w:vAlign w:val="bottom"/>
          </w:tcPr>
          <w:p w14:paraId="58C6B2C3"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4.114379</w:t>
            </w:r>
          </w:p>
        </w:tc>
        <w:tc>
          <w:tcPr>
            <w:tcW w:w="1250" w:type="dxa"/>
            <w:tcBorders>
              <w:top w:val="nil"/>
              <w:left w:val="nil"/>
              <w:bottom w:val="nil"/>
              <w:right w:val="nil"/>
            </w:tcBorders>
            <w:vAlign w:val="bottom"/>
          </w:tcPr>
          <w:p w14:paraId="59C4CF2F"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57.05200</w:t>
            </w:r>
          </w:p>
        </w:tc>
        <w:tc>
          <w:tcPr>
            <w:tcW w:w="1250" w:type="dxa"/>
            <w:tcBorders>
              <w:top w:val="nil"/>
              <w:left w:val="nil"/>
              <w:bottom w:val="nil"/>
              <w:right w:val="nil"/>
            </w:tcBorders>
            <w:vAlign w:val="bottom"/>
          </w:tcPr>
          <w:p w14:paraId="6E4D30F0"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4.940000</w:t>
            </w:r>
          </w:p>
        </w:tc>
        <w:tc>
          <w:tcPr>
            <w:tcW w:w="1250" w:type="dxa"/>
            <w:tcBorders>
              <w:top w:val="nil"/>
              <w:left w:val="nil"/>
              <w:bottom w:val="nil"/>
              <w:right w:val="nil"/>
            </w:tcBorders>
            <w:vAlign w:val="bottom"/>
          </w:tcPr>
          <w:p w14:paraId="225B527D"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21.13278</w:t>
            </w:r>
          </w:p>
        </w:tc>
        <w:tc>
          <w:tcPr>
            <w:tcW w:w="1250" w:type="dxa"/>
            <w:tcBorders>
              <w:top w:val="nil"/>
              <w:left w:val="nil"/>
              <w:bottom w:val="nil"/>
              <w:right w:val="nil"/>
            </w:tcBorders>
            <w:vAlign w:val="bottom"/>
          </w:tcPr>
          <w:p w14:paraId="24783D15"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3.029710</w:t>
            </w:r>
          </w:p>
        </w:tc>
        <w:tc>
          <w:tcPr>
            <w:tcW w:w="1250" w:type="dxa"/>
            <w:tcBorders>
              <w:top w:val="nil"/>
              <w:left w:val="nil"/>
              <w:bottom w:val="nil"/>
              <w:right w:val="nil"/>
            </w:tcBorders>
            <w:vAlign w:val="bottom"/>
          </w:tcPr>
          <w:p w14:paraId="33CC26E5"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6226773.</w:t>
            </w:r>
          </w:p>
        </w:tc>
      </w:tr>
      <w:tr w:rsidR="00747CD6" w:rsidRPr="00747CD6" w14:paraId="0EF5914A" w14:textId="77777777" w:rsidTr="000F126D">
        <w:trPr>
          <w:trHeight w:val="220"/>
        </w:trPr>
        <w:tc>
          <w:tcPr>
            <w:tcW w:w="1420" w:type="dxa"/>
            <w:tcBorders>
              <w:top w:val="nil"/>
              <w:left w:val="nil"/>
              <w:bottom w:val="nil"/>
              <w:right w:val="nil"/>
            </w:tcBorders>
            <w:vAlign w:val="bottom"/>
          </w:tcPr>
          <w:p w14:paraId="38C23B64" w14:textId="77777777" w:rsidR="00747CD6" w:rsidRPr="00747CD6" w:rsidRDefault="00747CD6" w:rsidP="00747CD6">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 Maximum</w:t>
            </w:r>
          </w:p>
        </w:tc>
        <w:tc>
          <w:tcPr>
            <w:tcW w:w="1250" w:type="dxa"/>
            <w:tcBorders>
              <w:top w:val="nil"/>
              <w:left w:val="nil"/>
              <w:bottom w:val="nil"/>
              <w:right w:val="nil"/>
            </w:tcBorders>
            <w:vAlign w:val="bottom"/>
          </w:tcPr>
          <w:p w14:paraId="0E6D31B0"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149.9730</w:t>
            </w:r>
          </w:p>
        </w:tc>
        <w:tc>
          <w:tcPr>
            <w:tcW w:w="1250" w:type="dxa"/>
            <w:tcBorders>
              <w:top w:val="nil"/>
              <w:left w:val="nil"/>
              <w:bottom w:val="nil"/>
              <w:right w:val="nil"/>
            </w:tcBorders>
            <w:vAlign w:val="bottom"/>
          </w:tcPr>
          <w:p w14:paraId="0E17F5EC"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75.90700</w:t>
            </w:r>
          </w:p>
        </w:tc>
        <w:tc>
          <w:tcPr>
            <w:tcW w:w="1250" w:type="dxa"/>
            <w:tcBorders>
              <w:top w:val="nil"/>
              <w:left w:val="nil"/>
              <w:bottom w:val="nil"/>
              <w:right w:val="nil"/>
            </w:tcBorders>
            <w:vAlign w:val="bottom"/>
          </w:tcPr>
          <w:p w14:paraId="48420F10"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36.47200</w:t>
            </w:r>
          </w:p>
        </w:tc>
        <w:tc>
          <w:tcPr>
            <w:tcW w:w="1250" w:type="dxa"/>
            <w:tcBorders>
              <w:top w:val="nil"/>
              <w:left w:val="nil"/>
              <w:bottom w:val="nil"/>
              <w:right w:val="nil"/>
            </w:tcBorders>
            <w:vAlign w:val="bottom"/>
          </w:tcPr>
          <w:p w14:paraId="2948B8B9"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1232.375</w:t>
            </w:r>
          </w:p>
        </w:tc>
        <w:tc>
          <w:tcPr>
            <w:tcW w:w="1250" w:type="dxa"/>
            <w:tcBorders>
              <w:top w:val="nil"/>
              <w:left w:val="nil"/>
              <w:bottom w:val="nil"/>
              <w:right w:val="nil"/>
            </w:tcBorders>
            <w:vAlign w:val="bottom"/>
          </w:tcPr>
          <w:p w14:paraId="65E357DD"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128.3863</w:t>
            </w:r>
          </w:p>
        </w:tc>
        <w:tc>
          <w:tcPr>
            <w:tcW w:w="1250" w:type="dxa"/>
            <w:tcBorders>
              <w:top w:val="nil"/>
              <w:left w:val="nil"/>
              <w:bottom w:val="nil"/>
              <w:right w:val="nil"/>
            </w:tcBorders>
            <w:vAlign w:val="bottom"/>
          </w:tcPr>
          <w:p w14:paraId="5DAE9E23"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2.23E+08</w:t>
            </w:r>
          </w:p>
        </w:tc>
      </w:tr>
      <w:tr w:rsidR="00747CD6" w:rsidRPr="00747CD6" w14:paraId="2BFA41FC" w14:textId="77777777" w:rsidTr="000F126D">
        <w:trPr>
          <w:trHeight w:val="220"/>
        </w:trPr>
        <w:tc>
          <w:tcPr>
            <w:tcW w:w="1420" w:type="dxa"/>
            <w:tcBorders>
              <w:top w:val="nil"/>
              <w:left w:val="nil"/>
              <w:bottom w:val="nil"/>
              <w:right w:val="nil"/>
            </w:tcBorders>
            <w:vAlign w:val="bottom"/>
          </w:tcPr>
          <w:p w14:paraId="7DD37EEC" w14:textId="77777777" w:rsidR="00747CD6" w:rsidRPr="00747CD6" w:rsidRDefault="00747CD6" w:rsidP="00747CD6">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 Minimum</w:t>
            </w:r>
          </w:p>
        </w:tc>
        <w:tc>
          <w:tcPr>
            <w:tcW w:w="1250" w:type="dxa"/>
            <w:tcBorders>
              <w:top w:val="nil"/>
              <w:left w:val="nil"/>
              <w:bottom w:val="nil"/>
              <w:right w:val="nil"/>
            </w:tcBorders>
            <w:vAlign w:val="bottom"/>
          </w:tcPr>
          <w:p w14:paraId="35B92908"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-51.03086</w:t>
            </w:r>
          </w:p>
        </w:tc>
        <w:tc>
          <w:tcPr>
            <w:tcW w:w="1250" w:type="dxa"/>
            <w:tcBorders>
              <w:top w:val="nil"/>
              <w:left w:val="nil"/>
              <w:bottom w:val="nil"/>
              <w:right w:val="nil"/>
            </w:tcBorders>
            <w:vAlign w:val="bottom"/>
          </w:tcPr>
          <w:p w14:paraId="1B67F725"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14.66500</w:t>
            </w:r>
          </w:p>
        </w:tc>
        <w:tc>
          <w:tcPr>
            <w:tcW w:w="1250" w:type="dxa"/>
            <w:tcBorders>
              <w:top w:val="nil"/>
              <w:left w:val="nil"/>
              <w:bottom w:val="nil"/>
              <w:right w:val="nil"/>
            </w:tcBorders>
            <w:vAlign w:val="bottom"/>
          </w:tcPr>
          <w:p w14:paraId="7E80F4BE"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0.316000</w:t>
            </w:r>
          </w:p>
        </w:tc>
        <w:tc>
          <w:tcPr>
            <w:tcW w:w="1250" w:type="dxa"/>
            <w:tcBorders>
              <w:top w:val="nil"/>
              <w:left w:val="nil"/>
              <w:bottom w:val="nil"/>
              <w:right w:val="nil"/>
            </w:tcBorders>
            <w:vAlign w:val="bottom"/>
          </w:tcPr>
          <w:p w14:paraId="343A26F8"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-3832.625</w:t>
            </w:r>
          </w:p>
        </w:tc>
        <w:tc>
          <w:tcPr>
            <w:tcW w:w="1250" w:type="dxa"/>
            <w:tcBorders>
              <w:top w:val="nil"/>
              <w:left w:val="nil"/>
              <w:bottom w:val="nil"/>
              <w:right w:val="nil"/>
            </w:tcBorders>
            <w:vAlign w:val="bottom"/>
          </w:tcPr>
          <w:p w14:paraId="35F5BB01"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0.002960</w:t>
            </w:r>
          </w:p>
        </w:tc>
        <w:tc>
          <w:tcPr>
            <w:tcW w:w="1250" w:type="dxa"/>
            <w:tcBorders>
              <w:top w:val="nil"/>
              <w:left w:val="nil"/>
              <w:bottom w:val="nil"/>
              <w:right w:val="nil"/>
            </w:tcBorders>
            <w:vAlign w:val="bottom"/>
          </w:tcPr>
          <w:p w14:paraId="2F13F712"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375428.0</w:t>
            </w:r>
          </w:p>
        </w:tc>
      </w:tr>
      <w:tr w:rsidR="00747CD6" w:rsidRPr="00747CD6" w14:paraId="7843DEFB" w14:textId="77777777" w:rsidTr="000F126D">
        <w:trPr>
          <w:trHeight w:val="220"/>
        </w:trPr>
        <w:tc>
          <w:tcPr>
            <w:tcW w:w="1420" w:type="dxa"/>
            <w:tcBorders>
              <w:top w:val="nil"/>
              <w:left w:val="nil"/>
              <w:bottom w:val="nil"/>
              <w:right w:val="nil"/>
            </w:tcBorders>
            <w:vAlign w:val="bottom"/>
          </w:tcPr>
          <w:p w14:paraId="3AC22F39" w14:textId="77777777" w:rsidR="00747CD6" w:rsidRPr="00747CD6" w:rsidRDefault="00747CD6" w:rsidP="00747CD6">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 Std. Dev.</w:t>
            </w:r>
          </w:p>
        </w:tc>
        <w:tc>
          <w:tcPr>
            <w:tcW w:w="1250" w:type="dxa"/>
            <w:tcBorders>
              <w:top w:val="nil"/>
              <w:left w:val="nil"/>
              <w:bottom w:val="nil"/>
              <w:right w:val="nil"/>
            </w:tcBorders>
            <w:vAlign w:val="bottom"/>
          </w:tcPr>
          <w:p w14:paraId="469A6CE8"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9.400897</w:t>
            </w:r>
          </w:p>
        </w:tc>
        <w:tc>
          <w:tcPr>
            <w:tcW w:w="1250" w:type="dxa"/>
            <w:tcBorders>
              <w:top w:val="nil"/>
              <w:left w:val="nil"/>
              <w:bottom w:val="nil"/>
              <w:right w:val="nil"/>
            </w:tcBorders>
            <w:vAlign w:val="bottom"/>
          </w:tcPr>
          <w:p w14:paraId="2D50D9E6"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7.297897</w:t>
            </w:r>
          </w:p>
        </w:tc>
        <w:tc>
          <w:tcPr>
            <w:tcW w:w="1250" w:type="dxa"/>
            <w:tcBorders>
              <w:top w:val="nil"/>
              <w:left w:val="nil"/>
              <w:bottom w:val="nil"/>
              <w:right w:val="nil"/>
            </w:tcBorders>
            <w:vAlign w:val="bottom"/>
          </w:tcPr>
          <w:p w14:paraId="11C40953"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6.806979</w:t>
            </w:r>
          </w:p>
        </w:tc>
        <w:tc>
          <w:tcPr>
            <w:tcW w:w="1250" w:type="dxa"/>
            <w:tcBorders>
              <w:top w:val="nil"/>
              <w:left w:val="nil"/>
              <w:bottom w:val="nil"/>
              <w:right w:val="nil"/>
            </w:tcBorders>
            <w:vAlign w:val="bottom"/>
          </w:tcPr>
          <w:p w14:paraId="28A6748B"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238.0888</w:t>
            </w:r>
          </w:p>
        </w:tc>
        <w:tc>
          <w:tcPr>
            <w:tcW w:w="1250" w:type="dxa"/>
            <w:tcBorders>
              <w:top w:val="nil"/>
              <w:left w:val="nil"/>
              <w:bottom w:val="nil"/>
              <w:right w:val="nil"/>
            </w:tcBorders>
            <w:vAlign w:val="bottom"/>
          </w:tcPr>
          <w:p w14:paraId="14D1C59A"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15.86193</w:t>
            </w:r>
          </w:p>
        </w:tc>
        <w:tc>
          <w:tcPr>
            <w:tcW w:w="1250" w:type="dxa"/>
            <w:tcBorders>
              <w:top w:val="nil"/>
              <w:left w:val="nil"/>
              <w:bottom w:val="nil"/>
              <w:right w:val="nil"/>
            </w:tcBorders>
            <w:vAlign w:val="bottom"/>
          </w:tcPr>
          <w:p w14:paraId="4E9654E6"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30035138</w:t>
            </w:r>
          </w:p>
        </w:tc>
      </w:tr>
      <w:tr w:rsidR="00747CD6" w:rsidRPr="00747CD6" w14:paraId="5FC6E7A7" w14:textId="77777777" w:rsidTr="000F126D">
        <w:trPr>
          <w:trHeight w:val="220"/>
        </w:trPr>
        <w:tc>
          <w:tcPr>
            <w:tcW w:w="1420" w:type="dxa"/>
            <w:tcBorders>
              <w:top w:val="nil"/>
              <w:left w:val="nil"/>
              <w:bottom w:val="nil"/>
              <w:right w:val="nil"/>
            </w:tcBorders>
            <w:vAlign w:val="bottom"/>
          </w:tcPr>
          <w:p w14:paraId="5ECE44CF" w14:textId="77777777" w:rsidR="00747CD6" w:rsidRPr="00747CD6" w:rsidRDefault="00747CD6" w:rsidP="00747CD6">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 Skewness</w:t>
            </w:r>
          </w:p>
        </w:tc>
        <w:tc>
          <w:tcPr>
            <w:tcW w:w="1250" w:type="dxa"/>
            <w:tcBorders>
              <w:top w:val="nil"/>
              <w:left w:val="nil"/>
              <w:bottom w:val="nil"/>
              <w:right w:val="nil"/>
            </w:tcBorders>
            <w:vAlign w:val="bottom"/>
          </w:tcPr>
          <w:p w14:paraId="2A329C55"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5.641530</w:t>
            </w:r>
          </w:p>
        </w:tc>
        <w:tc>
          <w:tcPr>
            <w:tcW w:w="1250" w:type="dxa"/>
            <w:tcBorders>
              <w:top w:val="nil"/>
              <w:left w:val="nil"/>
              <w:bottom w:val="nil"/>
              <w:right w:val="nil"/>
            </w:tcBorders>
            <w:vAlign w:val="bottom"/>
          </w:tcPr>
          <w:p w14:paraId="72A42844"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-0.172000</w:t>
            </w:r>
          </w:p>
        </w:tc>
        <w:tc>
          <w:tcPr>
            <w:tcW w:w="1250" w:type="dxa"/>
            <w:tcBorders>
              <w:top w:val="nil"/>
              <w:left w:val="nil"/>
              <w:bottom w:val="nil"/>
              <w:right w:val="nil"/>
            </w:tcBorders>
            <w:vAlign w:val="bottom"/>
          </w:tcPr>
          <w:p w14:paraId="1EA9AC2C"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1.234154</w:t>
            </w:r>
          </w:p>
        </w:tc>
        <w:tc>
          <w:tcPr>
            <w:tcW w:w="1250" w:type="dxa"/>
            <w:tcBorders>
              <w:top w:val="nil"/>
              <w:left w:val="nil"/>
              <w:bottom w:val="nil"/>
              <w:right w:val="nil"/>
            </w:tcBorders>
            <w:vAlign w:val="bottom"/>
          </w:tcPr>
          <w:p w14:paraId="6E3EC403"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-8.811367</w:t>
            </w:r>
          </w:p>
        </w:tc>
        <w:tc>
          <w:tcPr>
            <w:tcW w:w="1250" w:type="dxa"/>
            <w:tcBorders>
              <w:top w:val="nil"/>
              <w:left w:val="nil"/>
              <w:bottom w:val="nil"/>
              <w:right w:val="nil"/>
            </w:tcBorders>
            <w:vAlign w:val="bottom"/>
          </w:tcPr>
          <w:p w14:paraId="78F2917C"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5.772758</w:t>
            </w:r>
          </w:p>
        </w:tc>
        <w:tc>
          <w:tcPr>
            <w:tcW w:w="1250" w:type="dxa"/>
            <w:tcBorders>
              <w:top w:val="nil"/>
              <w:left w:val="nil"/>
              <w:bottom w:val="nil"/>
              <w:right w:val="nil"/>
            </w:tcBorders>
            <w:vAlign w:val="bottom"/>
          </w:tcPr>
          <w:p w14:paraId="0CC43F8E"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4.038285</w:t>
            </w:r>
          </w:p>
        </w:tc>
      </w:tr>
      <w:tr w:rsidR="00747CD6" w:rsidRPr="00747CD6" w14:paraId="0816A6FB" w14:textId="77777777" w:rsidTr="000F126D">
        <w:trPr>
          <w:trHeight w:val="220"/>
        </w:trPr>
        <w:tc>
          <w:tcPr>
            <w:tcW w:w="1420" w:type="dxa"/>
            <w:tcBorders>
              <w:top w:val="nil"/>
              <w:left w:val="nil"/>
              <w:bottom w:val="nil"/>
              <w:right w:val="nil"/>
            </w:tcBorders>
            <w:vAlign w:val="bottom"/>
          </w:tcPr>
          <w:p w14:paraId="6CB1CCEE" w14:textId="77777777" w:rsidR="00747CD6" w:rsidRPr="00747CD6" w:rsidRDefault="00747CD6" w:rsidP="00747CD6">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 Kurtosis</w:t>
            </w:r>
          </w:p>
        </w:tc>
        <w:tc>
          <w:tcPr>
            <w:tcW w:w="1250" w:type="dxa"/>
            <w:tcBorders>
              <w:top w:val="nil"/>
              <w:left w:val="nil"/>
              <w:bottom w:val="nil"/>
              <w:right w:val="nil"/>
            </w:tcBorders>
            <w:vAlign w:val="bottom"/>
          </w:tcPr>
          <w:p w14:paraId="7C0FA970"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77.37665</w:t>
            </w:r>
          </w:p>
        </w:tc>
        <w:tc>
          <w:tcPr>
            <w:tcW w:w="1250" w:type="dxa"/>
            <w:tcBorders>
              <w:top w:val="nil"/>
              <w:left w:val="nil"/>
              <w:bottom w:val="nil"/>
              <w:right w:val="nil"/>
            </w:tcBorders>
            <w:vAlign w:val="bottom"/>
          </w:tcPr>
          <w:p w14:paraId="7FE42BF0"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4.237066</w:t>
            </w:r>
          </w:p>
        </w:tc>
        <w:tc>
          <w:tcPr>
            <w:tcW w:w="1250" w:type="dxa"/>
            <w:tcBorders>
              <w:top w:val="nil"/>
              <w:left w:val="nil"/>
              <w:bottom w:val="nil"/>
              <w:right w:val="nil"/>
            </w:tcBorders>
            <w:vAlign w:val="bottom"/>
          </w:tcPr>
          <w:p w14:paraId="6F7698EF"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3.509917</w:t>
            </w:r>
          </w:p>
        </w:tc>
        <w:tc>
          <w:tcPr>
            <w:tcW w:w="1250" w:type="dxa"/>
            <w:tcBorders>
              <w:top w:val="nil"/>
              <w:left w:val="nil"/>
              <w:bottom w:val="nil"/>
              <w:right w:val="nil"/>
            </w:tcBorders>
            <w:vAlign w:val="bottom"/>
          </w:tcPr>
          <w:p w14:paraId="33D607AE"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131.7884</w:t>
            </w:r>
          </w:p>
        </w:tc>
        <w:tc>
          <w:tcPr>
            <w:tcW w:w="1250" w:type="dxa"/>
            <w:tcBorders>
              <w:top w:val="nil"/>
              <w:left w:val="nil"/>
              <w:bottom w:val="nil"/>
              <w:right w:val="nil"/>
            </w:tcBorders>
            <w:vAlign w:val="bottom"/>
          </w:tcPr>
          <w:p w14:paraId="34F1659E"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36.38587</w:t>
            </w:r>
          </w:p>
        </w:tc>
        <w:tc>
          <w:tcPr>
            <w:tcW w:w="1250" w:type="dxa"/>
            <w:tcBorders>
              <w:top w:val="nil"/>
              <w:left w:val="nil"/>
              <w:bottom w:val="nil"/>
              <w:right w:val="nil"/>
            </w:tcBorders>
            <w:vAlign w:val="bottom"/>
          </w:tcPr>
          <w:p w14:paraId="2BD43C36"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21.40617</w:t>
            </w:r>
          </w:p>
        </w:tc>
      </w:tr>
      <w:tr w:rsidR="00747CD6" w:rsidRPr="00747CD6" w14:paraId="0C8F2B71" w14:textId="77777777" w:rsidTr="000F126D">
        <w:trPr>
          <w:trHeight w:val="220"/>
        </w:trPr>
        <w:tc>
          <w:tcPr>
            <w:tcW w:w="1420" w:type="dxa"/>
            <w:tcBorders>
              <w:top w:val="nil"/>
              <w:left w:val="nil"/>
              <w:bottom w:val="nil"/>
              <w:right w:val="nil"/>
            </w:tcBorders>
            <w:vAlign w:val="bottom"/>
          </w:tcPr>
          <w:p w14:paraId="6810A9F9" w14:textId="77777777" w:rsidR="00747CD6" w:rsidRPr="00747CD6" w:rsidRDefault="00747CD6" w:rsidP="00747CD6">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 Jarque-Bera</w:t>
            </w:r>
          </w:p>
        </w:tc>
        <w:tc>
          <w:tcPr>
            <w:tcW w:w="1250" w:type="dxa"/>
            <w:tcBorders>
              <w:top w:val="nil"/>
              <w:left w:val="nil"/>
              <w:bottom w:val="nil"/>
              <w:right w:val="nil"/>
            </w:tcBorders>
            <w:vAlign w:val="bottom"/>
          </w:tcPr>
          <w:p w14:paraId="62559789"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256785.9</w:t>
            </w:r>
          </w:p>
        </w:tc>
        <w:tc>
          <w:tcPr>
            <w:tcW w:w="1250" w:type="dxa"/>
            <w:tcBorders>
              <w:top w:val="nil"/>
              <w:left w:val="nil"/>
              <w:bottom w:val="nil"/>
              <w:right w:val="nil"/>
            </w:tcBorders>
            <w:vAlign w:val="bottom"/>
          </w:tcPr>
          <w:p w14:paraId="08A35A0F"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74.80839</w:t>
            </w:r>
          </w:p>
        </w:tc>
        <w:tc>
          <w:tcPr>
            <w:tcW w:w="1250" w:type="dxa"/>
            <w:tcBorders>
              <w:top w:val="nil"/>
              <w:left w:val="nil"/>
              <w:bottom w:val="nil"/>
              <w:right w:val="nil"/>
            </w:tcBorders>
            <w:vAlign w:val="bottom"/>
          </w:tcPr>
          <w:p w14:paraId="7DC2AB84"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288.2472</w:t>
            </w:r>
          </w:p>
        </w:tc>
        <w:tc>
          <w:tcPr>
            <w:tcW w:w="1250" w:type="dxa"/>
            <w:tcBorders>
              <w:top w:val="nil"/>
              <w:left w:val="nil"/>
              <w:bottom w:val="nil"/>
              <w:right w:val="nil"/>
            </w:tcBorders>
            <w:vAlign w:val="bottom"/>
          </w:tcPr>
          <w:p w14:paraId="303ADE64"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766701.5</w:t>
            </w:r>
          </w:p>
        </w:tc>
        <w:tc>
          <w:tcPr>
            <w:tcW w:w="1250" w:type="dxa"/>
            <w:tcBorders>
              <w:top w:val="nil"/>
              <w:left w:val="nil"/>
              <w:bottom w:val="nil"/>
              <w:right w:val="nil"/>
            </w:tcBorders>
            <w:vAlign w:val="bottom"/>
          </w:tcPr>
          <w:p w14:paraId="5D726A7C"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56624.17</w:t>
            </w:r>
          </w:p>
        </w:tc>
        <w:tc>
          <w:tcPr>
            <w:tcW w:w="1250" w:type="dxa"/>
            <w:tcBorders>
              <w:top w:val="nil"/>
              <w:left w:val="nil"/>
              <w:bottom w:val="nil"/>
              <w:right w:val="nil"/>
            </w:tcBorders>
            <w:vAlign w:val="bottom"/>
          </w:tcPr>
          <w:p w14:paraId="096BEDD1"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18332.32</w:t>
            </w:r>
          </w:p>
        </w:tc>
      </w:tr>
      <w:tr w:rsidR="00747CD6" w:rsidRPr="00747CD6" w14:paraId="356D5D3A" w14:textId="77777777" w:rsidTr="000F126D">
        <w:trPr>
          <w:trHeight w:val="220"/>
        </w:trPr>
        <w:tc>
          <w:tcPr>
            <w:tcW w:w="1420" w:type="dxa"/>
            <w:tcBorders>
              <w:top w:val="nil"/>
              <w:left w:val="nil"/>
              <w:bottom w:val="nil"/>
              <w:right w:val="nil"/>
            </w:tcBorders>
            <w:vAlign w:val="bottom"/>
          </w:tcPr>
          <w:p w14:paraId="6B825096" w14:textId="77777777" w:rsidR="00747CD6" w:rsidRPr="00747CD6" w:rsidRDefault="00747CD6" w:rsidP="00747CD6">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 Probability</w:t>
            </w:r>
          </w:p>
        </w:tc>
        <w:tc>
          <w:tcPr>
            <w:tcW w:w="1250" w:type="dxa"/>
            <w:tcBorders>
              <w:top w:val="nil"/>
              <w:left w:val="nil"/>
              <w:bottom w:val="nil"/>
              <w:right w:val="nil"/>
            </w:tcBorders>
            <w:vAlign w:val="bottom"/>
          </w:tcPr>
          <w:p w14:paraId="015A6FB9"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0.000000</w:t>
            </w:r>
          </w:p>
        </w:tc>
        <w:tc>
          <w:tcPr>
            <w:tcW w:w="1250" w:type="dxa"/>
            <w:tcBorders>
              <w:top w:val="nil"/>
              <w:left w:val="nil"/>
              <w:bottom w:val="nil"/>
              <w:right w:val="nil"/>
            </w:tcBorders>
            <w:vAlign w:val="bottom"/>
          </w:tcPr>
          <w:p w14:paraId="057CCEF9"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0.000000</w:t>
            </w:r>
          </w:p>
        </w:tc>
        <w:tc>
          <w:tcPr>
            <w:tcW w:w="1250" w:type="dxa"/>
            <w:tcBorders>
              <w:top w:val="nil"/>
              <w:left w:val="nil"/>
              <w:bottom w:val="nil"/>
              <w:right w:val="nil"/>
            </w:tcBorders>
            <w:vAlign w:val="bottom"/>
          </w:tcPr>
          <w:p w14:paraId="201CD3DE"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0.000000</w:t>
            </w:r>
          </w:p>
        </w:tc>
        <w:tc>
          <w:tcPr>
            <w:tcW w:w="1250" w:type="dxa"/>
            <w:tcBorders>
              <w:top w:val="nil"/>
              <w:left w:val="nil"/>
              <w:bottom w:val="nil"/>
              <w:right w:val="nil"/>
            </w:tcBorders>
            <w:vAlign w:val="bottom"/>
          </w:tcPr>
          <w:p w14:paraId="0CF8AD79"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0.000000</w:t>
            </w:r>
          </w:p>
        </w:tc>
        <w:tc>
          <w:tcPr>
            <w:tcW w:w="1250" w:type="dxa"/>
            <w:tcBorders>
              <w:top w:val="nil"/>
              <w:left w:val="nil"/>
              <w:bottom w:val="nil"/>
              <w:right w:val="nil"/>
            </w:tcBorders>
            <w:vAlign w:val="bottom"/>
          </w:tcPr>
          <w:p w14:paraId="3B23A987"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0.000000</w:t>
            </w:r>
          </w:p>
        </w:tc>
        <w:tc>
          <w:tcPr>
            <w:tcW w:w="1250" w:type="dxa"/>
            <w:tcBorders>
              <w:top w:val="nil"/>
              <w:left w:val="nil"/>
              <w:bottom w:val="nil"/>
              <w:right w:val="nil"/>
            </w:tcBorders>
            <w:vAlign w:val="bottom"/>
          </w:tcPr>
          <w:p w14:paraId="622B6277"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0.000000</w:t>
            </w:r>
          </w:p>
        </w:tc>
      </w:tr>
      <w:tr w:rsidR="00747CD6" w:rsidRPr="00747CD6" w14:paraId="6C4C605C" w14:textId="77777777" w:rsidTr="000F126D">
        <w:trPr>
          <w:trHeight w:val="220"/>
        </w:trPr>
        <w:tc>
          <w:tcPr>
            <w:tcW w:w="1420" w:type="dxa"/>
            <w:tcBorders>
              <w:top w:val="nil"/>
              <w:left w:val="nil"/>
              <w:bottom w:val="nil"/>
              <w:right w:val="nil"/>
            </w:tcBorders>
            <w:vAlign w:val="bottom"/>
          </w:tcPr>
          <w:p w14:paraId="3F9E466C" w14:textId="77777777" w:rsidR="00747CD6" w:rsidRPr="00747CD6" w:rsidRDefault="00747CD6" w:rsidP="00747CD6">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 Sum</w:t>
            </w:r>
          </w:p>
        </w:tc>
        <w:tc>
          <w:tcPr>
            <w:tcW w:w="1250" w:type="dxa"/>
            <w:tcBorders>
              <w:top w:val="nil"/>
              <w:left w:val="nil"/>
              <w:bottom w:val="nil"/>
              <w:right w:val="nil"/>
            </w:tcBorders>
            <w:vAlign w:val="bottom"/>
          </w:tcPr>
          <w:p w14:paraId="36007A99"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4910.460</w:t>
            </w:r>
          </w:p>
        </w:tc>
        <w:tc>
          <w:tcPr>
            <w:tcW w:w="1250" w:type="dxa"/>
            <w:tcBorders>
              <w:top w:val="nil"/>
              <w:left w:val="nil"/>
              <w:bottom w:val="nil"/>
              <w:right w:val="nil"/>
            </w:tcBorders>
            <w:vAlign w:val="bottom"/>
          </w:tcPr>
          <w:p w14:paraId="4B6BFF7F"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61743.73</w:t>
            </w:r>
          </w:p>
        </w:tc>
        <w:tc>
          <w:tcPr>
            <w:tcW w:w="1250" w:type="dxa"/>
            <w:tcBorders>
              <w:top w:val="nil"/>
              <w:left w:val="nil"/>
              <w:bottom w:val="nil"/>
              <w:right w:val="nil"/>
            </w:tcBorders>
            <w:vAlign w:val="bottom"/>
          </w:tcPr>
          <w:p w14:paraId="093582A8"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8397.560</w:t>
            </w:r>
          </w:p>
        </w:tc>
        <w:tc>
          <w:tcPr>
            <w:tcW w:w="1250" w:type="dxa"/>
            <w:tcBorders>
              <w:top w:val="nil"/>
              <w:left w:val="nil"/>
              <w:bottom w:val="nil"/>
              <w:right w:val="nil"/>
            </w:tcBorders>
            <w:vAlign w:val="bottom"/>
          </w:tcPr>
          <w:p w14:paraId="64E22080"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64480.78</w:t>
            </w:r>
          </w:p>
        </w:tc>
        <w:tc>
          <w:tcPr>
            <w:tcW w:w="1250" w:type="dxa"/>
            <w:tcBorders>
              <w:top w:val="nil"/>
              <w:left w:val="nil"/>
              <w:bottom w:val="nil"/>
              <w:right w:val="nil"/>
            </w:tcBorders>
            <w:vAlign w:val="bottom"/>
          </w:tcPr>
          <w:p w14:paraId="5205B48D"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6864.109</w:t>
            </w:r>
          </w:p>
        </w:tc>
        <w:tc>
          <w:tcPr>
            <w:tcW w:w="1250" w:type="dxa"/>
            <w:tcBorders>
              <w:top w:val="nil"/>
              <w:left w:val="nil"/>
              <w:bottom w:val="nil"/>
              <w:right w:val="nil"/>
            </w:tcBorders>
            <w:vAlign w:val="bottom"/>
          </w:tcPr>
          <w:p w14:paraId="3FEC6E33"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1.75E+10</w:t>
            </w:r>
          </w:p>
        </w:tc>
      </w:tr>
      <w:tr w:rsidR="00747CD6" w:rsidRPr="00747CD6" w14:paraId="0270066B" w14:textId="77777777" w:rsidTr="000F126D">
        <w:trPr>
          <w:trHeight w:val="220"/>
        </w:trPr>
        <w:tc>
          <w:tcPr>
            <w:tcW w:w="1420" w:type="dxa"/>
            <w:tcBorders>
              <w:top w:val="nil"/>
              <w:left w:val="nil"/>
              <w:right w:val="nil"/>
            </w:tcBorders>
            <w:vAlign w:val="bottom"/>
          </w:tcPr>
          <w:p w14:paraId="49198E5A" w14:textId="77777777" w:rsidR="00747CD6" w:rsidRPr="00747CD6" w:rsidRDefault="00747CD6" w:rsidP="00747CD6">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 Sum Sq. Dev.</w:t>
            </w:r>
          </w:p>
        </w:tc>
        <w:tc>
          <w:tcPr>
            <w:tcW w:w="1250" w:type="dxa"/>
            <w:tcBorders>
              <w:top w:val="nil"/>
              <w:left w:val="nil"/>
              <w:right w:val="nil"/>
            </w:tcBorders>
            <w:vAlign w:val="bottom"/>
          </w:tcPr>
          <w:p w14:paraId="7476DFF2"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96154.03</w:t>
            </w:r>
          </w:p>
        </w:tc>
        <w:tc>
          <w:tcPr>
            <w:tcW w:w="1250" w:type="dxa"/>
            <w:tcBorders>
              <w:top w:val="nil"/>
              <w:left w:val="nil"/>
              <w:right w:val="nil"/>
            </w:tcBorders>
            <w:vAlign w:val="bottom"/>
          </w:tcPr>
          <w:p w14:paraId="0F7A2B2C"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57946.11</w:t>
            </w:r>
          </w:p>
        </w:tc>
        <w:tc>
          <w:tcPr>
            <w:tcW w:w="1250" w:type="dxa"/>
            <w:tcBorders>
              <w:top w:val="nil"/>
              <w:left w:val="nil"/>
              <w:right w:val="nil"/>
            </w:tcBorders>
            <w:vAlign w:val="bottom"/>
          </w:tcPr>
          <w:p w14:paraId="5CD6EBF5"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50412.43</w:t>
            </w:r>
          </w:p>
        </w:tc>
        <w:tc>
          <w:tcPr>
            <w:tcW w:w="1250" w:type="dxa"/>
            <w:tcBorders>
              <w:top w:val="nil"/>
              <w:left w:val="nil"/>
              <w:right w:val="nil"/>
            </w:tcBorders>
            <w:vAlign w:val="bottom"/>
          </w:tcPr>
          <w:p w14:paraId="3C26FFF4"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61674666</w:t>
            </w:r>
          </w:p>
        </w:tc>
        <w:tc>
          <w:tcPr>
            <w:tcW w:w="1250" w:type="dxa"/>
            <w:tcBorders>
              <w:top w:val="nil"/>
              <w:left w:val="nil"/>
              <w:right w:val="nil"/>
            </w:tcBorders>
            <w:vAlign w:val="bottom"/>
          </w:tcPr>
          <w:p w14:paraId="3F360756"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273741.7</w:t>
            </w:r>
          </w:p>
        </w:tc>
        <w:tc>
          <w:tcPr>
            <w:tcW w:w="1250" w:type="dxa"/>
            <w:tcBorders>
              <w:top w:val="nil"/>
              <w:left w:val="nil"/>
              <w:right w:val="nil"/>
            </w:tcBorders>
            <w:vAlign w:val="bottom"/>
          </w:tcPr>
          <w:p w14:paraId="16C443F7"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9.81E+17</w:t>
            </w:r>
          </w:p>
        </w:tc>
      </w:tr>
      <w:tr w:rsidR="00747CD6" w:rsidRPr="00747CD6" w14:paraId="4AD24D0F" w14:textId="77777777" w:rsidTr="000F126D">
        <w:trPr>
          <w:trHeight w:val="220"/>
        </w:trPr>
        <w:tc>
          <w:tcPr>
            <w:tcW w:w="1420" w:type="dxa"/>
            <w:tcBorders>
              <w:top w:val="nil"/>
              <w:left w:val="nil"/>
              <w:bottom w:val="single" w:sz="4" w:space="0" w:color="auto"/>
              <w:right w:val="nil"/>
            </w:tcBorders>
            <w:vAlign w:val="bottom"/>
          </w:tcPr>
          <w:p w14:paraId="1EB2E661" w14:textId="77777777" w:rsidR="00747CD6" w:rsidRPr="00747CD6" w:rsidRDefault="00747CD6" w:rsidP="00747CD6">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 Observations</w:t>
            </w:r>
          </w:p>
        </w:tc>
        <w:tc>
          <w:tcPr>
            <w:tcW w:w="1250" w:type="dxa"/>
            <w:tcBorders>
              <w:top w:val="nil"/>
              <w:left w:val="nil"/>
              <w:bottom w:val="single" w:sz="4" w:space="0" w:color="auto"/>
              <w:right w:val="nil"/>
            </w:tcBorders>
            <w:vAlign w:val="bottom"/>
          </w:tcPr>
          <w:p w14:paraId="503CD0DC"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1089</w:t>
            </w:r>
          </w:p>
        </w:tc>
        <w:tc>
          <w:tcPr>
            <w:tcW w:w="1250" w:type="dxa"/>
            <w:tcBorders>
              <w:top w:val="nil"/>
              <w:left w:val="nil"/>
              <w:bottom w:val="single" w:sz="4" w:space="0" w:color="auto"/>
              <w:right w:val="nil"/>
            </w:tcBorders>
            <w:vAlign w:val="bottom"/>
          </w:tcPr>
          <w:p w14:paraId="48256C8D"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1089</w:t>
            </w:r>
          </w:p>
        </w:tc>
        <w:tc>
          <w:tcPr>
            <w:tcW w:w="1250" w:type="dxa"/>
            <w:tcBorders>
              <w:top w:val="nil"/>
              <w:left w:val="nil"/>
              <w:bottom w:val="single" w:sz="4" w:space="0" w:color="auto"/>
              <w:right w:val="nil"/>
            </w:tcBorders>
            <w:vAlign w:val="bottom"/>
          </w:tcPr>
          <w:p w14:paraId="5EC234E3"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1089</w:t>
            </w:r>
          </w:p>
        </w:tc>
        <w:tc>
          <w:tcPr>
            <w:tcW w:w="1250" w:type="dxa"/>
            <w:tcBorders>
              <w:top w:val="nil"/>
              <w:left w:val="nil"/>
              <w:bottom w:val="single" w:sz="4" w:space="0" w:color="auto"/>
              <w:right w:val="nil"/>
            </w:tcBorders>
            <w:vAlign w:val="bottom"/>
          </w:tcPr>
          <w:p w14:paraId="5B73D63C"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1089</w:t>
            </w:r>
          </w:p>
        </w:tc>
        <w:tc>
          <w:tcPr>
            <w:tcW w:w="1250" w:type="dxa"/>
            <w:tcBorders>
              <w:top w:val="nil"/>
              <w:left w:val="nil"/>
              <w:bottom w:val="single" w:sz="4" w:space="0" w:color="auto"/>
              <w:right w:val="nil"/>
            </w:tcBorders>
            <w:vAlign w:val="bottom"/>
          </w:tcPr>
          <w:p w14:paraId="05EE999C"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1089</w:t>
            </w:r>
          </w:p>
        </w:tc>
        <w:tc>
          <w:tcPr>
            <w:tcW w:w="1250" w:type="dxa"/>
            <w:tcBorders>
              <w:top w:val="nil"/>
              <w:left w:val="nil"/>
              <w:bottom w:val="single" w:sz="4" w:space="0" w:color="auto"/>
              <w:right w:val="nil"/>
            </w:tcBorders>
            <w:vAlign w:val="bottom"/>
          </w:tcPr>
          <w:p w14:paraId="2D87B909"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1089</w:t>
            </w:r>
          </w:p>
        </w:tc>
      </w:tr>
    </w:tbl>
    <w:p w14:paraId="00E31A89" w14:textId="77777777" w:rsidR="00747CD6" w:rsidRPr="00747CD6" w:rsidRDefault="00747CD6" w:rsidP="00747CD6">
      <w:pPr>
        <w:spacing w:line="276" w:lineRule="auto"/>
        <w:jc w:val="both"/>
        <w:rPr>
          <w:rFonts w:ascii="Times New Roman" w:hAnsi="Times New Roman" w:cs="Times New Roman"/>
        </w:rPr>
      </w:pPr>
      <w:r w:rsidRPr="00747CD6">
        <w:rPr>
          <w:rFonts w:ascii="Times New Roman" w:hAnsi="Times New Roman" w:cs="Times New Roman"/>
          <w:b/>
          <w:bCs/>
        </w:rPr>
        <w:t>Source:</w:t>
      </w:r>
      <w:r w:rsidRPr="00747CD6">
        <w:rPr>
          <w:rFonts w:ascii="Times New Roman" w:hAnsi="Times New Roman" w:cs="Times New Roman"/>
        </w:rPr>
        <w:t xml:space="preserve"> Authors computation using </w:t>
      </w:r>
      <w:proofErr w:type="spellStart"/>
      <w:r w:rsidRPr="00747CD6">
        <w:rPr>
          <w:rFonts w:ascii="Times New Roman" w:hAnsi="Times New Roman" w:cs="Times New Roman"/>
        </w:rPr>
        <w:t>Eviews</w:t>
      </w:r>
      <w:proofErr w:type="spellEnd"/>
      <w:r w:rsidRPr="00747CD6">
        <w:rPr>
          <w:rFonts w:ascii="Times New Roman" w:hAnsi="Times New Roman" w:cs="Times New Roman"/>
        </w:rPr>
        <w:t xml:space="preserve"> 10, 2026. </w:t>
      </w:r>
    </w:p>
    <w:p w14:paraId="237DA455" w14:textId="63F3D6C4" w:rsidR="00747CD6" w:rsidRPr="00747CD6" w:rsidRDefault="00747CD6" w:rsidP="00747CD6">
      <w:pPr>
        <w:spacing w:line="276" w:lineRule="auto"/>
        <w:jc w:val="both"/>
        <w:rPr>
          <w:rFonts w:ascii="Times New Roman" w:hAnsi="Times New Roman" w:cs="Times New Roman"/>
        </w:rPr>
      </w:pPr>
      <w:r w:rsidRPr="00747CD6">
        <w:rPr>
          <w:rFonts w:ascii="Times New Roman" w:hAnsi="Times New Roman" w:cs="Times New Roman"/>
        </w:rPr>
        <w:t xml:space="preserve">Table 4.1 shows that economic growth (RGDP) has the average value of 4.51 annual growth rate, with a median of 4.11 annual growth rate. This is an indication that the mean of annual growth rate of economic growth in Sub-Saharan Africa is about </w:t>
      </w:r>
      <w:r w:rsidR="00D56BB9" w:rsidRPr="00747CD6">
        <w:rPr>
          <w:rFonts w:ascii="Times New Roman" w:hAnsi="Times New Roman" w:cs="Times New Roman"/>
        </w:rPr>
        <w:t>4.5 within</w:t>
      </w:r>
      <w:r w:rsidRPr="00747CD6">
        <w:rPr>
          <w:rFonts w:ascii="Times New Roman" w:hAnsi="Times New Roman" w:cs="Times New Roman"/>
        </w:rPr>
        <w:t xml:space="preserve"> the period of the study 1990 to 2022. It recorded a maximum of 149.94 annual growth rate recorded in Equatorial Guinea in 1997 which can be linked to rapid expansion in the oil sector due the oil boom. While the minimum of about -51.03 annual growth rate which was recorded by Liberia in 1990 attribute to the devastating impact of First Civil War which started in 1989. The standard deviation of 9.40 indicates a significant fluctuation in the annual growth rate across countries in Sub-Saharan Africa. 5.64 of the Skewness indicates that the distribution that the distributions are positively skewed suggesting higher growth values pulling the distribution to the right side. The Kurtosis has the value of 77.38.</w:t>
      </w:r>
    </w:p>
    <w:p w14:paraId="26160AF4" w14:textId="77777777" w:rsidR="00747CD6" w:rsidRPr="00747CD6" w:rsidRDefault="00747CD6" w:rsidP="00747CD6">
      <w:pPr>
        <w:spacing w:line="276" w:lineRule="auto"/>
        <w:jc w:val="both"/>
        <w:rPr>
          <w:rFonts w:ascii="Times New Roman" w:hAnsi="Times New Roman" w:cs="Times New Roman"/>
        </w:rPr>
      </w:pPr>
      <w:r w:rsidRPr="00747CD6">
        <w:rPr>
          <w:rFonts w:ascii="Times New Roman" w:hAnsi="Times New Roman" w:cs="Times New Roman"/>
        </w:rPr>
        <w:t xml:space="preserve">Life expectancy (LEX) has the average of 56.70 years with the median of 57.05 years which indicates that the distribution symmetric relatively. The maximum of 75.90 years was observed in Cabo Verde in 2022. This may be attributed to strong social and health system performance. The minimum of 14.67years in Central African Republic in 2022 which may be attributed to severe structural and humanitarian challenges. The standard deviation of 7.30 shows that life expectancy across the region deviate moderately. </w:t>
      </w:r>
    </w:p>
    <w:p w14:paraId="36AEE8DA" w14:textId="77777777" w:rsidR="00747CD6" w:rsidRPr="00747CD6" w:rsidRDefault="00747CD6" w:rsidP="00747CD6">
      <w:pPr>
        <w:spacing w:line="276" w:lineRule="auto"/>
        <w:jc w:val="both"/>
        <w:rPr>
          <w:rFonts w:ascii="Times New Roman" w:hAnsi="Times New Roman" w:cs="Times New Roman"/>
        </w:rPr>
      </w:pPr>
      <w:r w:rsidRPr="00747CD6">
        <w:rPr>
          <w:rFonts w:ascii="Times New Roman" w:hAnsi="Times New Roman" w:cs="Times New Roman"/>
        </w:rPr>
        <w:t xml:space="preserve">The mean of under-five mortality rate is (UNM) 7.71 deaths, with a median 4.94 deaths respectively indicates that under-five mortality rate is lower than the average in most of the observations owing to high mortality scenarios across Sub-Saharan countries. Under-five mortality also has the maximum of 36.47deaths recorded by Guinea in 1990 which marks the period of economic instability, structural imbalance and weak industrial development. The minimum of 0.32 deaths was recorded by Cabo Verde in 2022 characterized by relatively stable political environment.  The standard deviation of under-five mortality of 6.81 shows a significant dispersion in the rate within the period of study. The distribution is positively skewed with 1.23 indicating that only few countries in the distribution are within the extreme under-five mortality circle. The kurtosis for unemployment is 3.52. </w:t>
      </w:r>
    </w:p>
    <w:p w14:paraId="6F27C9D9" w14:textId="77777777" w:rsidR="00747CD6" w:rsidRPr="00747CD6" w:rsidRDefault="00747CD6" w:rsidP="00747CD6">
      <w:pPr>
        <w:spacing w:line="276" w:lineRule="auto"/>
        <w:jc w:val="both"/>
        <w:rPr>
          <w:rFonts w:ascii="Times New Roman" w:hAnsi="Times New Roman" w:cs="Times New Roman"/>
        </w:rPr>
      </w:pPr>
      <w:r w:rsidRPr="00747CD6">
        <w:rPr>
          <w:rFonts w:ascii="Times New Roman" w:hAnsi="Times New Roman" w:cs="Times New Roman"/>
        </w:rPr>
        <w:t xml:space="preserve">Health expenditure (HEX) across the region deviate considerably with a mean of 59.21 total health expenditure and a median of 21.13 total health expenditure indicating that only few countries with a very high health expenditure greatly influenced the average. The maximum of </w:t>
      </w:r>
      <w:r w:rsidRPr="00747CD6">
        <w:rPr>
          <w:rFonts w:ascii="Times New Roman" w:hAnsi="Times New Roman" w:cs="Times New Roman"/>
          <w:color w:val="000000"/>
          <w:kern w:val="0"/>
        </w:rPr>
        <w:t xml:space="preserve">1232.375 total health expenditure is recorded in Cabo </w:t>
      </w:r>
      <w:proofErr w:type="spellStart"/>
      <w:r w:rsidRPr="00747CD6">
        <w:rPr>
          <w:rFonts w:ascii="Times New Roman" w:hAnsi="Times New Roman" w:cs="Times New Roman"/>
          <w:color w:val="000000"/>
          <w:kern w:val="0"/>
        </w:rPr>
        <w:t>verde</w:t>
      </w:r>
      <w:proofErr w:type="spellEnd"/>
      <w:r w:rsidRPr="00747CD6">
        <w:rPr>
          <w:rFonts w:ascii="Times New Roman" w:hAnsi="Times New Roman" w:cs="Times New Roman"/>
          <w:color w:val="000000"/>
          <w:kern w:val="0"/>
        </w:rPr>
        <w:t xml:space="preserve"> in 2021 which can be attributed to strong policy focus on health and minimum of -3832.625 total health expenditure is recorded in Burkina Faso in 1999.  </w:t>
      </w:r>
      <w:r w:rsidRPr="00747CD6">
        <w:rPr>
          <w:rFonts w:ascii="Times New Roman" w:hAnsi="Times New Roman" w:cs="Times New Roman"/>
        </w:rPr>
        <w:t xml:space="preserve">A substantial disparity in health spending in the region was indicated by the large standard deviation of 238.09. </w:t>
      </w:r>
    </w:p>
    <w:p w14:paraId="64777979" w14:textId="77777777" w:rsidR="00747CD6" w:rsidRPr="00747CD6" w:rsidRDefault="00747CD6" w:rsidP="00747CD6">
      <w:pPr>
        <w:spacing w:line="276" w:lineRule="auto"/>
        <w:jc w:val="both"/>
        <w:rPr>
          <w:rFonts w:ascii="Times New Roman" w:hAnsi="Times New Roman" w:cs="Times New Roman"/>
        </w:rPr>
      </w:pPr>
      <w:r w:rsidRPr="00747CD6">
        <w:rPr>
          <w:rFonts w:ascii="Times New Roman" w:hAnsi="Times New Roman" w:cs="Times New Roman"/>
        </w:rPr>
        <w:t xml:space="preserve">Education expenditure (EDU) has the mean of 6.30 government education expenditure and the median of 3.03 government education expenditure which suggests that most of the observations in the education expenditure across the region lies below the mean level of education expenditure. The maximum </w:t>
      </w:r>
      <w:r w:rsidRPr="00747CD6">
        <w:rPr>
          <w:rFonts w:ascii="Times New Roman" w:hAnsi="Times New Roman" w:cs="Times New Roman"/>
          <w:color w:val="000000"/>
          <w:kern w:val="0"/>
        </w:rPr>
        <w:t>128.3863 government education expenditure was recorded in Republic of the Congo in 2011 which can be attributed to combine increase in government investment in education. The minimum of 0.002960 government education expenditure was recorded in Gambia in 1994 which can be linked to weak spending in education.</w:t>
      </w:r>
      <w:r w:rsidRPr="00747CD6">
        <w:rPr>
          <w:rFonts w:ascii="Times New Roman" w:hAnsi="Times New Roman" w:cs="Times New Roman"/>
        </w:rPr>
        <w:t xml:space="preserve"> The standard deviation of 15.86 and the maximum values which are large suggested a significant disparity in education expenditure among the countries in the sub region. </w:t>
      </w:r>
    </w:p>
    <w:p w14:paraId="6F8BE8D8" w14:textId="422ABD9A" w:rsidR="00747CD6" w:rsidRPr="00747CD6" w:rsidRDefault="00747CD6" w:rsidP="00747CD6">
      <w:pPr>
        <w:spacing w:line="276" w:lineRule="auto"/>
        <w:jc w:val="both"/>
        <w:rPr>
          <w:rFonts w:ascii="Times New Roman" w:hAnsi="Times New Roman" w:cs="Times New Roman"/>
        </w:rPr>
      </w:pPr>
      <w:r w:rsidRPr="00747CD6">
        <w:rPr>
          <w:rFonts w:ascii="Times New Roman" w:hAnsi="Times New Roman" w:cs="Times New Roman"/>
        </w:rPr>
        <w:t>The mean value of population growth rate (POP) is 16,060,972 annually while the median population growth rate is 6,226,773 annually indicating many countries population are below the average because of few large countries in the sub region. The maximum population is 223 annually from Nigeria in 2022 attribute to high fertility rate, large landmass and sustain population growth over the years. The minimum is 375,428 annually recorded by Seychelles in 1990 reflecting the country’s small geographical size. The standard deviation is 30,035. The distribution of population in the region is passively skewed. The kurtosis is 21.41.</w:t>
      </w:r>
    </w:p>
    <w:p w14:paraId="29D452FB" w14:textId="2F82653D" w:rsidR="00747CD6" w:rsidRPr="00747CD6" w:rsidRDefault="00747CD6" w:rsidP="00D56BB9">
      <w:pPr>
        <w:spacing w:line="276" w:lineRule="auto"/>
        <w:jc w:val="both"/>
        <w:rPr>
          <w:rFonts w:ascii="Times New Roman" w:hAnsi="Times New Roman" w:cs="Times New Roman"/>
          <w:b/>
          <w:bCs/>
        </w:rPr>
      </w:pPr>
      <w:r w:rsidRPr="00747CD6">
        <w:rPr>
          <w:rFonts w:ascii="Times New Roman" w:hAnsi="Times New Roman" w:cs="Times New Roman"/>
          <w:b/>
          <w:bCs/>
        </w:rPr>
        <w:t>Table: 4.</w:t>
      </w:r>
      <w:r w:rsidR="00D56BB9">
        <w:rPr>
          <w:rFonts w:ascii="Times New Roman" w:hAnsi="Times New Roman" w:cs="Times New Roman"/>
          <w:b/>
          <w:bCs/>
        </w:rPr>
        <w:t>2</w:t>
      </w:r>
      <w:r w:rsidRPr="00747CD6">
        <w:rPr>
          <w:rFonts w:ascii="Times New Roman" w:hAnsi="Times New Roman" w:cs="Times New Roman"/>
          <w:b/>
          <w:bCs/>
        </w:rPr>
        <w:t xml:space="preserve"> Correction Analysis test Result</w:t>
      </w:r>
    </w:p>
    <w:tbl>
      <w:tblPr>
        <w:tblW w:w="0" w:type="auto"/>
        <w:tblInd w:w="30" w:type="dxa"/>
        <w:tblLayout w:type="fixed"/>
        <w:tblCellMar>
          <w:left w:w="0" w:type="dxa"/>
          <w:right w:w="0" w:type="dxa"/>
        </w:tblCellMar>
        <w:tblLook w:val="0000" w:firstRow="0" w:lastRow="0" w:firstColumn="0" w:lastColumn="0" w:noHBand="0" w:noVBand="0"/>
      </w:tblPr>
      <w:tblGrid>
        <w:gridCol w:w="1220"/>
        <w:gridCol w:w="1250"/>
        <w:gridCol w:w="1250"/>
        <w:gridCol w:w="1250"/>
        <w:gridCol w:w="1250"/>
        <w:gridCol w:w="1250"/>
        <w:gridCol w:w="1250"/>
      </w:tblGrid>
      <w:tr w:rsidR="00747CD6" w:rsidRPr="00747CD6" w14:paraId="30C45FF8" w14:textId="77777777" w:rsidTr="000F126D">
        <w:trPr>
          <w:trHeight w:val="220"/>
        </w:trPr>
        <w:tc>
          <w:tcPr>
            <w:tcW w:w="1220" w:type="dxa"/>
            <w:tcBorders>
              <w:top w:val="single" w:sz="4" w:space="0" w:color="auto"/>
              <w:left w:val="nil"/>
              <w:bottom w:val="single" w:sz="4" w:space="0" w:color="auto"/>
              <w:right w:val="nil"/>
            </w:tcBorders>
            <w:vAlign w:val="bottom"/>
          </w:tcPr>
          <w:p w14:paraId="5180279F"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p>
        </w:tc>
        <w:tc>
          <w:tcPr>
            <w:tcW w:w="1250" w:type="dxa"/>
            <w:tcBorders>
              <w:top w:val="single" w:sz="4" w:space="0" w:color="auto"/>
              <w:left w:val="nil"/>
              <w:bottom w:val="single" w:sz="4" w:space="0" w:color="auto"/>
              <w:right w:val="nil"/>
            </w:tcBorders>
            <w:vAlign w:val="bottom"/>
          </w:tcPr>
          <w:p w14:paraId="3C7CE0B2"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RGDP</w:t>
            </w:r>
          </w:p>
        </w:tc>
        <w:tc>
          <w:tcPr>
            <w:tcW w:w="1250" w:type="dxa"/>
            <w:tcBorders>
              <w:top w:val="single" w:sz="4" w:space="0" w:color="auto"/>
              <w:left w:val="nil"/>
              <w:bottom w:val="single" w:sz="4" w:space="0" w:color="auto"/>
              <w:right w:val="nil"/>
            </w:tcBorders>
            <w:vAlign w:val="bottom"/>
          </w:tcPr>
          <w:p w14:paraId="1DC4CFA7"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LEX</w:t>
            </w:r>
          </w:p>
        </w:tc>
        <w:tc>
          <w:tcPr>
            <w:tcW w:w="1250" w:type="dxa"/>
            <w:tcBorders>
              <w:top w:val="single" w:sz="4" w:space="0" w:color="auto"/>
              <w:left w:val="nil"/>
              <w:bottom w:val="single" w:sz="4" w:space="0" w:color="auto"/>
              <w:right w:val="nil"/>
            </w:tcBorders>
            <w:vAlign w:val="bottom"/>
          </w:tcPr>
          <w:p w14:paraId="225EFBFB"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UNM</w:t>
            </w:r>
          </w:p>
        </w:tc>
        <w:tc>
          <w:tcPr>
            <w:tcW w:w="1250" w:type="dxa"/>
            <w:tcBorders>
              <w:top w:val="single" w:sz="4" w:space="0" w:color="auto"/>
              <w:left w:val="nil"/>
              <w:bottom w:val="single" w:sz="4" w:space="0" w:color="auto"/>
              <w:right w:val="nil"/>
            </w:tcBorders>
            <w:vAlign w:val="bottom"/>
          </w:tcPr>
          <w:p w14:paraId="30F59C82"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HEX</w:t>
            </w:r>
          </w:p>
        </w:tc>
        <w:tc>
          <w:tcPr>
            <w:tcW w:w="1250" w:type="dxa"/>
            <w:tcBorders>
              <w:top w:val="single" w:sz="4" w:space="0" w:color="auto"/>
              <w:left w:val="nil"/>
              <w:bottom w:val="single" w:sz="4" w:space="0" w:color="auto"/>
              <w:right w:val="nil"/>
            </w:tcBorders>
            <w:vAlign w:val="bottom"/>
          </w:tcPr>
          <w:p w14:paraId="5981F646"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EDU</w:t>
            </w:r>
          </w:p>
        </w:tc>
        <w:tc>
          <w:tcPr>
            <w:tcW w:w="1250" w:type="dxa"/>
            <w:tcBorders>
              <w:top w:val="single" w:sz="4" w:space="0" w:color="auto"/>
              <w:left w:val="nil"/>
              <w:bottom w:val="single" w:sz="4" w:space="0" w:color="auto"/>
              <w:right w:val="nil"/>
            </w:tcBorders>
            <w:vAlign w:val="bottom"/>
          </w:tcPr>
          <w:p w14:paraId="69D1CD78"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POP</w:t>
            </w:r>
          </w:p>
        </w:tc>
      </w:tr>
      <w:tr w:rsidR="00747CD6" w:rsidRPr="00747CD6" w14:paraId="7E950FD4" w14:textId="77777777" w:rsidTr="000F126D">
        <w:trPr>
          <w:trHeight w:val="220"/>
        </w:trPr>
        <w:tc>
          <w:tcPr>
            <w:tcW w:w="1220" w:type="dxa"/>
            <w:tcBorders>
              <w:top w:val="single" w:sz="4" w:space="0" w:color="auto"/>
              <w:left w:val="nil"/>
              <w:bottom w:val="nil"/>
              <w:right w:val="nil"/>
            </w:tcBorders>
            <w:vAlign w:val="bottom"/>
          </w:tcPr>
          <w:p w14:paraId="78A26BBB"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RGDP</w:t>
            </w:r>
          </w:p>
        </w:tc>
        <w:tc>
          <w:tcPr>
            <w:tcW w:w="1250" w:type="dxa"/>
            <w:tcBorders>
              <w:top w:val="single" w:sz="4" w:space="0" w:color="auto"/>
              <w:left w:val="nil"/>
              <w:bottom w:val="nil"/>
              <w:right w:val="nil"/>
            </w:tcBorders>
            <w:vAlign w:val="bottom"/>
          </w:tcPr>
          <w:p w14:paraId="0A0BDF72"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1.000000</w:t>
            </w:r>
          </w:p>
        </w:tc>
        <w:tc>
          <w:tcPr>
            <w:tcW w:w="1250" w:type="dxa"/>
            <w:tcBorders>
              <w:top w:val="single" w:sz="4" w:space="0" w:color="auto"/>
              <w:left w:val="nil"/>
              <w:bottom w:val="nil"/>
              <w:right w:val="nil"/>
            </w:tcBorders>
            <w:vAlign w:val="bottom"/>
          </w:tcPr>
          <w:p w14:paraId="0487CB4B"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p>
        </w:tc>
        <w:tc>
          <w:tcPr>
            <w:tcW w:w="1250" w:type="dxa"/>
            <w:tcBorders>
              <w:top w:val="single" w:sz="4" w:space="0" w:color="auto"/>
              <w:left w:val="nil"/>
              <w:bottom w:val="nil"/>
              <w:right w:val="nil"/>
            </w:tcBorders>
            <w:vAlign w:val="bottom"/>
          </w:tcPr>
          <w:p w14:paraId="688EBC88"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p>
        </w:tc>
        <w:tc>
          <w:tcPr>
            <w:tcW w:w="1250" w:type="dxa"/>
            <w:tcBorders>
              <w:top w:val="single" w:sz="4" w:space="0" w:color="auto"/>
              <w:left w:val="nil"/>
              <w:bottom w:val="nil"/>
              <w:right w:val="nil"/>
            </w:tcBorders>
            <w:vAlign w:val="bottom"/>
          </w:tcPr>
          <w:p w14:paraId="46E3A7C4"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p>
        </w:tc>
        <w:tc>
          <w:tcPr>
            <w:tcW w:w="1250" w:type="dxa"/>
            <w:tcBorders>
              <w:top w:val="single" w:sz="4" w:space="0" w:color="auto"/>
              <w:left w:val="nil"/>
              <w:bottom w:val="nil"/>
              <w:right w:val="nil"/>
            </w:tcBorders>
            <w:vAlign w:val="bottom"/>
          </w:tcPr>
          <w:p w14:paraId="26A7D56F"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p>
        </w:tc>
        <w:tc>
          <w:tcPr>
            <w:tcW w:w="1250" w:type="dxa"/>
            <w:tcBorders>
              <w:top w:val="single" w:sz="4" w:space="0" w:color="auto"/>
              <w:left w:val="nil"/>
              <w:bottom w:val="nil"/>
              <w:right w:val="nil"/>
            </w:tcBorders>
            <w:vAlign w:val="bottom"/>
          </w:tcPr>
          <w:p w14:paraId="0FB3C4E4"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p>
        </w:tc>
      </w:tr>
      <w:tr w:rsidR="00747CD6" w:rsidRPr="00747CD6" w14:paraId="7779183F" w14:textId="77777777" w:rsidTr="000F126D">
        <w:trPr>
          <w:trHeight w:val="220"/>
        </w:trPr>
        <w:tc>
          <w:tcPr>
            <w:tcW w:w="1220" w:type="dxa"/>
            <w:tcBorders>
              <w:top w:val="nil"/>
              <w:left w:val="nil"/>
              <w:bottom w:val="nil"/>
              <w:right w:val="nil"/>
            </w:tcBorders>
            <w:vAlign w:val="bottom"/>
          </w:tcPr>
          <w:p w14:paraId="378D3047"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LEX</w:t>
            </w:r>
          </w:p>
        </w:tc>
        <w:tc>
          <w:tcPr>
            <w:tcW w:w="1250" w:type="dxa"/>
            <w:tcBorders>
              <w:top w:val="nil"/>
              <w:left w:val="nil"/>
              <w:bottom w:val="nil"/>
              <w:right w:val="nil"/>
            </w:tcBorders>
            <w:vAlign w:val="bottom"/>
          </w:tcPr>
          <w:p w14:paraId="3E81DBCD"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0.072604</w:t>
            </w:r>
          </w:p>
        </w:tc>
        <w:tc>
          <w:tcPr>
            <w:tcW w:w="1250" w:type="dxa"/>
            <w:tcBorders>
              <w:top w:val="nil"/>
              <w:left w:val="nil"/>
              <w:bottom w:val="nil"/>
              <w:right w:val="nil"/>
            </w:tcBorders>
            <w:vAlign w:val="bottom"/>
          </w:tcPr>
          <w:p w14:paraId="16DA104E"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1.000000</w:t>
            </w:r>
          </w:p>
        </w:tc>
        <w:tc>
          <w:tcPr>
            <w:tcW w:w="1250" w:type="dxa"/>
            <w:tcBorders>
              <w:top w:val="nil"/>
              <w:left w:val="nil"/>
              <w:bottom w:val="nil"/>
              <w:right w:val="nil"/>
            </w:tcBorders>
            <w:vAlign w:val="bottom"/>
          </w:tcPr>
          <w:p w14:paraId="46B04917"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p>
        </w:tc>
        <w:tc>
          <w:tcPr>
            <w:tcW w:w="1250" w:type="dxa"/>
            <w:tcBorders>
              <w:top w:val="nil"/>
              <w:left w:val="nil"/>
              <w:bottom w:val="nil"/>
              <w:right w:val="nil"/>
            </w:tcBorders>
            <w:vAlign w:val="bottom"/>
          </w:tcPr>
          <w:p w14:paraId="73F0DF81"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p>
        </w:tc>
        <w:tc>
          <w:tcPr>
            <w:tcW w:w="1250" w:type="dxa"/>
            <w:tcBorders>
              <w:top w:val="nil"/>
              <w:left w:val="nil"/>
              <w:bottom w:val="nil"/>
              <w:right w:val="nil"/>
            </w:tcBorders>
            <w:vAlign w:val="bottom"/>
          </w:tcPr>
          <w:p w14:paraId="7ABB4422"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p>
        </w:tc>
        <w:tc>
          <w:tcPr>
            <w:tcW w:w="1250" w:type="dxa"/>
            <w:tcBorders>
              <w:top w:val="nil"/>
              <w:left w:val="nil"/>
              <w:bottom w:val="nil"/>
              <w:right w:val="nil"/>
            </w:tcBorders>
            <w:vAlign w:val="bottom"/>
          </w:tcPr>
          <w:p w14:paraId="7D31B852"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p>
        </w:tc>
      </w:tr>
      <w:tr w:rsidR="00747CD6" w:rsidRPr="00747CD6" w14:paraId="08937370" w14:textId="77777777" w:rsidTr="000F126D">
        <w:trPr>
          <w:trHeight w:val="220"/>
        </w:trPr>
        <w:tc>
          <w:tcPr>
            <w:tcW w:w="1220" w:type="dxa"/>
            <w:tcBorders>
              <w:top w:val="nil"/>
              <w:left w:val="nil"/>
              <w:bottom w:val="nil"/>
              <w:right w:val="nil"/>
            </w:tcBorders>
            <w:vAlign w:val="bottom"/>
          </w:tcPr>
          <w:p w14:paraId="7BA42FD4"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UNM</w:t>
            </w:r>
          </w:p>
        </w:tc>
        <w:tc>
          <w:tcPr>
            <w:tcW w:w="1250" w:type="dxa"/>
            <w:tcBorders>
              <w:top w:val="nil"/>
              <w:left w:val="nil"/>
              <w:bottom w:val="nil"/>
              <w:right w:val="nil"/>
            </w:tcBorders>
            <w:vAlign w:val="bottom"/>
          </w:tcPr>
          <w:p w14:paraId="64CBDD76"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-0.054413</w:t>
            </w:r>
          </w:p>
        </w:tc>
        <w:tc>
          <w:tcPr>
            <w:tcW w:w="1250" w:type="dxa"/>
            <w:tcBorders>
              <w:top w:val="nil"/>
              <w:left w:val="nil"/>
              <w:bottom w:val="nil"/>
              <w:right w:val="nil"/>
            </w:tcBorders>
            <w:vAlign w:val="bottom"/>
          </w:tcPr>
          <w:p w14:paraId="7BFBE509"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0.144231</w:t>
            </w:r>
          </w:p>
        </w:tc>
        <w:tc>
          <w:tcPr>
            <w:tcW w:w="1250" w:type="dxa"/>
            <w:tcBorders>
              <w:top w:val="nil"/>
              <w:left w:val="nil"/>
              <w:bottom w:val="nil"/>
              <w:right w:val="nil"/>
            </w:tcBorders>
            <w:vAlign w:val="bottom"/>
          </w:tcPr>
          <w:p w14:paraId="098E7D10"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1.000000</w:t>
            </w:r>
          </w:p>
        </w:tc>
        <w:tc>
          <w:tcPr>
            <w:tcW w:w="1250" w:type="dxa"/>
            <w:tcBorders>
              <w:top w:val="nil"/>
              <w:left w:val="nil"/>
              <w:bottom w:val="nil"/>
              <w:right w:val="nil"/>
            </w:tcBorders>
            <w:vAlign w:val="bottom"/>
          </w:tcPr>
          <w:p w14:paraId="3A608CC7"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p>
        </w:tc>
        <w:tc>
          <w:tcPr>
            <w:tcW w:w="1250" w:type="dxa"/>
            <w:tcBorders>
              <w:top w:val="nil"/>
              <w:left w:val="nil"/>
              <w:bottom w:val="nil"/>
              <w:right w:val="nil"/>
            </w:tcBorders>
            <w:vAlign w:val="bottom"/>
          </w:tcPr>
          <w:p w14:paraId="25059073"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p>
        </w:tc>
        <w:tc>
          <w:tcPr>
            <w:tcW w:w="1250" w:type="dxa"/>
            <w:tcBorders>
              <w:top w:val="nil"/>
              <w:left w:val="nil"/>
              <w:bottom w:val="nil"/>
              <w:right w:val="nil"/>
            </w:tcBorders>
            <w:vAlign w:val="bottom"/>
          </w:tcPr>
          <w:p w14:paraId="618363AB"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p>
        </w:tc>
      </w:tr>
      <w:tr w:rsidR="00747CD6" w:rsidRPr="00747CD6" w14:paraId="5BDA685A" w14:textId="77777777" w:rsidTr="000F126D">
        <w:trPr>
          <w:trHeight w:val="220"/>
        </w:trPr>
        <w:tc>
          <w:tcPr>
            <w:tcW w:w="1220" w:type="dxa"/>
            <w:tcBorders>
              <w:top w:val="nil"/>
              <w:left w:val="nil"/>
              <w:bottom w:val="nil"/>
              <w:right w:val="nil"/>
            </w:tcBorders>
            <w:vAlign w:val="bottom"/>
          </w:tcPr>
          <w:p w14:paraId="1BC03AC6"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HEX</w:t>
            </w:r>
          </w:p>
        </w:tc>
        <w:tc>
          <w:tcPr>
            <w:tcW w:w="1250" w:type="dxa"/>
            <w:tcBorders>
              <w:top w:val="nil"/>
              <w:left w:val="nil"/>
              <w:bottom w:val="nil"/>
              <w:right w:val="nil"/>
            </w:tcBorders>
            <w:vAlign w:val="bottom"/>
          </w:tcPr>
          <w:p w14:paraId="389B826A"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-0.027280</w:t>
            </w:r>
          </w:p>
        </w:tc>
        <w:tc>
          <w:tcPr>
            <w:tcW w:w="1250" w:type="dxa"/>
            <w:tcBorders>
              <w:top w:val="nil"/>
              <w:left w:val="nil"/>
              <w:bottom w:val="nil"/>
              <w:right w:val="nil"/>
            </w:tcBorders>
            <w:vAlign w:val="bottom"/>
          </w:tcPr>
          <w:p w14:paraId="40E6F719"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0.056417</w:t>
            </w:r>
          </w:p>
        </w:tc>
        <w:tc>
          <w:tcPr>
            <w:tcW w:w="1250" w:type="dxa"/>
            <w:tcBorders>
              <w:top w:val="nil"/>
              <w:left w:val="nil"/>
              <w:bottom w:val="nil"/>
              <w:right w:val="nil"/>
            </w:tcBorders>
            <w:vAlign w:val="bottom"/>
          </w:tcPr>
          <w:p w14:paraId="77A244B5"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0.294467</w:t>
            </w:r>
          </w:p>
        </w:tc>
        <w:tc>
          <w:tcPr>
            <w:tcW w:w="1250" w:type="dxa"/>
            <w:tcBorders>
              <w:top w:val="nil"/>
              <w:left w:val="nil"/>
              <w:bottom w:val="nil"/>
              <w:right w:val="nil"/>
            </w:tcBorders>
            <w:vAlign w:val="bottom"/>
          </w:tcPr>
          <w:p w14:paraId="2732D0A9"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1.000000</w:t>
            </w:r>
          </w:p>
        </w:tc>
        <w:tc>
          <w:tcPr>
            <w:tcW w:w="1250" w:type="dxa"/>
            <w:tcBorders>
              <w:top w:val="nil"/>
              <w:left w:val="nil"/>
              <w:bottom w:val="nil"/>
              <w:right w:val="nil"/>
            </w:tcBorders>
            <w:vAlign w:val="bottom"/>
          </w:tcPr>
          <w:p w14:paraId="637BB570"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p>
        </w:tc>
        <w:tc>
          <w:tcPr>
            <w:tcW w:w="1250" w:type="dxa"/>
            <w:tcBorders>
              <w:top w:val="nil"/>
              <w:left w:val="nil"/>
              <w:bottom w:val="nil"/>
              <w:right w:val="nil"/>
            </w:tcBorders>
            <w:vAlign w:val="bottom"/>
          </w:tcPr>
          <w:p w14:paraId="1BEC85EC"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p>
        </w:tc>
      </w:tr>
      <w:tr w:rsidR="00747CD6" w:rsidRPr="00747CD6" w14:paraId="71CA93AD" w14:textId="77777777" w:rsidTr="000F126D">
        <w:trPr>
          <w:trHeight w:val="220"/>
        </w:trPr>
        <w:tc>
          <w:tcPr>
            <w:tcW w:w="1220" w:type="dxa"/>
            <w:tcBorders>
              <w:top w:val="nil"/>
              <w:left w:val="nil"/>
              <w:right w:val="nil"/>
            </w:tcBorders>
            <w:vAlign w:val="bottom"/>
          </w:tcPr>
          <w:p w14:paraId="64E238AF"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EDU</w:t>
            </w:r>
          </w:p>
        </w:tc>
        <w:tc>
          <w:tcPr>
            <w:tcW w:w="1250" w:type="dxa"/>
            <w:tcBorders>
              <w:top w:val="nil"/>
              <w:left w:val="nil"/>
              <w:right w:val="nil"/>
            </w:tcBorders>
            <w:vAlign w:val="bottom"/>
          </w:tcPr>
          <w:p w14:paraId="55A5724E"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-0.012713</w:t>
            </w:r>
          </w:p>
        </w:tc>
        <w:tc>
          <w:tcPr>
            <w:tcW w:w="1250" w:type="dxa"/>
            <w:tcBorders>
              <w:top w:val="nil"/>
              <w:left w:val="nil"/>
              <w:right w:val="nil"/>
            </w:tcBorders>
            <w:vAlign w:val="bottom"/>
          </w:tcPr>
          <w:p w14:paraId="471F0748"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0.103687</w:t>
            </w:r>
          </w:p>
        </w:tc>
        <w:tc>
          <w:tcPr>
            <w:tcW w:w="1250" w:type="dxa"/>
            <w:tcBorders>
              <w:top w:val="nil"/>
              <w:left w:val="nil"/>
              <w:right w:val="nil"/>
            </w:tcBorders>
            <w:vAlign w:val="bottom"/>
          </w:tcPr>
          <w:p w14:paraId="0C67330B"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0.365314</w:t>
            </w:r>
          </w:p>
        </w:tc>
        <w:tc>
          <w:tcPr>
            <w:tcW w:w="1250" w:type="dxa"/>
            <w:tcBorders>
              <w:top w:val="nil"/>
              <w:left w:val="nil"/>
              <w:right w:val="nil"/>
            </w:tcBorders>
            <w:vAlign w:val="bottom"/>
          </w:tcPr>
          <w:p w14:paraId="6E1DF753"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0.008019</w:t>
            </w:r>
          </w:p>
        </w:tc>
        <w:tc>
          <w:tcPr>
            <w:tcW w:w="1250" w:type="dxa"/>
            <w:tcBorders>
              <w:top w:val="nil"/>
              <w:left w:val="nil"/>
              <w:right w:val="nil"/>
            </w:tcBorders>
            <w:vAlign w:val="bottom"/>
          </w:tcPr>
          <w:p w14:paraId="0EA60C30"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1.000000</w:t>
            </w:r>
          </w:p>
        </w:tc>
        <w:tc>
          <w:tcPr>
            <w:tcW w:w="1250" w:type="dxa"/>
            <w:tcBorders>
              <w:top w:val="nil"/>
              <w:left w:val="nil"/>
              <w:right w:val="nil"/>
            </w:tcBorders>
            <w:vAlign w:val="bottom"/>
          </w:tcPr>
          <w:p w14:paraId="132E499C"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p>
        </w:tc>
      </w:tr>
      <w:tr w:rsidR="00747CD6" w:rsidRPr="00747CD6" w14:paraId="507A5E3C" w14:textId="77777777" w:rsidTr="000F126D">
        <w:trPr>
          <w:trHeight w:val="220"/>
        </w:trPr>
        <w:tc>
          <w:tcPr>
            <w:tcW w:w="1220" w:type="dxa"/>
            <w:tcBorders>
              <w:top w:val="nil"/>
              <w:left w:val="nil"/>
              <w:bottom w:val="single" w:sz="4" w:space="0" w:color="auto"/>
              <w:right w:val="nil"/>
            </w:tcBorders>
            <w:vAlign w:val="bottom"/>
          </w:tcPr>
          <w:p w14:paraId="039041EC"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POP</w:t>
            </w:r>
          </w:p>
        </w:tc>
        <w:tc>
          <w:tcPr>
            <w:tcW w:w="1250" w:type="dxa"/>
            <w:tcBorders>
              <w:top w:val="nil"/>
              <w:left w:val="nil"/>
              <w:bottom w:val="single" w:sz="4" w:space="0" w:color="auto"/>
              <w:right w:val="nil"/>
            </w:tcBorders>
            <w:vAlign w:val="bottom"/>
          </w:tcPr>
          <w:p w14:paraId="503DA7C4"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0.005696</w:t>
            </w:r>
          </w:p>
        </w:tc>
        <w:tc>
          <w:tcPr>
            <w:tcW w:w="1250" w:type="dxa"/>
            <w:tcBorders>
              <w:top w:val="nil"/>
              <w:left w:val="nil"/>
              <w:bottom w:val="single" w:sz="4" w:space="0" w:color="auto"/>
              <w:right w:val="nil"/>
            </w:tcBorders>
            <w:vAlign w:val="bottom"/>
          </w:tcPr>
          <w:p w14:paraId="6859EA69"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-0.114517</w:t>
            </w:r>
          </w:p>
        </w:tc>
        <w:tc>
          <w:tcPr>
            <w:tcW w:w="1250" w:type="dxa"/>
            <w:tcBorders>
              <w:top w:val="nil"/>
              <w:left w:val="nil"/>
              <w:bottom w:val="single" w:sz="4" w:space="0" w:color="auto"/>
              <w:right w:val="nil"/>
            </w:tcBorders>
            <w:vAlign w:val="bottom"/>
          </w:tcPr>
          <w:p w14:paraId="5C82A0AC"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-0.244235</w:t>
            </w:r>
          </w:p>
        </w:tc>
        <w:tc>
          <w:tcPr>
            <w:tcW w:w="1250" w:type="dxa"/>
            <w:tcBorders>
              <w:top w:val="nil"/>
              <w:left w:val="nil"/>
              <w:bottom w:val="single" w:sz="4" w:space="0" w:color="auto"/>
              <w:right w:val="nil"/>
            </w:tcBorders>
            <w:vAlign w:val="bottom"/>
          </w:tcPr>
          <w:p w14:paraId="1A5AE138"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-0.062292</w:t>
            </w:r>
          </w:p>
        </w:tc>
        <w:tc>
          <w:tcPr>
            <w:tcW w:w="1250" w:type="dxa"/>
            <w:tcBorders>
              <w:top w:val="nil"/>
              <w:left w:val="nil"/>
              <w:bottom w:val="single" w:sz="4" w:space="0" w:color="auto"/>
              <w:right w:val="nil"/>
            </w:tcBorders>
            <w:vAlign w:val="bottom"/>
          </w:tcPr>
          <w:p w14:paraId="2B7EE90D"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-0.093232</w:t>
            </w:r>
          </w:p>
        </w:tc>
        <w:tc>
          <w:tcPr>
            <w:tcW w:w="1250" w:type="dxa"/>
            <w:tcBorders>
              <w:top w:val="nil"/>
              <w:left w:val="nil"/>
              <w:bottom w:val="single" w:sz="4" w:space="0" w:color="auto"/>
              <w:right w:val="nil"/>
            </w:tcBorders>
            <w:vAlign w:val="bottom"/>
          </w:tcPr>
          <w:p w14:paraId="3EBF6B0B"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1.000000</w:t>
            </w:r>
          </w:p>
        </w:tc>
      </w:tr>
    </w:tbl>
    <w:p w14:paraId="017E0A74" w14:textId="77777777" w:rsidR="00747CD6" w:rsidRPr="00747CD6" w:rsidRDefault="00747CD6" w:rsidP="00D56BB9">
      <w:pPr>
        <w:spacing w:line="276" w:lineRule="auto"/>
        <w:jc w:val="both"/>
        <w:rPr>
          <w:rFonts w:ascii="Times New Roman" w:hAnsi="Times New Roman" w:cs="Times New Roman"/>
        </w:rPr>
      </w:pPr>
      <w:r w:rsidRPr="00747CD6">
        <w:rPr>
          <w:rFonts w:ascii="Times New Roman" w:hAnsi="Times New Roman" w:cs="Times New Roman"/>
          <w:b/>
          <w:bCs/>
        </w:rPr>
        <w:t>Source:</w:t>
      </w:r>
      <w:r w:rsidRPr="00747CD6">
        <w:rPr>
          <w:rFonts w:ascii="Times New Roman" w:hAnsi="Times New Roman" w:cs="Times New Roman"/>
        </w:rPr>
        <w:t xml:space="preserve"> Authors computation using </w:t>
      </w:r>
      <w:proofErr w:type="spellStart"/>
      <w:r w:rsidRPr="00747CD6">
        <w:rPr>
          <w:rFonts w:ascii="Times New Roman" w:hAnsi="Times New Roman" w:cs="Times New Roman"/>
        </w:rPr>
        <w:t>Eviews</w:t>
      </w:r>
      <w:proofErr w:type="spellEnd"/>
      <w:r w:rsidRPr="00747CD6">
        <w:rPr>
          <w:rFonts w:ascii="Times New Roman" w:hAnsi="Times New Roman" w:cs="Times New Roman"/>
        </w:rPr>
        <w:t xml:space="preserve"> 10, 2026.</w:t>
      </w:r>
    </w:p>
    <w:p w14:paraId="5B63B1C5" w14:textId="2C02F4ED" w:rsidR="00747CD6" w:rsidRPr="00747CD6" w:rsidRDefault="00747CD6" w:rsidP="00D56BB9">
      <w:pPr>
        <w:spacing w:line="276" w:lineRule="auto"/>
        <w:jc w:val="both"/>
        <w:rPr>
          <w:rFonts w:ascii="Times New Roman" w:hAnsi="Times New Roman" w:cs="Times New Roman"/>
        </w:rPr>
      </w:pPr>
      <w:r w:rsidRPr="00747CD6">
        <w:rPr>
          <w:rFonts w:ascii="Times New Roman" w:hAnsi="Times New Roman" w:cs="Times New Roman"/>
        </w:rPr>
        <w:t>The correction analysis in Table 4.</w:t>
      </w:r>
      <w:r w:rsidR="00D56BB9">
        <w:rPr>
          <w:rFonts w:ascii="Times New Roman" w:hAnsi="Times New Roman" w:cs="Times New Roman"/>
        </w:rPr>
        <w:t>2</w:t>
      </w:r>
      <w:r w:rsidRPr="00747CD6">
        <w:rPr>
          <w:rFonts w:ascii="Times New Roman" w:hAnsi="Times New Roman" w:cs="Times New Roman"/>
        </w:rPr>
        <w:t xml:space="preserve"> indicates that economic growth (RGDP) 0.072 has a positive correlation with life expectancy (LEX) in Sub-Saharan. On the contrary, economic growth (RGDP)-0.054 has a weak negative correlation with under-five mortality rate (UNM) in Sub-Saharan Africa.  Similarly, economic growth (RGDP) -0.027 has a very weak correlation with health expenditure (HEX). Economic growth (RGDP) -0.012 has a weak negative correlation with education expenditure (EDU). </w:t>
      </w:r>
    </w:p>
    <w:p w14:paraId="1AA7C429" w14:textId="77777777" w:rsidR="00747CD6" w:rsidRPr="00747CD6" w:rsidRDefault="00747CD6" w:rsidP="00D56BB9">
      <w:pPr>
        <w:spacing w:line="276" w:lineRule="auto"/>
        <w:jc w:val="both"/>
        <w:rPr>
          <w:rFonts w:ascii="Times New Roman" w:hAnsi="Times New Roman" w:cs="Times New Roman"/>
        </w:rPr>
      </w:pPr>
      <w:r w:rsidRPr="00747CD6">
        <w:rPr>
          <w:rFonts w:ascii="Times New Roman" w:hAnsi="Times New Roman" w:cs="Times New Roman"/>
        </w:rPr>
        <w:t xml:space="preserve">There is a positive correlation between life expectancy (LEX) 0.144 and under-five mortality (UNM). Furthermore, life expectancy (LEX) 0.056 has a positive correlation with health expenditure (HEX). Similarly, life expectancy (LEX) 0.103 has a positive correlation with education expenditure (EDU). There a negative correlation between life expectancy (LEX) and population (POP). The correlation between under-five mortality rate (UNM) 0.294 and health expenditure (HEX) is positive. Similarly, under-five mortality (UNM) 0.365 has a positive correlation with education expenditure (EDU). While under-five mortality UNM) -0.244 has a negative correlation with population (POP). </w:t>
      </w:r>
    </w:p>
    <w:p w14:paraId="311D25EC" w14:textId="77777777" w:rsidR="00747CD6" w:rsidRPr="00747CD6" w:rsidRDefault="00747CD6" w:rsidP="00D56BB9">
      <w:pPr>
        <w:spacing w:line="276" w:lineRule="auto"/>
        <w:jc w:val="both"/>
        <w:rPr>
          <w:rFonts w:ascii="Times New Roman" w:hAnsi="Times New Roman" w:cs="Times New Roman"/>
        </w:rPr>
      </w:pPr>
      <w:r w:rsidRPr="00747CD6">
        <w:rPr>
          <w:rFonts w:ascii="Times New Roman" w:hAnsi="Times New Roman" w:cs="Times New Roman"/>
        </w:rPr>
        <w:t xml:space="preserve">There is a positive correlation between health expenditure (HEX) 0.008 and education expenditure (EDU). While the correlation between health expenditure (HEX) -0.062 and population (POP) is negative. There is a weak negative correlation between education expenditure (EDU) -0.09 and population. Population (POP) has a weak correlation with almost all the variables. It has a positive association with economic growth (RGDP) 0.005, weak negative correlation with life expectancy (LEX), under-five mortality (UNM), health expenditure (HEX) and education expenditure (EDU) with -0.114, -0.244, -0.062 and -0.09 respectively. </w:t>
      </w:r>
    </w:p>
    <w:p w14:paraId="58E1C6C1" w14:textId="3E0E606C" w:rsidR="00747CD6" w:rsidRPr="00747CD6" w:rsidRDefault="00747CD6" w:rsidP="00D56BB9">
      <w:pPr>
        <w:spacing w:after="0" w:line="276" w:lineRule="auto"/>
        <w:jc w:val="both"/>
        <w:rPr>
          <w:rFonts w:ascii="Times New Roman" w:eastAsia="Times New Roman" w:hAnsi="Times New Roman"/>
          <w:b/>
          <w:bCs/>
        </w:rPr>
      </w:pPr>
      <w:r w:rsidRPr="00747CD6">
        <w:rPr>
          <w:rFonts w:ascii="Times New Roman" w:eastAsia="Times New Roman" w:hAnsi="Times New Roman"/>
          <w:b/>
          <w:bCs/>
        </w:rPr>
        <w:t xml:space="preserve">Table </w:t>
      </w:r>
      <w:r w:rsidR="00D56BB9" w:rsidRPr="00747CD6">
        <w:rPr>
          <w:rFonts w:ascii="Times New Roman" w:eastAsia="Times New Roman" w:hAnsi="Times New Roman"/>
          <w:b/>
          <w:bCs/>
        </w:rPr>
        <w:t>4.</w:t>
      </w:r>
      <w:r w:rsidR="00D56BB9">
        <w:rPr>
          <w:rFonts w:ascii="Times New Roman" w:eastAsia="Times New Roman" w:hAnsi="Times New Roman"/>
          <w:b/>
          <w:bCs/>
        </w:rPr>
        <w:t>3:</w:t>
      </w:r>
      <w:r w:rsidRPr="00747CD6">
        <w:rPr>
          <w:rFonts w:ascii="Times New Roman" w:eastAsia="Times New Roman" w:hAnsi="Times New Roman"/>
          <w:b/>
          <w:bCs/>
        </w:rPr>
        <w:t xml:space="preserve"> Results of Levin Lin and Chu and </w:t>
      </w:r>
      <w:proofErr w:type="spellStart"/>
      <w:r w:rsidRPr="00747CD6">
        <w:rPr>
          <w:rFonts w:ascii="Times New Roman" w:eastAsia="Times New Roman" w:hAnsi="Times New Roman"/>
          <w:b/>
          <w:bCs/>
        </w:rPr>
        <w:t>Im</w:t>
      </w:r>
      <w:proofErr w:type="spellEnd"/>
      <w:r w:rsidRPr="00747CD6">
        <w:rPr>
          <w:rFonts w:ascii="Times New Roman" w:eastAsia="Times New Roman" w:hAnsi="Times New Roman"/>
          <w:b/>
          <w:bCs/>
        </w:rPr>
        <w:t xml:space="preserve"> </w:t>
      </w:r>
      <w:proofErr w:type="spellStart"/>
      <w:r w:rsidRPr="00747CD6">
        <w:rPr>
          <w:rFonts w:ascii="Times New Roman" w:eastAsia="Times New Roman" w:hAnsi="Times New Roman"/>
          <w:b/>
          <w:bCs/>
        </w:rPr>
        <w:t>Pesaran</w:t>
      </w:r>
      <w:proofErr w:type="spellEnd"/>
      <w:r w:rsidRPr="00747CD6">
        <w:rPr>
          <w:rFonts w:ascii="Times New Roman" w:eastAsia="Times New Roman" w:hAnsi="Times New Roman"/>
          <w:b/>
          <w:bCs/>
        </w:rPr>
        <w:t>-Shin panel Unit Root Test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7"/>
        <w:gridCol w:w="1563"/>
        <w:gridCol w:w="1435"/>
        <w:gridCol w:w="1563"/>
        <w:gridCol w:w="1435"/>
        <w:gridCol w:w="1443"/>
      </w:tblGrid>
      <w:tr w:rsidR="00747CD6" w:rsidRPr="00747CD6" w14:paraId="5FFFDE73" w14:textId="77777777" w:rsidTr="000F126D">
        <w:trPr>
          <w:trHeight w:val="342"/>
        </w:trPr>
        <w:tc>
          <w:tcPr>
            <w:tcW w:w="9026" w:type="dxa"/>
            <w:gridSpan w:val="6"/>
            <w:tcBorders>
              <w:top w:val="single" w:sz="4" w:space="0" w:color="auto"/>
              <w:bottom w:val="single" w:sz="4" w:space="0" w:color="auto"/>
            </w:tcBorders>
          </w:tcPr>
          <w:p w14:paraId="6892BA3E" w14:textId="77777777" w:rsidR="00747CD6" w:rsidRPr="00747CD6" w:rsidRDefault="00747CD6" w:rsidP="00D56BB9">
            <w:pPr>
              <w:spacing w:line="276" w:lineRule="auto"/>
              <w:jc w:val="center"/>
              <w:rPr>
                <w:rFonts w:ascii="Times New Roman" w:eastAsia="Times New Roman" w:hAnsi="Times New Roman" w:cs="Times New Roman"/>
                <w:b/>
                <w:bCs/>
                <w:lang w:val="en-GB"/>
              </w:rPr>
            </w:pPr>
            <w:r w:rsidRPr="00747CD6">
              <w:rPr>
                <w:rFonts w:ascii="Times New Roman" w:eastAsia="Times New Roman" w:hAnsi="Times New Roman"/>
                <w:b/>
                <w:bCs/>
              </w:rPr>
              <w:t>Levin Lin and Chu panel Unit Root Test</w:t>
            </w:r>
          </w:p>
        </w:tc>
      </w:tr>
      <w:tr w:rsidR="00747CD6" w:rsidRPr="00747CD6" w14:paraId="147617C5" w14:textId="77777777" w:rsidTr="000F126D">
        <w:trPr>
          <w:trHeight w:val="423"/>
        </w:trPr>
        <w:tc>
          <w:tcPr>
            <w:tcW w:w="1587" w:type="dxa"/>
            <w:tcBorders>
              <w:top w:val="single" w:sz="4" w:space="0" w:color="auto"/>
              <w:bottom w:val="single" w:sz="4" w:space="0" w:color="auto"/>
            </w:tcBorders>
          </w:tcPr>
          <w:p w14:paraId="7605BA44"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 xml:space="preserve">Variables </w:t>
            </w:r>
          </w:p>
        </w:tc>
        <w:tc>
          <w:tcPr>
            <w:tcW w:w="1563" w:type="dxa"/>
            <w:tcBorders>
              <w:top w:val="single" w:sz="4" w:space="0" w:color="auto"/>
              <w:bottom w:val="single" w:sz="4" w:space="0" w:color="auto"/>
            </w:tcBorders>
          </w:tcPr>
          <w:p w14:paraId="54C7B066"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Statistics</w:t>
            </w:r>
          </w:p>
        </w:tc>
        <w:tc>
          <w:tcPr>
            <w:tcW w:w="1435" w:type="dxa"/>
            <w:tcBorders>
              <w:top w:val="single" w:sz="4" w:space="0" w:color="auto"/>
              <w:bottom w:val="single" w:sz="4" w:space="0" w:color="auto"/>
            </w:tcBorders>
          </w:tcPr>
          <w:p w14:paraId="0BC70FE6"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Prob.**</w:t>
            </w:r>
          </w:p>
        </w:tc>
        <w:tc>
          <w:tcPr>
            <w:tcW w:w="1563" w:type="dxa"/>
            <w:tcBorders>
              <w:top w:val="single" w:sz="4" w:space="0" w:color="auto"/>
              <w:bottom w:val="single" w:sz="4" w:space="0" w:color="auto"/>
            </w:tcBorders>
          </w:tcPr>
          <w:p w14:paraId="6EB9B209"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Statistics</w:t>
            </w:r>
          </w:p>
        </w:tc>
        <w:tc>
          <w:tcPr>
            <w:tcW w:w="1435" w:type="dxa"/>
            <w:tcBorders>
              <w:top w:val="single" w:sz="4" w:space="0" w:color="auto"/>
              <w:bottom w:val="single" w:sz="4" w:space="0" w:color="auto"/>
            </w:tcBorders>
          </w:tcPr>
          <w:p w14:paraId="64EFE80C"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Prob.**</w:t>
            </w:r>
          </w:p>
        </w:tc>
        <w:tc>
          <w:tcPr>
            <w:tcW w:w="1443" w:type="dxa"/>
            <w:tcBorders>
              <w:top w:val="single" w:sz="4" w:space="0" w:color="auto"/>
              <w:bottom w:val="single" w:sz="4" w:space="0" w:color="auto"/>
            </w:tcBorders>
          </w:tcPr>
          <w:p w14:paraId="62A5FA09"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Stationarity</w:t>
            </w:r>
          </w:p>
        </w:tc>
      </w:tr>
      <w:tr w:rsidR="00747CD6" w:rsidRPr="00747CD6" w14:paraId="7F716EB4" w14:textId="77777777" w:rsidTr="000F126D">
        <w:tc>
          <w:tcPr>
            <w:tcW w:w="1587" w:type="dxa"/>
            <w:tcBorders>
              <w:top w:val="single" w:sz="4" w:space="0" w:color="auto"/>
            </w:tcBorders>
          </w:tcPr>
          <w:p w14:paraId="117A94A5"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LEX</w:t>
            </w:r>
          </w:p>
        </w:tc>
        <w:tc>
          <w:tcPr>
            <w:tcW w:w="1563" w:type="dxa"/>
            <w:tcBorders>
              <w:top w:val="single" w:sz="4" w:space="0" w:color="auto"/>
            </w:tcBorders>
          </w:tcPr>
          <w:p w14:paraId="26A53AA3"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1.58961</w:t>
            </w:r>
          </w:p>
        </w:tc>
        <w:tc>
          <w:tcPr>
            <w:tcW w:w="1435" w:type="dxa"/>
            <w:tcBorders>
              <w:top w:val="single" w:sz="4" w:space="0" w:color="auto"/>
            </w:tcBorders>
          </w:tcPr>
          <w:p w14:paraId="2BC737A3"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0.0560</w:t>
            </w:r>
          </w:p>
        </w:tc>
        <w:tc>
          <w:tcPr>
            <w:tcW w:w="1563" w:type="dxa"/>
            <w:tcBorders>
              <w:top w:val="single" w:sz="4" w:space="0" w:color="auto"/>
            </w:tcBorders>
          </w:tcPr>
          <w:p w14:paraId="14AE3971"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lang w:val="en-GB"/>
              </w:rPr>
              <w:t xml:space="preserve">        -    </w:t>
            </w:r>
          </w:p>
        </w:tc>
        <w:tc>
          <w:tcPr>
            <w:tcW w:w="1435" w:type="dxa"/>
            <w:tcBorders>
              <w:top w:val="single" w:sz="4" w:space="0" w:color="auto"/>
            </w:tcBorders>
          </w:tcPr>
          <w:p w14:paraId="7ADE53A1"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lang w:val="en-GB"/>
              </w:rPr>
              <w:t xml:space="preserve">      -</w:t>
            </w:r>
          </w:p>
        </w:tc>
        <w:tc>
          <w:tcPr>
            <w:tcW w:w="1443" w:type="dxa"/>
            <w:tcBorders>
              <w:top w:val="single" w:sz="4" w:space="0" w:color="auto"/>
            </w:tcBorders>
          </w:tcPr>
          <w:p w14:paraId="3E3B2E71" w14:textId="77777777" w:rsidR="00747CD6" w:rsidRPr="00747CD6" w:rsidRDefault="00747CD6" w:rsidP="00D56BB9">
            <w:pPr>
              <w:spacing w:line="276" w:lineRule="auto"/>
              <w:jc w:val="both"/>
              <w:rPr>
                <w:rFonts w:ascii="Times New Roman" w:eastAsia="Times New Roman" w:hAnsi="Times New Roman" w:cs="Times New Roman"/>
                <w:lang w:val="en-GB"/>
              </w:rPr>
            </w:pPr>
            <w:proofErr w:type="gramStart"/>
            <w:r w:rsidRPr="00747CD6">
              <w:rPr>
                <w:rFonts w:ascii="Times New Roman" w:eastAsia="Times New Roman" w:hAnsi="Times New Roman" w:cs="Times New Roman"/>
                <w:lang w:val="en-GB"/>
              </w:rPr>
              <w:t>I(</w:t>
            </w:r>
            <w:proofErr w:type="gramEnd"/>
            <w:r w:rsidRPr="00747CD6">
              <w:rPr>
                <w:rFonts w:ascii="Times New Roman" w:eastAsia="Times New Roman" w:hAnsi="Times New Roman" w:cs="Times New Roman"/>
                <w:lang w:val="en-GB"/>
              </w:rPr>
              <w:t>0)</w:t>
            </w:r>
          </w:p>
        </w:tc>
      </w:tr>
      <w:tr w:rsidR="00747CD6" w:rsidRPr="00747CD6" w14:paraId="7440FA6B" w14:textId="77777777" w:rsidTr="000F126D">
        <w:tc>
          <w:tcPr>
            <w:tcW w:w="1587" w:type="dxa"/>
          </w:tcPr>
          <w:p w14:paraId="3DB0DE6F"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HEX</w:t>
            </w:r>
          </w:p>
        </w:tc>
        <w:tc>
          <w:tcPr>
            <w:tcW w:w="1563" w:type="dxa"/>
          </w:tcPr>
          <w:p w14:paraId="455229A8"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 6.13527</w:t>
            </w:r>
          </w:p>
        </w:tc>
        <w:tc>
          <w:tcPr>
            <w:tcW w:w="1435" w:type="dxa"/>
          </w:tcPr>
          <w:p w14:paraId="7C14E9FE"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 1.0000</w:t>
            </w:r>
          </w:p>
        </w:tc>
        <w:tc>
          <w:tcPr>
            <w:tcW w:w="1563" w:type="dxa"/>
          </w:tcPr>
          <w:p w14:paraId="4961BEEB"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13.0952</w:t>
            </w:r>
          </w:p>
        </w:tc>
        <w:tc>
          <w:tcPr>
            <w:tcW w:w="1435" w:type="dxa"/>
          </w:tcPr>
          <w:p w14:paraId="45E60AC6"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0.0000</w:t>
            </w:r>
          </w:p>
        </w:tc>
        <w:tc>
          <w:tcPr>
            <w:tcW w:w="1443" w:type="dxa"/>
          </w:tcPr>
          <w:p w14:paraId="253819C2" w14:textId="77777777" w:rsidR="00747CD6" w:rsidRPr="00747CD6" w:rsidRDefault="00747CD6" w:rsidP="00D56BB9">
            <w:pPr>
              <w:spacing w:line="276" w:lineRule="auto"/>
              <w:jc w:val="both"/>
              <w:rPr>
                <w:rFonts w:ascii="Times New Roman" w:eastAsia="Times New Roman" w:hAnsi="Times New Roman" w:cs="Times New Roman"/>
                <w:lang w:val="en-GB"/>
              </w:rPr>
            </w:pPr>
            <w:proofErr w:type="gramStart"/>
            <w:r w:rsidRPr="00747CD6">
              <w:rPr>
                <w:rFonts w:ascii="Times New Roman" w:eastAsia="Times New Roman" w:hAnsi="Times New Roman" w:cs="Times New Roman"/>
                <w:lang w:val="en-GB"/>
              </w:rPr>
              <w:t>I(</w:t>
            </w:r>
            <w:proofErr w:type="gramEnd"/>
            <w:r w:rsidRPr="00747CD6">
              <w:rPr>
                <w:rFonts w:ascii="Times New Roman" w:eastAsia="Times New Roman" w:hAnsi="Times New Roman" w:cs="Times New Roman"/>
                <w:lang w:val="en-GB"/>
              </w:rPr>
              <w:t>1)</w:t>
            </w:r>
          </w:p>
        </w:tc>
      </w:tr>
      <w:tr w:rsidR="00747CD6" w:rsidRPr="00747CD6" w14:paraId="31F8804F" w14:textId="77777777" w:rsidTr="000F126D">
        <w:tc>
          <w:tcPr>
            <w:tcW w:w="1587" w:type="dxa"/>
          </w:tcPr>
          <w:p w14:paraId="7BD3DDFE"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EDU</w:t>
            </w:r>
          </w:p>
        </w:tc>
        <w:tc>
          <w:tcPr>
            <w:tcW w:w="1563" w:type="dxa"/>
          </w:tcPr>
          <w:p w14:paraId="09F854AF"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3.57512</w:t>
            </w:r>
          </w:p>
        </w:tc>
        <w:tc>
          <w:tcPr>
            <w:tcW w:w="1435" w:type="dxa"/>
          </w:tcPr>
          <w:p w14:paraId="16D57759"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 0.0002</w:t>
            </w:r>
          </w:p>
        </w:tc>
        <w:tc>
          <w:tcPr>
            <w:tcW w:w="1563" w:type="dxa"/>
          </w:tcPr>
          <w:p w14:paraId="16504689"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lang w:val="en-GB"/>
              </w:rPr>
              <w:t xml:space="preserve">   -</w:t>
            </w:r>
          </w:p>
        </w:tc>
        <w:tc>
          <w:tcPr>
            <w:tcW w:w="1435" w:type="dxa"/>
          </w:tcPr>
          <w:p w14:paraId="20AEA7E6"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lang w:val="en-GB"/>
              </w:rPr>
              <w:t xml:space="preserve">       -</w:t>
            </w:r>
          </w:p>
        </w:tc>
        <w:tc>
          <w:tcPr>
            <w:tcW w:w="1443" w:type="dxa"/>
          </w:tcPr>
          <w:p w14:paraId="676BE9E2" w14:textId="77777777" w:rsidR="00747CD6" w:rsidRPr="00747CD6" w:rsidRDefault="00747CD6" w:rsidP="00D56BB9">
            <w:pPr>
              <w:spacing w:line="276" w:lineRule="auto"/>
              <w:jc w:val="both"/>
              <w:rPr>
                <w:rFonts w:ascii="Times New Roman" w:eastAsia="Times New Roman" w:hAnsi="Times New Roman" w:cs="Times New Roman"/>
                <w:lang w:val="en-GB"/>
              </w:rPr>
            </w:pPr>
            <w:proofErr w:type="gramStart"/>
            <w:r w:rsidRPr="00747CD6">
              <w:rPr>
                <w:rFonts w:ascii="Times New Roman" w:eastAsia="Times New Roman" w:hAnsi="Times New Roman" w:cs="Times New Roman"/>
                <w:lang w:val="en-GB"/>
              </w:rPr>
              <w:t>I(</w:t>
            </w:r>
            <w:proofErr w:type="gramEnd"/>
            <w:r w:rsidRPr="00747CD6">
              <w:rPr>
                <w:rFonts w:ascii="Times New Roman" w:eastAsia="Times New Roman" w:hAnsi="Times New Roman" w:cs="Times New Roman"/>
                <w:lang w:val="en-GB"/>
              </w:rPr>
              <w:t>0)</w:t>
            </w:r>
          </w:p>
        </w:tc>
      </w:tr>
      <w:tr w:rsidR="00747CD6" w:rsidRPr="00747CD6" w14:paraId="0E64FFE2" w14:textId="77777777" w:rsidTr="000F126D">
        <w:tc>
          <w:tcPr>
            <w:tcW w:w="1587" w:type="dxa"/>
          </w:tcPr>
          <w:p w14:paraId="255F1E2F"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POP</w:t>
            </w:r>
          </w:p>
        </w:tc>
        <w:tc>
          <w:tcPr>
            <w:tcW w:w="1563" w:type="dxa"/>
          </w:tcPr>
          <w:p w14:paraId="4D15AF7D"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1.87270</w:t>
            </w:r>
          </w:p>
        </w:tc>
        <w:tc>
          <w:tcPr>
            <w:tcW w:w="1435" w:type="dxa"/>
          </w:tcPr>
          <w:p w14:paraId="53FA3403"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 0.9694</w:t>
            </w:r>
          </w:p>
        </w:tc>
        <w:tc>
          <w:tcPr>
            <w:tcW w:w="1563" w:type="dxa"/>
          </w:tcPr>
          <w:p w14:paraId="40AA3C9E"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-3.14329</w:t>
            </w:r>
          </w:p>
        </w:tc>
        <w:tc>
          <w:tcPr>
            <w:tcW w:w="1435" w:type="dxa"/>
          </w:tcPr>
          <w:p w14:paraId="5DE457F5"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0.0008</w:t>
            </w:r>
          </w:p>
        </w:tc>
        <w:tc>
          <w:tcPr>
            <w:tcW w:w="1443" w:type="dxa"/>
          </w:tcPr>
          <w:p w14:paraId="1C0F34B0" w14:textId="77777777" w:rsidR="00747CD6" w:rsidRPr="00747CD6" w:rsidRDefault="00747CD6" w:rsidP="00D56BB9">
            <w:pPr>
              <w:spacing w:line="276" w:lineRule="auto"/>
              <w:jc w:val="both"/>
              <w:rPr>
                <w:rFonts w:ascii="Times New Roman" w:eastAsia="Times New Roman" w:hAnsi="Times New Roman" w:cs="Times New Roman"/>
                <w:lang w:val="en-GB"/>
              </w:rPr>
            </w:pPr>
            <w:proofErr w:type="gramStart"/>
            <w:r w:rsidRPr="00747CD6">
              <w:rPr>
                <w:rFonts w:ascii="Times New Roman" w:eastAsia="Times New Roman" w:hAnsi="Times New Roman" w:cs="Times New Roman"/>
                <w:lang w:val="en-GB"/>
              </w:rPr>
              <w:t>I(</w:t>
            </w:r>
            <w:proofErr w:type="gramEnd"/>
            <w:r w:rsidRPr="00747CD6">
              <w:rPr>
                <w:rFonts w:ascii="Times New Roman" w:eastAsia="Times New Roman" w:hAnsi="Times New Roman" w:cs="Times New Roman"/>
                <w:lang w:val="en-GB"/>
              </w:rPr>
              <w:t>1)</w:t>
            </w:r>
          </w:p>
        </w:tc>
      </w:tr>
      <w:tr w:rsidR="00747CD6" w:rsidRPr="00747CD6" w14:paraId="01806349" w14:textId="77777777" w:rsidTr="000F126D">
        <w:tc>
          <w:tcPr>
            <w:tcW w:w="1587" w:type="dxa"/>
          </w:tcPr>
          <w:p w14:paraId="53B94091"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UNM</w:t>
            </w:r>
          </w:p>
        </w:tc>
        <w:tc>
          <w:tcPr>
            <w:tcW w:w="1563" w:type="dxa"/>
          </w:tcPr>
          <w:p w14:paraId="04EECEC0"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3.29647</w:t>
            </w:r>
          </w:p>
        </w:tc>
        <w:tc>
          <w:tcPr>
            <w:tcW w:w="1435" w:type="dxa"/>
          </w:tcPr>
          <w:p w14:paraId="587E4795"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 0.9995</w:t>
            </w:r>
          </w:p>
        </w:tc>
        <w:tc>
          <w:tcPr>
            <w:tcW w:w="1563" w:type="dxa"/>
          </w:tcPr>
          <w:p w14:paraId="7F8D02EE"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-18.8839</w:t>
            </w:r>
          </w:p>
        </w:tc>
        <w:tc>
          <w:tcPr>
            <w:tcW w:w="1435" w:type="dxa"/>
          </w:tcPr>
          <w:p w14:paraId="5FB66290"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0.0000</w:t>
            </w:r>
          </w:p>
        </w:tc>
        <w:tc>
          <w:tcPr>
            <w:tcW w:w="1443" w:type="dxa"/>
          </w:tcPr>
          <w:p w14:paraId="72F0231F" w14:textId="77777777" w:rsidR="00747CD6" w:rsidRPr="00747CD6" w:rsidRDefault="00747CD6" w:rsidP="00D56BB9">
            <w:pPr>
              <w:spacing w:line="276" w:lineRule="auto"/>
              <w:jc w:val="both"/>
              <w:rPr>
                <w:rFonts w:ascii="Times New Roman" w:eastAsia="Times New Roman" w:hAnsi="Times New Roman" w:cs="Times New Roman"/>
                <w:lang w:val="en-GB"/>
              </w:rPr>
            </w:pPr>
            <w:proofErr w:type="gramStart"/>
            <w:r w:rsidRPr="00747CD6">
              <w:rPr>
                <w:rFonts w:ascii="Times New Roman" w:eastAsia="Times New Roman" w:hAnsi="Times New Roman" w:cs="Times New Roman"/>
                <w:lang w:val="en-GB"/>
              </w:rPr>
              <w:t>I(</w:t>
            </w:r>
            <w:proofErr w:type="gramEnd"/>
            <w:r w:rsidRPr="00747CD6">
              <w:rPr>
                <w:rFonts w:ascii="Times New Roman" w:eastAsia="Times New Roman" w:hAnsi="Times New Roman" w:cs="Times New Roman"/>
                <w:lang w:val="en-GB"/>
              </w:rPr>
              <w:t>1)</w:t>
            </w:r>
          </w:p>
        </w:tc>
      </w:tr>
      <w:tr w:rsidR="00747CD6" w:rsidRPr="00747CD6" w14:paraId="69A395D3" w14:textId="77777777" w:rsidTr="000F126D">
        <w:tc>
          <w:tcPr>
            <w:tcW w:w="1587" w:type="dxa"/>
            <w:tcBorders>
              <w:bottom w:val="single" w:sz="4" w:space="0" w:color="auto"/>
            </w:tcBorders>
          </w:tcPr>
          <w:p w14:paraId="356DA749"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RGDP</w:t>
            </w:r>
          </w:p>
        </w:tc>
        <w:tc>
          <w:tcPr>
            <w:tcW w:w="1563" w:type="dxa"/>
            <w:tcBorders>
              <w:bottom w:val="single" w:sz="4" w:space="0" w:color="auto"/>
            </w:tcBorders>
          </w:tcPr>
          <w:p w14:paraId="4AB7651A"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hAnsi="Times New Roman" w:cs="Times New Roman"/>
                <w:color w:val="000000"/>
              </w:rPr>
              <w:t>-5.43716</w:t>
            </w:r>
          </w:p>
        </w:tc>
        <w:tc>
          <w:tcPr>
            <w:tcW w:w="1435" w:type="dxa"/>
            <w:tcBorders>
              <w:bottom w:val="single" w:sz="4" w:space="0" w:color="auto"/>
            </w:tcBorders>
          </w:tcPr>
          <w:p w14:paraId="78AE639E"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0.0000</w:t>
            </w:r>
          </w:p>
        </w:tc>
        <w:tc>
          <w:tcPr>
            <w:tcW w:w="1563" w:type="dxa"/>
            <w:tcBorders>
              <w:bottom w:val="single" w:sz="4" w:space="0" w:color="auto"/>
            </w:tcBorders>
          </w:tcPr>
          <w:p w14:paraId="5530A80C" w14:textId="77777777" w:rsidR="00747CD6" w:rsidRPr="00747CD6" w:rsidRDefault="00747CD6" w:rsidP="00D56BB9">
            <w:pPr>
              <w:spacing w:line="276" w:lineRule="auto"/>
              <w:jc w:val="both"/>
              <w:rPr>
                <w:rFonts w:ascii="Times New Roman" w:eastAsia="Times New Roman" w:hAnsi="Times New Roman" w:cs="Times New Roman"/>
                <w:lang w:val="en-GB"/>
              </w:rPr>
            </w:pPr>
          </w:p>
        </w:tc>
        <w:tc>
          <w:tcPr>
            <w:tcW w:w="1435" w:type="dxa"/>
            <w:tcBorders>
              <w:bottom w:val="single" w:sz="4" w:space="0" w:color="auto"/>
            </w:tcBorders>
          </w:tcPr>
          <w:p w14:paraId="46ABB3BE" w14:textId="77777777" w:rsidR="00747CD6" w:rsidRPr="00747CD6" w:rsidRDefault="00747CD6" w:rsidP="00D56BB9">
            <w:pPr>
              <w:spacing w:line="276" w:lineRule="auto"/>
              <w:jc w:val="both"/>
              <w:rPr>
                <w:rFonts w:ascii="Times New Roman" w:eastAsia="Times New Roman" w:hAnsi="Times New Roman" w:cs="Times New Roman"/>
                <w:lang w:val="en-GB"/>
              </w:rPr>
            </w:pPr>
          </w:p>
        </w:tc>
        <w:tc>
          <w:tcPr>
            <w:tcW w:w="1443" w:type="dxa"/>
            <w:tcBorders>
              <w:bottom w:val="single" w:sz="4" w:space="0" w:color="auto"/>
            </w:tcBorders>
          </w:tcPr>
          <w:p w14:paraId="441B62A1" w14:textId="77777777" w:rsidR="00747CD6" w:rsidRPr="00747CD6" w:rsidRDefault="00747CD6" w:rsidP="00D56BB9">
            <w:pPr>
              <w:spacing w:line="276" w:lineRule="auto"/>
              <w:jc w:val="both"/>
              <w:rPr>
                <w:rFonts w:ascii="Times New Roman" w:eastAsia="Times New Roman" w:hAnsi="Times New Roman" w:cs="Times New Roman"/>
                <w:lang w:val="en-GB"/>
              </w:rPr>
            </w:pPr>
            <w:proofErr w:type="gramStart"/>
            <w:r w:rsidRPr="00747CD6">
              <w:rPr>
                <w:rFonts w:ascii="Times New Roman" w:eastAsia="Times New Roman" w:hAnsi="Times New Roman" w:cs="Times New Roman"/>
                <w:lang w:val="en-GB"/>
              </w:rPr>
              <w:t>I(</w:t>
            </w:r>
            <w:proofErr w:type="gramEnd"/>
            <w:r w:rsidRPr="00747CD6">
              <w:rPr>
                <w:rFonts w:ascii="Times New Roman" w:eastAsia="Times New Roman" w:hAnsi="Times New Roman" w:cs="Times New Roman"/>
                <w:lang w:val="en-GB"/>
              </w:rPr>
              <w:t>0)</w:t>
            </w:r>
          </w:p>
        </w:tc>
      </w:tr>
      <w:tr w:rsidR="00747CD6" w:rsidRPr="00747CD6" w14:paraId="77F24CA3" w14:textId="77777777" w:rsidTr="000F126D">
        <w:tc>
          <w:tcPr>
            <w:tcW w:w="9026" w:type="dxa"/>
            <w:gridSpan w:val="6"/>
            <w:tcBorders>
              <w:top w:val="single" w:sz="4" w:space="0" w:color="auto"/>
              <w:bottom w:val="single" w:sz="4" w:space="0" w:color="auto"/>
            </w:tcBorders>
          </w:tcPr>
          <w:p w14:paraId="43B7A99A" w14:textId="77777777" w:rsidR="00747CD6" w:rsidRPr="00747CD6" w:rsidRDefault="00747CD6" w:rsidP="00D56BB9">
            <w:pPr>
              <w:spacing w:line="276" w:lineRule="auto"/>
              <w:jc w:val="center"/>
              <w:rPr>
                <w:rFonts w:ascii="Times New Roman" w:eastAsia="Times New Roman" w:hAnsi="Times New Roman" w:cs="Times New Roman"/>
                <w:b/>
                <w:bCs/>
                <w:lang w:val="en-GB"/>
              </w:rPr>
            </w:pPr>
            <w:proofErr w:type="spellStart"/>
            <w:r w:rsidRPr="00747CD6">
              <w:rPr>
                <w:rFonts w:ascii="Times New Roman" w:eastAsia="Times New Roman" w:hAnsi="Times New Roman"/>
                <w:b/>
                <w:bCs/>
              </w:rPr>
              <w:t>Im</w:t>
            </w:r>
            <w:proofErr w:type="spellEnd"/>
            <w:r w:rsidRPr="00747CD6">
              <w:rPr>
                <w:rFonts w:ascii="Times New Roman" w:eastAsia="Times New Roman" w:hAnsi="Times New Roman"/>
                <w:b/>
                <w:bCs/>
              </w:rPr>
              <w:t xml:space="preserve"> </w:t>
            </w:r>
            <w:proofErr w:type="spellStart"/>
            <w:r w:rsidRPr="00747CD6">
              <w:rPr>
                <w:rFonts w:ascii="Times New Roman" w:eastAsia="Times New Roman" w:hAnsi="Times New Roman"/>
                <w:b/>
                <w:bCs/>
              </w:rPr>
              <w:t>Pesaran</w:t>
            </w:r>
            <w:proofErr w:type="spellEnd"/>
            <w:r w:rsidRPr="00747CD6">
              <w:rPr>
                <w:rFonts w:ascii="Times New Roman" w:eastAsia="Times New Roman" w:hAnsi="Times New Roman"/>
                <w:b/>
                <w:bCs/>
              </w:rPr>
              <w:t>-Shin panel Unit Root Test</w:t>
            </w:r>
          </w:p>
        </w:tc>
      </w:tr>
      <w:tr w:rsidR="00747CD6" w:rsidRPr="00747CD6" w14:paraId="02D7B235" w14:textId="77777777" w:rsidTr="000F126D">
        <w:tc>
          <w:tcPr>
            <w:tcW w:w="1587" w:type="dxa"/>
            <w:tcBorders>
              <w:top w:val="single" w:sz="4" w:space="0" w:color="auto"/>
              <w:bottom w:val="single" w:sz="4" w:space="0" w:color="auto"/>
            </w:tcBorders>
          </w:tcPr>
          <w:p w14:paraId="2573054C"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 xml:space="preserve">Variables </w:t>
            </w:r>
          </w:p>
        </w:tc>
        <w:tc>
          <w:tcPr>
            <w:tcW w:w="1563" w:type="dxa"/>
            <w:tcBorders>
              <w:top w:val="single" w:sz="4" w:space="0" w:color="auto"/>
              <w:bottom w:val="single" w:sz="4" w:space="0" w:color="auto"/>
            </w:tcBorders>
          </w:tcPr>
          <w:p w14:paraId="489F06A8"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Statistics</w:t>
            </w:r>
          </w:p>
        </w:tc>
        <w:tc>
          <w:tcPr>
            <w:tcW w:w="1435" w:type="dxa"/>
            <w:tcBorders>
              <w:top w:val="single" w:sz="4" w:space="0" w:color="auto"/>
              <w:bottom w:val="single" w:sz="4" w:space="0" w:color="auto"/>
            </w:tcBorders>
          </w:tcPr>
          <w:p w14:paraId="17CF30E7"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Prob.</w:t>
            </w:r>
          </w:p>
        </w:tc>
        <w:tc>
          <w:tcPr>
            <w:tcW w:w="1563" w:type="dxa"/>
            <w:tcBorders>
              <w:top w:val="single" w:sz="4" w:space="0" w:color="auto"/>
              <w:bottom w:val="single" w:sz="4" w:space="0" w:color="auto"/>
            </w:tcBorders>
          </w:tcPr>
          <w:p w14:paraId="0293C78B"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Statistics</w:t>
            </w:r>
          </w:p>
        </w:tc>
        <w:tc>
          <w:tcPr>
            <w:tcW w:w="1435" w:type="dxa"/>
            <w:tcBorders>
              <w:top w:val="single" w:sz="4" w:space="0" w:color="auto"/>
              <w:bottom w:val="single" w:sz="4" w:space="0" w:color="auto"/>
            </w:tcBorders>
          </w:tcPr>
          <w:p w14:paraId="7A5AC6C1"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Prob.</w:t>
            </w:r>
          </w:p>
        </w:tc>
        <w:tc>
          <w:tcPr>
            <w:tcW w:w="1443" w:type="dxa"/>
            <w:tcBorders>
              <w:top w:val="single" w:sz="4" w:space="0" w:color="auto"/>
              <w:bottom w:val="single" w:sz="4" w:space="0" w:color="auto"/>
            </w:tcBorders>
          </w:tcPr>
          <w:p w14:paraId="0787E137"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Stationarity</w:t>
            </w:r>
          </w:p>
        </w:tc>
      </w:tr>
      <w:tr w:rsidR="00747CD6" w:rsidRPr="00747CD6" w14:paraId="37E9A471" w14:textId="77777777" w:rsidTr="000F126D">
        <w:tc>
          <w:tcPr>
            <w:tcW w:w="1587" w:type="dxa"/>
            <w:tcBorders>
              <w:top w:val="single" w:sz="4" w:space="0" w:color="auto"/>
            </w:tcBorders>
          </w:tcPr>
          <w:p w14:paraId="27DC49B6"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LEX</w:t>
            </w:r>
          </w:p>
        </w:tc>
        <w:tc>
          <w:tcPr>
            <w:tcW w:w="1563" w:type="dxa"/>
            <w:tcBorders>
              <w:top w:val="single" w:sz="4" w:space="0" w:color="auto"/>
            </w:tcBorders>
          </w:tcPr>
          <w:p w14:paraId="49049646"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0.89637</w:t>
            </w:r>
          </w:p>
        </w:tc>
        <w:tc>
          <w:tcPr>
            <w:tcW w:w="1435" w:type="dxa"/>
            <w:tcBorders>
              <w:top w:val="single" w:sz="4" w:space="0" w:color="auto"/>
            </w:tcBorders>
          </w:tcPr>
          <w:p w14:paraId="5005CD07"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0.8150</w:t>
            </w:r>
          </w:p>
        </w:tc>
        <w:tc>
          <w:tcPr>
            <w:tcW w:w="1563" w:type="dxa"/>
            <w:tcBorders>
              <w:top w:val="single" w:sz="4" w:space="0" w:color="auto"/>
            </w:tcBorders>
          </w:tcPr>
          <w:p w14:paraId="099757F8"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9.95823</w:t>
            </w:r>
          </w:p>
        </w:tc>
        <w:tc>
          <w:tcPr>
            <w:tcW w:w="1435" w:type="dxa"/>
            <w:tcBorders>
              <w:top w:val="single" w:sz="4" w:space="0" w:color="auto"/>
            </w:tcBorders>
          </w:tcPr>
          <w:p w14:paraId="0E167114"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0.0000</w:t>
            </w:r>
          </w:p>
        </w:tc>
        <w:tc>
          <w:tcPr>
            <w:tcW w:w="1443" w:type="dxa"/>
            <w:tcBorders>
              <w:top w:val="single" w:sz="4" w:space="0" w:color="auto"/>
            </w:tcBorders>
          </w:tcPr>
          <w:p w14:paraId="0DFCD7A6" w14:textId="77777777" w:rsidR="00747CD6" w:rsidRPr="00747CD6" w:rsidRDefault="00747CD6" w:rsidP="00D56BB9">
            <w:pPr>
              <w:spacing w:line="276" w:lineRule="auto"/>
              <w:jc w:val="both"/>
              <w:rPr>
                <w:rFonts w:ascii="Times New Roman" w:eastAsia="Times New Roman" w:hAnsi="Times New Roman" w:cs="Times New Roman"/>
                <w:lang w:val="en-GB"/>
              </w:rPr>
            </w:pPr>
            <w:proofErr w:type="gramStart"/>
            <w:r w:rsidRPr="00747CD6">
              <w:rPr>
                <w:rFonts w:ascii="Times New Roman" w:eastAsia="Times New Roman" w:hAnsi="Times New Roman" w:cs="Times New Roman"/>
                <w:lang w:val="en-GB"/>
              </w:rPr>
              <w:t>I(</w:t>
            </w:r>
            <w:proofErr w:type="gramEnd"/>
            <w:r w:rsidRPr="00747CD6">
              <w:rPr>
                <w:rFonts w:ascii="Times New Roman" w:eastAsia="Times New Roman" w:hAnsi="Times New Roman" w:cs="Times New Roman"/>
                <w:lang w:val="en-GB"/>
              </w:rPr>
              <w:t>1)</w:t>
            </w:r>
          </w:p>
        </w:tc>
      </w:tr>
      <w:tr w:rsidR="00747CD6" w:rsidRPr="00747CD6" w14:paraId="0298046E" w14:textId="77777777" w:rsidTr="000F126D">
        <w:tc>
          <w:tcPr>
            <w:tcW w:w="1587" w:type="dxa"/>
          </w:tcPr>
          <w:p w14:paraId="1956522E"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HEX</w:t>
            </w:r>
          </w:p>
        </w:tc>
        <w:tc>
          <w:tcPr>
            <w:tcW w:w="1563" w:type="dxa"/>
          </w:tcPr>
          <w:p w14:paraId="1F9B5AFF"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5.42154</w:t>
            </w:r>
          </w:p>
        </w:tc>
        <w:tc>
          <w:tcPr>
            <w:tcW w:w="1435" w:type="dxa"/>
          </w:tcPr>
          <w:p w14:paraId="25FEA987"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1.0000</w:t>
            </w:r>
          </w:p>
        </w:tc>
        <w:tc>
          <w:tcPr>
            <w:tcW w:w="1563" w:type="dxa"/>
          </w:tcPr>
          <w:p w14:paraId="35BA5F0F"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15.5488</w:t>
            </w:r>
          </w:p>
        </w:tc>
        <w:tc>
          <w:tcPr>
            <w:tcW w:w="1435" w:type="dxa"/>
          </w:tcPr>
          <w:p w14:paraId="49DD9312"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0.0000</w:t>
            </w:r>
          </w:p>
        </w:tc>
        <w:tc>
          <w:tcPr>
            <w:tcW w:w="1443" w:type="dxa"/>
          </w:tcPr>
          <w:p w14:paraId="54600476" w14:textId="77777777" w:rsidR="00747CD6" w:rsidRPr="00747CD6" w:rsidRDefault="00747CD6" w:rsidP="00D56BB9">
            <w:pPr>
              <w:spacing w:line="276" w:lineRule="auto"/>
              <w:jc w:val="both"/>
              <w:rPr>
                <w:rFonts w:ascii="Times New Roman" w:eastAsia="Times New Roman" w:hAnsi="Times New Roman" w:cs="Times New Roman"/>
                <w:lang w:val="en-GB"/>
              </w:rPr>
            </w:pPr>
            <w:proofErr w:type="gramStart"/>
            <w:r w:rsidRPr="00747CD6">
              <w:rPr>
                <w:rFonts w:ascii="Times New Roman" w:eastAsia="Times New Roman" w:hAnsi="Times New Roman" w:cs="Times New Roman"/>
                <w:lang w:val="en-GB"/>
              </w:rPr>
              <w:t>I(</w:t>
            </w:r>
            <w:proofErr w:type="gramEnd"/>
            <w:r w:rsidRPr="00747CD6">
              <w:rPr>
                <w:rFonts w:ascii="Times New Roman" w:eastAsia="Times New Roman" w:hAnsi="Times New Roman" w:cs="Times New Roman"/>
                <w:lang w:val="en-GB"/>
              </w:rPr>
              <w:t>1)</w:t>
            </w:r>
          </w:p>
        </w:tc>
      </w:tr>
      <w:tr w:rsidR="00747CD6" w:rsidRPr="00747CD6" w14:paraId="75149CB0" w14:textId="77777777" w:rsidTr="000F126D">
        <w:tc>
          <w:tcPr>
            <w:tcW w:w="1587" w:type="dxa"/>
          </w:tcPr>
          <w:p w14:paraId="1CEE901C"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EDU</w:t>
            </w:r>
          </w:p>
        </w:tc>
        <w:tc>
          <w:tcPr>
            <w:tcW w:w="1563" w:type="dxa"/>
          </w:tcPr>
          <w:p w14:paraId="071B32BB"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4.81494</w:t>
            </w:r>
          </w:p>
        </w:tc>
        <w:tc>
          <w:tcPr>
            <w:tcW w:w="1435" w:type="dxa"/>
          </w:tcPr>
          <w:p w14:paraId="3975EF06"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 0.0000</w:t>
            </w:r>
          </w:p>
        </w:tc>
        <w:tc>
          <w:tcPr>
            <w:tcW w:w="1563" w:type="dxa"/>
          </w:tcPr>
          <w:p w14:paraId="7C5F90C4"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lang w:val="en-GB"/>
              </w:rPr>
              <w:t xml:space="preserve">        -</w:t>
            </w:r>
          </w:p>
        </w:tc>
        <w:tc>
          <w:tcPr>
            <w:tcW w:w="1435" w:type="dxa"/>
          </w:tcPr>
          <w:p w14:paraId="7941BC5D"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lang w:val="en-GB"/>
              </w:rPr>
              <w:t xml:space="preserve">     -</w:t>
            </w:r>
          </w:p>
        </w:tc>
        <w:tc>
          <w:tcPr>
            <w:tcW w:w="1443" w:type="dxa"/>
          </w:tcPr>
          <w:p w14:paraId="69E44414" w14:textId="77777777" w:rsidR="00747CD6" w:rsidRPr="00747CD6" w:rsidRDefault="00747CD6" w:rsidP="00D56BB9">
            <w:pPr>
              <w:spacing w:line="276" w:lineRule="auto"/>
              <w:jc w:val="both"/>
              <w:rPr>
                <w:rFonts w:ascii="Times New Roman" w:eastAsia="Times New Roman" w:hAnsi="Times New Roman" w:cs="Times New Roman"/>
                <w:lang w:val="en-GB"/>
              </w:rPr>
            </w:pPr>
            <w:proofErr w:type="gramStart"/>
            <w:r w:rsidRPr="00747CD6">
              <w:rPr>
                <w:rFonts w:ascii="Times New Roman" w:eastAsia="Times New Roman" w:hAnsi="Times New Roman" w:cs="Times New Roman"/>
                <w:lang w:val="en-GB"/>
              </w:rPr>
              <w:t>I(</w:t>
            </w:r>
            <w:proofErr w:type="gramEnd"/>
            <w:r w:rsidRPr="00747CD6">
              <w:rPr>
                <w:rFonts w:ascii="Times New Roman" w:eastAsia="Times New Roman" w:hAnsi="Times New Roman" w:cs="Times New Roman"/>
                <w:lang w:val="en-GB"/>
              </w:rPr>
              <w:t>0)</w:t>
            </w:r>
          </w:p>
        </w:tc>
      </w:tr>
      <w:tr w:rsidR="00747CD6" w:rsidRPr="00747CD6" w14:paraId="287D6547" w14:textId="77777777" w:rsidTr="000F126D">
        <w:tc>
          <w:tcPr>
            <w:tcW w:w="1587" w:type="dxa"/>
          </w:tcPr>
          <w:p w14:paraId="32CBFB95"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POP</w:t>
            </w:r>
          </w:p>
        </w:tc>
        <w:tc>
          <w:tcPr>
            <w:tcW w:w="1563" w:type="dxa"/>
          </w:tcPr>
          <w:p w14:paraId="567F4F7B"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11.7297</w:t>
            </w:r>
          </w:p>
        </w:tc>
        <w:tc>
          <w:tcPr>
            <w:tcW w:w="1435" w:type="dxa"/>
          </w:tcPr>
          <w:p w14:paraId="6D18FF0B"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1.0000</w:t>
            </w:r>
          </w:p>
        </w:tc>
        <w:tc>
          <w:tcPr>
            <w:tcW w:w="1563" w:type="dxa"/>
          </w:tcPr>
          <w:p w14:paraId="72FD2F45"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-9.89197</w:t>
            </w:r>
          </w:p>
        </w:tc>
        <w:tc>
          <w:tcPr>
            <w:tcW w:w="1435" w:type="dxa"/>
          </w:tcPr>
          <w:p w14:paraId="760B6805"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0.0000</w:t>
            </w:r>
          </w:p>
        </w:tc>
        <w:tc>
          <w:tcPr>
            <w:tcW w:w="1443" w:type="dxa"/>
          </w:tcPr>
          <w:p w14:paraId="2EA26EB2" w14:textId="77777777" w:rsidR="00747CD6" w:rsidRPr="00747CD6" w:rsidRDefault="00747CD6" w:rsidP="00D56BB9">
            <w:pPr>
              <w:spacing w:line="276" w:lineRule="auto"/>
              <w:jc w:val="both"/>
              <w:rPr>
                <w:rFonts w:ascii="Times New Roman" w:eastAsia="Times New Roman" w:hAnsi="Times New Roman" w:cs="Times New Roman"/>
                <w:lang w:val="en-GB"/>
              </w:rPr>
            </w:pPr>
            <w:proofErr w:type="gramStart"/>
            <w:r w:rsidRPr="00747CD6">
              <w:rPr>
                <w:rFonts w:ascii="Times New Roman" w:eastAsia="Times New Roman" w:hAnsi="Times New Roman" w:cs="Times New Roman"/>
                <w:lang w:val="en-GB"/>
              </w:rPr>
              <w:t>I(</w:t>
            </w:r>
            <w:proofErr w:type="gramEnd"/>
            <w:r w:rsidRPr="00747CD6">
              <w:rPr>
                <w:rFonts w:ascii="Times New Roman" w:eastAsia="Times New Roman" w:hAnsi="Times New Roman" w:cs="Times New Roman"/>
                <w:lang w:val="en-GB"/>
              </w:rPr>
              <w:t>1)</w:t>
            </w:r>
          </w:p>
        </w:tc>
      </w:tr>
      <w:tr w:rsidR="00747CD6" w:rsidRPr="00747CD6" w14:paraId="70CCA431" w14:textId="77777777" w:rsidTr="000F126D">
        <w:tc>
          <w:tcPr>
            <w:tcW w:w="1587" w:type="dxa"/>
          </w:tcPr>
          <w:p w14:paraId="6DA31AA0"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UNM</w:t>
            </w:r>
          </w:p>
        </w:tc>
        <w:tc>
          <w:tcPr>
            <w:tcW w:w="1563" w:type="dxa"/>
          </w:tcPr>
          <w:p w14:paraId="2541510E"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0.28844</w:t>
            </w:r>
          </w:p>
        </w:tc>
        <w:tc>
          <w:tcPr>
            <w:tcW w:w="1435" w:type="dxa"/>
          </w:tcPr>
          <w:p w14:paraId="55CF5356"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0.6135</w:t>
            </w:r>
          </w:p>
        </w:tc>
        <w:tc>
          <w:tcPr>
            <w:tcW w:w="1563" w:type="dxa"/>
          </w:tcPr>
          <w:p w14:paraId="0DBCEE80"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-14.5173</w:t>
            </w:r>
          </w:p>
        </w:tc>
        <w:tc>
          <w:tcPr>
            <w:tcW w:w="1435" w:type="dxa"/>
          </w:tcPr>
          <w:p w14:paraId="24165954"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0.0000</w:t>
            </w:r>
          </w:p>
        </w:tc>
        <w:tc>
          <w:tcPr>
            <w:tcW w:w="1443" w:type="dxa"/>
          </w:tcPr>
          <w:p w14:paraId="086DA12B" w14:textId="77777777" w:rsidR="00747CD6" w:rsidRPr="00747CD6" w:rsidRDefault="00747CD6" w:rsidP="00D56BB9">
            <w:pPr>
              <w:spacing w:line="276" w:lineRule="auto"/>
              <w:jc w:val="both"/>
              <w:rPr>
                <w:rFonts w:ascii="Times New Roman" w:eastAsia="Times New Roman" w:hAnsi="Times New Roman" w:cs="Times New Roman"/>
                <w:lang w:val="en-GB"/>
              </w:rPr>
            </w:pPr>
            <w:proofErr w:type="gramStart"/>
            <w:r w:rsidRPr="00747CD6">
              <w:rPr>
                <w:rFonts w:ascii="Times New Roman" w:eastAsia="Times New Roman" w:hAnsi="Times New Roman" w:cs="Times New Roman"/>
                <w:lang w:val="en-GB"/>
              </w:rPr>
              <w:t>I(</w:t>
            </w:r>
            <w:proofErr w:type="gramEnd"/>
            <w:r w:rsidRPr="00747CD6">
              <w:rPr>
                <w:rFonts w:ascii="Times New Roman" w:eastAsia="Times New Roman" w:hAnsi="Times New Roman" w:cs="Times New Roman"/>
                <w:lang w:val="en-GB"/>
              </w:rPr>
              <w:t>1)</w:t>
            </w:r>
          </w:p>
        </w:tc>
      </w:tr>
      <w:tr w:rsidR="00747CD6" w:rsidRPr="00747CD6" w14:paraId="1EAFC7C4" w14:textId="77777777" w:rsidTr="000F126D">
        <w:tc>
          <w:tcPr>
            <w:tcW w:w="1587" w:type="dxa"/>
            <w:tcBorders>
              <w:bottom w:val="single" w:sz="4" w:space="0" w:color="auto"/>
            </w:tcBorders>
          </w:tcPr>
          <w:p w14:paraId="75C3E721"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RGDP</w:t>
            </w:r>
          </w:p>
        </w:tc>
        <w:tc>
          <w:tcPr>
            <w:tcW w:w="1563" w:type="dxa"/>
            <w:tcBorders>
              <w:bottom w:val="single" w:sz="4" w:space="0" w:color="auto"/>
            </w:tcBorders>
          </w:tcPr>
          <w:p w14:paraId="7786DC97"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-12.5285</w:t>
            </w:r>
          </w:p>
        </w:tc>
        <w:tc>
          <w:tcPr>
            <w:tcW w:w="1435" w:type="dxa"/>
            <w:tcBorders>
              <w:bottom w:val="single" w:sz="4" w:space="0" w:color="auto"/>
            </w:tcBorders>
          </w:tcPr>
          <w:p w14:paraId="0BC97396"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0.0000</w:t>
            </w:r>
          </w:p>
        </w:tc>
        <w:tc>
          <w:tcPr>
            <w:tcW w:w="1563" w:type="dxa"/>
            <w:tcBorders>
              <w:bottom w:val="single" w:sz="4" w:space="0" w:color="auto"/>
            </w:tcBorders>
          </w:tcPr>
          <w:p w14:paraId="4A63F62B"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lang w:val="en-GB"/>
              </w:rPr>
              <w:t xml:space="preserve">     -</w:t>
            </w:r>
          </w:p>
        </w:tc>
        <w:tc>
          <w:tcPr>
            <w:tcW w:w="1435" w:type="dxa"/>
            <w:tcBorders>
              <w:bottom w:val="single" w:sz="4" w:space="0" w:color="auto"/>
            </w:tcBorders>
          </w:tcPr>
          <w:p w14:paraId="77E79DB1"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lang w:val="en-GB"/>
              </w:rPr>
              <w:t xml:space="preserve">        -</w:t>
            </w:r>
          </w:p>
        </w:tc>
        <w:tc>
          <w:tcPr>
            <w:tcW w:w="1443" w:type="dxa"/>
            <w:tcBorders>
              <w:bottom w:val="single" w:sz="4" w:space="0" w:color="auto"/>
            </w:tcBorders>
          </w:tcPr>
          <w:p w14:paraId="0B9999D9" w14:textId="77777777" w:rsidR="00747CD6" w:rsidRPr="00747CD6" w:rsidRDefault="00747CD6" w:rsidP="00D56BB9">
            <w:pPr>
              <w:spacing w:line="276" w:lineRule="auto"/>
              <w:jc w:val="both"/>
              <w:rPr>
                <w:rFonts w:ascii="Times New Roman" w:eastAsia="Times New Roman" w:hAnsi="Times New Roman" w:cs="Times New Roman"/>
                <w:lang w:val="en-GB"/>
              </w:rPr>
            </w:pPr>
            <w:proofErr w:type="gramStart"/>
            <w:r w:rsidRPr="00747CD6">
              <w:rPr>
                <w:rFonts w:ascii="Times New Roman" w:eastAsia="Times New Roman" w:hAnsi="Times New Roman" w:cs="Times New Roman"/>
                <w:lang w:val="en-GB"/>
              </w:rPr>
              <w:t>I(</w:t>
            </w:r>
            <w:proofErr w:type="gramEnd"/>
            <w:r w:rsidRPr="00747CD6">
              <w:rPr>
                <w:rFonts w:ascii="Times New Roman" w:eastAsia="Times New Roman" w:hAnsi="Times New Roman" w:cs="Times New Roman"/>
                <w:lang w:val="en-GB"/>
              </w:rPr>
              <w:t>0)</w:t>
            </w:r>
          </w:p>
        </w:tc>
      </w:tr>
    </w:tbl>
    <w:p w14:paraId="588F6AF1" w14:textId="77777777" w:rsidR="00747CD6" w:rsidRPr="00747CD6" w:rsidRDefault="00747CD6" w:rsidP="00D56BB9">
      <w:pPr>
        <w:spacing w:line="276" w:lineRule="auto"/>
        <w:jc w:val="both"/>
        <w:rPr>
          <w:rFonts w:ascii="Times New Roman" w:eastAsia="Times New Roman" w:hAnsi="Times New Roman" w:cs="Times New Roman"/>
          <w:kern w:val="0"/>
          <w:lang w:val="en-GB"/>
          <w14:ligatures w14:val="none"/>
        </w:rPr>
      </w:pPr>
      <w:r w:rsidRPr="00747CD6">
        <w:rPr>
          <w:rFonts w:ascii="Times New Roman" w:eastAsia="Times New Roman" w:hAnsi="Times New Roman" w:cs="Times New Roman"/>
          <w:b/>
          <w:bCs/>
          <w:kern w:val="0"/>
          <w:lang w:val="en-GB"/>
          <w14:ligatures w14:val="none"/>
        </w:rPr>
        <w:t>Source:</w:t>
      </w:r>
      <w:r w:rsidRPr="00747CD6">
        <w:rPr>
          <w:rFonts w:ascii="Times New Roman" w:eastAsia="Times New Roman" w:hAnsi="Times New Roman" w:cs="Times New Roman"/>
          <w:kern w:val="0"/>
          <w:lang w:val="en-GB"/>
          <w14:ligatures w14:val="none"/>
        </w:rPr>
        <w:t xml:space="preserve"> Authors computation using </w:t>
      </w:r>
      <w:proofErr w:type="spellStart"/>
      <w:r w:rsidRPr="00747CD6">
        <w:rPr>
          <w:rFonts w:ascii="Times New Roman" w:eastAsia="Times New Roman" w:hAnsi="Times New Roman" w:cs="Times New Roman"/>
          <w:kern w:val="0"/>
          <w:lang w:val="en-GB"/>
          <w14:ligatures w14:val="none"/>
        </w:rPr>
        <w:t>Eviews</w:t>
      </w:r>
      <w:proofErr w:type="spellEnd"/>
      <w:r w:rsidRPr="00747CD6">
        <w:rPr>
          <w:rFonts w:ascii="Times New Roman" w:eastAsia="Times New Roman" w:hAnsi="Times New Roman" w:cs="Times New Roman"/>
          <w:kern w:val="0"/>
          <w:lang w:val="en-GB"/>
          <w14:ligatures w14:val="none"/>
        </w:rPr>
        <w:t xml:space="preserve"> 10, 2026</w:t>
      </w:r>
    </w:p>
    <w:p w14:paraId="110676FF" w14:textId="5C88CA95" w:rsidR="00747CD6" w:rsidRPr="00747CD6" w:rsidRDefault="00747CD6" w:rsidP="00D56BB9">
      <w:pPr>
        <w:spacing w:line="276" w:lineRule="auto"/>
        <w:jc w:val="both"/>
        <w:rPr>
          <w:rFonts w:ascii="Times New Roman" w:eastAsia="Times New Roman" w:hAnsi="Times New Roman" w:cs="Times New Roman"/>
          <w:kern w:val="0"/>
          <w:lang w:val="en-GB"/>
          <w14:ligatures w14:val="none"/>
        </w:rPr>
      </w:pPr>
      <w:r w:rsidRPr="00747CD6">
        <w:rPr>
          <w:rFonts w:ascii="Times New Roman" w:eastAsia="Times New Roman" w:hAnsi="Times New Roman" w:cs="Times New Roman"/>
          <w:kern w:val="0"/>
          <w:lang w:val="en-GB"/>
          <w14:ligatures w14:val="none"/>
        </w:rPr>
        <w:t xml:space="preserve">Based on the results of the Levin-Lin and Chu and </w:t>
      </w:r>
      <w:proofErr w:type="spellStart"/>
      <w:r w:rsidRPr="00747CD6">
        <w:rPr>
          <w:rFonts w:ascii="Times New Roman" w:eastAsia="Times New Roman" w:hAnsi="Times New Roman" w:cs="Times New Roman"/>
          <w:kern w:val="0"/>
          <w:lang w:val="en-GB"/>
          <w14:ligatures w14:val="none"/>
        </w:rPr>
        <w:t>Im</w:t>
      </w:r>
      <w:proofErr w:type="spellEnd"/>
      <w:r w:rsidRPr="00747CD6">
        <w:rPr>
          <w:rFonts w:ascii="Times New Roman" w:eastAsia="Times New Roman" w:hAnsi="Times New Roman" w:cs="Times New Roman"/>
          <w:kern w:val="0"/>
          <w:lang w:val="en-GB"/>
          <w14:ligatures w14:val="none"/>
        </w:rPr>
        <w:t xml:space="preserve"> </w:t>
      </w:r>
      <w:proofErr w:type="spellStart"/>
      <w:r w:rsidRPr="00747CD6">
        <w:rPr>
          <w:rFonts w:ascii="Times New Roman" w:eastAsia="Times New Roman" w:hAnsi="Times New Roman" w:cs="Times New Roman"/>
          <w:kern w:val="0"/>
          <w:lang w:val="en-GB"/>
          <w14:ligatures w14:val="none"/>
        </w:rPr>
        <w:t>Pesaran</w:t>
      </w:r>
      <w:proofErr w:type="spellEnd"/>
      <w:r w:rsidRPr="00747CD6">
        <w:rPr>
          <w:rFonts w:ascii="Times New Roman" w:eastAsia="Times New Roman" w:hAnsi="Times New Roman" w:cs="Times New Roman"/>
          <w:kern w:val="0"/>
          <w:lang w:val="en-GB"/>
          <w14:ligatures w14:val="none"/>
        </w:rPr>
        <w:t xml:space="preserve"> and Shin panel unit root test presented in Table 4</w:t>
      </w:r>
      <w:r w:rsidR="00D56BB9">
        <w:rPr>
          <w:rFonts w:ascii="Times New Roman" w:eastAsia="Times New Roman" w:hAnsi="Times New Roman" w:cs="Times New Roman"/>
          <w:kern w:val="0"/>
          <w:lang w:val="en-GB"/>
          <w14:ligatures w14:val="none"/>
        </w:rPr>
        <w:t>.3</w:t>
      </w:r>
      <w:r w:rsidRPr="00747CD6">
        <w:rPr>
          <w:rFonts w:ascii="Times New Roman" w:eastAsia="Times New Roman" w:hAnsi="Times New Roman" w:cs="Times New Roman"/>
          <w:kern w:val="0"/>
          <w:lang w:val="en-GB"/>
          <w14:ligatures w14:val="none"/>
        </w:rPr>
        <w:t xml:space="preserve"> the results present varying results based on the stationarity of the panel data. However, the variables have are a mix of </w:t>
      </w:r>
      <w:proofErr w:type="gramStart"/>
      <w:r w:rsidRPr="00747CD6">
        <w:rPr>
          <w:rFonts w:ascii="Times New Roman" w:eastAsia="Times New Roman" w:hAnsi="Times New Roman" w:cs="Times New Roman"/>
          <w:kern w:val="0"/>
          <w:lang w:val="en-GB"/>
          <w14:ligatures w14:val="none"/>
        </w:rPr>
        <w:t>I(</w:t>
      </w:r>
      <w:proofErr w:type="gramEnd"/>
      <w:r w:rsidRPr="00747CD6">
        <w:rPr>
          <w:rFonts w:ascii="Times New Roman" w:eastAsia="Times New Roman" w:hAnsi="Times New Roman" w:cs="Times New Roman"/>
          <w:kern w:val="0"/>
          <w:lang w:val="en-GB"/>
          <w14:ligatures w14:val="none"/>
        </w:rPr>
        <w:t xml:space="preserve">0) and </w:t>
      </w:r>
      <w:proofErr w:type="gramStart"/>
      <w:r w:rsidRPr="00747CD6">
        <w:rPr>
          <w:rFonts w:ascii="Times New Roman" w:eastAsia="Times New Roman" w:hAnsi="Times New Roman" w:cs="Times New Roman"/>
          <w:kern w:val="0"/>
          <w:lang w:val="en-GB"/>
          <w14:ligatures w14:val="none"/>
        </w:rPr>
        <w:t>I(</w:t>
      </w:r>
      <w:proofErr w:type="gramEnd"/>
      <w:r w:rsidRPr="00747CD6">
        <w:rPr>
          <w:rFonts w:ascii="Times New Roman" w:eastAsia="Times New Roman" w:hAnsi="Times New Roman" w:cs="Times New Roman"/>
          <w:kern w:val="0"/>
          <w:lang w:val="en-GB"/>
          <w14:ligatures w14:val="none"/>
        </w:rPr>
        <w:t xml:space="preserve">1) as can be observed from the results. For instance, life expectancy (LEX), education expenditure (EDU) and economic growth were found to be stationary at level </w:t>
      </w:r>
      <w:proofErr w:type="gramStart"/>
      <w:r w:rsidRPr="00747CD6">
        <w:rPr>
          <w:rFonts w:ascii="Times New Roman" w:eastAsia="Times New Roman" w:hAnsi="Times New Roman" w:cs="Times New Roman"/>
          <w:kern w:val="0"/>
          <w:lang w:val="en-GB"/>
          <w14:ligatures w14:val="none"/>
        </w:rPr>
        <w:t>I(</w:t>
      </w:r>
      <w:proofErr w:type="gramEnd"/>
      <w:r w:rsidRPr="00747CD6">
        <w:rPr>
          <w:rFonts w:ascii="Times New Roman" w:eastAsia="Times New Roman" w:hAnsi="Times New Roman" w:cs="Times New Roman"/>
          <w:kern w:val="0"/>
          <w:lang w:val="en-GB"/>
          <w14:ligatures w14:val="none"/>
        </w:rPr>
        <w:t xml:space="preserve">0) based on the Levin-Lin and Chu pane unit root results while health expenditure (HEX), population (POP) and under-five mortality (UNM) were stationary after first differencing </w:t>
      </w:r>
      <w:proofErr w:type="gramStart"/>
      <w:r w:rsidRPr="00747CD6">
        <w:rPr>
          <w:rFonts w:ascii="Times New Roman" w:eastAsia="Times New Roman" w:hAnsi="Times New Roman" w:cs="Times New Roman"/>
          <w:kern w:val="0"/>
          <w:lang w:val="en-GB"/>
          <w14:ligatures w14:val="none"/>
        </w:rPr>
        <w:t>I(</w:t>
      </w:r>
      <w:proofErr w:type="gramEnd"/>
      <w:r w:rsidRPr="00747CD6">
        <w:rPr>
          <w:rFonts w:ascii="Times New Roman" w:eastAsia="Times New Roman" w:hAnsi="Times New Roman" w:cs="Times New Roman"/>
          <w:kern w:val="0"/>
          <w:lang w:val="en-GB"/>
          <w14:ligatures w14:val="none"/>
        </w:rPr>
        <w:t xml:space="preserve">1). However, education expenditure (EDU), institutional quality and economic growth (RGDP) were found to be stationary at level </w:t>
      </w:r>
      <w:proofErr w:type="gramStart"/>
      <w:r w:rsidRPr="00747CD6">
        <w:rPr>
          <w:rFonts w:ascii="Times New Roman" w:eastAsia="Times New Roman" w:hAnsi="Times New Roman" w:cs="Times New Roman"/>
          <w:kern w:val="0"/>
          <w:lang w:val="en-GB"/>
          <w14:ligatures w14:val="none"/>
        </w:rPr>
        <w:t>I(</w:t>
      </w:r>
      <w:proofErr w:type="gramEnd"/>
      <w:r w:rsidRPr="00747CD6">
        <w:rPr>
          <w:rFonts w:ascii="Times New Roman" w:eastAsia="Times New Roman" w:hAnsi="Times New Roman" w:cs="Times New Roman"/>
          <w:kern w:val="0"/>
          <w:lang w:val="en-GB"/>
          <w14:ligatures w14:val="none"/>
        </w:rPr>
        <w:t xml:space="preserve">0) under the </w:t>
      </w:r>
      <w:proofErr w:type="spellStart"/>
      <w:r w:rsidRPr="00747CD6">
        <w:rPr>
          <w:rFonts w:ascii="Times New Roman" w:eastAsia="Times New Roman" w:hAnsi="Times New Roman" w:cs="Times New Roman"/>
          <w:kern w:val="0"/>
          <w:lang w:val="en-GB"/>
          <w14:ligatures w14:val="none"/>
        </w:rPr>
        <w:t>Im</w:t>
      </w:r>
      <w:proofErr w:type="spellEnd"/>
      <w:r w:rsidRPr="00747CD6">
        <w:rPr>
          <w:rFonts w:ascii="Times New Roman" w:eastAsia="Times New Roman" w:hAnsi="Times New Roman" w:cs="Times New Roman"/>
          <w:kern w:val="0"/>
          <w:lang w:val="en-GB"/>
          <w14:ligatures w14:val="none"/>
        </w:rPr>
        <w:t xml:space="preserve"> </w:t>
      </w:r>
      <w:proofErr w:type="spellStart"/>
      <w:r w:rsidRPr="00747CD6">
        <w:rPr>
          <w:rFonts w:ascii="Times New Roman" w:eastAsia="Times New Roman" w:hAnsi="Times New Roman" w:cs="Times New Roman"/>
          <w:kern w:val="0"/>
          <w:lang w:val="en-GB"/>
          <w14:ligatures w14:val="none"/>
        </w:rPr>
        <w:t>Pesaran</w:t>
      </w:r>
      <w:proofErr w:type="spellEnd"/>
      <w:r w:rsidRPr="00747CD6">
        <w:rPr>
          <w:rFonts w:ascii="Times New Roman" w:eastAsia="Times New Roman" w:hAnsi="Times New Roman" w:cs="Times New Roman"/>
          <w:kern w:val="0"/>
          <w:lang w:val="en-GB"/>
          <w14:ligatures w14:val="none"/>
        </w:rPr>
        <w:t xml:space="preserve"> and Shin panel unit root test, while life expectancy (LEX), health expenditure (HEX), population (POP) and under-five </w:t>
      </w:r>
      <w:proofErr w:type="spellStart"/>
      <w:r w:rsidRPr="00747CD6">
        <w:rPr>
          <w:rFonts w:ascii="Times New Roman" w:eastAsia="Times New Roman" w:hAnsi="Times New Roman" w:cs="Times New Roman"/>
          <w:kern w:val="0"/>
          <w:lang w:val="en-GB"/>
          <w14:ligatures w14:val="none"/>
        </w:rPr>
        <w:t>mortaltiy</w:t>
      </w:r>
      <w:proofErr w:type="spellEnd"/>
      <w:r w:rsidRPr="00747CD6">
        <w:rPr>
          <w:rFonts w:ascii="Times New Roman" w:eastAsia="Times New Roman" w:hAnsi="Times New Roman" w:cs="Times New Roman"/>
          <w:kern w:val="0"/>
          <w:lang w:val="en-GB"/>
          <w14:ligatures w14:val="none"/>
        </w:rPr>
        <w:t xml:space="preserve"> (UNM) were stationary after first difference </w:t>
      </w:r>
      <w:proofErr w:type="gramStart"/>
      <w:r w:rsidRPr="00747CD6">
        <w:rPr>
          <w:rFonts w:ascii="Times New Roman" w:eastAsia="Times New Roman" w:hAnsi="Times New Roman" w:cs="Times New Roman"/>
          <w:kern w:val="0"/>
          <w:lang w:val="en-GB"/>
          <w14:ligatures w14:val="none"/>
        </w:rPr>
        <w:t>I(</w:t>
      </w:r>
      <w:proofErr w:type="gramEnd"/>
      <w:r w:rsidRPr="00747CD6">
        <w:rPr>
          <w:rFonts w:ascii="Times New Roman" w:eastAsia="Times New Roman" w:hAnsi="Times New Roman" w:cs="Times New Roman"/>
          <w:kern w:val="0"/>
          <w:lang w:val="en-GB"/>
          <w14:ligatures w14:val="none"/>
        </w:rPr>
        <w:t xml:space="preserve">1). But the result present mixed evidence regarding the stationarity of the variable life expectancy (LEX) and under the Levin-Lin and Chu is </w:t>
      </w:r>
      <w:proofErr w:type="gramStart"/>
      <w:r w:rsidRPr="00747CD6">
        <w:rPr>
          <w:rFonts w:ascii="Times New Roman" w:eastAsia="Times New Roman" w:hAnsi="Times New Roman" w:cs="Times New Roman"/>
          <w:kern w:val="0"/>
          <w:lang w:val="en-GB"/>
          <w14:ligatures w14:val="none"/>
        </w:rPr>
        <w:t>I(</w:t>
      </w:r>
      <w:proofErr w:type="gramEnd"/>
      <w:r w:rsidRPr="00747CD6">
        <w:rPr>
          <w:rFonts w:ascii="Times New Roman" w:eastAsia="Times New Roman" w:hAnsi="Times New Roman" w:cs="Times New Roman"/>
          <w:kern w:val="0"/>
          <w:lang w:val="en-GB"/>
          <w14:ligatures w14:val="none"/>
        </w:rPr>
        <w:t xml:space="preserve">0), in </w:t>
      </w:r>
      <w:proofErr w:type="spellStart"/>
      <w:r w:rsidRPr="00747CD6">
        <w:rPr>
          <w:rFonts w:ascii="Times New Roman" w:eastAsia="Times New Roman" w:hAnsi="Times New Roman" w:cs="Times New Roman"/>
          <w:kern w:val="0"/>
          <w:lang w:val="en-GB"/>
          <w14:ligatures w14:val="none"/>
        </w:rPr>
        <w:t>Im</w:t>
      </w:r>
      <w:proofErr w:type="spellEnd"/>
      <w:r w:rsidRPr="00747CD6">
        <w:rPr>
          <w:rFonts w:ascii="Times New Roman" w:eastAsia="Times New Roman" w:hAnsi="Times New Roman" w:cs="Times New Roman"/>
          <w:kern w:val="0"/>
          <w:lang w:val="en-GB"/>
          <w14:ligatures w14:val="none"/>
        </w:rPr>
        <w:t xml:space="preserve"> </w:t>
      </w:r>
      <w:proofErr w:type="spellStart"/>
      <w:r w:rsidRPr="00747CD6">
        <w:rPr>
          <w:rFonts w:ascii="Times New Roman" w:eastAsia="Times New Roman" w:hAnsi="Times New Roman" w:cs="Times New Roman"/>
          <w:kern w:val="0"/>
          <w:lang w:val="en-GB"/>
          <w14:ligatures w14:val="none"/>
        </w:rPr>
        <w:t>Pesaran</w:t>
      </w:r>
      <w:proofErr w:type="spellEnd"/>
      <w:r w:rsidRPr="00747CD6">
        <w:rPr>
          <w:rFonts w:ascii="Times New Roman" w:eastAsia="Times New Roman" w:hAnsi="Times New Roman" w:cs="Times New Roman"/>
          <w:kern w:val="0"/>
          <w:lang w:val="en-GB"/>
          <w14:ligatures w14:val="none"/>
        </w:rPr>
        <w:t xml:space="preserve"> and Shin it is </w:t>
      </w:r>
      <w:proofErr w:type="gramStart"/>
      <w:r w:rsidRPr="00747CD6">
        <w:rPr>
          <w:rFonts w:ascii="Times New Roman" w:eastAsia="Times New Roman" w:hAnsi="Times New Roman" w:cs="Times New Roman"/>
          <w:kern w:val="0"/>
          <w:lang w:val="en-GB"/>
          <w14:ligatures w14:val="none"/>
        </w:rPr>
        <w:t>I(</w:t>
      </w:r>
      <w:proofErr w:type="gramEnd"/>
      <w:r w:rsidRPr="00747CD6">
        <w:rPr>
          <w:rFonts w:ascii="Times New Roman" w:eastAsia="Times New Roman" w:hAnsi="Times New Roman" w:cs="Times New Roman"/>
          <w:kern w:val="0"/>
          <w:lang w:val="en-GB"/>
          <w14:ligatures w14:val="none"/>
        </w:rPr>
        <w:t>1). While the former assumes a common autoregressive parameter across cross-section, the latter allows for heterogeneity among panel units. Since heterogeneity is typical in macroeconomic panel data sets, emphasis is placed on IPS results. Therefore, the results of the panel unit root have met the requirement for estimating a panel ARDL.</w:t>
      </w:r>
    </w:p>
    <w:p w14:paraId="400FC724" w14:textId="6E54227F" w:rsidR="00747CD6" w:rsidRPr="00747CD6" w:rsidRDefault="00747CD6" w:rsidP="00D56BB9">
      <w:pPr>
        <w:pBdr>
          <w:bottom w:val="single" w:sz="12" w:space="1" w:color="auto"/>
        </w:pBdr>
        <w:spacing w:after="0" w:line="240" w:lineRule="auto"/>
        <w:jc w:val="both"/>
        <w:rPr>
          <w:rFonts w:ascii="Times New Roman" w:hAnsi="Times New Roman" w:cs="Times New Roman"/>
          <w:b/>
          <w:bCs/>
        </w:rPr>
      </w:pPr>
      <w:r w:rsidRPr="00747CD6">
        <w:rPr>
          <w:rFonts w:ascii="Times New Roman" w:hAnsi="Times New Roman" w:cs="Times New Roman"/>
          <w:b/>
          <w:bCs/>
        </w:rPr>
        <w:t>Table 4.</w:t>
      </w:r>
      <w:r w:rsidR="00D56BB9">
        <w:rPr>
          <w:rFonts w:ascii="Times New Roman" w:hAnsi="Times New Roman" w:cs="Times New Roman"/>
          <w:b/>
          <w:bCs/>
        </w:rPr>
        <w:t>4</w:t>
      </w:r>
      <w:r w:rsidRPr="00747CD6">
        <w:rPr>
          <w:rFonts w:ascii="Times New Roman" w:hAnsi="Times New Roman" w:cs="Times New Roman"/>
          <w:b/>
          <w:bCs/>
        </w:rPr>
        <w:t xml:space="preserve"> Bound test for model two</w:t>
      </w:r>
    </w:p>
    <w:p w14:paraId="385773E4" w14:textId="77777777" w:rsidR="00747CD6" w:rsidRPr="00747CD6" w:rsidRDefault="00747CD6" w:rsidP="00D56BB9">
      <w:pPr>
        <w:spacing w:after="0" w:line="240" w:lineRule="auto"/>
        <w:jc w:val="both"/>
        <w:rPr>
          <w:rFonts w:ascii="Times New Roman" w:hAnsi="Times New Roman" w:cs="Times New Roman"/>
        </w:rPr>
      </w:pPr>
      <w:r w:rsidRPr="00747CD6">
        <w:rPr>
          <w:rFonts w:ascii="Times New Roman" w:hAnsi="Times New Roman" w:cs="Times New Roman"/>
        </w:rPr>
        <w:tab/>
      </w:r>
      <w:r w:rsidRPr="00747CD6">
        <w:rPr>
          <w:rFonts w:ascii="Times New Roman" w:hAnsi="Times New Roman" w:cs="Times New Roman"/>
        </w:rPr>
        <w:tab/>
      </w:r>
      <w:r w:rsidRPr="00747CD6">
        <w:rPr>
          <w:rFonts w:ascii="Times New Roman" w:hAnsi="Times New Roman" w:cs="Times New Roman"/>
        </w:rPr>
        <w:tab/>
      </w:r>
      <w:r w:rsidRPr="00747CD6">
        <w:rPr>
          <w:rFonts w:ascii="Times New Roman" w:hAnsi="Times New Roman" w:cs="Times New Roman"/>
        </w:rPr>
        <w:tab/>
        <w:t xml:space="preserve">ARDL bound test of co-integration </w:t>
      </w:r>
    </w:p>
    <w:p w14:paraId="0E05B411" w14:textId="77777777" w:rsidR="00747CD6" w:rsidRPr="00747CD6" w:rsidRDefault="00747CD6" w:rsidP="00D56BB9">
      <w:pPr>
        <w:spacing w:after="0" w:line="240" w:lineRule="auto"/>
        <w:jc w:val="both"/>
        <w:rPr>
          <w:rFonts w:ascii="Times New Roman" w:hAnsi="Times New Roman" w:cs="Times New Roman"/>
        </w:rPr>
      </w:pPr>
      <w:r w:rsidRPr="00747CD6">
        <w:rPr>
          <w:rFonts w:ascii="Times New Roman" w:hAnsi="Times New Roman" w:cs="Times New Roman"/>
        </w:rPr>
        <w:t>Lag =2</w:t>
      </w:r>
      <w:r w:rsidRPr="00747CD6">
        <w:rPr>
          <w:rFonts w:ascii="Times New Roman" w:hAnsi="Times New Roman" w:cs="Times New Roman"/>
        </w:rPr>
        <w:tab/>
      </w:r>
      <w:r w:rsidRPr="00747CD6">
        <w:rPr>
          <w:rFonts w:ascii="Times New Roman" w:hAnsi="Times New Roman" w:cs="Times New Roman"/>
        </w:rPr>
        <w:tab/>
      </w:r>
      <w:r w:rsidRPr="00747CD6">
        <w:rPr>
          <w:rFonts w:ascii="Times New Roman" w:hAnsi="Times New Roman" w:cs="Times New Roman"/>
        </w:rPr>
        <w:tab/>
      </w:r>
      <w:r w:rsidRPr="00747CD6">
        <w:rPr>
          <w:rFonts w:ascii="Times New Roman" w:hAnsi="Times New Roman" w:cs="Times New Roman"/>
        </w:rPr>
        <w:tab/>
        <w:t>F-statistics = 6.514874*</w:t>
      </w:r>
    </w:p>
    <w:p w14:paraId="0BD9B989" w14:textId="77777777" w:rsidR="00747CD6" w:rsidRPr="00747CD6" w:rsidRDefault="00747CD6" w:rsidP="00D56BB9">
      <w:pPr>
        <w:pBdr>
          <w:bottom w:val="single" w:sz="12" w:space="1" w:color="auto"/>
        </w:pBdr>
        <w:spacing w:after="0" w:line="240" w:lineRule="auto"/>
        <w:jc w:val="both"/>
        <w:rPr>
          <w:rFonts w:ascii="Times New Roman" w:hAnsi="Times New Roman" w:cs="Times New Roman"/>
        </w:rPr>
      </w:pPr>
      <w:r w:rsidRPr="00747CD6">
        <w:rPr>
          <w:rFonts w:ascii="Times New Roman" w:hAnsi="Times New Roman" w:cs="Times New Roman"/>
        </w:rPr>
        <w:tab/>
      </w:r>
      <w:r w:rsidRPr="00747CD6">
        <w:rPr>
          <w:rFonts w:ascii="Times New Roman" w:hAnsi="Times New Roman" w:cs="Times New Roman"/>
        </w:rPr>
        <w:tab/>
      </w:r>
      <w:r w:rsidRPr="00747CD6">
        <w:rPr>
          <w:rFonts w:ascii="Times New Roman" w:hAnsi="Times New Roman" w:cs="Times New Roman"/>
        </w:rPr>
        <w:tab/>
        <w:t>Critical Value Bound of the F-statistics</w:t>
      </w:r>
    </w:p>
    <w:p w14:paraId="3AAF6994" w14:textId="77777777" w:rsidR="00747CD6" w:rsidRPr="00747CD6" w:rsidRDefault="00747CD6" w:rsidP="00D56BB9">
      <w:pPr>
        <w:spacing w:after="0" w:line="240" w:lineRule="auto"/>
        <w:jc w:val="both"/>
        <w:rPr>
          <w:rFonts w:ascii="Times New Roman" w:hAnsi="Times New Roman" w:cs="Times New Roman"/>
        </w:rPr>
      </w:pPr>
      <w:r w:rsidRPr="00747CD6">
        <w:rPr>
          <w:rFonts w:ascii="Times New Roman" w:hAnsi="Times New Roman" w:cs="Times New Roman"/>
        </w:rPr>
        <w:t>K</w:t>
      </w:r>
      <w:r w:rsidRPr="00747CD6">
        <w:rPr>
          <w:rFonts w:ascii="Times New Roman" w:hAnsi="Times New Roman" w:cs="Times New Roman"/>
        </w:rPr>
        <w:tab/>
      </w:r>
      <w:r w:rsidRPr="00747CD6">
        <w:rPr>
          <w:rFonts w:ascii="Times New Roman" w:hAnsi="Times New Roman" w:cs="Times New Roman"/>
        </w:rPr>
        <w:tab/>
        <w:t xml:space="preserve">     5%</w:t>
      </w:r>
      <w:r w:rsidRPr="00747CD6">
        <w:rPr>
          <w:rFonts w:ascii="Times New Roman" w:hAnsi="Times New Roman" w:cs="Times New Roman"/>
        </w:rPr>
        <w:tab/>
      </w:r>
      <w:r w:rsidRPr="00747CD6">
        <w:rPr>
          <w:rFonts w:ascii="Times New Roman" w:hAnsi="Times New Roman" w:cs="Times New Roman"/>
        </w:rPr>
        <w:tab/>
      </w:r>
      <w:r w:rsidRPr="00747CD6">
        <w:rPr>
          <w:rFonts w:ascii="Times New Roman" w:hAnsi="Times New Roman" w:cs="Times New Roman"/>
        </w:rPr>
        <w:tab/>
        <w:t xml:space="preserve">        2.5%</w:t>
      </w:r>
      <w:r w:rsidRPr="00747CD6">
        <w:rPr>
          <w:rFonts w:ascii="Times New Roman" w:hAnsi="Times New Roman" w:cs="Times New Roman"/>
        </w:rPr>
        <w:tab/>
      </w:r>
      <w:r w:rsidRPr="00747CD6">
        <w:rPr>
          <w:rFonts w:ascii="Times New Roman" w:hAnsi="Times New Roman" w:cs="Times New Roman"/>
        </w:rPr>
        <w:tab/>
      </w:r>
      <w:r w:rsidRPr="00747CD6">
        <w:rPr>
          <w:rFonts w:ascii="Times New Roman" w:hAnsi="Times New Roman" w:cs="Times New Roman"/>
        </w:rPr>
        <w:tab/>
        <w:t>1%</w:t>
      </w:r>
    </w:p>
    <w:p w14:paraId="76721E11" w14:textId="77777777" w:rsidR="00747CD6" w:rsidRPr="00747CD6" w:rsidRDefault="00747CD6" w:rsidP="00D56BB9">
      <w:pPr>
        <w:spacing w:after="0" w:line="240" w:lineRule="auto"/>
        <w:jc w:val="both"/>
        <w:rPr>
          <w:rFonts w:ascii="Times New Roman" w:hAnsi="Times New Roman" w:cs="Times New Roman"/>
        </w:rPr>
      </w:pPr>
      <w:r w:rsidRPr="00747CD6">
        <w:rPr>
          <w:rFonts w:ascii="Times New Roman" w:hAnsi="Times New Roman" w:cs="Times New Roman"/>
        </w:rPr>
        <w:tab/>
        <w:t xml:space="preserve">       I(0)</w:t>
      </w:r>
      <w:r w:rsidRPr="00747CD6">
        <w:rPr>
          <w:rFonts w:ascii="Times New Roman" w:hAnsi="Times New Roman" w:cs="Times New Roman"/>
        </w:rPr>
        <w:tab/>
        <w:t>I(1)</w:t>
      </w:r>
      <w:r w:rsidRPr="00747CD6">
        <w:rPr>
          <w:rFonts w:ascii="Times New Roman" w:hAnsi="Times New Roman" w:cs="Times New Roman"/>
        </w:rPr>
        <w:tab/>
      </w:r>
      <w:r w:rsidRPr="00747CD6">
        <w:rPr>
          <w:rFonts w:ascii="Times New Roman" w:hAnsi="Times New Roman" w:cs="Times New Roman"/>
        </w:rPr>
        <w:tab/>
      </w:r>
      <w:proofErr w:type="gramStart"/>
      <w:r w:rsidRPr="00747CD6">
        <w:rPr>
          <w:rFonts w:ascii="Times New Roman" w:hAnsi="Times New Roman" w:cs="Times New Roman"/>
        </w:rPr>
        <w:t>I(</w:t>
      </w:r>
      <w:proofErr w:type="gramEnd"/>
      <w:r w:rsidRPr="00747CD6">
        <w:rPr>
          <w:rFonts w:ascii="Times New Roman" w:hAnsi="Times New Roman" w:cs="Times New Roman"/>
        </w:rPr>
        <w:t>0)</w:t>
      </w:r>
      <w:r w:rsidRPr="00747CD6">
        <w:rPr>
          <w:rFonts w:ascii="Times New Roman" w:hAnsi="Times New Roman" w:cs="Times New Roman"/>
        </w:rPr>
        <w:tab/>
        <w:t xml:space="preserve">     </w:t>
      </w:r>
      <w:proofErr w:type="gramStart"/>
      <w:r w:rsidRPr="00747CD6">
        <w:rPr>
          <w:rFonts w:ascii="Times New Roman" w:hAnsi="Times New Roman" w:cs="Times New Roman"/>
        </w:rPr>
        <w:t>I(</w:t>
      </w:r>
      <w:proofErr w:type="gramEnd"/>
      <w:r w:rsidRPr="00747CD6">
        <w:rPr>
          <w:rFonts w:ascii="Times New Roman" w:hAnsi="Times New Roman" w:cs="Times New Roman"/>
        </w:rPr>
        <w:t>1)</w:t>
      </w:r>
      <w:r w:rsidRPr="00747CD6">
        <w:rPr>
          <w:rFonts w:ascii="Times New Roman" w:hAnsi="Times New Roman" w:cs="Times New Roman"/>
        </w:rPr>
        <w:tab/>
      </w:r>
      <w:r w:rsidRPr="00747CD6">
        <w:rPr>
          <w:rFonts w:ascii="Times New Roman" w:hAnsi="Times New Roman" w:cs="Times New Roman"/>
        </w:rPr>
        <w:tab/>
        <w:t xml:space="preserve">   </w:t>
      </w:r>
      <w:proofErr w:type="gramStart"/>
      <w:r w:rsidRPr="00747CD6">
        <w:rPr>
          <w:rFonts w:ascii="Times New Roman" w:hAnsi="Times New Roman" w:cs="Times New Roman"/>
        </w:rPr>
        <w:t>I(</w:t>
      </w:r>
      <w:proofErr w:type="gramEnd"/>
      <w:r w:rsidRPr="00747CD6">
        <w:rPr>
          <w:rFonts w:ascii="Times New Roman" w:hAnsi="Times New Roman" w:cs="Times New Roman"/>
        </w:rPr>
        <w:t>0)</w:t>
      </w:r>
      <w:r w:rsidRPr="00747CD6">
        <w:rPr>
          <w:rFonts w:ascii="Times New Roman" w:hAnsi="Times New Roman" w:cs="Times New Roman"/>
        </w:rPr>
        <w:tab/>
        <w:t xml:space="preserve">       </w:t>
      </w:r>
      <w:proofErr w:type="gramStart"/>
      <w:r w:rsidRPr="00747CD6">
        <w:rPr>
          <w:rFonts w:ascii="Times New Roman" w:hAnsi="Times New Roman" w:cs="Times New Roman"/>
        </w:rPr>
        <w:t>I(</w:t>
      </w:r>
      <w:proofErr w:type="gramEnd"/>
      <w:r w:rsidRPr="00747CD6">
        <w:rPr>
          <w:rFonts w:ascii="Times New Roman" w:hAnsi="Times New Roman" w:cs="Times New Roman"/>
        </w:rPr>
        <w:t>1)</w:t>
      </w:r>
    </w:p>
    <w:p w14:paraId="12F86113" w14:textId="77777777" w:rsidR="00747CD6" w:rsidRPr="00747CD6" w:rsidRDefault="00747CD6" w:rsidP="00D56BB9">
      <w:pPr>
        <w:pBdr>
          <w:bottom w:val="single" w:sz="12" w:space="1" w:color="auto"/>
        </w:pBdr>
        <w:spacing w:after="0" w:line="240" w:lineRule="auto"/>
        <w:jc w:val="both"/>
        <w:rPr>
          <w:rFonts w:ascii="Times New Roman" w:hAnsi="Times New Roman" w:cs="Times New Roman"/>
        </w:rPr>
      </w:pPr>
      <w:r w:rsidRPr="00747CD6">
        <w:rPr>
          <w:rFonts w:ascii="Times New Roman" w:hAnsi="Times New Roman" w:cs="Times New Roman"/>
        </w:rPr>
        <w:t>4</w:t>
      </w:r>
      <w:r w:rsidRPr="00747CD6">
        <w:rPr>
          <w:rFonts w:ascii="Times New Roman" w:hAnsi="Times New Roman" w:cs="Times New Roman"/>
        </w:rPr>
        <w:tab/>
        <w:t xml:space="preserve">       2.79         3.7</w:t>
      </w:r>
      <w:r w:rsidRPr="00747CD6">
        <w:rPr>
          <w:rFonts w:ascii="Times New Roman" w:hAnsi="Times New Roman" w:cs="Times New Roman"/>
        </w:rPr>
        <w:tab/>
      </w:r>
      <w:r w:rsidRPr="00747CD6">
        <w:rPr>
          <w:rFonts w:ascii="Times New Roman" w:hAnsi="Times New Roman" w:cs="Times New Roman"/>
        </w:rPr>
        <w:tab/>
        <w:t>3.15         4.08                3.65         4.66</w:t>
      </w:r>
    </w:p>
    <w:p w14:paraId="5DB0C2C8" w14:textId="77777777" w:rsidR="00747CD6" w:rsidRPr="00747CD6" w:rsidRDefault="00747CD6" w:rsidP="00D56BB9">
      <w:pPr>
        <w:pBdr>
          <w:bottom w:val="single" w:sz="12" w:space="1" w:color="auto"/>
        </w:pBdr>
        <w:spacing w:after="0" w:line="240" w:lineRule="auto"/>
        <w:jc w:val="both"/>
        <w:rPr>
          <w:rFonts w:ascii="Times New Roman" w:hAnsi="Times New Roman" w:cs="Times New Roman"/>
        </w:rPr>
      </w:pPr>
      <w:r w:rsidRPr="00747CD6">
        <w:rPr>
          <w:rFonts w:ascii="Times New Roman" w:hAnsi="Times New Roman" w:cs="Times New Roman"/>
        </w:rPr>
        <w:t>Note: * implies that computed f-statistics is above upper bound values</w:t>
      </w:r>
    </w:p>
    <w:p w14:paraId="612D6B4A" w14:textId="77777777" w:rsidR="00747CD6" w:rsidRPr="00747CD6" w:rsidRDefault="00747CD6" w:rsidP="00D56BB9">
      <w:pPr>
        <w:spacing w:line="240" w:lineRule="auto"/>
        <w:jc w:val="both"/>
        <w:rPr>
          <w:rFonts w:ascii="Times New Roman" w:eastAsia="Times New Roman" w:hAnsi="Times New Roman" w:cs="Times New Roman"/>
          <w:kern w:val="0"/>
          <w:lang w:val="en-GB"/>
          <w14:ligatures w14:val="none"/>
        </w:rPr>
      </w:pPr>
      <w:r w:rsidRPr="00747CD6">
        <w:rPr>
          <w:rFonts w:ascii="Times New Roman" w:eastAsia="Times New Roman" w:hAnsi="Times New Roman" w:cs="Times New Roman"/>
          <w:b/>
          <w:bCs/>
          <w:kern w:val="0"/>
          <w:lang w:val="en-GB"/>
          <w14:ligatures w14:val="none"/>
        </w:rPr>
        <w:t>Source:</w:t>
      </w:r>
      <w:r w:rsidRPr="00747CD6">
        <w:rPr>
          <w:rFonts w:ascii="Times New Roman" w:eastAsia="Times New Roman" w:hAnsi="Times New Roman" w:cs="Times New Roman"/>
          <w:kern w:val="0"/>
          <w:lang w:val="en-GB"/>
          <w14:ligatures w14:val="none"/>
        </w:rPr>
        <w:t xml:space="preserve"> Authors computation using </w:t>
      </w:r>
      <w:proofErr w:type="spellStart"/>
      <w:r w:rsidRPr="00747CD6">
        <w:rPr>
          <w:rFonts w:ascii="Times New Roman" w:eastAsia="Times New Roman" w:hAnsi="Times New Roman" w:cs="Times New Roman"/>
          <w:kern w:val="0"/>
          <w:lang w:val="en-GB"/>
          <w14:ligatures w14:val="none"/>
        </w:rPr>
        <w:t>Eviews</w:t>
      </w:r>
      <w:proofErr w:type="spellEnd"/>
      <w:r w:rsidRPr="00747CD6">
        <w:rPr>
          <w:rFonts w:ascii="Times New Roman" w:eastAsia="Times New Roman" w:hAnsi="Times New Roman" w:cs="Times New Roman"/>
          <w:kern w:val="0"/>
          <w:lang w:val="en-GB"/>
          <w14:ligatures w14:val="none"/>
        </w:rPr>
        <w:t xml:space="preserve"> 10, 2026</w:t>
      </w:r>
    </w:p>
    <w:p w14:paraId="2CAC60A7" w14:textId="2398CB23" w:rsidR="00747CD6" w:rsidRPr="00D56BB9" w:rsidRDefault="00747CD6" w:rsidP="00D56BB9">
      <w:pPr>
        <w:spacing w:line="276" w:lineRule="auto"/>
        <w:jc w:val="both"/>
        <w:rPr>
          <w:rFonts w:ascii="Times New Roman" w:hAnsi="Times New Roman" w:cs="Times New Roman"/>
          <w:color w:val="000000" w:themeColor="text1"/>
        </w:rPr>
      </w:pPr>
      <w:r w:rsidRPr="00747CD6">
        <w:rPr>
          <w:rFonts w:ascii="Times New Roman" w:hAnsi="Times New Roman" w:cs="Times New Roman"/>
          <w:color w:val="000000" w:themeColor="text1"/>
        </w:rPr>
        <w:t>Table 4.</w:t>
      </w:r>
      <w:r w:rsidR="00D56BB9">
        <w:rPr>
          <w:rFonts w:ascii="Times New Roman" w:hAnsi="Times New Roman" w:cs="Times New Roman"/>
          <w:color w:val="000000" w:themeColor="text1"/>
        </w:rPr>
        <w:t xml:space="preserve">4 </w:t>
      </w:r>
      <w:r w:rsidRPr="00747CD6">
        <w:rPr>
          <w:rFonts w:ascii="Times New Roman" w:hAnsi="Times New Roman" w:cs="Times New Roman"/>
          <w:color w:val="000000" w:themeColor="text1"/>
        </w:rPr>
        <w:t xml:space="preserve">presents result of ARDL bound testing co-integration approach for electricity consumption equation. The first step in this technique is to compare result of calculated f-statistic with it critical values given in the study of </w:t>
      </w:r>
      <w:proofErr w:type="spellStart"/>
      <w:r w:rsidRPr="00747CD6">
        <w:rPr>
          <w:rFonts w:ascii="Times New Roman" w:hAnsi="Times New Roman" w:cs="Times New Roman"/>
          <w:color w:val="000000" w:themeColor="text1"/>
        </w:rPr>
        <w:t>Pesaran</w:t>
      </w:r>
      <w:proofErr w:type="spellEnd"/>
      <w:r w:rsidRPr="00747CD6">
        <w:rPr>
          <w:rFonts w:ascii="Times New Roman" w:hAnsi="Times New Roman" w:cs="Times New Roman"/>
          <w:color w:val="000000" w:themeColor="text1"/>
        </w:rPr>
        <w:t xml:space="preserve">, Shin &amp; Smith, (2001).  Consequently, f-statistic of </w:t>
      </w:r>
      <w:r w:rsidRPr="00747CD6">
        <w:rPr>
          <w:rFonts w:ascii="Times New Roman" w:hAnsi="Times New Roman" w:cs="Times New Roman"/>
        </w:rPr>
        <w:t xml:space="preserve">6.514874 </w:t>
      </w:r>
      <w:r w:rsidRPr="00747CD6">
        <w:rPr>
          <w:rFonts w:ascii="Times New Roman" w:hAnsi="Times New Roman" w:cs="Times New Roman"/>
          <w:color w:val="000000" w:themeColor="text1"/>
        </w:rPr>
        <w:t>which is calculated at k=4 (number of independent variable) exceeds the upper critical value at 5 per cent, 2.5 per cent and 1 per cent. Therefore, null hypothesis of no co-integration was rejected without considering whether they are integrated of the same order or not. Thus, it was concluded that long run relationship exists among the variables at 5% level of significance.</w:t>
      </w:r>
    </w:p>
    <w:p w14:paraId="0BB0A00B" w14:textId="7627DDDB" w:rsidR="00747CD6" w:rsidRPr="00747CD6" w:rsidRDefault="00747CD6" w:rsidP="00D56BB9">
      <w:pPr>
        <w:spacing w:line="276" w:lineRule="auto"/>
        <w:jc w:val="both"/>
        <w:rPr>
          <w:rFonts w:ascii="Times New Roman" w:eastAsia="Times New Roman" w:hAnsi="Times New Roman" w:cs="Times New Roman"/>
          <w:b/>
          <w:bCs/>
          <w:kern w:val="0"/>
          <w:lang w:val="en-GB"/>
          <w14:ligatures w14:val="none"/>
        </w:rPr>
      </w:pPr>
      <w:r w:rsidRPr="00747CD6">
        <w:rPr>
          <w:rFonts w:ascii="Times New Roman" w:eastAsia="Times New Roman" w:hAnsi="Times New Roman" w:cs="Times New Roman"/>
          <w:b/>
          <w:bCs/>
          <w:kern w:val="0"/>
          <w:lang w:val="en-GB"/>
          <w14:ligatures w14:val="none"/>
        </w:rPr>
        <w:t>Table 4.</w:t>
      </w:r>
      <w:r w:rsidR="00D56BB9">
        <w:rPr>
          <w:rFonts w:ascii="Times New Roman" w:eastAsia="Times New Roman" w:hAnsi="Times New Roman" w:cs="Times New Roman"/>
          <w:b/>
          <w:bCs/>
          <w:kern w:val="0"/>
          <w:lang w:val="en-GB"/>
          <w14:ligatures w14:val="none"/>
        </w:rPr>
        <w:t>5</w:t>
      </w:r>
      <w:r w:rsidRPr="00747CD6">
        <w:rPr>
          <w:rFonts w:ascii="Times New Roman" w:eastAsia="Times New Roman" w:hAnsi="Times New Roman" w:cs="Times New Roman"/>
          <w:b/>
          <w:bCs/>
          <w:kern w:val="0"/>
          <w:lang w:val="en-GB"/>
          <w14:ligatures w14:val="none"/>
        </w:rPr>
        <w:t>: ARDL regression Results</w:t>
      </w:r>
      <w:r w:rsidR="00D56BB9">
        <w:rPr>
          <w:rFonts w:ascii="Times New Roman" w:eastAsia="Times New Roman" w:hAnsi="Times New Roman" w:cs="Times New Roman"/>
          <w:b/>
          <w:bCs/>
          <w:kern w:val="0"/>
          <w:lang w:val="en-GB"/>
          <w14:ligatures w14:val="none"/>
        </w:rPr>
        <w:t xml:space="preserve"> Long run form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747CD6" w:rsidRPr="00747CD6" w14:paraId="6C78A343" w14:textId="77777777" w:rsidTr="000F126D">
        <w:tc>
          <w:tcPr>
            <w:tcW w:w="1803" w:type="dxa"/>
            <w:tcBorders>
              <w:top w:val="single" w:sz="4" w:space="0" w:color="auto"/>
              <w:bottom w:val="single" w:sz="4" w:space="0" w:color="auto"/>
            </w:tcBorders>
            <w:vAlign w:val="bottom"/>
          </w:tcPr>
          <w:p w14:paraId="11F87547"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hAnsi="Times New Roman" w:cs="Times New Roman"/>
                <w:b/>
                <w:bCs/>
              </w:rPr>
              <w:t>Variable</w:t>
            </w:r>
          </w:p>
        </w:tc>
        <w:tc>
          <w:tcPr>
            <w:tcW w:w="1803" w:type="dxa"/>
            <w:tcBorders>
              <w:top w:val="single" w:sz="4" w:space="0" w:color="auto"/>
              <w:bottom w:val="single" w:sz="4" w:space="0" w:color="auto"/>
            </w:tcBorders>
            <w:vAlign w:val="bottom"/>
          </w:tcPr>
          <w:p w14:paraId="03B7EFE0"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hAnsi="Times New Roman" w:cs="Times New Roman"/>
                <w:b/>
                <w:bCs/>
              </w:rPr>
              <w:t>Coefficient</w:t>
            </w:r>
          </w:p>
        </w:tc>
        <w:tc>
          <w:tcPr>
            <w:tcW w:w="1803" w:type="dxa"/>
            <w:tcBorders>
              <w:top w:val="single" w:sz="4" w:space="0" w:color="auto"/>
              <w:bottom w:val="single" w:sz="4" w:space="0" w:color="auto"/>
            </w:tcBorders>
            <w:vAlign w:val="bottom"/>
          </w:tcPr>
          <w:p w14:paraId="427A1800"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hAnsi="Times New Roman" w:cs="Times New Roman"/>
                <w:b/>
                <w:bCs/>
              </w:rPr>
              <w:t>Std. Error</w:t>
            </w:r>
          </w:p>
        </w:tc>
        <w:tc>
          <w:tcPr>
            <w:tcW w:w="1803" w:type="dxa"/>
            <w:tcBorders>
              <w:top w:val="single" w:sz="4" w:space="0" w:color="auto"/>
              <w:bottom w:val="single" w:sz="4" w:space="0" w:color="auto"/>
            </w:tcBorders>
            <w:vAlign w:val="bottom"/>
          </w:tcPr>
          <w:p w14:paraId="60F7979B"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hAnsi="Times New Roman" w:cs="Times New Roman"/>
                <w:b/>
                <w:bCs/>
              </w:rPr>
              <w:t>t-Statistic</w:t>
            </w:r>
          </w:p>
        </w:tc>
        <w:tc>
          <w:tcPr>
            <w:tcW w:w="1804" w:type="dxa"/>
            <w:tcBorders>
              <w:top w:val="single" w:sz="4" w:space="0" w:color="auto"/>
              <w:bottom w:val="single" w:sz="4" w:space="0" w:color="auto"/>
            </w:tcBorders>
            <w:vAlign w:val="bottom"/>
          </w:tcPr>
          <w:p w14:paraId="15800CD2"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hAnsi="Times New Roman" w:cs="Times New Roman"/>
                <w:b/>
                <w:bCs/>
              </w:rPr>
              <w:t>Prob.*  </w:t>
            </w:r>
          </w:p>
        </w:tc>
      </w:tr>
      <w:tr w:rsidR="00747CD6" w:rsidRPr="00747CD6" w14:paraId="67682AA4" w14:textId="77777777" w:rsidTr="000F126D">
        <w:tc>
          <w:tcPr>
            <w:tcW w:w="1803" w:type="dxa"/>
            <w:tcBorders>
              <w:top w:val="nil"/>
              <w:left w:val="nil"/>
              <w:bottom w:val="nil"/>
              <w:right w:val="nil"/>
            </w:tcBorders>
            <w:vAlign w:val="bottom"/>
          </w:tcPr>
          <w:p w14:paraId="6B1C2C69"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hAnsi="Times New Roman" w:cs="Times New Roman"/>
                <w:color w:val="000000"/>
              </w:rPr>
              <w:t>LEX</w:t>
            </w:r>
          </w:p>
        </w:tc>
        <w:tc>
          <w:tcPr>
            <w:tcW w:w="1803" w:type="dxa"/>
            <w:tcBorders>
              <w:top w:val="nil"/>
              <w:left w:val="nil"/>
              <w:bottom w:val="nil"/>
              <w:right w:val="nil"/>
            </w:tcBorders>
            <w:vAlign w:val="bottom"/>
          </w:tcPr>
          <w:p w14:paraId="32E0A7B7"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hAnsi="Times New Roman" w:cs="Times New Roman"/>
                <w:color w:val="000000"/>
              </w:rPr>
              <w:t>0.989891</w:t>
            </w:r>
          </w:p>
        </w:tc>
        <w:tc>
          <w:tcPr>
            <w:tcW w:w="1803" w:type="dxa"/>
            <w:tcBorders>
              <w:top w:val="nil"/>
              <w:left w:val="nil"/>
              <w:bottom w:val="nil"/>
              <w:right w:val="nil"/>
            </w:tcBorders>
            <w:vAlign w:val="bottom"/>
          </w:tcPr>
          <w:p w14:paraId="6F8EDCC9"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hAnsi="Times New Roman" w:cs="Times New Roman"/>
                <w:color w:val="000000"/>
              </w:rPr>
              <w:t>0.057080</w:t>
            </w:r>
          </w:p>
        </w:tc>
        <w:tc>
          <w:tcPr>
            <w:tcW w:w="1803" w:type="dxa"/>
            <w:tcBorders>
              <w:top w:val="nil"/>
              <w:left w:val="nil"/>
              <w:bottom w:val="nil"/>
              <w:right w:val="nil"/>
            </w:tcBorders>
            <w:vAlign w:val="bottom"/>
          </w:tcPr>
          <w:p w14:paraId="56B90BE5"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hAnsi="Times New Roman" w:cs="Times New Roman"/>
                <w:color w:val="000000"/>
              </w:rPr>
              <w:t>17.34216</w:t>
            </w:r>
          </w:p>
        </w:tc>
        <w:tc>
          <w:tcPr>
            <w:tcW w:w="1804" w:type="dxa"/>
            <w:tcBorders>
              <w:top w:val="nil"/>
              <w:left w:val="nil"/>
              <w:bottom w:val="nil"/>
              <w:right w:val="nil"/>
            </w:tcBorders>
            <w:vAlign w:val="bottom"/>
          </w:tcPr>
          <w:p w14:paraId="140A3A38"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hAnsi="Times New Roman" w:cs="Times New Roman"/>
                <w:color w:val="000000"/>
              </w:rPr>
              <w:t>0.0000</w:t>
            </w:r>
          </w:p>
        </w:tc>
      </w:tr>
      <w:tr w:rsidR="00747CD6" w:rsidRPr="00747CD6" w14:paraId="313E6958" w14:textId="77777777" w:rsidTr="000F126D">
        <w:tc>
          <w:tcPr>
            <w:tcW w:w="1803" w:type="dxa"/>
            <w:tcBorders>
              <w:top w:val="nil"/>
              <w:left w:val="nil"/>
              <w:bottom w:val="nil"/>
              <w:right w:val="nil"/>
            </w:tcBorders>
            <w:vAlign w:val="bottom"/>
          </w:tcPr>
          <w:p w14:paraId="2238CD8A"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hAnsi="Times New Roman" w:cs="Times New Roman"/>
                <w:color w:val="000000"/>
              </w:rPr>
              <w:t>UNM</w:t>
            </w:r>
          </w:p>
        </w:tc>
        <w:tc>
          <w:tcPr>
            <w:tcW w:w="1803" w:type="dxa"/>
            <w:tcBorders>
              <w:top w:val="nil"/>
              <w:left w:val="nil"/>
              <w:bottom w:val="nil"/>
              <w:right w:val="nil"/>
            </w:tcBorders>
            <w:vAlign w:val="bottom"/>
          </w:tcPr>
          <w:p w14:paraId="7831F98D"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hAnsi="Times New Roman" w:cs="Times New Roman"/>
                <w:color w:val="000000"/>
              </w:rPr>
              <w:t>-0.132834</w:t>
            </w:r>
          </w:p>
        </w:tc>
        <w:tc>
          <w:tcPr>
            <w:tcW w:w="1803" w:type="dxa"/>
            <w:tcBorders>
              <w:top w:val="nil"/>
              <w:left w:val="nil"/>
              <w:bottom w:val="nil"/>
              <w:right w:val="nil"/>
            </w:tcBorders>
            <w:vAlign w:val="bottom"/>
          </w:tcPr>
          <w:p w14:paraId="303F8EEF"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hAnsi="Times New Roman" w:cs="Times New Roman"/>
                <w:color w:val="000000"/>
              </w:rPr>
              <w:t>0.010671</w:t>
            </w:r>
          </w:p>
        </w:tc>
        <w:tc>
          <w:tcPr>
            <w:tcW w:w="1803" w:type="dxa"/>
            <w:tcBorders>
              <w:top w:val="nil"/>
              <w:left w:val="nil"/>
              <w:bottom w:val="nil"/>
              <w:right w:val="nil"/>
            </w:tcBorders>
            <w:vAlign w:val="bottom"/>
          </w:tcPr>
          <w:p w14:paraId="115B3248"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hAnsi="Times New Roman" w:cs="Times New Roman"/>
                <w:color w:val="000000"/>
              </w:rPr>
              <w:t>-12.44845</w:t>
            </w:r>
          </w:p>
        </w:tc>
        <w:tc>
          <w:tcPr>
            <w:tcW w:w="1804" w:type="dxa"/>
            <w:tcBorders>
              <w:top w:val="nil"/>
              <w:left w:val="nil"/>
              <w:bottom w:val="nil"/>
              <w:right w:val="nil"/>
            </w:tcBorders>
            <w:vAlign w:val="bottom"/>
          </w:tcPr>
          <w:p w14:paraId="72A4A442"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hAnsi="Times New Roman" w:cs="Times New Roman"/>
                <w:color w:val="000000"/>
              </w:rPr>
              <w:t>0.0000</w:t>
            </w:r>
          </w:p>
        </w:tc>
      </w:tr>
      <w:tr w:rsidR="00747CD6" w:rsidRPr="00747CD6" w14:paraId="6AD1C90F" w14:textId="77777777" w:rsidTr="000F126D">
        <w:tc>
          <w:tcPr>
            <w:tcW w:w="1803" w:type="dxa"/>
            <w:tcBorders>
              <w:top w:val="nil"/>
              <w:left w:val="nil"/>
              <w:bottom w:val="nil"/>
              <w:right w:val="nil"/>
            </w:tcBorders>
            <w:vAlign w:val="bottom"/>
          </w:tcPr>
          <w:p w14:paraId="425C2810"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hAnsi="Times New Roman" w:cs="Times New Roman"/>
                <w:color w:val="000000"/>
              </w:rPr>
              <w:t>HEX</w:t>
            </w:r>
          </w:p>
        </w:tc>
        <w:tc>
          <w:tcPr>
            <w:tcW w:w="1803" w:type="dxa"/>
            <w:tcBorders>
              <w:top w:val="nil"/>
              <w:left w:val="nil"/>
              <w:bottom w:val="nil"/>
              <w:right w:val="nil"/>
            </w:tcBorders>
            <w:vAlign w:val="bottom"/>
          </w:tcPr>
          <w:p w14:paraId="6479D882"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hAnsi="Times New Roman" w:cs="Times New Roman"/>
                <w:color w:val="000000"/>
              </w:rPr>
              <w:t>-0.028314</w:t>
            </w:r>
          </w:p>
        </w:tc>
        <w:tc>
          <w:tcPr>
            <w:tcW w:w="1803" w:type="dxa"/>
            <w:tcBorders>
              <w:top w:val="nil"/>
              <w:left w:val="nil"/>
              <w:bottom w:val="nil"/>
              <w:right w:val="nil"/>
            </w:tcBorders>
            <w:vAlign w:val="bottom"/>
          </w:tcPr>
          <w:p w14:paraId="3173E63E"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hAnsi="Times New Roman" w:cs="Times New Roman"/>
                <w:color w:val="000000"/>
              </w:rPr>
              <w:t>0.001767</w:t>
            </w:r>
          </w:p>
        </w:tc>
        <w:tc>
          <w:tcPr>
            <w:tcW w:w="1803" w:type="dxa"/>
            <w:tcBorders>
              <w:top w:val="nil"/>
              <w:left w:val="nil"/>
              <w:bottom w:val="nil"/>
              <w:right w:val="nil"/>
            </w:tcBorders>
            <w:vAlign w:val="bottom"/>
          </w:tcPr>
          <w:p w14:paraId="4654AB65"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hAnsi="Times New Roman" w:cs="Times New Roman"/>
                <w:color w:val="000000"/>
              </w:rPr>
              <w:t>-16.02671</w:t>
            </w:r>
          </w:p>
        </w:tc>
        <w:tc>
          <w:tcPr>
            <w:tcW w:w="1804" w:type="dxa"/>
            <w:tcBorders>
              <w:top w:val="nil"/>
              <w:left w:val="nil"/>
              <w:bottom w:val="nil"/>
              <w:right w:val="nil"/>
            </w:tcBorders>
            <w:vAlign w:val="bottom"/>
          </w:tcPr>
          <w:p w14:paraId="3940177C"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hAnsi="Times New Roman" w:cs="Times New Roman"/>
                <w:color w:val="000000"/>
              </w:rPr>
              <w:t>0.0000</w:t>
            </w:r>
          </w:p>
        </w:tc>
      </w:tr>
      <w:tr w:rsidR="00747CD6" w:rsidRPr="00747CD6" w14:paraId="1203C516" w14:textId="77777777" w:rsidTr="000F126D">
        <w:tc>
          <w:tcPr>
            <w:tcW w:w="1803" w:type="dxa"/>
            <w:tcBorders>
              <w:top w:val="nil"/>
              <w:left w:val="nil"/>
              <w:right w:val="nil"/>
            </w:tcBorders>
            <w:vAlign w:val="bottom"/>
          </w:tcPr>
          <w:p w14:paraId="0D1B3C90"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hAnsi="Times New Roman" w:cs="Times New Roman"/>
                <w:color w:val="000000"/>
              </w:rPr>
              <w:t>EDU</w:t>
            </w:r>
          </w:p>
        </w:tc>
        <w:tc>
          <w:tcPr>
            <w:tcW w:w="1803" w:type="dxa"/>
            <w:tcBorders>
              <w:top w:val="nil"/>
              <w:left w:val="nil"/>
              <w:right w:val="nil"/>
            </w:tcBorders>
            <w:vAlign w:val="bottom"/>
          </w:tcPr>
          <w:p w14:paraId="68EF1A61"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hAnsi="Times New Roman" w:cs="Times New Roman"/>
                <w:color w:val="000000"/>
              </w:rPr>
              <w:t>0.146694</w:t>
            </w:r>
          </w:p>
        </w:tc>
        <w:tc>
          <w:tcPr>
            <w:tcW w:w="1803" w:type="dxa"/>
            <w:tcBorders>
              <w:top w:val="nil"/>
              <w:left w:val="nil"/>
              <w:right w:val="nil"/>
            </w:tcBorders>
            <w:vAlign w:val="bottom"/>
          </w:tcPr>
          <w:p w14:paraId="37D3F2AD"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hAnsi="Times New Roman" w:cs="Times New Roman"/>
                <w:color w:val="000000"/>
              </w:rPr>
              <w:t>0.026564</w:t>
            </w:r>
          </w:p>
        </w:tc>
        <w:tc>
          <w:tcPr>
            <w:tcW w:w="1803" w:type="dxa"/>
            <w:tcBorders>
              <w:top w:val="nil"/>
              <w:left w:val="nil"/>
              <w:right w:val="nil"/>
            </w:tcBorders>
            <w:vAlign w:val="bottom"/>
          </w:tcPr>
          <w:p w14:paraId="59119EDA"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hAnsi="Times New Roman" w:cs="Times New Roman"/>
                <w:color w:val="000000"/>
              </w:rPr>
              <w:t>5.522342</w:t>
            </w:r>
          </w:p>
        </w:tc>
        <w:tc>
          <w:tcPr>
            <w:tcW w:w="1804" w:type="dxa"/>
            <w:tcBorders>
              <w:top w:val="nil"/>
              <w:left w:val="nil"/>
              <w:right w:val="nil"/>
            </w:tcBorders>
            <w:vAlign w:val="bottom"/>
          </w:tcPr>
          <w:p w14:paraId="14080064"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hAnsi="Times New Roman" w:cs="Times New Roman"/>
                <w:color w:val="000000"/>
              </w:rPr>
              <w:t>0.0000</w:t>
            </w:r>
          </w:p>
        </w:tc>
      </w:tr>
      <w:tr w:rsidR="00747CD6" w:rsidRPr="00747CD6" w14:paraId="7611BF3A" w14:textId="77777777" w:rsidTr="000F126D">
        <w:tc>
          <w:tcPr>
            <w:tcW w:w="1803" w:type="dxa"/>
            <w:tcBorders>
              <w:top w:val="nil"/>
              <w:left w:val="nil"/>
              <w:bottom w:val="single" w:sz="4" w:space="0" w:color="auto"/>
              <w:right w:val="nil"/>
            </w:tcBorders>
            <w:vAlign w:val="bottom"/>
          </w:tcPr>
          <w:p w14:paraId="35AC9EC8"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hAnsi="Times New Roman" w:cs="Times New Roman"/>
                <w:color w:val="000000"/>
              </w:rPr>
              <w:t>POP</w:t>
            </w:r>
          </w:p>
        </w:tc>
        <w:tc>
          <w:tcPr>
            <w:tcW w:w="1803" w:type="dxa"/>
            <w:tcBorders>
              <w:top w:val="nil"/>
              <w:left w:val="nil"/>
              <w:bottom w:val="single" w:sz="4" w:space="0" w:color="auto"/>
              <w:right w:val="nil"/>
            </w:tcBorders>
            <w:vAlign w:val="bottom"/>
          </w:tcPr>
          <w:p w14:paraId="3A542491"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hAnsi="Times New Roman" w:cs="Times New Roman"/>
                <w:color w:val="000000"/>
              </w:rPr>
              <w:t>-9.34E-08</w:t>
            </w:r>
          </w:p>
        </w:tc>
        <w:tc>
          <w:tcPr>
            <w:tcW w:w="1803" w:type="dxa"/>
            <w:tcBorders>
              <w:top w:val="nil"/>
              <w:left w:val="nil"/>
              <w:bottom w:val="single" w:sz="4" w:space="0" w:color="auto"/>
              <w:right w:val="nil"/>
            </w:tcBorders>
            <w:vAlign w:val="bottom"/>
          </w:tcPr>
          <w:p w14:paraId="490B9436"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hAnsi="Times New Roman" w:cs="Times New Roman"/>
                <w:color w:val="000000"/>
              </w:rPr>
              <w:t>1.17E-08</w:t>
            </w:r>
          </w:p>
        </w:tc>
        <w:tc>
          <w:tcPr>
            <w:tcW w:w="1803" w:type="dxa"/>
            <w:tcBorders>
              <w:top w:val="nil"/>
              <w:left w:val="nil"/>
              <w:bottom w:val="single" w:sz="4" w:space="0" w:color="auto"/>
              <w:right w:val="nil"/>
            </w:tcBorders>
            <w:vAlign w:val="bottom"/>
          </w:tcPr>
          <w:p w14:paraId="5C41A4AC"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hAnsi="Times New Roman" w:cs="Times New Roman"/>
                <w:color w:val="000000"/>
              </w:rPr>
              <w:t>-7.982510</w:t>
            </w:r>
          </w:p>
        </w:tc>
        <w:tc>
          <w:tcPr>
            <w:tcW w:w="1804" w:type="dxa"/>
            <w:tcBorders>
              <w:top w:val="nil"/>
              <w:left w:val="nil"/>
              <w:bottom w:val="single" w:sz="4" w:space="0" w:color="auto"/>
              <w:right w:val="nil"/>
            </w:tcBorders>
            <w:vAlign w:val="bottom"/>
          </w:tcPr>
          <w:p w14:paraId="5D573825"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hAnsi="Times New Roman" w:cs="Times New Roman"/>
                <w:color w:val="000000"/>
              </w:rPr>
              <w:t>0.0000</w:t>
            </w:r>
          </w:p>
        </w:tc>
      </w:tr>
    </w:tbl>
    <w:p w14:paraId="21E20178" w14:textId="77777777" w:rsidR="00747CD6" w:rsidRPr="00747CD6" w:rsidRDefault="00747CD6" w:rsidP="00D56BB9">
      <w:pPr>
        <w:spacing w:line="276" w:lineRule="auto"/>
        <w:jc w:val="both"/>
        <w:rPr>
          <w:rFonts w:ascii="Times New Roman" w:eastAsia="Times New Roman" w:hAnsi="Times New Roman" w:cs="Times New Roman"/>
          <w:kern w:val="0"/>
          <w:lang w:val="en-GB"/>
          <w14:ligatures w14:val="none"/>
        </w:rPr>
      </w:pPr>
      <w:r w:rsidRPr="00747CD6">
        <w:rPr>
          <w:rFonts w:ascii="Times New Roman" w:eastAsia="Times New Roman" w:hAnsi="Times New Roman" w:cs="Times New Roman"/>
          <w:b/>
          <w:bCs/>
          <w:kern w:val="0"/>
          <w:lang w:val="en-GB"/>
          <w14:ligatures w14:val="none"/>
        </w:rPr>
        <w:t>Source:</w:t>
      </w:r>
      <w:r w:rsidRPr="00747CD6">
        <w:rPr>
          <w:rFonts w:ascii="Times New Roman" w:eastAsia="Times New Roman" w:hAnsi="Times New Roman" w:cs="Times New Roman"/>
          <w:kern w:val="0"/>
          <w:lang w:val="en-GB"/>
          <w14:ligatures w14:val="none"/>
        </w:rPr>
        <w:t xml:space="preserve"> Authors computation using </w:t>
      </w:r>
      <w:proofErr w:type="spellStart"/>
      <w:r w:rsidRPr="00747CD6">
        <w:rPr>
          <w:rFonts w:ascii="Times New Roman" w:eastAsia="Times New Roman" w:hAnsi="Times New Roman" w:cs="Times New Roman"/>
          <w:kern w:val="0"/>
          <w:lang w:val="en-GB"/>
          <w14:ligatures w14:val="none"/>
        </w:rPr>
        <w:t>Eviews</w:t>
      </w:r>
      <w:proofErr w:type="spellEnd"/>
      <w:r w:rsidRPr="00747CD6">
        <w:rPr>
          <w:rFonts w:ascii="Times New Roman" w:eastAsia="Times New Roman" w:hAnsi="Times New Roman" w:cs="Times New Roman"/>
          <w:kern w:val="0"/>
          <w:lang w:val="en-GB"/>
          <w14:ligatures w14:val="none"/>
        </w:rPr>
        <w:t xml:space="preserve"> 10, 2026. </w:t>
      </w:r>
    </w:p>
    <w:p w14:paraId="765F138F" w14:textId="6C63A1ED" w:rsidR="00747CD6" w:rsidRPr="00747CD6" w:rsidRDefault="00747CD6" w:rsidP="00D56BB9">
      <w:pPr>
        <w:spacing w:line="276" w:lineRule="auto"/>
        <w:jc w:val="both"/>
        <w:rPr>
          <w:rFonts w:ascii="Times New Roman" w:eastAsia="Times New Roman" w:hAnsi="Times New Roman" w:cs="Times New Roman"/>
          <w:kern w:val="0"/>
          <w14:ligatures w14:val="none"/>
        </w:rPr>
      </w:pPr>
      <w:r w:rsidRPr="00747CD6">
        <w:rPr>
          <w:rFonts w:ascii="Times New Roman" w:eastAsia="Times New Roman" w:hAnsi="Times New Roman" w:cs="Times New Roman"/>
          <w:kern w:val="0"/>
          <w:lang w:val="en-GB"/>
          <w14:ligatures w14:val="none"/>
        </w:rPr>
        <w:t>The ARDL results in Table 4.</w:t>
      </w:r>
      <w:r w:rsidR="00D56BB9">
        <w:rPr>
          <w:rFonts w:ascii="Times New Roman" w:eastAsia="Times New Roman" w:hAnsi="Times New Roman" w:cs="Times New Roman"/>
          <w:kern w:val="0"/>
          <w:lang w:val="en-GB"/>
          <w14:ligatures w14:val="none"/>
        </w:rPr>
        <w:t>5</w:t>
      </w:r>
      <w:r w:rsidRPr="00747CD6">
        <w:rPr>
          <w:rFonts w:ascii="Times New Roman" w:eastAsia="Times New Roman" w:hAnsi="Times New Roman" w:cs="Times New Roman"/>
          <w:kern w:val="0"/>
          <w:lang w:val="en-GB"/>
          <w14:ligatures w14:val="none"/>
        </w:rPr>
        <w:t xml:space="preserve"> indicates that the coefficient of life expectancy (LEX) 0.989 is positive and statistically significant at 5% level. This suggests that an increase in life expectancy will increase the economic performance (RGDP) across the Sub-Sharan region. Specifically, one unit increase in life expectancy leads to 0.989 increase in economic growth (RGDP). This implies that improvement in population health which could be reflected through better life expectancy that will enhance labour productivity, human capital accumulation and overall economic performance. These findings also align theoretical proposition that population health contributes more effectively on economic performance (</w:t>
      </w:r>
      <w:r w:rsidRPr="00747CD6">
        <w:rPr>
          <w:rFonts w:ascii="Times New Roman" w:eastAsia="Times New Roman" w:hAnsi="Times New Roman" w:cs="Times New Roman"/>
          <w:kern w:val="0"/>
          <w14:ligatures w14:val="none"/>
        </w:rPr>
        <w:t>Theodore Schultz and Gary Becker, 1960-70) and the study of Sirag et al (2022) which reported that higher life expectancy increase economic growth in 43 Sud-Saharan countries.</w:t>
      </w:r>
    </w:p>
    <w:p w14:paraId="387E5347" w14:textId="77777777" w:rsidR="00747CD6" w:rsidRPr="00747CD6" w:rsidRDefault="00747CD6" w:rsidP="00D56BB9">
      <w:pPr>
        <w:spacing w:line="276" w:lineRule="auto"/>
        <w:jc w:val="both"/>
        <w:rPr>
          <w:rFonts w:ascii="Times New Roman" w:eastAsia="Times New Roman" w:hAnsi="Times New Roman" w:cs="Times New Roman"/>
          <w:kern w:val="0"/>
          <w14:ligatures w14:val="none"/>
        </w:rPr>
      </w:pPr>
      <w:r w:rsidRPr="00747CD6">
        <w:rPr>
          <w:rFonts w:ascii="Times New Roman" w:eastAsia="Times New Roman" w:hAnsi="Times New Roman" w:cs="Times New Roman"/>
          <w:kern w:val="0"/>
          <w14:ligatures w14:val="none"/>
        </w:rPr>
        <w:t xml:space="preserve">In contrast, the coefficient of under-five mortality (UNM) -0.133 is negative and statistically significant at 5% level. The coefficient of -0.133 implies that one unit increase in under-five mortality rate reduces economic performance by approximately -0.133 indicating that poor child health outcomes in Sub-Saharan Africa significantly reduce the economic growth in the region. High under-five mortality rate reflects poor child nutrition, weak human capital development and inadequate or weak healthcare system. </w:t>
      </w:r>
    </w:p>
    <w:p w14:paraId="614DAE39" w14:textId="77777777" w:rsidR="00747CD6" w:rsidRPr="00747CD6" w:rsidRDefault="00747CD6" w:rsidP="00D56BB9">
      <w:pPr>
        <w:spacing w:line="276" w:lineRule="auto"/>
        <w:jc w:val="both"/>
        <w:rPr>
          <w:rFonts w:ascii="Times New Roman" w:eastAsia="Times New Roman" w:hAnsi="Times New Roman" w:cs="Times New Roman"/>
          <w:kern w:val="0"/>
          <w:lang w:val="en-GB"/>
          <w14:ligatures w14:val="none"/>
        </w:rPr>
      </w:pPr>
      <w:r w:rsidRPr="00747CD6">
        <w:rPr>
          <w:rFonts w:ascii="Times New Roman" w:eastAsia="Times New Roman" w:hAnsi="Times New Roman" w:cs="Times New Roman"/>
          <w:kern w:val="0"/>
          <w:lang w:val="en-GB"/>
          <w14:ligatures w14:val="none"/>
        </w:rPr>
        <w:t xml:space="preserve">Similarly, the coefficient of health expenditure (HEX) -0.028 exhibits a negative and statistically significant effect of economic growth in Sub-Saharan Africa. The coefficient of -0.028 suggest that one unit increase in health expenditure will reduce economic performance by -0.02 in the long run. This suggests a misappropriation of healthcare spending or misallocation of resources in respect to health expenditure. </w:t>
      </w:r>
    </w:p>
    <w:p w14:paraId="7C219BF7" w14:textId="77777777" w:rsidR="00747CD6" w:rsidRPr="00747CD6" w:rsidRDefault="00747CD6" w:rsidP="00D56BB9">
      <w:pPr>
        <w:spacing w:line="276" w:lineRule="auto"/>
        <w:jc w:val="both"/>
        <w:rPr>
          <w:rFonts w:ascii="Times New Roman" w:eastAsia="Times New Roman" w:hAnsi="Times New Roman" w:cs="Times New Roman"/>
          <w:kern w:val="0"/>
          <w:lang w:val="en-GB"/>
          <w14:ligatures w14:val="none"/>
        </w:rPr>
      </w:pPr>
      <w:r w:rsidRPr="00747CD6">
        <w:rPr>
          <w:rFonts w:ascii="Times New Roman" w:eastAsia="Times New Roman" w:hAnsi="Times New Roman" w:cs="Times New Roman"/>
          <w:kern w:val="0"/>
          <w:lang w:val="en-GB"/>
          <w14:ligatures w14:val="none"/>
        </w:rPr>
        <w:t xml:space="preserve">Furthermore, Education expenditure (EDU) with the coefficient of 0.147 is positive and statistically significant at 5% level. This suggests that one unit increase in education expenditure will lead to an increase in economic growth by 0.147. This result reflects the significance of human capital development which drive economic performance. Education enhances human capital accumulation through skill acquisition, innovations and labour productivity which in turn contribute significantly to economic growth. </w:t>
      </w:r>
    </w:p>
    <w:p w14:paraId="765CBE0A" w14:textId="7D7E1B98" w:rsidR="00D56BB9" w:rsidRPr="006C4FEB" w:rsidRDefault="00747CD6" w:rsidP="006C4FEB">
      <w:pPr>
        <w:spacing w:line="276" w:lineRule="auto"/>
        <w:jc w:val="both"/>
        <w:rPr>
          <w:rFonts w:ascii="Times New Roman" w:eastAsia="Times New Roman" w:hAnsi="Times New Roman" w:cs="Times New Roman"/>
          <w:kern w:val="0"/>
          <w:lang w:val="en-GB"/>
          <w14:ligatures w14:val="none"/>
        </w:rPr>
      </w:pPr>
      <w:r w:rsidRPr="00747CD6">
        <w:rPr>
          <w:rFonts w:ascii="Times New Roman" w:eastAsia="Times New Roman" w:hAnsi="Times New Roman" w:cs="Times New Roman"/>
          <w:kern w:val="0"/>
          <w:lang w:val="en-GB"/>
          <w14:ligatures w14:val="none"/>
        </w:rPr>
        <w:t xml:space="preserve">Lastly, the coefficient of population (POP) -9.34 exerts a negative and statistically significant long run effects on economic growth in Sub-Sharan Africa. The coefficient of population (POP) -9.34 suggests that one unit increase in population will reduce economic growth by -9.43. The negative sign of population suggests that rapid population growth may place too much pressure on the limited resources available such as: social and health services and infrastructure which can hinder economic progress. Studies such as </w:t>
      </w:r>
      <w:r w:rsidRPr="00747CD6">
        <w:rPr>
          <w:rFonts w:ascii="Times New Roman" w:hAnsi="Times New Roman" w:cs="Times New Roman"/>
          <w:sz w:val="22"/>
          <w:szCs w:val="22"/>
        </w:rPr>
        <w:t>(</w:t>
      </w:r>
      <w:proofErr w:type="spellStart"/>
      <w:r w:rsidRPr="00747CD6">
        <w:rPr>
          <w:rFonts w:ascii="Times New Roman" w:hAnsi="Times New Roman" w:cs="Times New Roman"/>
          <w:sz w:val="22"/>
          <w:szCs w:val="22"/>
        </w:rPr>
        <w:t>Butali</w:t>
      </w:r>
      <w:proofErr w:type="spellEnd"/>
      <w:r w:rsidRPr="00747CD6">
        <w:rPr>
          <w:rFonts w:ascii="Times New Roman" w:hAnsi="Times New Roman" w:cs="Times New Roman"/>
          <w:sz w:val="22"/>
          <w:szCs w:val="22"/>
        </w:rPr>
        <w:t xml:space="preserve">, 2026; Akinyemi &amp; Adeniran, 2021; Adu &amp; Afriyie, 2021; Olumide &amp; Anwar, 2021) strongly support the findings of this study by establishing that health expenditure has a positive effect on economic growth. This aligned with the positive effect of life expectancy in this study. Furthermore, studies like (Chakraborty et al., 2021; Klasen &amp; Misselhorn, 2022; Omran et al., 2021) revealed that poor health outcomes and unequal access to healthcare services have a negative effect on economic growth. These findings are in support of the results of this study specifically the negative impact of under-five mortality and population growth in the region. </w:t>
      </w:r>
    </w:p>
    <w:p w14:paraId="54FE1CCB" w14:textId="70B5AEB0" w:rsidR="00747CD6" w:rsidRPr="00747CD6" w:rsidRDefault="00747CD6" w:rsidP="00D56BB9">
      <w:pPr>
        <w:spacing w:after="0" w:line="276" w:lineRule="auto"/>
        <w:jc w:val="both"/>
        <w:rPr>
          <w:rFonts w:ascii="Times New Roman" w:hAnsi="Times New Roman" w:cs="Times New Roman"/>
        </w:rPr>
      </w:pPr>
      <w:r w:rsidRPr="00747CD6">
        <w:rPr>
          <w:rFonts w:ascii="Times New Roman" w:hAnsi="Times New Roman" w:cs="Times New Roman"/>
          <w:b/>
          <w:bCs/>
          <w:color w:val="000000" w:themeColor="text1"/>
        </w:rPr>
        <w:t>Table 4.</w:t>
      </w:r>
      <w:r w:rsidR="00D56BB9">
        <w:rPr>
          <w:rFonts w:ascii="Times New Roman" w:hAnsi="Times New Roman" w:cs="Times New Roman"/>
          <w:b/>
          <w:bCs/>
          <w:color w:val="000000" w:themeColor="text1"/>
        </w:rPr>
        <w:t>6</w:t>
      </w:r>
      <w:r w:rsidRPr="00747CD6">
        <w:rPr>
          <w:rFonts w:ascii="Times New Roman" w:hAnsi="Times New Roman" w:cs="Times New Roman"/>
          <w:b/>
          <w:bCs/>
          <w:color w:val="000000" w:themeColor="text1"/>
        </w:rPr>
        <w:t>:</w:t>
      </w:r>
      <w:r w:rsidRPr="00747CD6">
        <w:rPr>
          <w:rFonts w:ascii="Times New Roman" w:hAnsi="Times New Roman" w:cs="Times New Roman"/>
          <w:color w:val="000000" w:themeColor="text1"/>
        </w:rPr>
        <w:t xml:space="preserve"> </w:t>
      </w:r>
      <w:r w:rsidRPr="00747CD6">
        <w:rPr>
          <w:rFonts w:ascii="Times New Roman" w:hAnsi="Times New Roman" w:cs="Times New Roman"/>
          <w:b/>
        </w:rPr>
        <w:t>Results of the Error Correction Mechanism (ECM)</w:t>
      </w:r>
    </w:p>
    <w:tbl>
      <w:tblPr>
        <w:tblW w:w="9000" w:type="dxa"/>
        <w:tblInd w:w="30" w:type="dxa"/>
        <w:tblLayout w:type="fixed"/>
        <w:tblCellMar>
          <w:left w:w="0" w:type="dxa"/>
          <w:right w:w="0" w:type="dxa"/>
        </w:tblCellMar>
        <w:tblLook w:val="0000" w:firstRow="0" w:lastRow="0" w:firstColumn="0" w:lastColumn="0" w:noHBand="0" w:noVBand="0"/>
      </w:tblPr>
      <w:tblGrid>
        <w:gridCol w:w="2752"/>
        <w:gridCol w:w="7"/>
        <w:gridCol w:w="1531"/>
        <w:gridCol w:w="1617"/>
        <w:gridCol w:w="1623"/>
        <w:gridCol w:w="1459"/>
        <w:gridCol w:w="11"/>
      </w:tblGrid>
      <w:tr w:rsidR="00747CD6" w:rsidRPr="00747CD6" w14:paraId="523BC4A7" w14:textId="77777777" w:rsidTr="000F126D">
        <w:trPr>
          <w:trHeight w:val="225"/>
        </w:trPr>
        <w:tc>
          <w:tcPr>
            <w:tcW w:w="2759" w:type="dxa"/>
            <w:gridSpan w:val="2"/>
            <w:tcBorders>
              <w:top w:val="single" w:sz="4" w:space="0" w:color="auto"/>
              <w:left w:val="nil"/>
              <w:bottom w:val="single" w:sz="4" w:space="0" w:color="auto"/>
              <w:right w:val="nil"/>
            </w:tcBorders>
          </w:tcPr>
          <w:p w14:paraId="33A3740F" w14:textId="77777777" w:rsidR="00747CD6" w:rsidRPr="00747CD6" w:rsidRDefault="00747CD6" w:rsidP="00D56BB9">
            <w:pPr>
              <w:spacing w:line="276" w:lineRule="auto"/>
              <w:jc w:val="center"/>
              <w:rPr>
                <w:rFonts w:ascii="Times New Roman" w:hAnsi="Times New Roman" w:cs="Times New Roman"/>
                <w:b/>
                <w:bCs/>
              </w:rPr>
            </w:pPr>
            <w:r w:rsidRPr="00747CD6">
              <w:rPr>
                <w:rFonts w:ascii="Times New Roman" w:hAnsi="Times New Roman" w:cs="Times New Roman"/>
                <w:b/>
                <w:bCs/>
              </w:rPr>
              <w:t>Variable</w:t>
            </w:r>
          </w:p>
        </w:tc>
        <w:tc>
          <w:tcPr>
            <w:tcW w:w="1531" w:type="dxa"/>
            <w:tcBorders>
              <w:top w:val="single" w:sz="4" w:space="0" w:color="auto"/>
              <w:left w:val="nil"/>
              <w:bottom w:val="single" w:sz="4" w:space="0" w:color="auto"/>
              <w:right w:val="nil"/>
            </w:tcBorders>
          </w:tcPr>
          <w:p w14:paraId="20A834E6" w14:textId="77777777" w:rsidR="00747CD6" w:rsidRPr="00747CD6" w:rsidRDefault="00747CD6" w:rsidP="00D56BB9">
            <w:pPr>
              <w:spacing w:line="276" w:lineRule="auto"/>
              <w:jc w:val="center"/>
              <w:rPr>
                <w:rFonts w:ascii="Times New Roman" w:hAnsi="Times New Roman" w:cs="Times New Roman"/>
                <w:b/>
                <w:bCs/>
              </w:rPr>
            </w:pPr>
            <w:r w:rsidRPr="00747CD6">
              <w:rPr>
                <w:rFonts w:ascii="Times New Roman" w:hAnsi="Times New Roman" w:cs="Times New Roman"/>
                <w:b/>
                <w:bCs/>
              </w:rPr>
              <w:t>Coefficient</w:t>
            </w:r>
          </w:p>
        </w:tc>
        <w:tc>
          <w:tcPr>
            <w:tcW w:w="1617" w:type="dxa"/>
            <w:tcBorders>
              <w:top w:val="single" w:sz="4" w:space="0" w:color="auto"/>
              <w:left w:val="nil"/>
              <w:bottom w:val="single" w:sz="4" w:space="0" w:color="auto"/>
              <w:right w:val="nil"/>
            </w:tcBorders>
          </w:tcPr>
          <w:p w14:paraId="70022009" w14:textId="77777777" w:rsidR="00747CD6" w:rsidRPr="00747CD6" w:rsidRDefault="00747CD6" w:rsidP="00D56BB9">
            <w:pPr>
              <w:spacing w:line="276" w:lineRule="auto"/>
              <w:jc w:val="center"/>
              <w:rPr>
                <w:rFonts w:ascii="Times New Roman" w:hAnsi="Times New Roman" w:cs="Times New Roman"/>
                <w:b/>
                <w:bCs/>
              </w:rPr>
            </w:pPr>
            <w:r w:rsidRPr="00747CD6">
              <w:rPr>
                <w:rFonts w:ascii="Times New Roman" w:hAnsi="Times New Roman" w:cs="Times New Roman"/>
                <w:b/>
                <w:bCs/>
              </w:rPr>
              <w:t>Std. Error</w:t>
            </w:r>
          </w:p>
        </w:tc>
        <w:tc>
          <w:tcPr>
            <w:tcW w:w="1623" w:type="dxa"/>
            <w:tcBorders>
              <w:top w:val="single" w:sz="4" w:space="0" w:color="auto"/>
              <w:left w:val="nil"/>
              <w:bottom w:val="single" w:sz="4" w:space="0" w:color="auto"/>
              <w:right w:val="nil"/>
            </w:tcBorders>
          </w:tcPr>
          <w:p w14:paraId="1C93FA39" w14:textId="77777777" w:rsidR="00747CD6" w:rsidRPr="00747CD6" w:rsidRDefault="00747CD6" w:rsidP="00D56BB9">
            <w:pPr>
              <w:spacing w:line="276" w:lineRule="auto"/>
              <w:jc w:val="center"/>
              <w:rPr>
                <w:rFonts w:ascii="Times New Roman" w:hAnsi="Times New Roman" w:cs="Times New Roman"/>
                <w:b/>
                <w:bCs/>
              </w:rPr>
            </w:pPr>
            <w:r w:rsidRPr="00747CD6">
              <w:rPr>
                <w:rFonts w:ascii="Times New Roman" w:hAnsi="Times New Roman" w:cs="Times New Roman"/>
                <w:b/>
                <w:bCs/>
              </w:rPr>
              <w:t>t-Statistic</w:t>
            </w:r>
          </w:p>
        </w:tc>
        <w:tc>
          <w:tcPr>
            <w:tcW w:w="1470" w:type="dxa"/>
            <w:gridSpan w:val="2"/>
            <w:tcBorders>
              <w:top w:val="single" w:sz="4" w:space="0" w:color="auto"/>
              <w:left w:val="nil"/>
              <w:bottom w:val="single" w:sz="4" w:space="0" w:color="auto"/>
              <w:right w:val="nil"/>
            </w:tcBorders>
          </w:tcPr>
          <w:p w14:paraId="73F32768" w14:textId="77777777" w:rsidR="00747CD6" w:rsidRPr="00747CD6" w:rsidRDefault="00747CD6" w:rsidP="00D56BB9">
            <w:pPr>
              <w:spacing w:line="276" w:lineRule="auto"/>
              <w:jc w:val="center"/>
              <w:rPr>
                <w:rFonts w:ascii="Times New Roman" w:hAnsi="Times New Roman" w:cs="Times New Roman"/>
                <w:b/>
                <w:bCs/>
              </w:rPr>
            </w:pPr>
            <w:r w:rsidRPr="00747CD6">
              <w:rPr>
                <w:rFonts w:ascii="Times New Roman" w:hAnsi="Times New Roman" w:cs="Times New Roman"/>
                <w:b/>
                <w:bCs/>
              </w:rPr>
              <w:t>Prob.*</w:t>
            </w:r>
          </w:p>
        </w:tc>
      </w:tr>
      <w:tr w:rsidR="00747CD6" w:rsidRPr="00747CD6" w14:paraId="625A686C" w14:textId="77777777" w:rsidTr="000F126D">
        <w:trPr>
          <w:gridAfter w:val="1"/>
          <w:wAfter w:w="11" w:type="dxa"/>
          <w:trHeight w:val="260"/>
        </w:trPr>
        <w:tc>
          <w:tcPr>
            <w:tcW w:w="2752" w:type="dxa"/>
            <w:tcBorders>
              <w:top w:val="nil"/>
              <w:left w:val="nil"/>
              <w:bottom w:val="nil"/>
              <w:right w:val="nil"/>
            </w:tcBorders>
            <w:vAlign w:val="bottom"/>
          </w:tcPr>
          <w:p w14:paraId="59F42EE1"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COINTEQ01</w:t>
            </w:r>
          </w:p>
        </w:tc>
        <w:tc>
          <w:tcPr>
            <w:tcW w:w="1538" w:type="dxa"/>
            <w:gridSpan w:val="2"/>
            <w:tcBorders>
              <w:top w:val="nil"/>
              <w:left w:val="nil"/>
              <w:bottom w:val="nil"/>
              <w:right w:val="nil"/>
            </w:tcBorders>
            <w:vAlign w:val="bottom"/>
          </w:tcPr>
          <w:p w14:paraId="07B76361"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-0.700838</w:t>
            </w:r>
          </w:p>
        </w:tc>
        <w:tc>
          <w:tcPr>
            <w:tcW w:w="1617" w:type="dxa"/>
            <w:tcBorders>
              <w:top w:val="nil"/>
              <w:left w:val="nil"/>
              <w:bottom w:val="nil"/>
              <w:right w:val="nil"/>
            </w:tcBorders>
            <w:vAlign w:val="bottom"/>
          </w:tcPr>
          <w:p w14:paraId="216C3A76"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0.263399</w:t>
            </w:r>
          </w:p>
        </w:tc>
        <w:tc>
          <w:tcPr>
            <w:tcW w:w="1623" w:type="dxa"/>
            <w:tcBorders>
              <w:top w:val="nil"/>
              <w:left w:val="nil"/>
              <w:bottom w:val="nil"/>
              <w:right w:val="nil"/>
            </w:tcBorders>
            <w:vAlign w:val="bottom"/>
          </w:tcPr>
          <w:p w14:paraId="500B7983"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-6.457259</w:t>
            </w:r>
          </w:p>
        </w:tc>
        <w:tc>
          <w:tcPr>
            <w:tcW w:w="1459" w:type="dxa"/>
            <w:tcBorders>
              <w:top w:val="nil"/>
              <w:left w:val="nil"/>
              <w:bottom w:val="nil"/>
              <w:right w:val="nil"/>
            </w:tcBorders>
            <w:vAlign w:val="bottom"/>
          </w:tcPr>
          <w:p w14:paraId="63417CB7"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0.0000</w:t>
            </w:r>
          </w:p>
        </w:tc>
      </w:tr>
      <w:tr w:rsidR="00747CD6" w:rsidRPr="00747CD6" w14:paraId="1B0B1FD2" w14:textId="77777777" w:rsidTr="000F126D">
        <w:trPr>
          <w:gridAfter w:val="1"/>
          <w:wAfter w:w="11" w:type="dxa"/>
          <w:trHeight w:val="260"/>
        </w:trPr>
        <w:tc>
          <w:tcPr>
            <w:tcW w:w="2752" w:type="dxa"/>
            <w:tcBorders>
              <w:top w:val="nil"/>
              <w:left w:val="nil"/>
              <w:bottom w:val="nil"/>
              <w:right w:val="nil"/>
            </w:tcBorders>
            <w:vAlign w:val="bottom"/>
          </w:tcPr>
          <w:p w14:paraId="4164DF4F"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D(</w:t>
            </w:r>
            <w:proofErr w:type="gramStart"/>
            <w:r w:rsidRPr="00747CD6">
              <w:rPr>
                <w:rFonts w:ascii="Times New Roman" w:hAnsi="Times New Roman" w:cs="Times New Roman"/>
                <w:color w:val="000000"/>
                <w:kern w:val="0"/>
              </w:rPr>
              <w:t>RGDP(</w:t>
            </w:r>
            <w:proofErr w:type="gramEnd"/>
            <w:r w:rsidRPr="00747CD6">
              <w:rPr>
                <w:rFonts w:ascii="Times New Roman" w:hAnsi="Times New Roman" w:cs="Times New Roman"/>
                <w:color w:val="000000"/>
                <w:kern w:val="0"/>
              </w:rPr>
              <w:t>-1))</w:t>
            </w:r>
          </w:p>
        </w:tc>
        <w:tc>
          <w:tcPr>
            <w:tcW w:w="1538" w:type="dxa"/>
            <w:gridSpan w:val="2"/>
            <w:tcBorders>
              <w:top w:val="nil"/>
              <w:left w:val="nil"/>
              <w:bottom w:val="nil"/>
              <w:right w:val="nil"/>
            </w:tcBorders>
            <w:vAlign w:val="bottom"/>
          </w:tcPr>
          <w:p w14:paraId="55D7BF00"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0.465778</w:t>
            </w:r>
          </w:p>
        </w:tc>
        <w:tc>
          <w:tcPr>
            <w:tcW w:w="1617" w:type="dxa"/>
            <w:tcBorders>
              <w:top w:val="nil"/>
              <w:left w:val="nil"/>
              <w:bottom w:val="nil"/>
              <w:right w:val="nil"/>
            </w:tcBorders>
            <w:vAlign w:val="bottom"/>
          </w:tcPr>
          <w:p w14:paraId="50C75304"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0.205555</w:t>
            </w:r>
          </w:p>
        </w:tc>
        <w:tc>
          <w:tcPr>
            <w:tcW w:w="1623" w:type="dxa"/>
            <w:tcBorders>
              <w:top w:val="nil"/>
              <w:left w:val="nil"/>
              <w:bottom w:val="nil"/>
              <w:right w:val="nil"/>
            </w:tcBorders>
            <w:vAlign w:val="bottom"/>
          </w:tcPr>
          <w:p w14:paraId="09C8AF80"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2.265956</w:t>
            </w:r>
          </w:p>
        </w:tc>
        <w:tc>
          <w:tcPr>
            <w:tcW w:w="1459" w:type="dxa"/>
            <w:tcBorders>
              <w:top w:val="nil"/>
              <w:left w:val="nil"/>
              <w:bottom w:val="nil"/>
              <w:right w:val="nil"/>
            </w:tcBorders>
            <w:vAlign w:val="bottom"/>
          </w:tcPr>
          <w:p w14:paraId="73017C51"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0.0243</w:t>
            </w:r>
          </w:p>
        </w:tc>
      </w:tr>
      <w:tr w:rsidR="00747CD6" w:rsidRPr="00747CD6" w14:paraId="7F281E60" w14:textId="77777777" w:rsidTr="000F126D">
        <w:trPr>
          <w:gridAfter w:val="1"/>
          <w:wAfter w:w="11" w:type="dxa"/>
          <w:trHeight w:val="260"/>
        </w:trPr>
        <w:tc>
          <w:tcPr>
            <w:tcW w:w="2752" w:type="dxa"/>
            <w:tcBorders>
              <w:top w:val="nil"/>
              <w:left w:val="nil"/>
              <w:bottom w:val="nil"/>
              <w:right w:val="nil"/>
            </w:tcBorders>
            <w:vAlign w:val="bottom"/>
          </w:tcPr>
          <w:p w14:paraId="14D08073"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D(LEX)</w:t>
            </w:r>
          </w:p>
        </w:tc>
        <w:tc>
          <w:tcPr>
            <w:tcW w:w="1538" w:type="dxa"/>
            <w:gridSpan w:val="2"/>
            <w:tcBorders>
              <w:top w:val="nil"/>
              <w:left w:val="nil"/>
              <w:bottom w:val="nil"/>
              <w:right w:val="nil"/>
            </w:tcBorders>
            <w:vAlign w:val="bottom"/>
          </w:tcPr>
          <w:p w14:paraId="1DDC885B"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1.287587</w:t>
            </w:r>
          </w:p>
        </w:tc>
        <w:tc>
          <w:tcPr>
            <w:tcW w:w="1617" w:type="dxa"/>
            <w:tcBorders>
              <w:top w:val="nil"/>
              <w:left w:val="nil"/>
              <w:bottom w:val="nil"/>
              <w:right w:val="nil"/>
            </w:tcBorders>
            <w:vAlign w:val="bottom"/>
          </w:tcPr>
          <w:p w14:paraId="3067D6F6"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2.350055</w:t>
            </w:r>
          </w:p>
        </w:tc>
        <w:tc>
          <w:tcPr>
            <w:tcW w:w="1623" w:type="dxa"/>
            <w:tcBorders>
              <w:top w:val="nil"/>
              <w:left w:val="nil"/>
              <w:bottom w:val="nil"/>
              <w:right w:val="nil"/>
            </w:tcBorders>
            <w:vAlign w:val="bottom"/>
          </w:tcPr>
          <w:p w14:paraId="1AAE7549"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0.547897</w:t>
            </w:r>
          </w:p>
        </w:tc>
        <w:tc>
          <w:tcPr>
            <w:tcW w:w="1459" w:type="dxa"/>
            <w:tcBorders>
              <w:top w:val="nil"/>
              <w:left w:val="nil"/>
              <w:bottom w:val="nil"/>
              <w:right w:val="nil"/>
            </w:tcBorders>
            <w:vAlign w:val="bottom"/>
          </w:tcPr>
          <w:p w14:paraId="31D623CC"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0.5842</w:t>
            </w:r>
          </w:p>
        </w:tc>
      </w:tr>
      <w:tr w:rsidR="00747CD6" w:rsidRPr="00747CD6" w14:paraId="3211EFED" w14:textId="77777777" w:rsidTr="000F126D">
        <w:trPr>
          <w:gridAfter w:val="1"/>
          <w:wAfter w:w="11" w:type="dxa"/>
          <w:trHeight w:val="260"/>
        </w:trPr>
        <w:tc>
          <w:tcPr>
            <w:tcW w:w="2752" w:type="dxa"/>
            <w:tcBorders>
              <w:top w:val="nil"/>
              <w:left w:val="nil"/>
              <w:bottom w:val="nil"/>
              <w:right w:val="nil"/>
            </w:tcBorders>
            <w:vAlign w:val="bottom"/>
          </w:tcPr>
          <w:p w14:paraId="41223DD7"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D(</w:t>
            </w:r>
            <w:proofErr w:type="gramStart"/>
            <w:r w:rsidRPr="00747CD6">
              <w:rPr>
                <w:rFonts w:ascii="Times New Roman" w:hAnsi="Times New Roman" w:cs="Times New Roman"/>
                <w:color w:val="000000"/>
                <w:kern w:val="0"/>
              </w:rPr>
              <w:t>LEX(</w:t>
            </w:r>
            <w:proofErr w:type="gramEnd"/>
            <w:r w:rsidRPr="00747CD6">
              <w:rPr>
                <w:rFonts w:ascii="Times New Roman" w:hAnsi="Times New Roman" w:cs="Times New Roman"/>
                <w:color w:val="000000"/>
                <w:kern w:val="0"/>
              </w:rPr>
              <w:t>-1))</w:t>
            </w:r>
          </w:p>
        </w:tc>
        <w:tc>
          <w:tcPr>
            <w:tcW w:w="1538" w:type="dxa"/>
            <w:gridSpan w:val="2"/>
            <w:tcBorders>
              <w:top w:val="nil"/>
              <w:left w:val="nil"/>
              <w:bottom w:val="nil"/>
              <w:right w:val="nil"/>
            </w:tcBorders>
            <w:vAlign w:val="bottom"/>
          </w:tcPr>
          <w:p w14:paraId="59AB2969"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-0.047769</w:t>
            </w:r>
          </w:p>
        </w:tc>
        <w:tc>
          <w:tcPr>
            <w:tcW w:w="1617" w:type="dxa"/>
            <w:tcBorders>
              <w:top w:val="nil"/>
              <w:left w:val="nil"/>
              <w:bottom w:val="nil"/>
              <w:right w:val="nil"/>
            </w:tcBorders>
            <w:vAlign w:val="bottom"/>
          </w:tcPr>
          <w:p w14:paraId="166085DA"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1.843763</w:t>
            </w:r>
          </w:p>
        </w:tc>
        <w:tc>
          <w:tcPr>
            <w:tcW w:w="1623" w:type="dxa"/>
            <w:tcBorders>
              <w:top w:val="nil"/>
              <w:left w:val="nil"/>
              <w:bottom w:val="nil"/>
              <w:right w:val="nil"/>
            </w:tcBorders>
            <w:vAlign w:val="bottom"/>
          </w:tcPr>
          <w:p w14:paraId="0FFBB478"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-0.025908</w:t>
            </w:r>
          </w:p>
        </w:tc>
        <w:tc>
          <w:tcPr>
            <w:tcW w:w="1459" w:type="dxa"/>
            <w:tcBorders>
              <w:top w:val="nil"/>
              <w:left w:val="nil"/>
              <w:bottom w:val="nil"/>
              <w:right w:val="nil"/>
            </w:tcBorders>
            <w:vAlign w:val="bottom"/>
          </w:tcPr>
          <w:p w14:paraId="464722E1"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0.9794</w:t>
            </w:r>
          </w:p>
        </w:tc>
      </w:tr>
      <w:tr w:rsidR="00747CD6" w:rsidRPr="00747CD6" w14:paraId="58DF22DC" w14:textId="77777777" w:rsidTr="000F126D">
        <w:trPr>
          <w:gridAfter w:val="1"/>
          <w:wAfter w:w="11" w:type="dxa"/>
          <w:trHeight w:val="260"/>
        </w:trPr>
        <w:tc>
          <w:tcPr>
            <w:tcW w:w="2752" w:type="dxa"/>
            <w:tcBorders>
              <w:top w:val="nil"/>
              <w:left w:val="nil"/>
              <w:bottom w:val="nil"/>
              <w:right w:val="nil"/>
            </w:tcBorders>
            <w:vAlign w:val="bottom"/>
          </w:tcPr>
          <w:p w14:paraId="752E16EF"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D(UNM)</w:t>
            </w:r>
          </w:p>
        </w:tc>
        <w:tc>
          <w:tcPr>
            <w:tcW w:w="1538" w:type="dxa"/>
            <w:gridSpan w:val="2"/>
            <w:tcBorders>
              <w:top w:val="nil"/>
              <w:left w:val="nil"/>
              <w:bottom w:val="nil"/>
              <w:right w:val="nil"/>
            </w:tcBorders>
            <w:vAlign w:val="bottom"/>
          </w:tcPr>
          <w:p w14:paraId="0432C5BD"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-1.116262</w:t>
            </w:r>
          </w:p>
        </w:tc>
        <w:tc>
          <w:tcPr>
            <w:tcW w:w="1617" w:type="dxa"/>
            <w:tcBorders>
              <w:top w:val="nil"/>
              <w:left w:val="nil"/>
              <w:bottom w:val="nil"/>
              <w:right w:val="nil"/>
            </w:tcBorders>
            <w:vAlign w:val="bottom"/>
          </w:tcPr>
          <w:p w14:paraId="2AD8A154"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2.213145</w:t>
            </w:r>
          </w:p>
        </w:tc>
        <w:tc>
          <w:tcPr>
            <w:tcW w:w="1623" w:type="dxa"/>
            <w:tcBorders>
              <w:top w:val="nil"/>
              <w:left w:val="nil"/>
              <w:bottom w:val="nil"/>
              <w:right w:val="nil"/>
            </w:tcBorders>
            <w:vAlign w:val="bottom"/>
          </w:tcPr>
          <w:p w14:paraId="53B1D9CC"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-0.504378</w:t>
            </w:r>
          </w:p>
        </w:tc>
        <w:tc>
          <w:tcPr>
            <w:tcW w:w="1459" w:type="dxa"/>
            <w:tcBorders>
              <w:top w:val="nil"/>
              <w:left w:val="nil"/>
              <w:bottom w:val="nil"/>
              <w:right w:val="nil"/>
            </w:tcBorders>
            <w:vAlign w:val="bottom"/>
          </w:tcPr>
          <w:p w14:paraId="68FD4F7B"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0.6144</w:t>
            </w:r>
          </w:p>
        </w:tc>
      </w:tr>
      <w:tr w:rsidR="00747CD6" w:rsidRPr="00747CD6" w14:paraId="229385DB" w14:textId="77777777" w:rsidTr="000F126D">
        <w:trPr>
          <w:gridAfter w:val="1"/>
          <w:wAfter w:w="11" w:type="dxa"/>
          <w:trHeight w:val="260"/>
        </w:trPr>
        <w:tc>
          <w:tcPr>
            <w:tcW w:w="2752" w:type="dxa"/>
            <w:tcBorders>
              <w:top w:val="nil"/>
              <w:left w:val="nil"/>
              <w:bottom w:val="nil"/>
              <w:right w:val="nil"/>
            </w:tcBorders>
            <w:vAlign w:val="bottom"/>
          </w:tcPr>
          <w:p w14:paraId="03493176"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D(</w:t>
            </w:r>
            <w:proofErr w:type="gramStart"/>
            <w:r w:rsidRPr="00747CD6">
              <w:rPr>
                <w:rFonts w:ascii="Times New Roman" w:hAnsi="Times New Roman" w:cs="Times New Roman"/>
                <w:color w:val="000000"/>
                <w:kern w:val="0"/>
              </w:rPr>
              <w:t>UNM(</w:t>
            </w:r>
            <w:proofErr w:type="gramEnd"/>
            <w:r w:rsidRPr="00747CD6">
              <w:rPr>
                <w:rFonts w:ascii="Times New Roman" w:hAnsi="Times New Roman" w:cs="Times New Roman"/>
                <w:color w:val="000000"/>
                <w:kern w:val="0"/>
              </w:rPr>
              <w:t>-1))</w:t>
            </w:r>
          </w:p>
        </w:tc>
        <w:tc>
          <w:tcPr>
            <w:tcW w:w="1538" w:type="dxa"/>
            <w:gridSpan w:val="2"/>
            <w:tcBorders>
              <w:top w:val="nil"/>
              <w:left w:val="nil"/>
              <w:bottom w:val="nil"/>
              <w:right w:val="nil"/>
            </w:tcBorders>
            <w:vAlign w:val="bottom"/>
          </w:tcPr>
          <w:p w14:paraId="29FB1FAF"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-3.756793</w:t>
            </w:r>
          </w:p>
        </w:tc>
        <w:tc>
          <w:tcPr>
            <w:tcW w:w="1617" w:type="dxa"/>
            <w:tcBorders>
              <w:top w:val="nil"/>
              <w:left w:val="nil"/>
              <w:bottom w:val="nil"/>
              <w:right w:val="nil"/>
            </w:tcBorders>
            <w:vAlign w:val="bottom"/>
          </w:tcPr>
          <w:p w14:paraId="21FB4FAD"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2.048036</w:t>
            </w:r>
          </w:p>
        </w:tc>
        <w:tc>
          <w:tcPr>
            <w:tcW w:w="1623" w:type="dxa"/>
            <w:tcBorders>
              <w:top w:val="nil"/>
              <w:left w:val="nil"/>
              <w:bottom w:val="nil"/>
              <w:right w:val="nil"/>
            </w:tcBorders>
            <w:vAlign w:val="bottom"/>
          </w:tcPr>
          <w:p w14:paraId="412C54D2"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-1.834339</w:t>
            </w:r>
          </w:p>
        </w:tc>
        <w:tc>
          <w:tcPr>
            <w:tcW w:w="1459" w:type="dxa"/>
            <w:tcBorders>
              <w:top w:val="nil"/>
              <w:left w:val="nil"/>
              <w:bottom w:val="nil"/>
              <w:right w:val="nil"/>
            </w:tcBorders>
            <w:vAlign w:val="bottom"/>
          </w:tcPr>
          <w:p w14:paraId="5CBEE63C"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0.0678</w:t>
            </w:r>
          </w:p>
        </w:tc>
      </w:tr>
      <w:tr w:rsidR="00747CD6" w:rsidRPr="00747CD6" w14:paraId="3D562795" w14:textId="77777777" w:rsidTr="000F126D">
        <w:trPr>
          <w:gridAfter w:val="1"/>
          <w:wAfter w:w="11" w:type="dxa"/>
          <w:trHeight w:val="260"/>
        </w:trPr>
        <w:tc>
          <w:tcPr>
            <w:tcW w:w="2752" w:type="dxa"/>
            <w:tcBorders>
              <w:top w:val="nil"/>
              <w:left w:val="nil"/>
              <w:bottom w:val="nil"/>
              <w:right w:val="nil"/>
            </w:tcBorders>
            <w:vAlign w:val="bottom"/>
          </w:tcPr>
          <w:p w14:paraId="1082F848"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D(HEX)</w:t>
            </w:r>
          </w:p>
        </w:tc>
        <w:tc>
          <w:tcPr>
            <w:tcW w:w="1538" w:type="dxa"/>
            <w:gridSpan w:val="2"/>
            <w:tcBorders>
              <w:top w:val="nil"/>
              <w:left w:val="nil"/>
              <w:bottom w:val="nil"/>
              <w:right w:val="nil"/>
            </w:tcBorders>
            <w:vAlign w:val="bottom"/>
          </w:tcPr>
          <w:p w14:paraId="0B7B8DD8"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0.187084</w:t>
            </w:r>
          </w:p>
        </w:tc>
        <w:tc>
          <w:tcPr>
            <w:tcW w:w="1617" w:type="dxa"/>
            <w:tcBorders>
              <w:top w:val="nil"/>
              <w:left w:val="nil"/>
              <w:bottom w:val="nil"/>
              <w:right w:val="nil"/>
            </w:tcBorders>
            <w:vAlign w:val="bottom"/>
          </w:tcPr>
          <w:p w14:paraId="1DFD46FA"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0.096992</w:t>
            </w:r>
          </w:p>
        </w:tc>
        <w:tc>
          <w:tcPr>
            <w:tcW w:w="1623" w:type="dxa"/>
            <w:tcBorders>
              <w:top w:val="nil"/>
              <w:left w:val="nil"/>
              <w:bottom w:val="nil"/>
              <w:right w:val="nil"/>
            </w:tcBorders>
            <w:vAlign w:val="bottom"/>
          </w:tcPr>
          <w:p w14:paraId="18989E71"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1.928869</w:t>
            </w:r>
          </w:p>
        </w:tc>
        <w:tc>
          <w:tcPr>
            <w:tcW w:w="1459" w:type="dxa"/>
            <w:tcBorders>
              <w:top w:val="nil"/>
              <w:left w:val="nil"/>
              <w:bottom w:val="nil"/>
              <w:right w:val="nil"/>
            </w:tcBorders>
            <w:vAlign w:val="bottom"/>
          </w:tcPr>
          <w:p w14:paraId="320322AD"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0.0548</w:t>
            </w:r>
          </w:p>
        </w:tc>
      </w:tr>
      <w:tr w:rsidR="00747CD6" w:rsidRPr="00747CD6" w14:paraId="1AB047A5" w14:textId="77777777" w:rsidTr="000F126D">
        <w:trPr>
          <w:gridAfter w:val="1"/>
          <w:wAfter w:w="11" w:type="dxa"/>
          <w:trHeight w:val="260"/>
        </w:trPr>
        <w:tc>
          <w:tcPr>
            <w:tcW w:w="2752" w:type="dxa"/>
            <w:tcBorders>
              <w:top w:val="nil"/>
              <w:left w:val="nil"/>
              <w:bottom w:val="nil"/>
              <w:right w:val="nil"/>
            </w:tcBorders>
            <w:vAlign w:val="bottom"/>
          </w:tcPr>
          <w:p w14:paraId="2D3945B6"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D(</w:t>
            </w:r>
            <w:proofErr w:type="gramStart"/>
            <w:r w:rsidRPr="00747CD6">
              <w:rPr>
                <w:rFonts w:ascii="Times New Roman" w:hAnsi="Times New Roman" w:cs="Times New Roman"/>
                <w:color w:val="000000"/>
                <w:kern w:val="0"/>
              </w:rPr>
              <w:t>HEX(</w:t>
            </w:r>
            <w:proofErr w:type="gramEnd"/>
            <w:r w:rsidRPr="00747CD6">
              <w:rPr>
                <w:rFonts w:ascii="Times New Roman" w:hAnsi="Times New Roman" w:cs="Times New Roman"/>
                <w:color w:val="000000"/>
                <w:kern w:val="0"/>
              </w:rPr>
              <w:t>-1))</w:t>
            </w:r>
          </w:p>
        </w:tc>
        <w:tc>
          <w:tcPr>
            <w:tcW w:w="1538" w:type="dxa"/>
            <w:gridSpan w:val="2"/>
            <w:tcBorders>
              <w:top w:val="nil"/>
              <w:left w:val="nil"/>
              <w:bottom w:val="nil"/>
              <w:right w:val="nil"/>
            </w:tcBorders>
            <w:vAlign w:val="bottom"/>
          </w:tcPr>
          <w:p w14:paraId="09343502"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-0.000363</w:t>
            </w:r>
          </w:p>
        </w:tc>
        <w:tc>
          <w:tcPr>
            <w:tcW w:w="1617" w:type="dxa"/>
            <w:tcBorders>
              <w:top w:val="nil"/>
              <w:left w:val="nil"/>
              <w:bottom w:val="nil"/>
              <w:right w:val="nil"/>
            </w:tcBorders>
            <w:vAlign w:val="bottom"/>
          </w:tcPr>
          <w:p w14:paraId="32E231B1"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0.154481</w:t>
            </w:r>
          </w:p>
        </w:tc>
        <w:tc>
          <w:tcPr>
            <w:tcW w:w="1623" w:type="dxa"/>
            <w:tcBorders>
              <w:top w:val="nil"/>
              <w:left w:val="nil"/>
              <w:bottom w:val="nil"/>
              <w:right w:val="nil"/>
            </w:tcBorders>
            <w:vAlign w:val="bottom"/>
          </w:tcPr>
          <w:p w14:paraId="2A993456"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-0.002350</w:t>
            </w:r>
          </w:p>
        </w:tc>
        <w:tc>
          <w:tcPr>
            <w:tcW w:w="1459" w:type="dxa"/>
            <w:tcBorders>
              <w:top w:val="nil"/>
              <w:left w:val="nil"/>
              <w:bottom w:val="nil"/>
              <w:right w:val="nil"/>
            </w:tcBorders>
            <w:vAlign w:val="bottom"/>
          </w:tcPr>
          <w:p w14:paraId="52798355"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0.9981</w:t>
            </w:r>
          </w:p>
        </w:tc>
      </w:tr>
      <w:tr w:rsidR="00747CD6" w:rsidRPr="00747CD6" w14:paraId="2A1D04DC" w14:textId="77777777" w:rsidTr="000F126D">
        <w:trPr>
          <w:gridAfter w:val="1"/>
          <w:wAfter w:w="11" w:type="dxa"/>
          <w:trHeight w:val="260"/>
        </w:trPr>
        <w:tc>
          <w:tcPr>
            <w:tcW w:w="2752" w:type="dxa"/>
            <w:tcBorders>
              <w:top w:val="nil"/>
              <w:left w:val="nil"/>
              <w:bottom w:val="nil"/>
              <w:right w:val="nil"/>
            </w:tcBorders>
            <w:vAlign w:val="bottom"/>
          </w:tcPr>
          <w:p w14:paraId="77B950C4"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D(EDU)</w:t>
            </w:r>
          </w:p>
        </w:tc>
        <w:tc>
          <w:tcPr>
            <w:tcW w:w="1538" w:type="dxa"/>
            <w:gridSpan w:val="2"/>
            <w:tcBorders>
              <w:top w:val="nil"/>
              <w:left w:val="nil"/>
              <w:bottom w:val="nil"/>
              <w:right w:val="nil"/>
            </w:tcBorders>
            <w:vAlign w:val="bottom"/>
          </w:tcPr>
          <w:p w14:paraId="1B5C6884"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7.705071</w:t>
            </w:r>
          </w:p>
        </w:tc>
        <w:tc>
          <w:tcPr>
            <w:tcW w:w="1617" w:type="dxa"/>
            <w:tcBorders>
              <w:top w:val="nil"/>
              <w:left w:val="nil"/>
              <w:bottom w:val="nil"/>
              <w:right w:val="nil"/>
            </w:tcBorders>
            <w:vAlign w:val="bottom"/>
          </w:tcPr>
          <w:p w14:paraId="4322466D"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8.101552</w:t>
            </w:r>
          </w:p>
        </w:tc>
        <w:tc>
          <w:tcPr>
            <w:tcW w:w="1623" w:type="dxa"/>
            <w:tcBorders>
              <w:top w:val="nil"/>
              <w:left w:val="nil"/>
              <w:bottom w:val="nil"/>
              <w:right w:val="nil"/>
            </w:tcBorders>
            <w:vAlign w:val="bottom"/>
          </w:tcPr>
          <w:p w14:paraId="14F49F76"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0.951061</w:t>
            </w:r>
          </w:p>
        </w:tc>
        <w:tc>
          <w:tcPr>
            <w:tcW w:w="1459" w:type="dxa"/>
            <w:tcBorders>
              <w:top w:val="nil"/>
              <w:left w:val="nil"/>
              <w:bottom w:val="nil"/>
              <w:right w:val="nil"/>
            </w:tcBorders>
            <w:vAlign w:val="bottom"/>
          </w:tcPr>
          <w:p w14:paraId="07963FDF"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0.3425</w:t>
            </w:r>
          </w:p>
        </w:tc>
      </w:tr>
      <w:tr w:rsidR="00747CD6" w:rsidRPr="00747CD6" w14:paraId="5E74847A" w14:textId="77777777" w:rsidTr="000F126D">
        <w:trPr>
          <w:gridAfter w:val="1"/>
          <w:wAfter w:w="11" w:type="dxa"/>
          <w:trHeight w:val="260"/>
        </w:trPr>
        <w:tc>
          <w:tcPr>
            <w:tcW w:w="2752" w:type="dxa"/>
            <w:tcBorders>
              <w:top w:val="nil"/>
              <w:left w:val="nil"/>
              <w:bottom w:val="nil"/>
              <w:right w:val="nil"/>
            </w:tcBorders>
            <w:vAlign w:val="bottom"/>
          </w:tcPr>
          <w:p w14:paraId="36504443"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D(</w:t>
            </w:r>
            <w:proofErr w:type="gramStart"/>
            <w:r w:rsidRPr="00747CD6">
              <w:rPr>
                <w:rFonts w:ascii="Times New Roman" w:hAnsi="Times New Roman" w:cs="Times New Roman"/>
                <w:color w:val="000000"/>
                <w:kern w:val="0"/>
              </w:rPr>
              <w:t>EDU(</w:t>
            </w:r>
            <w:proofErr w:type="gramEnd"/>
            <w:r w:rsidRPr="00747CD6">
              <w:rPr>
                <w:rFonts w:ascii="Times New Roman" w:hAnsi="Times New Roman" w:cs="Times New Roman"/>
                <w:color w:val="000000"/>
                <w:kern w:val="0"/>
              </w:rPr>
              <w:t>-1))</w:t>
            </w:r>
          </w:p>
        </w:tc>
        <w:tc>
          <w:tcPr>
            <w:tcW w:w="1538" w:type="dxa"/>
            <w:gridSpan w:val="2"/>
            <w:tcBorders>
              <w:top w:val="nil"/>
              <w:left w:val="nil"/>
              <w:bottom w:val="nil"/>
              <w:right w:val="nil"/>
            </w:tcBorders>
            <w:vAlign w:val="bottom"/>
          </w:tcPr>
          <w:p w14:paraId="40579E19"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1.910108</w:t>
            </w:r>
          </w:p>
        </w:tc>
        <w:tc>
          <w:tcPr>
            <w:tcW w:w="1617" w:type="dxa"/>
            <w:tcBorders>
              <w:top w:val="nil"/>
              <w:left w:val="nil"/>
              <w:bottom w:val="nil"/>
              <w:right w:val="nil"/>
            </w:tcBorders>
            <w:vAlign w:val="bottom"/>
          </w:tcPr>
          <w:p w14:paraId="7C59042A"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1.957881</w:t>
            </w:r>
          </w:p>
        </w:tc>
        <w:tc>
          <w:tcPr>
            <w:tcW w:w="1623" w:type="dxa"/>
            <w:tcBorders>
              <w:top w:val="nil"/>
              <w:left w:val="nil"/>
              <w:bottom w:val="nil"/>
              <w:right w:val="nil"/>
            </w:tcBorders>
            <w:vAlign w:val="bottom"/>
          </w:tcPr>
          <w:p w14:paraId="7E01AC5A"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0.975599</w:t>
            </w:r>
          </w:p>
        </w:tc>
        <w:tc>
          <w:tcPr>
            <w:tcW w:w="1459" w:type="dxa"/>
            <w:tcBorders>
              <w:top w:val="nil"/>
              <w:left w:val="nil"/>
              <w:bottom w:val="nil"/>
              <w:right w:val="nil"/>
            </w:tcBorders>
            <w:vAlign w:val="bottom"/>
          </w:tcPr>
          <w:p w14:paraId="213DE485"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0.3302</w:t>
            </w:r>
          </w:p>
        </w:tc>
      </w:tr>
      <w:tr w:rsidR="00747CD6" w:rsidRPr="00747CD6" w14:paraId="37419758" w14:textId="77777777" w:rsidTr="000F126D">
        <w:trPr>
          <w:gridAfter w:val="1"/>
          <w:wAfter w:w="11" w:type="dxa"/>
          <w:trHeight w:val="260"/>
        </w:trPr>
        <w:tc>
          <w:tcPr>
            <w:tcW w:w="2752" w:type="dxa"/>
            <w:tcBorders>
              <w:top w:val="nil"/>
              <w:left w:val="nil"/>
              <w:bottom w:val="nil"/>
              <w:right w:val="nil"/>
            </w:tcBorders>
            <w:vAlign w:val="bottom"/>
          </w:tcPr>
          <w:p w14:paraId="370B2512"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D(POP)</w:t>
            </w:r>
          </w:p>
        </w:tc>
        <w:tc>
          <w:tcPr>
            <w:tcW w:w="1538" w:type="dxa"/>
            <w:gridSpan w:val="2"/>
            <w:tcBorders>
              <w:top w:val="nil"/>
              <w:left w:val="nil"/>
              <w:bottom w:val="nil"/>
              <w:right w:val="nil"/>
            </w:tcBorders>
            <w:vAlign w:val="bottom"/>
          </w:tcPr>
          <w:p w14:paraId="4199FAD5"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0.000427</w:t>
            </w:r>
          </w:p>
        </w:tc>
        <w:tc>
          <w:tcPr>
            <w:tcW w:w="1617" w:type="dxa"/>
            <w:tcBorders>
              <w:top w:val="nil"/>
              <w:left w:val="nil"/>
              <w:bottom w:val="nil"/>
              <w:right w:val="nil"/>
            </w:tcBorders>
            <w:vAlign w:val="bottom"/>
          </w:tcPr>
          <w:p w14:paraId="4B38884F"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0.000588</w:t>
            </w:r>
          </w:p>
        </w:tc>
        <w:tc>
          <w:tcPr>
            <w:tcW w:w="1623" w:type="dxa"/>
            <w:tcBorders>
              <w:top w:val="nil"/>
              <w:left w:val="nil"/>
              <w:bottom w:val="nil"/>
              <w:right w:val="nil"/>
            </w:tcBorders>
            <w:vAlign w:val="bottom"/>
          </w:tcPr>
          <w:p w14:paraId="52D20AC0"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0.726152</w:t>
            </w:r>
          </w:p>
        </w:tc>
        <w:tc>
          <w:tcPr>
            <w:tcW w:w="1459" w:type="dxa"/>
            <w:tcBorders>
              <w:top w:val="nil"/>
              <w:left w:val="nil"/>
              <w:bottom w:val="nil"/>
              <w:right w:val="nil"/>
            </w:tcBorders>
            <w:vAlign w:val="bottom"/>
          </w:tcPr>
          <w:p w14:paraId="5EF34F99"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0.4684</w:t>
            </w:r>
          </w:p>
        </w:tc>
      </w:tr>
      <w:tr w:rsidR="00747CD6" w:rsidRPr="00747CD6" w14:paraId="04158F6B" w14:textId="77777777" w:rsidTr="000F126D">
        <w:trPr>
          <w:gridAfter w:val="1"/>
          <w:wAfter w:w="11" w:type="dxa"/>
          <w:trHeight w:val="260"/>
        </w:trPr>
        <w:tc>
          <w:tcPr>
            <w:tcW w:w="2752" w:type="dxa"/>
            <w:tcBorders>
              <w:top w:val="nil"/>
              <w:left w:val="nil"/>
              <w:right w:val="nil"/>
            </w:tcBorders>
            <w:vAlign w:val="bottom"/>
          </w:tcPr>
          <w:p w14:paraId="6A57E0FC"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D(</w:t>
            </w:r>
            <w:proofErr w:type="gramStart"/>
            <w:r w:rsidRPr="00747CD6">
              <w:rPr>
                <w:rFonts w:ascii="Times New Roman" w:hAnsi="Times New Roman" w:cs="Times New Roman"/>
                <w:color w:val="000000"/>
                <w:kern w:val="0"/>
              </w:rPr>
              <w:t>POP(</w:t>
            </w:r>
            <w:proofErr w:type="gramEnd"/>
            <w:r w:rsidRPr="00747CD6">
              <w:rPr>
                <w:rFonts w:ascii="Times New Roman" w:hAnsi="Times New Roman" w:cs="Times New Roman"/>
                <w:color w:val="000000"/>
                <w:kern w:val="0"/>
              </w:rPr>
              <w:t>-1))</w:t>
            </w:r>
          </w:p>
        </w:tc>
        <w:tc>
          <w:tcPr>
            <w:tcW w:w="1538" w:type="dxa"/>
            <w:gridSpan w:val="2"/>
            <w:tcBorders>
              <w:top w:val="nil"/>
              <w:left w:val="nil"/>
              <w:right w:val="nil"/>
            </w:tcBorders>
            <w:vAlign w:val="bottom"/>
          </w:tcPr>
          <w:p w14:paraId="485F1177"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-0.000707</w:t>
            </w:r>
          </w:p>
        </w:tc>
        <w:tc>
          <w:tcPr>
            <w:tcW w:w="1617" w:type="dxa"/>
            <w:tcBorders>
              <w:top w:val="nil"/>
              <w:left w:val="nil"/>
              <w:right w:val="nil"/>
            </w:tcBorders>
            <w:vAlign w:val="bottom"/>
          </w:tcPr>
          <w:p w14:paraId="022DEDFB"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0.001107</w:t>
            </w:r>
          </w:p>
        </w:tc>
        <w:tc>
          <w:tcPr>
            <w:tcW w:w="1623" w:type="dxa"/>
            <w:tcBorders>
              <w:top w:val="nil"/>
              <w:left w:val="nil"/>
              <w:right w:val="nil"/>
            </w:tcBorders>
            <w:vAlign w:val="bottom"/>
          </w:tcPr>
          <w:p w14:paraId="370F714E"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-0.638394</w:t>
            </w:r>
          </w:p>
        </w:tc>
        <w:tc>
          <w:tcPr>
            <w:tcW w:w="1459" w:type="dxa"/>
            <w:tcBorders>
              <w:top w:val="nil"/>
              <w:left w:val="nil"/>
              <w:right w:val="nil"/>
            </w:tcBorders>
            <w:vAlign w:val="bottom"/>
          </w:tcPr>
          <w:p w14:paraId="667A7CE0"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0.5238</w:t>
            </w:r>
          </w:p>
        </w:tc>
      </w:tr>
      <w:tr w:rsidR="00747CD6" w:rsidRPr="00747CD6" w14:paraId="1189CE82" w14:textId="77777777" w:rsidTr="000F126D">
        <w:trPr>
          <w:gridAfter w:val="1"/>
          <w:wAfter w:w="11" w:type="dxa"/>
          <w:trHeight w:val="260"/>
        </w:trPr>
        <w:tc>
          <w:tcPr>
            <w:tcW w:w="2752" w:type="dxa"/>
            <w:tcBorders>
              <w:top w:val="nil"/>
              <w:left w:val="nil"/>
              <w:bottom w:val="single" w:sz="4" w:space="0" w:color="auto"/>
              <w:right w:val="nil"/>
            </w:tcBorders>
            <w:vAlign w:val="bottom"/>
          </w:tcPr>
          <w:p w14:paraId="4A2BC0E1"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C</w:t>
            </w:r>
          </w:p>
        </w:tc>
        <w:tc>
          <w:tcPr>
            <w:tcW w:w="1538" w:type="dxa"/>
            <w:gridSpan w:val="2"/>
            <w:tcBorders>
              <w:top w:val="nil"/>
              <w:left w:val="nil"/>
              <w:bottom w:val="single" w:sz="4" w:space="0" w:color="auto"/>
              <w:right w:val="nil"/>
            </w:tcBorders>
            <w:vAlign w:val="bottom"/>
          </w:tcPr>
          <w:p w14:paraId="0B935CBF"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-118.5721</w:t>
            </w:r>
          </w:p>
        </w:tc>
        <w:tc>
          <w:tcPr>
            <w:tcW w:w="1617" w:type="dxa"/>
            <w:tcBorders>
              <w:top w:val="nil"/>
              <w:left w:val="nil"/>
              <w:bottom w:val="single" w:sz="4" w:space="0" w:color="auto"/>
              <w:right w:val="nil"/>
            </w:tcBorders>
            <w:vAlign w:val="bottom"/>
          </w:tcPr>
          <w:p w14:paraId="2F59B92B"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20.88444</w:t>
            </w:r>
          </w:p>
        </w:tc>
        <w:tc>
          <w:tcPr>
            <w:tcW w:w="1623" w:type="dxa"/>
            <w:tcBorders>
              <w:top w:val="nil"/>
              <w:left w:val="nil"/>
              <w:bottom w:val="single" w:sz="4" w:space="0" w:color="auto"/>
              <w:right w:val="nil"/>
            </w:tcBorders>
            <w:vAlign w:val="bottom"/>
          </w:tcPr>
          <w:p w14:paraId="20217FCA"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-5.677535</w:t>
            </w:r>
          </w:p>
        </w:tc>
        <w:tc>
          <w:tcPr>
            <w:tcW w:w="1459" w:type="dxa"/>
            <w:tcBorders>
              <w:top w:val="nil"/>
              <w:left w:val="nil"/>
              <w:bottom w:val="single" w:sz="4" w:space="0" w:color="auto"/>
              <w:right w:val="nil"/>
            </w:tcBorders>
            <w:vAlign w:val="bottom"/>
          </w:tcPr>
          <w:p w14:paraId="403021B4"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0.0000</w:t>
            </w:r>
          </w:p>
        </w:tc>
      </w:tr>
      <w:tr w:rsidR="00747CD6" w:rsidRPr="00747CD6" w14:paraId="2D56C082" w14:textId="77777777" w:rsidTr="000F126D">
        <w:trPr>
          <w:gridAfter w:val="1"/>
          <w:wAfter w:w="11" w:type="dxa"/>
          <w:trHeight w:val="260"/>
        </w:trPr>
        <w:tc>
          <w:tcPr>
            <w:tcW w:w="2752" w:type="dxa"/>
            <w:tcBorders>
              <w:top w:val="single" w:sz="4" w:space="0" w:color="auto"/>
              <w:left w:val="nil"/>
              <w:bottom w:val="nil"/>
              <w:right w:val="nil"/>
            </w:tcBorders>
            <w:vAlign w:val="bottom"/>
          </w:tcPr>
          <w:p w14:paraId="6EC41C14"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Mean dependent var</w:t>
            </w:r>
          </w:p>
        </w:tc>
        <w:tc>
          <w:tcPr>
            <w:tcW w:w="1538" w:type="dxa"/>
            <w:gridSpan w:val="2"/>
            <w:tcBorders>
              <w:top w:val="single" w:sz="4" w:space="0" w:color="auto"/>
              <w:left w:val="nil"/>
              <w:bottom w:val="nil"/>
              <w:right w:val="nil"/>
            </w:tcBorders>
            <w:vAlign w:val="bottom"/>
          </w:tcPr>
          <w:p w14:paraId="747616B6" w14:textId="77777777" w:rsidR="00747CD6" w:rsidRPr="00747CD6" w:rsidRDefault="00747CD6" w:rsidP="00D56BB9">
            <w:pPr>
              <w:autoSpaceDE w:val="0"/>
              <w:autoSpaceDN w:val="0"/>
              <w:adjustRightInd w:val="0"/>
              <w:spacing w:after="0" w:line="276" w:lineRule="auto"/>
              <w:ind w:right="20"/>
              <w:jc w:val="right"/>
              <w:rPr>
                <w:rFonts w:ascii="Times New Roman" w:hAnsi="Times New Roman" w:cs="Times New Roman"/>
                <w:color w:val="000000"/>
                <w:kern w:val="0"/>
              </w:rPr>
            </w:pPr>
            <w:r w:rsidRPr="00747CD6">
              <w:rPr>
                <w:rFonts w:ascii="Times New Roman" w:hAnsi="Times New Roman" w:cs="Times New Roman"/>
                <w:color w:val="000000"/>
                <w:kern w:val="0"/>
              </w:rPr>
              <w:t>0.191124</w:t>
            </w:r>
          </w:p>
        </w:tc>
        <w:tc>
          <w:tcPr>
            <w:tcW w:w="3240" w:type="dxa"/>
            <w:gridSpan w:val="2"/>
            <w:tcBorders>
              <w:top w:val="single" w:sz="4" w:space="0" w:color="auto"/>
              <w:left w:val="nil"/>
              <w:bottom w:val="nil"/>
              <w:right w:val="nil"/>
            </w:tcBorders>
            <w:vAlign w:val="bottom"/>
          </w:tcPr>
          <w:p w14:paraId="7152303C" w14:textId="77777777" w:rsidR="00747CD6" w:rsidRPr="00747CD6" w:rsidRDefault="00747CD6" w:rsidP="00D56BB9">
            <w:pPr>
              <w:autoSpaceDE w:val="0"/>
              <w:autoSpaceDN w:val="0"/>
              <w:adjustRightInd w:val="0"/>
              <w:spacing w:after="0" w:line="276" w:lineRule="auto"/>
              <w:ind w:right="20"/>
              <w:rPr>
                <w:rFonts w:ascii="Times New Roman" w:hAnsi="Times New Roman" w:cs="Times New Roman"/>
                <w:color w:val="000000"/>
                <w:kern w:val="0"/>
              </w:rPr>
            </w:pPr>
            <w:r w:rsidRPr="00747CD6">
              <w:rPr>
                <w:rFonts w:ascii="Times New Roman" w:hAnsi="Times New Roman" w:cs="Times New Roman"/>
                <w:color w:val="000000"/>
                <w:kern w:val="0"/>
              </w:rPr>
              <w:t>    S.D. dependent var</w:t>
            </w:r>
          </w:p>
        </w:tc>
        <w:tc>
          <w:tcPr>
            <w:tcW w:w="1459" w:type="dxa"/>
            <w:tcBorders>
              <w:top w:val="single" w:sz="4" w:space="0" w:color="auto"/>
              <w:left w:val="nil"/>
              <w:bottom w:val="nil"/>
              <w:right w:val="nil"/>
            </w:tcBorders>
            <w:vAlign w:val="bottom"/>
          </w:tcPr>
          <w:p w14:paraId="79117231" w14:textId="77777777" w:rsidR="00747CD6" w:rsidRPr="00747CD6" w:rsidRDefault="00747CD6" w:rsidP="00D56BB9">
            <w:pPr>
              <w:autoSpaceDE w:val="0"/>
              <w:autoSpaceDN w:val="0"/>
              <w:adjustRightInd w:val="0"/>
              <w:spacing w:after="0" w:line="276" w:lineRule="auto"/>
              <w:ind w:right="20"/>
              <w:jc w:val="right"/>
              <w:rPr>
                <w:rFonts w:ascii="Times New Roman" w:hAnsi="Times New Roman" w:cs="Times New Roman"/>
                <w:color w:val="000000"/>
                <w:kern w:val="0"/>
              </w:rPr>
            </w:pPr>
            <w:r w:rsidRPr="00747CD6">
              <w:rPr>
                <w:rFonts w:ascii="Times New Roman" w:hAnsi="Times New Roman" w:cs="Times New Roman"/>
                <w:color w:val="000000"/>
                <w:kern w:val="0"/>
              </w:rPr>
              <w:t>9.190820</w:t>
            </w:r>
          </w:p>
        </w:tc>
      </w:tr>
      <w:tr w:rsidR="00747CD6" w:rsidRPr="00747CD6" w14:paraId="6604BCF3" w14:textId="77777777" w:rsidTr="000F126D">
        <w:trPr>
          <w:gridAfter w:val="1"/>
          <w:wAfter w:w="11" w:type="dxa"/>
          <w:trHeight w:val="260"/>
        </w:trPr>
        <w:tc>
          <w:tcPr>
            <w:tcW w:w="2752" w:type="dxa"/>
            <w:tcBorders>
              <w:top w:val="nil"/>
              <w:left w:val="nil"/>
              <w:bottom w:val="nil"/>
              <w:right w:val="nil"/>
            </w:tcBorders>
            <w:vAlign w:val="bottom"/>
          </w:tcPr>
          <w:p w14:paraId="7423F4B2"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S.E. of regression</w:t>
            </w:r>
          </w:p>
        </w:tc>
        <w:tc>
          <w:tcPr>
            <w:tcW w:w="1538" w:type="dxa"/>
            <w:gridSpan w:val="2"/>
            <w:tcBorders>
              <w:top w:val="nil"/>
              <w:left w:val="nil"/>
              <w:bottom w:val="nil"/>
              <w:right w:val="nil"/>
            </w:tcBorders>
            <w:vAlign w:val="bottom"/>
          </w:tcPr>
          <w:p w14:paraId="226F36B8" w14:textId="77777777" w:rsidR="00747CD6" w:rsidRPr="00747CD6" w:rsidRDefault="00747CD6" w:rsidP="00D56BB9">
            <w:pPr>
              <w:autoSpaceDE w:val="0"/>
              <w:autoSpaceDN w:val="0"/>
              <w:adjustRightInd w:val="0"/>
              <w:spacing w:after="0" w:line="276" w:lineRule="auto"/>
              <w:ind w:right="20"/>
              <w:jc w:val="right"/>
              <w:rPr>
                <w:rFonts w:ascii="Times New Roman" w:hAnsi="Times New Roman" w:cs="Times New Roman"/>
                <w:color w:val="000000"/>
                <w:kern w:val="0"/>
              </w:rPr>
            </w:pPr>
            <w:r w:rsidRPr="00747CD6">
              <w:rPr>
                <w:rFonts w:ascii="Times New Roman" w:hAnsi="Times New Roman" w:cs="Times New Roman"/>
                <w:color w:val="000000"/>
                <w:kern w:val="0"/>
              </w:rPr>
              <w:t>3.517292</w:t>
            </w:r>
          </w:p>
        </w:tc>
        <w:tc>
          <w:tcPr>
            <w:tcW w:w="3240" w:type="dxa"/>
            <w:gridSpan w:val="2"/>
            <w:tcBorders>
              <w:top w:val="nil"/>
              <w:left w:val="nil"/>
              <w:bottom w:val="nil"/>
              <w:right w:val="nil"/>
            </w:tcBorders>
            <w:vAlign w:val="bottom"/>
          </w:tcPr>
          <w:p w14:paraId="1F92F39B" w14:textId="77777777" w:rsidR="00747CD6" w:rsidRPr="00747CD6" w:rsidRDefault="00747CD6" w:rsidP="00D56BB9">
            <w:pPr>
              <w:autoSpaceDE w:val="0"/>
              <w:autoSpaceDN w:val="0"/>
              <w:adjustRightInd w:val="0"/>
              <w:spacing w:after="0" w:line="276" w:lineRule="auto"/>
              <w:ind w:right="20"/>
              <w:rPr>
                <w:rFonts w:ascii="Times New Roman" w:hAnsi="Times New Roman" w:cs="Times New Roman"/>
                <w:color w:val="000000"/>
                <w:kern w:val="0"/>
              </w:rPr>
            </w:pPr>
            <w:r w:rsidRPr="00747CD6">
              <w:rPr>
                <w:rFonts w:ascii="Times New Roman" w:hAnsi="Times New Roman" w:cs="Times New Roman"/>
                <w:color w:val="000000"/>
                <w:kern w:val="0"/>
              </w:rPr>
              <w:t>    Akaike info criterion</w:t>
            </w:r>
          </w:p>
        </w:tc>
        <w:tc>
          <w:tcPr>
            <w:tcW w:w="1459" w:type="dxa"/>
            <w:tcBorders>
              <w:top w:val="nil"/>
              <w:left w:val="nil"/>
              <w:bottom w:val="nil"/>
              <w:right w:val="nil"/>
            </w:tcBorders>
            <w:vAlign w:val="bottom"/>
          </w:tcPr>
          <w:p w14:paraId="63985514" w14:textId="77777777" w:rsidR="00747CD6" w:rsidRPr="00747CD6" w:rsidRDefault="00747CD6" w:rsidP="00D56BB9">
            <w:pPr>
              <w:autoSpaceDE w:val="0"/>
              <w:autoSpaceDN w:val="0"/>
              <w:adjustRightInd w:val="0"/>
              <w:spacing w:after="0" w:line="276" w:lineRule="auto"/>
              <w:ind w:right="20"/>
              <w:jc w:val="right"/>
              <w:rPr>
                <w:rFonts w:ascii="Times New Roman" w:hAnsi="Times New Roman" w:cs="Times New Roman"/>
                <w:color w:val="000000"/>
                <w:kern w:val="0"/>
              </w:rPr>
            </w:pPr>
            <w:r w:rsidRPr="00747CD6">
              <w:rPr>
                <w:rFonts w:ascii="Times New Roman" w:hAnsi="Times New Roman" w:cs="Times New Roman"/>
                <w:color w:val="000000"/>
                <w:kern w:val="0"/>
              </w:rPr>
              <w:t>4.047593</w:t>
            </w:r>
          </w:p>
        </w:tc>
      </w:tr>
      <w:tr w:rsidR="00747CD6" w:rsidRPr="00747CD6" w14:paraId="60F00272" w14:textId="77777777" w:rsidTr="000F126D">
        <w:trPr>
          <w:gridAfter w:val="1"/>
          <w:wAfter w:w="11" w:type="dxa"/>
          <w:trHeight w:val="260"/>
        </w:trPr>
        <w:tc>
          <w:tcPr>
            <w:tcW w:w="2752" w:type="dxa"/>
            <w:tcBorders>
              <w:top w:val="nil"/>
              <w:left w:val="nil"/>
              <w:right w:val="nil"/>
            </w:tcBorders>
            <w:vAlign w:val="bottom"/>
          </w:tcPr>
          <w:p w14:paraId="5ED1AA91"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Sum squared resid</w:t>
            </w:r>
          </w:p>
        </w:tc>
        <w:tc>
          <w:tcPr>
            <w:tcW w:w="1538" w:type="dxa"/>
            <w:gridSpan w:val="2"/>
            <w:tcBorders>
              <w:top w:val="nil"/>
              <w:left w:val="nil"/>
              <w:right w:val="nil"/>
            </w:tcBorders>
            <w:vAlign w:val="bottom"/>
          </w:tcPr>
          <w:p w14:paraId="2C8952EB" w14:textId="77777777" w:rsidR="00747CD6" w:rsidRPr="00747CD6" w:rsidRDefault="00747CD6" w:rsidP="00D56BB9">
            <w:pPr>
              <w:autoSpaceDE w:val="0"/>
              <w:autoSpaceDN w:val="0"/>
              <w:adjustRightInd w:val="0"/>
              <w:spacing w:after="0" w:line="276" w:lineRule="auto"/>
              <w:ind w:right="20"/>
              <w:jc w:val="right"/>
              <w:rPr>
                <w:rFonts w:ascii="Times New Roman" w:hAnsi="Times New Roman" w:cs="Times New Roman"/>
                <w:color w:val="000000"/>
                <w:kern w:val="0"/>
              </w:rPr>
            </w:pPr>
            <w:r w:rsidRPr="00747CD6">
              <w:rPr>
                <w:rFonts w:ascii="Times New Roman" w:hAnsi="Times New Roman" w:cs="Times New Roman"/>
                <w:color w:val="000000"/>
                <w:kern w:val="0"/>
              </w:rPr>
              <w:t>3204.177</w:t>
            </w:r>
          </w:p>
        </w:tc>
        <w:tc>
          <w:tcPr>
            <w:tcW w:w="3240" w:type="dxa"/>
            <w:gridSpan w:val="2"/>
            <w:tcBorders>
              <w:top w:val="nil"/>
              <w:left w:val="nil"/>
              <w:right w:val="nil"/>
            </w:tcBorders>
            <w:vAlign w:val="bottom"/>
          </w:tcPr>
          <w:p w14:paraId="2B3EDDD6" w14:textId="77777777" w:rsidR="00747CD6" w:rsidRPr="00747CD6" w:rsidRDefault="00747CD6" w:rsidP="00D56BB9">
            <w:pPr>
              <w:autoSpaceDE w:val="0"/>
              <w:autoSpaceDN w:val="0"/>
              <w:adjustRightInd w:val="0"/>
              <w:spacing w:after="0" w:line="276" w:lineRule="auto"/>
              <w:ind w:right="20"/>
              <w:rPr>
                <w:rFonts w:ascii="Times New Roman" w:hAnsi="Times New Roman" w:cs="Times New Roman"/>
                <w:color w:val="000000"/>
                <w:kern w:val="0"/>
              </w:rPr>
            </w:pPr>
            <w:r w:rsidRPr="00747CD6">
              <w:rPr>
                <w:rFonts w:ascii="Times New Roman" w:hAnsi="Times New Roman" w:cs="Times New Roman"/>
                <w:color w:val="000000"/>
                <w:kern w:val="0"/>
              </w:rPr>
              <w:t>    Schwarz criterion</w:t>
            </w:r>
          </w:p>
        </w:tc>
        <w:tc>
          <w:tcPr>
            <w:tcW w:w="1459" w:type="dxa"/>
            <w:tcBorders>
              <w:top w:val="nil"/>
              <w:left w:val="nil"/>
              <w:right w:val="nil"/>
            </w:tcBorders>
            <w:vAlign w:val="bottom"/>
          </w:tcPr>
          <w:p w14:paraId="25D113C4" w14:textId="77777777" w:rsidR="00747CD6" w:rsidRPr="00747CD6" w:rsidRDefault="00747CD6" w:rsidP="00D56BB9">
            <w:pPr>
              <w:autoSpaceDE w:val="0"/>
              <w:autoSpaceDN w:val="0"/>
              <w:adjustRightInd w:val="0"/>
              <w:spacing w:after="0" w:line="276" w:lineRule="auto"/>
              <w:ind w:right="20"/>
              <w:jc w:val="right"/>
              <w:rPr>
                <w:rFonts w:ascii="Times New Roman" w:hAnsi="Times New Roman" w:cs="Times New Roman"/>
                <w:color w:val="000000"/>
                <w:kern w:val="0"/>
              </w:rPr>
            </w:pPr>
            <w:r w:rsidRPr="00747CD6">
              <w:rPr>
                <w:rFonts w:ascii="Times New Roman" w:hAnsi="Times New Roman" w:cs="Times New Roman"/>
                <w:color w:val="000000"/>
                <w:kern w:val="0"/>
              </w:rPr>
              <w:t>7.853105</w:t>
            </w:r>
          </w:p>
        </w:tc>
      </w:tr>
      <w:tr w:rsidR="00747CD6" w:rsidRPr="00747CD6" w14:paraId="2C6F4AED" w14:textId="77777777" w:rsidTr="000F126D">
        <w:trPr>
          <w:gridAfter w:val="1"/>
          <w:wAfter w:w="11" w:type="dxa"/>
          <w:trHeight w:val="260"/>
        </w:trPr>
        <w:tc>
          <w:tcPr>
            <w:tcW w:w="2752" w:type="dxa"/>
            <w:tcBorders>
              <w:top w:val="nil"/>
              <w:left w:val="nil"/>
              <w:bottom w:val="single" w:sz="4" w:space="0" w:color="auto"/>
              <w:right w:val="nil"/>
            </w:tcBorders>
            <w:vAlign w:val="bottom"/>
          </w:tcPr>
          <w:p w14:paraId="729AAAC0"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Log likelihood</w:t>
            </w:r>
          </w:p>
        </w:tc>
        <w:tc>
          <w:tcPr>
            <w:tcW w:w="1538" w:type="dxa"/>
            <w:gridSpan w:val="2"/>
            <w:tcBorders>
              <w:top w:val="nil"/>
              <w:left w:val="nil"/>
              <w:bottom w:val="single" w:sz="4" w:space="0" w:color="auto"/>
              <w:right w:val="nil"/>
            </w:tcBorders>
            <w:vAlign w:val="bottom"/>
          </w:tcPr>
          <w:p w14:paraId="329571B3" w14:textId="77777777" w:rsidR="00747CD6" w:rsidRPr="00747CD6" w:rsidRDefault="00747CD6" w:rsidP="00D56BB9">
            <w:pPr>
              <w:autoSpaceDE w:val="0"/>
              <w:autoSpaceDN w:val="0"/>
              <w:adjustRightInd w:val="0"/>
              <w:spacing w:after="0" w:line="276" w:lineRule="auto"/>
              <w:ind w:right="20"/>
              <w:jc w:val="right"/>
              <w:rPr>
                <w:rFonts w:ascii="Times New Roman" w:hAnsi="Times New Roman" w:cs="Times New Roman"/>
                <w:color w:val="000000"/>
                <w:kern w:val="0"/>
              </w:rPr>
            </w:pPr>
            <w:r w:rsidRPr="00747CD6">
              <w:rPr>
                <w:rFonts w:ascii="Times New Roman" w:hAnsi="Times New Roman" w:cs="Times New Roman"/>
                <w:color w:val="000000"/>
                <w:kern w:val="0"/>
              </w:rPr>
              <w:t>-1373.915</w:t>
            </w:r>
          </w:p>
        </w:tc>
        <w:tc>
          <w:tcPr>
            <w:tcW w:w="3240" w:type="dxa"/>
            <w:gridSpan w:val="2"/>
            <w:tcBorders>
              <w:top w:val="nil"/>
              <w:left w:val="nil"/>
              <w:bottom w:val="single" w:sz="4" w:space="0" w:color="auto"/>
              <w:right w:val="nil"/>
            </w:tcBorders>
            <w:vAlign w:val="bottom"/>
          </w:tcPr>
          <w:p w14:paraId="2A37B3E0" w14:textId="77777777" w:rsidR="00747CD6" w:rsidRPr="00747CD6" w:rsidRDefault="00747CD6" w:rsidP="00D56BB9">
            <w:pPr>
              <w:autoSpaceDE w:val="0"/>
              <w:autoSpaceDN w:val="0"/>
              <w:adjustRightInd w:val="0"/>
              <w:spacing w:after="0" w:line="276" w:lineRule="auto"/>
              <w:ind w:right="20"/>
              <w:rPr>
                <w:rFonts w:ascii="Times New Roman" w:hAnsi="Times New Roman" w:cs="Times New Roman"/>
                <w:color w:val="000000"/>
                <w:kern w:val="0"/>
              </w:rPr>
            </w:pPr>
            <w:r w:rsidRPr="00747CD6">
              <w:rPr>
                <w:rFonts w:ascii="Times New Roman" w:hAnsi="Times New Roman" w:cs="Times New Roman"/>
                <w:color w:val="000000"/>
                <w:kern w:val="0"/>
              </w:rPr>
              <w:t xml:space="preserve">    Hannan-Quinn </w:t>
            </w:r>
            <w:proofErr w:type="spellStart"/>
            <w:r w:rsidRPr="00747CD6">
              <w:rPr>
                <w:rFonts w:ascii="Times New Roman" w:hAnsi="Times New Roman" w:cs="Times New Roman"/>
                <w:color w:val="000000"/>
                <w:kern w:val="0"/>
              </w:rPr>
              <w:t>criter</w:t>
            </w:r>
            <w:proofErr w:type="spellEnd"/>
            <w:r w:rsidRPr="00747CD6">
              <w:rPr>
                <w:rFonts w:ascii="Times New Roman" w:hAnsi="Times New Roman" w:cs="Times New Roman"/>
                <w:color w:val="000000"/>
                <w:kern w:val="0"/>
              </w:rPr>
              <w:t>.</w:t>
            </w:r>
          </w:p>
        </w:tc>
        <w:tc>
          <w:tcPr>
            <w:tcW w:w="1459" w:type="dxa"/>
            <w:tcBorders>
              <w:top w:val="nil"/>
              <w:left w:val="nil"/>
              <w:bottom w:val="single" w:sz="4" w:space="0" w:color="auto"/>
              <w:right w:val="nil"/>
            </w:tcBorders>
            <w:vAlign w:val="bottom"/>
          </w:tcPr>
          <w:p w14:paraId="35FC55AB" w14:textId="77777777" w:rsidR="00747CD6" w:rsidRPr="00747CD6" w:rsidRDefault="00747CD6" w:rsidP="00D56BB9">
            <w:pPr>
              <w:autoSpaceDE w:val="0"/>
              <w:autoSpaceDN w:val="0"/>
              <w:adjustRightInd w:val="0"/>
              <w:spacing w:after="0" w:line="276" w:lineRule="auto"/>
              <w:ind w:right="20"/>
              <w:jc w:val="right"/>
              <w:rPr>
                <w:rFonts w:ascii="Times New Roman" w:hAnsi="Times New Roman" w:cs="Times New Roman"/>
                <w:color w:val="000000"/>
                <w:kern w:val="0"/>
              </w:rPr>
            </w:pPr>
            <w:r w:rsidRPr="00747CD6">
              <w:rPr>
                <w:rFonts w:ascii="Times New Roman" w:hAnsi="Times New Roman" w:cs="Times New Roman"/>
                <w:color w:val="000000"/>
                <w:kern w:val="0"/>
              </w:rPr>
              <w:t>5.487955</w:t>
            </w:r>
          </w:p>
        </w:tc>
      </w:tr>
    </w:tbl>
    <w:p w14:paraId="449A3CB7" w14:textId="77777777" w:rsidR="00747CD6" w:rsidRPr="00747CD6" w:rsidRDefault="00747CD6" w:rsidP="00D56BB9">
      <w:pPr>
        <w:spacing w:line="276" w:lineRule="auto"/>
        <w:jc w:val="both"/>
        <w:rPr>
          <w:rFonts w:ascii="Times New Roman" w:eastAsia="Times New Roman" w:hAnsi="Times New Roman" w:cs="Times New Roman"/>
          <w:kern w:val="0"/>
          <w:lang w:val="en-GB"/>
          <w14:ligatures w14:val="none"/>
        </w:rPr>
      </w:pPr>
      <w:r w:rsidRPr="00747CD6">
        <w:rPr>
          <w:rFonts w:ascii="Times New Roman" w:eastAsia="Times New Roman" w:hAnsi="Times New Roman" w:cs="Times New Roman"/>
          <w:b/>
          <w:bCs/>
          <w:kern w:val="0"/>
          <w:lang w:val="en-GB"/>
          <w14:ligatures w14:val="none"/>
        </w:rPr>
        <w:t>Source:</w:t>
      </w:r>
      <w:r w:rsidRPr="00747CD6">
        <w:rPr>
          <w:rFonts w:ascii="Times New Roman" w:eastAsia="Times New Roman" w:hAnsi="Times New Roman" w:cs="Times New Roman"/>
          <w:kern w:val="0"/>
          <w:lang w:val="en-GB"/>
          <w14:ligatures w14:val="none"/>
        </w:rPr>
        <w:t xml:space="preserve"> Authors computation using </w:t>
      </w:r>
      <w:proofErr w:type="spellStart"/>
      <w:r w:rsidRPr="00747CD6">
        <w:rPr>
          <w:rFonts w:ascii="Times New Roman" w:eastAsia="Times New Roman" w:hAnsi="Times New Roman" w:cs="Times New Roman"/>
          <w:kern w:val="0"/>
          <w:lang w:val="en-GB"/>
          <w14:ligatures w14:val="none"/>
        </w:rPr>
        <w:t>Eviews</w:t>
      </w:r>
      <w:proofErr w:type="spellEnd"/>
      <w:r w:rsidRPr="00747CD6">
        <w:rPr>
          <w:rFonts w:ascii="Times New Roman" w:eastAsia="Times New Roman" w:hAnsi="Times New Roman" w:cs="Times New Roman"/>
          <w:kern w:val="0"/>
          <w:lang w:val="en-GB"/>
          <w14:ligatures w14:val="none"/>
        </w:rPr>
        <w:t xml:space="preserve"> 10, 2026. </w:t>
      </w:r>
    </w:p>
    <w:p w14:paraId="6C18116B" w14:textId="6183D6AD" w:rsidR="00747CD6" w:rsidRPr="00747CD6" w:rsidRDefault="00747CD6" w:rsidP="00D56BB9">
      <w:pPr>
        <w:spacing w:line="276" w:lineRule="auto"/>
        <w:jc w:val="both"/>
        <w:rPr>
          <w:rFonts w:ascii="Times New Roman" w:eastAsia="Times New Roman" w:hAnsi="Times New Roman" w:cs="Times New Roman"/>
          <w:kern w:val="0"/>
          <w14:ligatures w14:val="none"/>
        </w:rPr>
      </w:pPr>
      <w:r w:rsidRPr="00747CD6">
        <w:rPr>
          <w:rFonts w:ascii="Times New Roman" w:eastAsia="Times New Roman" w:hAnsi="Times New Roman" w:cs="Times New Roman"/>
          <w:kern w:val="0"/>
          <w14:ligatures w14:val="none"/>
        </w:rPr>
        <w:t>Table 4.</w:t>
      </w:r>
      <w:r w:rsidR="00D56BB9">
        <w:rPr>
          <w:rFonts w:ascii="Times New Roman" w:eastAsia="Times New Roman" w:hAnsi="Times New Roman" w:cs="Times New Roman"/>
          <w:kern w:val="0"/>
          <w14:ligatures w14:val="none"/>
        </w:rPr>
        <w:t>6</w:t>
      </w:r>
      <w:r w:rsidRPr="00747CD6">
        <w:rPr>
          <w:rFonts w:ascii="Times New Roman" w:eastAsia="Times New Roman" w:hAnsi="Times New Roman" w:cs="Times New Roman"/>
          <w:kern w:val="0"/>
          <w14:ligatures w14:val="none"/>
        </w:rPr>
        <w:t xml:space="preserve"> indicates that the error correction term (-0.7008) is negative and significant, suggesting a stable long-run relationship. This implies that about 70.1% of deviations from equilibrium are corrected each period. It also shows that the short-run coefficient of one period lagged of economic growth (RGDP)</w:t>
      </w:r>
      <w:r w:rsidRPr="00747CD6">
        <w:rPr>
          <w:rFonts w:ascii="Arial" w:hAnsi="Arial" w:cs="Arial"/>
          <w:color w:val="000000"/>
          <w:kern w:val="0"/>
          <w:sz w:val="18"/>
          <w:szCs w:val="18"/>
        </w:rPr>
        <w:t xml:space="preserve"> </w:t>
      </w:r>
      <w:r w:rsidRPr="00747CD6">
        <w:rPr>
          <w:rFonts w:ascii="Times New Roman" w:eastAsia="Times New Roman" w:hAnsi="Times New Roman" w:cs="Times New Roman"/>
          <w:kern w:val="0"/>
          <w14:ligatures w14:val="none"/>
        </w:rPr>
        <w:t xml:space="preserve">0.465778 is positive and statistically significant at 5% level. The coefficient of life expectancy (LEX) and one period lagged are not statistically significant at 5% level. Similarly, the short-run coefficient of under-five mortality (UNM) and one period lagged are negative but not statistically significant at 5% level. </w:t>
      </w:r>
    </w:p>
    <w:p w14:paraId="72612703" w14:textId="77777777" w:rsidR="00747CD6" w:rsidRPr="00747CD6" w:rsidRDefault="00747CD6" w:rsidP="00D56BB9">
      <w:pPr>
        <w:spacing w:line="276" w:lineRule="auto"/>
        <w:jc w:val="both"/>
        <w:rPr>
          <w:rFonts w:ascii="Times New Roman" w:eastAsia="Times New Roman" w:hAnsi="Times New Roman" w:cs="Times New Roman"/>
          <w:kern w:val="0"/>
          <w14:ligatures w14:val="none"/>
        </w:rPr>
      </w:pPr>
      <w:r w:rsidRPr="00747CD6">
        <w:rPr>
          <w:rFonts w:ascii="Times New Roman" w:eastAsia="Times New Roman" w:hAnsi="Times New Roman" w:cs="Times New Roman"/>
          <w:kern w:val="0"/>
          <w14:ligatures w14:val="none"/>
        </w:rPr>
        <w:t xml:space="preserve">The short-run coefficient of health expenditure (HEX) is positive and statistically significant at 5% level. While the coefficient of one period lagged of health expenditure is negative but not statistically significant at 5% level. The coefficient of education (EDU) and the one period lagged of education are not statistically significant at 5% level. Similarly, the short-run coefficient of population (POP) and one period lagged of population are not statistically significant at 5% level. The constant term </w:t>
      </w:r>
      <w:r w:rsidRPr="00747CD6">
        <w:rPr>
          <w:rFonts w:ascii="Times New Roman" w:hAnsi="Times New Roman" w:cs="Times New Roman"/>
          <w:color w:val="000000"/>
          <w:kern w:val="0"/>
        </w:rPr>
        <w:t xml:space="preserve">-118.5721 </w:t>
      </w:r>
      <w:r w:rsidRPr="00747CD6">
        <w:rPr>
          <w:rFonts w:ascii="Times New Roman" w:eastAsia="Times New Roman" w:hAnsi="Times New Roman" w:cs="Times New Roman"/>
          <w:kern w:val="0"/>
          <w14:ligatures w14:val="none"/>
        </w:rPr>
        <w:t>is negative and highly significant, indicating a substantial baseline decrease in the dependent variable due to unobserved factors.</w:t>
      </w:r>
    </w:p>
    <w:p w14:paraId="3F9FDCDE" w14:textId="3A27FC21" w:rsidR="00747CD6" w:rsidRPr="00D56BB9" w:rsidRDefault="00747CD6" w:rsidP="00D56BB9">
      <w:pPr>
        <w:spacing w:line="276" w:lineRule="auto"/>
        <w:jc w:val="both"/>
        <w:rPr>
          <w:rFonts w:ascii="Times New Roman" w:hAnsi="Times New Roman" w:cs="Times New Roman"/>
          <w:b/>
          <w:bCs/>
        </w:rPr>
      </w:pPr>
      <w:r w:rsidRPr="00747CD6">
        <w:rPr>
          <w:rFonts w:ascii="Times New Roman" w:eastAsia="Times New Roman" w:hAnsi="Times New Roman" w:cs="Times New Roman"/>
          <w:b/>
          <w:bCs/>
          <w:kern w:val="0"/>
          <w:lang w:val="en-GB"/>
          <w14:ligatures w14:val="none"/>
        </w:rPr>
        <w:t>Diagnostic Tests of the Estimated Model</w:t>
      </w:r>
    </w:p>
    <w:tbl>
      <w:tblPr>
        <w:tblW w:w="9464" w:type="dxa"/>
        <w:tblInd w:w="30" w:type="dxa"/>
        <w:tblLayout w:type="fixed"/>
        <w:tblCellMar>
          <w:left w:w="0" w:type="dxa"/>
          <w:right w:w="0" w:type="dxa"/>
        </w:tblCellMar>
        <w:tblLook w:val="0000" w:firstRow="0" w:lastRow="0" w:firstColumn="0" w:lastColumn="0" w:noHBand="0" w:noVBand="0"/>
      </w:tblPr>
      <w:tblGrid>
        <w:gridCol w:w="2921"/>
        <w:gridCol w:w="1597"/>
        <w:gridCol w:w="3499"/>
        <w:gridCol w:w="1447"/>
      </w:tblGrid>
      <w:tr w:rsidR="00747CD6" w:rsidRPr="00747CD6" w14:paraId="6CAF5AE2" w14:textId="77777777" w:rsidTr="000F126D">
        <w:trPr>
          <w:trHeight w:val="317"/>
        </w:trPr>
        <w:tc>
          <w:tcPr>
            <w:tcW w:w="2921" w:type="dxa"/>
            <w:tcBorders>
              <w:top w:val="nil"/>
              <w:left w:val="nil"/>
              <w:bottom w:val="nil"/>
              <w:right w:val="nil"/>
            </w:tcBorders>
            <w:vAlign w:val="bottom"/>
          </w:tcPr>
          <w:p w14:paraId="72E90A56"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F-statistic</w:t>
            </w:r>
          </w:p>
        </w:tc>
        <w:tc>
          <w:tcPr>
            <w:tcW w:w="1597" w:type="dxa"/>
            <w:tcBorders>
              <w:top w:val="nil"/>
              <w:left w:val="nil"/>
              <w:bottom w:val="nil"/>
              <w:right w:val="nil"/>
            </w:tcBorders>
            <w:vAlign w:val="bottom"/>
          </w:tcPr>
          <w:p w14:paraId="713E6F57" w14:textId="77777777" w:rsidR="00747CD6" w:rsidRPr="00747CD6" w:rsidRDefault="00747CD6" w:rsidP="00D56BB9">
            <w:pPr>
              <w:autoSpaceDE w:val="0"/>
              <w:autoSpaceDN w:val="0"/>
              <w:adjustRightInd w:val="0"/>
              <w:spacing w:after="0" w:line="276" w:lineRule="auto"/>
              <w:ind w:right="20"/>
              <w:jc w:val="right"/>
              <w:rPr>
                <w:rFonts w:ascii="Times New Roman" w:hAnsi="Times New Roman" w:cs="Times New Roman"/>
                <w:color w:val="000000"/>
                <w:kern w:val="0"/>
              </w:rPr>
            </w:pPr>
            <w:r w:rsidRPr="00747CD6">
              <w:rPr>
                <w:rFonts w:ascii="Times New Roman" w:hAnsi="Times New Roman" w:cs="Times New Roman"/>
                <w:color w:val="000000"/>
                <w:kern w:val="0"/>
              </w:rPr>
              <w:t>1.074673</w:t>
            </w:r>
          </w:p>
        </w:tc>
        <w:tc>
          <w:tcPr>
            <w:tcW w:w="3499" w:type="dxa"/>
            <w:tcBorders>
              <w:top w:val="nil"/>
              <w:left w:val="nil"/>
              <w:bottom w:val="nil"/>
              <w:right w:val="nil"/>
            </w:tcBorders>
            <w:vAlign w:val="bottom"/>
          </w:tcPr>
          <w:p w14:paraId="03423E3E" w14:textId="77777777" w:rsidR="00747CD6" w:rsidRPr="00747CD6" w:rsidRDefault="00747CD6" w:rsidP="00D56BB9">
            <w:pPr>
              <w:autoSpaceDE w:val="0"/>
              <w:autoSpaceDN w:val="0"/>
              <w:adjustRightInd w:val="0"/>
              <w:spacing w:after="0" w:line="276" w:lineRule="auto"/>
              <w:ind w:right="20"/>
              <w:rPr>
                <w:rFonts w:ascii="Times New Roman" w:hAnsi="Times New Roman" w:cs="Times New Roman"/>
                <w:color w:val="000000"/>
                <w:kern w:val="0"/>
              </w:rPr>
            </w:pPr>
            <w:r w:rsidRPr="00747CD6">
              <w:rPr>
                <w:rFonts w:ascii="Times New Roman" w:hAnsi="Times New Roman" w:cs="Times New Roman"/>
                <w:color w:val="000000"/>
                <w:kern w:val="0"/>
              </w:rPr>
              <w:t xml:space="preserve">    Prob. </w:t>
            </w:r>
            <w:proofErr w:type="gramStart"/>
            <w:r w:rsidRPr="00747CD6">
              <w:rPr>
                <w:rFonts w:ascii="Times New Roman" w:hAnsi="Times New Roman" w:cs="Times New Roman"/>
                <w:color w:val="000000"/>
                <w:kern w:val="0"/>
              </w:rPr>
              <w:t>F(</w:t>
            </w:r>
            <w:proofErr w:type="gramEnd"/>
            <w:r w:rsidRPr="00747CD6">
              <w:rPr>
                <w:rFonts w:ascii="Times New Roman" w:hAnsi="Times New Roman" w:cs="Times New Roman"/>
                <w:color w:val="000000"/>
                <w:kern w:val="0"/>
              </w:rPr>
              <w:t>2,2)</w:t>
            </w:r>
          </w:p>
        </w:tc>
        <w:tc>
          <w:tcPr>
            <w:tcW w:w="1447" w:type="dxa"/>
            <w:tcBorders>
              <w:top w:val="nil"/>
              <w:left w:val="nil"/>
              <w:bottom w:val="nil"/>
              <w:right w:val="nil"/>
            </w:tcBorders>
            <w:vAlign w:val="bottom"/>
          </w:tcPr>
          <w:p w14:paraId="1F5A77B7" w14:textId="77777777" w:rsidR="00747CD6" w:rsidRPr="00747CD6" w:rsidRDefault="00747CD6" w:rsidP="00D56BB9">
            <w:pPr>
              <w:autoSpaceDE w:val="0"/>
              <w:autoSpaceDN w:val="0"/>
              <w:adjustRightInd w:val="0"/>
              <w:spacing w:after="0" w:line="276" w:lineRule="auto"/>
              <w:ind w:right="20"/>
              <w:jc w:val="right"/>
              <w:rPr>
                <w:rFonts w:ascii="Times New Roman" w:hAnsi="Times New Roman" w:cs="Times New Roman"/>
                <w:color w:val="000000"/>
                <w:kern w:val="0"/>
              </w:rPr>
            </w:pPr>
            <w:r w:rsidRPr="00747CD6">
              <w:rPr>
                <w:rFonts w:ascii="Times New Roman" w:hAnsi="Times New Roman" w:cs="Times New Roman"/>
                <w:color w:val="000000"/>
                <w:kern w:val="0"/>
              </w:rPr>
              <w:t>0.4820</w:t>
            </w:r>
          </w:p>
        </w:tc>
      </w:tr>
      <w:tr w:rsidR="00747CD6" w:rsidRPr="00747CD6" w14:paraId="74811932" w14:textId="77777777" w:rsidTr="000F126D">
        <w:trPr>
          <w:trHeight w:val="317"/>
        </w:trPr>
        <w:tc>
          <w:tcPr>
            <w:tcW w:w="2921" w:type="dxa"/>
            <w:tcBorders>
              <w:top w:val="nil"/>
              <w:left w:val="nil"/>
              <w:bottom w:val="nil"/>
              <w:right w:val="nil"/>
            </w:tcBorders>
            <w:vAlign w:val="bottom"/>
          </w:tcPr>
          <w:p w14:paraId="1E3E71CF"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proofErr w:type="spellStart"/>
            <w:r w:rsidRPr="00747CD6">
              <w:rPr>
                <w:rFonts w:ascii="Times New Roman" w:hAnsi="Times New Roman" w:cs="Times New Roman"/>
                <w:color w:val="000000"/>
                <w:kern w:val="0"/>
              </w:rPr>
              <w:t>Obs</w:t>
            </w:r>
            <w:proofErr w:type="spellEnd"/>
            <w:r w:rsidRPr="00747CD6">
              <w:rPr>
                <w:rFonts w:ascii="Times New Roman" w:hAnsi="Times New Roman" w:cs="Times New Roman"/>
                <w:color w:val="000000"/>
                <w:kern w:val="0"/>
              </w:rPr>
              <w:t>*R-squared</w:t>
            </w:r>
          </w:p>
        </w:tc>
        <w:tc>
          <w:tcPr>
            <w:tcW w:w="1597" w:type="dxa"/>
            <w:tcBorders>
              <w:top w:val="nil"/>
              <w:left w:val="nil"/>
              <w:bottom w:val="nil"/>
              <w:right w:val="nil"/>
            </w:tcBorders>
            <w:vAlign w:val="bottom"/>
          </w:tcPr>
          <w:p w14:paraId="5CA0E6A4" w14:textId="77777777" w:rsidR="00747CD6" w:rsidRPr="00747CD6" w:rsidRDefault="00747CD6" w:rsidP="00D56BB9">
            <w:pPr>
              <w:autoSpaceDE w:val="0"/>
              <w:autoSpaceDN w:val="0"/>
              <w:adjustRightInd w:val="0"/>
              <w:spacing w:after="0" w:line="276" w:lineRule="auto"/>
              <w:ind w:right="20"/>
              <w:jc w:val="right"/>
              <w:rPr>
                <w:rFonts w:ascii="Times New Roman" w:hAnsi="Times New Roman" w:cs="Times New Roman"/>
                <w:color w:val="000000"/>
                <w:kern w:val="0"/>
              </w:rPr>
            </w:pPr>
            <w:r w:rsidRPr="00747CD6">
              <w:rPr>
                <w:rFonts w:ascii="Times New Roman" w:hAnsi="Times New Roman" w:cs="Times New Roman"/>
                <w:color w:val="000000"/>
                <w:kern w:val="0"/>
              </w:rPr>
              <w:t>15.02189</w:t>
            </w:r>
          </w:p>
        </w:tc>
        <w:tc>
          <w:tcPr>
            <w:tcW w:w="3499" w:type="dxa"/>
            <w:tcBorders>
              <w:top w:val="nil"/>
              <w:left w:val="nil"/>
              <w:bottom w:val="nil"/>
              <w:right w:val="nil"/>
            </w:tcBorders>
            <w:vAlign w:val="bottom"/>
          </w:tcPr>
          <w:p w14:paraId="23BD169E" w14:textId="77777777" w:rsidR="00747CD6" w:rsidRPr="00747CD6" w:rsidRDefault="00747CD6" w:rsidP="00D56BB9">
            <w:pPr>
              <w:autoSpaceDE w:val="0"/>
              <w:autoSpaceDN w:val="0"/>
              <w:adjustRightInd w:val="0"/>
              <w:spacing w:after="0" w:line="276" w:lineRule="auto"/>
              <w:ind w:right="20"/>
              <w:rPr>
                <w:rFonts w:ascii="Times New Roman" w:hAnsi="Times New Roman" w:cs="Times New Roman"/>
                <w:color w:val="000000"/>
                <w:kern w:val="0"/>
              </w:rPr>
            </w:pPr>
            <w:r w:rsidRPr="00747CD6">
              <w:rPr>
                <w:rFonts w:ascii="Times New Roman" w:hAnsi="Times New Roman" w:cs="Times New Roman"/>
                <w:color w:val="000000"/>
                <w:kern w:val="0"/>
              </w:rPr>
              <w:t>    Prob. Chi-</w:t>
            </w:r>
            <w:proofErr w:type="gramStart"/>
            <w:r w:rsidRPr="00747CD6">
              <w:rPr>
                <w:rFonts w:ascii="Times New Roman" w:hAnsi="Times New Roman" w:cs="Times New Roman"/>
                <w:color w:val="000000"/>
                <w:kern w:val="0"/>
              </w:rPr>
              <w:t>Square(</w:t>
            </w:r>
            <w:proofErr w:type="gramEnd"/>
            <w:r w:rsidRPr="00747CD6">
              <w:rPr>
                <w:rFonts w:ascii="Times New Roman" w:hAnsi="Times New Roman" w:cs="Times New Roman"/>
                <w:color w:val="000000"/>
                <w:kern w:val="0"/>
              </w:rPr>
              <w:t>2)</w:t>
            </w:r>
          </w:p>
        </w:tc>
        <w:tc>
          <w:tcPr>
            <w:tcW w:w="1447" w:type="dxa"/>
            <w:tcBorders>
              <w:top w:val="nil"/>
              <w:left w:val="nil"/>
              <w:bottom w:val="nil"/>
              <w:right w:val="nil"/>
            </w:tcBorders>
            <w:vAlign w:val="bottom"/>
          </w:tcPr>
          <w:p w14:paraId="28197A99" w14:textId="77777777" w:rsidR="00747CD6" w:rsidRPr="00747CD6" w:rsidRDefault="00747CD6" w:rsidP="00D56BB9">
            <w:pPr>
              <w:autoSpaceDE w:val="0"/>
              <w:autoSpaceDN w:val="0"/>
              <w:adjustRightInd w:val="0"/>
              <w:spacing w:after="0" w:line="276" w:lineRule="auto"/>
              <w:ind w:right="20"/>
              <w:jc w:val="right"/>
              <w:rPr>
                <w:rFonts w:ascii="Times New Roman" w:hAnsi="Times New Roman" w:cs="Times New Roman"/>
                <w:color w:val="000000"/>
                <w:kern w:val="0"/>
              </w:rPr>
            </w:pPr>
            <w:r w:rsidRPr="00747CD6">
              <w:rPr>
                <w:rFonts w:ascii="Times New Roman" w:hAnsi="Times New Roman" w:cs="Times New Roman"/>
                <w:color w:val="000000"/>
                <w:kern w:val="0"/>
              </w:rPr>
              <w:t>0.7005</w:t>
            </w:r>
          </w:p>
        </w:tc>
      </w:tr>
    </w:tbl>
    <w:p w14:paraId="17B0764C" w14:textId="77777777" w:rsidR="00747CD6" w:rsidRPr="00747CD6" w:rsidRDefault="00747CD6" w:rsidP="00D56BB9">
      <w:pPr>
        <w:spacing w:line="276" w:lineRule="auto"/>
        <w:jc w:val="both"/>
        <w:rPr>
          <w:rFonts w:ascii="Times New Roman" w:eastAsia="Times New Roman" w:hAnsi="Times New Roman" w:cs="Times New Roman"/>
          <w:kern w:val="0"/>
          <w:lang w:val="en-GB"/>
          <w14:ligatures w14:val="none"/>
        </w:rPr>
      </w:pPr>
      <w:r w:rsidRPr="00747CD6">
        <w:rPr>
          <w:rFonts w:ascii="Times New Roman" w:eastAsia="Times New Roman" w:hAnsi="Times New Roman" w:cs="Times New Roman"/>
          <w:b/>
          <w:bCs/>
          <w:kern w:val="0"/>
          <w:lang w:val="en-GB"/>
          <w14:ligatures w14:val="none"/>
        </w:rPr>
        <w:t>Source:</w:t>
      </w:r>
      <w:r w:rsidRPr="00747CD6">
        <w:rPr>
          <w:rFonts w:ascii="Times New Roman" w:eastAsia="Times New Roman" w:hAnsi="Times New Roman" w:cs="Times New Roman"/>
          <w:kern w:val="0"/>
          <w:lang w:val="en-GB"/>
          <w14:ligatures w14:val="none"/>
        </w:rPr>
        <w:t xml:space="preserve"> Authors computation using </w:t>
      </w:r>
      <w:proofErr w:type="spellStart"/>
      <w:r w:rsidRPr="00747CD6">
        <w:rPr>
          <w:rFonts w:ascii="Times New Roman" w:eastAsia="Times New Roman" w:hAnsi="Times New Roman" w:cs="Times New Roman"/>
          <w:kern w:val="0"/>
          <w:lang w:val="en-GB"/>
          <w14:ligatures w14:val="none"/>
        </w:rPr>
        <w:t>Eviews</w:t>
      </w:r>
      <w:proofErr w:type="spellEnd"/>
      <w:r w:rsidRPr="00747CD6">
        <w:rPr>
          <w:rFonts w:ascii="Times New Roman" w:eastAsia="Times New Roman" w:hAnsi="Times New Roman" w:cs="Times New Roman"/>
          <w:kern w:val="0"/>
          <w:lang w:val="en-GB"/>
          <w14:ligatures w14:val="none"/>
        </w:rPr>
        <w:t xml:space="preserve"> 10,2026.</w:t>
      </w:r>
    </w:p>
    <w:p w14:paraId="7011AC05" w14:textId="77777777" w:rsidR="00D56BB9" w:rsidRDefault="00747CD6" w:rsidP="00D56BB9">
      <w:pPr>
        <w:spacing w:line="276" w:lineRule="auto"/>
        <w:jc w:val="both"/>
        <w:rPr>
          <w:rFonts w:ascii="Times New Roman" w:eastAsia="Times New Roman" w:hAnsi="Times New Roman" w:cs="Times New Roman"/>
          <w:kern w:val="0"/>
          <w:lang w:val="en-GB"/>
          <w14:ligatures w14:val="none"/>
        </w:rPr>
      </w:pPr>
      <w:r w:rsidRPr="00747CD6">
        <w:rPr>
          <w:rFonts w:ascii="Times New Roman" w:eastAsia="Times New Roman" w:hAnsi="Times New Roman" w:cs="Times New Roman"/>
          <w:kern w:val="0"/>
          <w:lang w:val="en-GB"/>
          <w14:ligatures w14:val="none"/>
        </w:rPr>
        <w:t xml:space="preserve">The </w:t>
      </w:r>
      <w:r w:rsidRPr="00747CD6">
        <w:rPr>
          <w:rFonts w:ascii="Times New Roman" w:hAnsi="Times New Roman" w:cs="Times New Roman"/>
          <w:color w:val="000000"/>
          <w:kern w:val="0"/>
        </w:rPr>
        <w:t xml:space="preserve">Breusch-Godfrey Serial Correlation test indicates that there is no serial correlation in the model residuals. The F-statistic of 1.074673 and probability value of 0.4820 and an </w:t>
      </w:r>
      <w:proofErr w:type="spellStart"/>
      <w:r w:rsidRPr="00747CD6">
        <w:rPr>
          <w:rFonts w:ascii="Times New Roman" w:hAnsi="Times New Roman" w:cs="Times New Roman"/>
          <w:color w:val="000000"/>
          <w:kern w:val="0"/>
        </w:rPr>
        <w:t>Obc</w:t>
      </w:r>
      <w:proofErr w:type="spellEnd"/>
      <w:r w:rsidRPr="00747CD6">
        <w:rPr>
          <w:rFonts w:ascii="Times New Roman" w:hAnsi="Times New Roman" w:cs="Times New Roman"/>
          <w:color w:val="000000"/>
          <w:kern w:val="0"/>
        </w:rPr>
        <w:t xml:space="preserve">*R-squared of 15.02189 and probability of 0.7005 which greater than 5% level of significant. Therefore, since the probability is greater than 5%, the null hypothesis of no serial correlation cannot be rejected. </w:t>
      </w:r>
    </w:p>
    <w:p w14:paraId="0CD867A8" w14:textId="71012BFB" w:rsidR="00747CD6" w:rsidRPr="00D56BB9" w:rsidRDefault="00747CD6" w:rsidP="00D56BB9">
      <w:pPr>
        <w:spacing w:line="276" w:lineRule="auto"/>
        <w:jc w:val="both"/>
        <w:rPr>
          <w:rFonts w:ascii="Times New Roman" w:eastAsia="Times New Roman" w:hAnsi="Times New Roman" w:cs="Times New Roman"/>
          <w:kern w:val="0"/>
          <w:lang w:val="en-GB"/>
          <w14:ligatures w14:val="none"/>
        </w:rPr>
      </w:pPr>
      <w:r w:rsidRPr="00747CD6">
        <w:rPr>
          <w:rFonts w:ascii="Times New Roman" w:hAnsi="Times New Roman" w:cs="Times New Roman"/>
          <w:b/>
          <w:bCs/>
          <w:color w:val="000000"/>
          <w:kern w:val="0"/>
        </w:rPr>
        <w:t xml:space="preserve"> Heteroskedasticity Test: Breusch-Pagan-Godfrey</w:t>
      </w:r>
    </w:p>
    <w:tbl>
      <w:tblPr>
        <w:tblW w:w="9094" w:type="dxa"/>
        <w:tblInd w:w="30" w:type="dxa"/>
        <w:tblLayout w:type="fixed"/>
        <w:tblCellMar>
          <w:left w:w="0" w:type="dxa"/>
          <w:right w:w="0" w:type="dxa"/>
        </w:tblCellMar>
        <w:tblLook w:val="0000" w:firstRow="0" w:lastRow="0" w:firstColumn="0" w:lastColumn="0" w:noHBand="0" w:noVBand="0"/>
      </w:tblPr>
      <w:tblGrid>
        <w:gridCol w:w="2807"/>
        <w:gridCol w:w="1535"/>
        <w:gridCol w:w="3362"/>
        <w:gridCol w:w="1390"/>
      </w:tblGrid>
      <w:tr w:rsidR="00747CD6" w:rsidRPr="00747CD6" w14:paraId="5300FD46" w14:textId="77777777" w:rsidTr="000F126D">
        <w:trPr>
          <w:trHeight w:val="237"/>
        </w:trPr>
        <w:tc>
          <w:tcPr>
            <w:tcW w:w="2807" w:type="dxa"/>
            <w:tcBorders>
              <w:top w:val="nil"/>
              <w:left w:val="nil"/>
              <w:bottom w:val="nil"/>
              <w:right w:val="nil"/>
            </w:tcBorders>
            <w:vAlign w:val="bottom"/>
          </w:tcPr>
          <w:p w14:paraId="650D558C"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F-statistic</w:t>
            </w:r>
          </w:p>
        </w:tc>
        <w:tc>
          <w:tcPr>
            <w:tcW w:w="1535" w:type="dxa"/>
            <w:tcBorders>
              <w:top w:val="nil"/>
              <w:left w:val="nil"/>
              <w:bottom w:val="nil"/>
              <w:right w:val="nil"/>
            </w:tcBorders>
            <w:vAlign w:val="bottom"/>
          </w:tcPr>
          <w:p w14:paraId="4B97BA91" w14:textId="77777777" w:rsidR="00747CD6" w:rsidRPr="00747CD6" w:rsidRDefault="00747CD6" w:rsidP="00D56BB9">
            <w:pPr>
              <w:autoSpaceDE w:val="0"/>
              <w:autoSpaceDN w:val="0"/>
              <w:adjustRightInd w:val="0"/>
              <w:spacing w:after="0" w:line="276" w:lineRule="auto"/>
              <w:ind w:right="20"/>
              <w:jc w:val="right"/>
              <w:rPr>
                <w:rFonts w:ascii="Times New Roman" w:hAnsi="Times New Roman" w:cs="Times New Roman"/>
                <w:color w:val="000000"/>
                <w:kern w:val="0"/>
              </w:rPr>
            </w:pPr>
            <w:r w:rsidRPr="00747CD6">
              <w:rPr>
                <w:rFonts w:ascii="Times New Roman" w:hAnsi="Times New Roman" w:cs="Times New Roman"/>
                <w:color w:val="000000"/>
                <w:kern w:val="0"/>
              </w:rPr>
              <w:t>4.913906</w:t>
            </w:r>
          </w:p>
        </w:tc>
        <w:tc>
          <w:tcPr>
            <w:tcW w:w="3362" w:type="dxa"/>
            <w:tcBorders>
              <w:top w:val="nil"/>
              <w:left w:val="nil"/>
              <w:bottom w:val="nil"/>
              <w:right w:val="nil"/>
            </w:tcBorders>
            <w:vAlign w:val="bottom"/>
          </w:tcPr>
          <w:p w14:paraId="16DD3D4C" w14:textId="77777777" w:rsidR="00747CD6" w:rsidRPr="00747CD6" w:rsidRDefault="00747CD6" w:rsidP="00D56BB9">
            <w:pPr>
              <w:autoSpaceDE w:val="0"/>
              <w:autoSpaceDN w:val="0"/>
              <w:adjustRightInd w:val="0"/>
              <w:spacing w:after="0" w:line="276" w:lineRule="auto"/>
              <w:ind w:right="20"/>
              <w:rPr>
                <w:rFonts w:ascii="Times New Roman" w:hAnsi="Times New Roman" w:cs="Times New Roman"/>
                <w:color w:val="000000"/>
                <w:kern w:val="0"/>
              </w:rPr>
            </w:pPr>
            <w:r w:rsidRPr="00747CD6">
              <w:rPr>
                <w:rFonts w:ascii="Times New Roman" w:hAnsi="Times New Roman" w:cs="Times New Roman"/>
                <w:color w:val="000000"/>
                <w:kern w:val="0"/>
              </w:rPr>
              <w:t xml:space="preserve">    Prob. </w:t>
            </w:r>
            <w:proofErr w:type="gramStart"/>
            <w:r w:rsidRPr="00747CD6">
              <w:rPr>
                <w:rFonts w:ascii="Times New Roman" w:hAnsi="Times New Roman" w:cs="Times New Roman"/>
                <w:color w:val="000000"/>
                <w:kern w:val="0"/>
              </w:rPr>
              <w:t>F(</w:t>
            </w:r>
            <w:proofErr w:type="gramEnd"/>
            <w:r w:rsidRPr="00747CD6">
              <w:rPr>
                <w:rFonts w:ascii="Times New Roman" w:hAnsi="Times New Roman" w:cs="Times New Roman"/>
                <w:color w:val="000000"/>
                <w:kern w:val="0"/>
              </w:rPr>
              <w:t>24,4)</w:t>
            </w:r>
          </w:p>
        </w:tc>
        <w:tc>
          <w:tcPr>
            <w:tcW w:w="1390" w:type="dxa"/>
            <w:tcBorders>
              <w:top w:val="nil"/>
              <w:left w:val="nil"/>
              <w:bottom w:val="nil"/>
              <w:right w:val="nil"/>
            </w:tcBorders>
            <w:vAlign w:val="bottom"/>
          </w:tcPr>
          <w:p w14:paraId="4085404F" w14:textId="77777777" w:rsidR="00747CD6" w:rsidRPr="00747CD6" w:rsidRDefault="00747CD6" w:rsidP="00D56BB9">
            <w:pPr>
              <w:autoSpaceDE w:val="0"/>
              <w:autoSpaceDN w:val="0"/>
              <w:adjustRightInd w:val="0"/>
              <w:spacing w:after="0" w:line="276" w:lineRule="auto"/>
              <w:ind w:right="20"/>
              <w:jc w:val="right"/>
              <w:rPr>
                <w:rFonts w:ascii="Times New Roman" w:hAnsi="Times New Roman" w:cs="Times New Roman"/>
                <w:color w:val="000000"/>
                <w:kern w:val="0"/>
              </w:rPr>
            </w:pPr>
            <w:r w:rsidRPr="00747CD6">
              <w:rPr>
                <w:rFonts w:ascii="Times New Roman" w:hAnsi="Times New Roman" w:cs="Times New Roman"/>
                <w:color w:val="000000"/>
                <w:kern w:val="0"/>
              </w:rPr>
              <w:t>0.0660</w:t>
            </w:r>
          </w:p>
        </w:tc>
      </w:tr>
      <w:tr w:rsidR="00747CD6" w:rsidRPr="00747CD6" w14:paraId="01946ADD" w14:textId="77777777" w:rsidTr="000F126D">
        <w:trPr>
          <w:trHeight w:val="237"/>
        </w:trPr>
        <w:tc>
          <w:tcPr>
            <w:tcW w:w="2807" w:type="dxa"/>
            <w:tcBorders>
              <w:top w:val="nil"/>
              <w:left w:val="nil"/>
              <w:bottom w:val="nil"/>
              <w:right w:val="nil"/>
            </w:tcBorders>
            <w:vAlign w:val="bottom"/>
          </w:tcPr>
          <w:p w14:paraId="680159D1"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proofErr w:type="spellStart"/>
            <w:r w:rsidRPr="00747CD6">
              <w:rPr>
                <w:rFonts w:ascii="Times New Roman" w:hAnsi="Times New Roman" w:cs="Times New Roman"/>
                <w:color w:val="000000"/>
                <w:kern w:val="0"/>
              </w:rPr>
              <w:t>Obs</w:t>
            </w:r>
            <w:proofErr w:type="spellEnd"/>
            <w:r w:rsidRPr="00747CD6">
              <w:rPr>
                <w:rFonts w:ascii="Times New Roman" w:hAnsi="Times New Roman" w:cs="Times New Roman"/>
                <w:color w:val="000000"/>
                <w:kern w:val="0"/>
              </w:rPr>
              <w:t>*R-squared</w:t>
            </w:r>
          </w:p>
        </w:tc>
        <w:tc>
          <w:tcPr>
            <w:tcW w:w="1535" w:type="dxa"/>
            <w:tcBorders>
              <w:top w:val="nil"/>
              <w:left w:val="nil"/>
              <w:bottom w:val="nil"/>
              <w:right w:val="nil"/>
            </w:tcBorders>
            <w:vAlign w:val="bottom"/>
          </w:tcPr>
          <w:p w14:paraId="16DF9CA4" w14:textId="77777777" w:rsidR="00747CD6" w:rsidRPr="00747CD6" w:rsidRDefault="00747CD6" w:rsidP="00D56BB9">
            <w:pPr>
              <w:autoSpaceDE w:val="0"/>
              <w:autoSpaceDN w:val="0"/>
              <w:adjustRightInd w:val="0"/>
              <w:spacing w:after="0" w:line="276" w:lineRule="auto"/>
              <w:ind w:right="20"/>
              <w:jc w:val="right"/>
              <w:rPr>
                <w:rFonts w:ascii="Times New Roman" w:hAnsi="Times New Roman" w:cs="Times New Roman"/>
                <w:color w:val="000000"/>
                <w:kern w:val="0"/>
              </w:rPr>
            </w:pPr>
            <w:r w:rsidRPr="00747CD6">
              <w:rPr>
                <w:rFonts w:ascii="Times New Roman" w:hAnsi="Times New Roman" w:cs="Times New Roman"/>
                <w:color w:val="000000"/>
                <w:kern w:val="0"/>
              </w:rPr>
              <w:t>28.04866</w:t>
            </w:r>
          </w:p>
        </w:tc>
        <w:tc>
          <w:tcPr>
            <w:tcW w:w="3362" w:type="dxa"/>
            <w:tcBorders>
              <w:top w:val="nil"/>
              <w:left w:val="nil"/>
              <w:bottom w:val="nil"/>
              <w:right w:val="nil"/>
            </w:tcBorders>
            <w:vAlign w:val="bottom"/>
          </w:tcPr>
          <w:p w14:paraId="1B8900C5" w14:textId="77777777" w:rsidR="00747CD6" w:rsidRPr="00747CD6" w:rsidRDefault="00747CD6" w:rsidP="00D56BB9">
            <w:pPr>
              <w:autoSpaceDE w:val="0"/>
              <w:autoSpaceDN w:val="0"/>
              <w:adjustRightInd w:val="0"/>
              <w:spacing w:after="0" w:line="276" w:lineRule="auto"/>
              <w:ind w:right="20"/>
              <w:rPr>
                <w:rFonts w:ascii="Times New Roman" w:hAnsi="Times New Roman" w:cs="Times New Roman"/>
                <w:color w:val="000000"/>
                <w:kern w:val="0"/>
              </w:rPr>
            </w:pPr>
            <w:r w:rsidRPr="00747CD6">
              <w:rPr>
                <w:rFonts w:ascii="Times New Roman" w:hAnsi="Times New Roman" w:cs="Times New Roman"/>
                <w:color w:val="000000"/>
                <w:kern w:val="0"/>
              </w:rPr>
              <w:t>    Prob. Chi-</w:t>
            </w:r>
            <w:proofErr w:type="gramStart"/>
            <w:r w:rsidRPr="00747CD6">
              <w:rPr>
                <w:rFonts w:ascii="Times New Roman" w:hAnsi="Times New Roman" w:cs="Times New Roman"/>
                <w:color w:val="000000"/>
                <w:kern w:val="0"/>
              </w:rPr>
              <w:t>Square(</w:t>
            </w:r>
            <w:proofErr w:type="gramEnd"/>
            <w:r w:rsidRPr="00747CD6">
              <w:rPr>
                <w:rFonts w:ascii="Times New Roman" w:hAnsi="Times New Roman" w:cs="Times New Roman"/>
                <w:color w:val="000000"/>
                <w:kern w:val="0"/>
              </w:rPr>
              <w:t>24)</w:t>
            </w:r>
          </w:p>
        </w:tc>
        <w:tc>
          <w:tcPr>
            <w:tcW w:w="1390" w:type="dxa"/>
            <w:tcBorders>
              <w:top w:val="nil"/>
              <w:left w:val="nil"/>
              <w:bottom w:val="nil"/>
              <w:right w:val="nil"/>
            </w:tcBorders>
            <w:vAlign w:val="bottom"/>
          </w:tcPr>
          <w:p w14:paraId="71EF3A17" w14:textId="77777777" w:rsidR="00747CD6" w:rsidRPr="00747CD6" w:rsidRDefault="00747CD6" w:rsidP="00D56BB9">
            <w:pPr>
              <w:autoSpaceDE w:val="0"/>
              <w:autoSpaceDN w:val="0"/>
              <w:adjustRightInd w:val="0"/>
              <w:spacing w:after="0" w:line="276" w:lineRule="auto"/>
              <w:ind w:right="20"/>
              <w:jc w:val="right"/>
              <w:rPr>
                <w:rFonts w:ascii="Times New Roman" w:hAnsi="Times New Roman" w:cs="Times New Roman"/>
                <w:color w:val="000000"/>
                <w:kern w:val="0"/>
              </w:rPr>
            </w:pPr>
            <w:r w:rsidRPr="00747CD6">
              <w:rPr>
                <w:rFonts w:ascii="Times New Roman" w:hAnsi="Times New Roman" w:cs="Times New Roman"/>
                <w:color w:val="000000"/>
                <w:kern w:val="0"/>
              </w:rPr>
              <w:t>0.2580</w:t>
            </w:r>
          </w:p>
        </w:tc>
      </w:tr>
      <w:tr w:rsidR="00747CD6" w:rsidRPr="00747CD6" w14:paraId="347755D4" w14:textId="77777777" w:rsidTr="000F126D">
        <w:trPr>
          <w:trHeight w:val="237"/>
        </w:trPr>
        <w:tc>
          <w:tcPr>
            <w:tcW w:w="2807" w:type="dxa"/>
            <w:tcBorders>
              <w:top w:val="nil"/>
              <w:left w:val="nil"/>
              <w:bottom w:val="nil"/>
              <w:right w:val="nil"/>
            </w:tcBorders>
            <w:vAlign w:val="bottom"/>
          </w:tcPr>
          <w:p w14:paraId="35D43FFB"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Scaled explained SS</w:t>
            </w:r>
          </w:p>
        </w:tc>
        <w:tc>
          <w:tcPr>
            <w:tcW w:w="1535" w:type="dxa"/>
            <w:tcBorders>
              <w:top w:val="nil"/>
              <w:left w:val="nil"/>
              <w:bottom w:val="nil"/>
              <w:right w:val="nil"/>
            </w:tcBorders>
            <w:vAlign w:val="bottom"/>
          </w:tcPr>
          <w:p w14:paraId="2AA753A8" w14:textId="77777777" w:rsidR="00747CD6" w:rsidRPr="00747CD6" w:rsidRDefault="00747CD6" w:rsidP="00D56BB9">
            <w:pPr>
              <w:autoSpaceDE w:val="0"/>
              <w:autoSpaceDN w:val="0"/>
              <w:adjustRightInd w:val="0"/>
              <w:spacing w:after="0" w:line="276" w:lineRule="auto"/>
              <w:ind w:right="20"/>
              <w:jc w:val="right"/>
              <w:rPr>
                <w:rFonts w:ascii="Times New Roman" w:hAnsi="Times New Roman" w:cs="Times New Roman"/>
                <w:color w:val="000000"/>
                <w:kern w:val="0"/>
              </w:rPr>
            </w:pPr>
            <w:r w:rsidRPr="00747CD6">
              <w:rPr>
                <w:rFonts w:ascii="Times New Roman" w:hAnsi="Times New Roman" w:cs="Times New Roman"/>
                <w:color w:val="000000"/>
                <w:kern w:val="0"/>
              </w:rPr>
              <w:t>0.419750</w:t>
            </w:r>
          </w:p>
        </w:tc>
        <w:tc>
          <w:tcPr>
            <w:tcW w:w="3362" w:type="dxa"/>
            <w:tcBorders>
              <w:top w:val="nil"/>
              <w:left w:val="nil"/>
              <w:bottom w:val="nil"/>
              <w:right w:val="nil"/>
            </w:tcBorders>
            <w:vAlign w:val="bottom"/>
          </w:tcPr>
          <w:p w14:paraId="7041204E" w14:textId="77777777" w:rsidR="00747CD6" w:rsidRPr="00747CD6" w:rsidRDefault="00747CD6" w:rsidP="00D56BB9">
            <w:pPr>
              <w:autoSpaceDE w:val="0"/>
              <w:autoSpaceDN w:val="0"/>
              <w:adjustRightInd w:val="0"/>
              <w:spacing w:after="0" w:line="276" w:lineRule="auto"/>
              <w:ind w:right="20"/>
              <w:rPr>
                <w:rFonts w:ascii="Times New Roman" w:hAnsi="Times New Roman" w:cs="Times New Roman"/>
                <w:color w:val="000000"/>
                <w:kern w:val="0"/>
              </w:rPr>
            </w:pPr>
            <w:r w:rsidRPr="00747CD6">
              <w:rPr>
                <w:rFonts w:ascii="Times New Roman" w:hAnsi="Times New Roman" w:cs="Times New Roman"/>
                <w:color w:val="000000"/>
                <w:kern w:val="0"/>
              </w:rPr>
              <w:t>    Prob. Chi-</w:t>
            </w:r>
            <w:proofErr w:type="gramStart"/>
            <w:r w:rsidRPr="00747CD6">
              <w:rPr>
                <w:rFonts w:ascii="Times New Roman" w:hAnsi="Times New Roman" w:cs="Times New Roman"/>
                <w:color w:val="000000"/>
                <w:kern w:val="0"/>
              </w:rPr>
              <w:t>Square(</w:t>
            </w:r>
            <w:proofErr w:type="gramEnd"/>
            <w:r w:rsidRPr="00747CD6">
              <w:rPr>
                <w:rFonts w:ascii="Times New Roman" w:hAnsi="Times New Roman" w:cs="Times New Roman"/>
                <w:color w:val="000000"/>
                <w:kern w:val="0"/>
              </w:rPr>
              <w:t>24)</w:t>
            </w:r>
          </w:p>
        </w:tc>
        <w:tc>
          <w:tcPr>
            <w:tcW w:w="1390" w:type="dxa"/>
            <w:tcBorders>
              <w:top w:val="nil"/>
              <w:left w:val="nil"/>
              <w:bottom w:val="nil"/>
              <w:right w:val="nil"/>
            </w:tcBorders>
            <w:vAlign w:val="bottom"/>
          </w:tcPr>
          <w:p w14:paraId="0D814D18" w14:textId="77777777" w:rsidR="00747CD6" w:rsidRPr="00747CD6" w:rsidRDefault="00747CD6" w:rsidP="00D56BB9">
            <w:pPr>
              <w:autoSpaceDE w:val="0"/>
              <w:autoSpaceDN w:val="0"/>
              <w:adjustRightInd w:val="0"/>
              <w:spacing w:after="0" w:line="276" w:lineRule="auto"/>
              <w:ind w:right="20"/>
              <w:jc w:val="right"/>
              <w:rPr>
                <w:rFonts w:ascii="Times New Roman" w:hAnsi="Times New Roman" w:cs="Times New Roman"/>
                <w:color w:val="000000"/>
                <w:kern w:val="0"/>
              </w:rPr>
            </w:pPr>
            <w:r w:rsidRPr="00747CD6">
              <w:rPr>
                <w:rFonts w:ascii="Times New Roman" w:hAnsi="Times New Roman" w:cs="Times New Roman"/>
                <w:color w:val="000000"/>
                <w:kern w:val="0"/>
              </w:rPr>
              <w:t>1.0000</w:t>
            </w:r>
          </w:p>
        </w:tc>
      </w:tr>
    </w:tbl>
    <w:p w14:paraId="61248420" w14:textId="77777777" w:rsidR="00747CD6" w:rsidRPr="00747CD6" w:rsidRDefault="00747CD6" w:rsidP="00D56BB9">
      <w:pPr>
        <w:spacing w:line="276" w:lineRule="auto"/>
        <w:jc w:val="both"/>
        <w:rPr>
          <w:rFonts w:ascii="Times New Roman" w:eastAsia="Times New Roman" w:hAnsi="Times New Roman" w:cs="Times New Roman"/>
          <w:kern w:val="0"/>
          <w:lang w:val="en-GB"/>
          <w14:ligatures w14:val="none"/>
        </w:rPr>
      </w:pPr>
      <w:r w:rsidRPr="00747CD6">
        <w:rPr>
          <w:rFonts w:ascii="Times New Roman" w:eastAsia="Times New Roman" w:hAnsi="Times New Roman" w:cs="Times New Roman"/>
          <w:b/>
          <w:bCs/>
          <w:kern w:val="0"/>
          <w:lang w:val="en-GB"/>
          <w14:ligatures w14:val="none"/>
        </w:rPr>
        <w:t>Source:</w:t>
      </w:r>
      <w:r w:rsidRPr="00747CD6">
        <w:rPr>
          <w:rFonts w:ascii="Times New Roman" w:eastAsia="Times New Roman" w:hAnsi="Times New Roman" w:cs="Times New Roman"/>
          <w:kern w:val="0"/>
          <w:lang w:val="en-GB"/>
          <w14:ligatures w14:val="none"/>
        </w:rPr>
        <w:t xml:space="preserve"> Authors computation using </w:t>
      </w:r>
      <w:proofErr w:type="spellStart"/>
      <w:r w:rsidRPr="00747CD6">
        <w:rPr>
          <w:rFonts w:ascii="Times New Roman" w:eastAsia="Times New Roman" w:hAnsi="Times New Roman" w:cs="Times New Roman"/>
          <w:kern w:val="0"/>
          <w:lang w:val="en-GB"/>
          <w14:ligatures w14:val="none"/>
        </w:rPr>
        <w:t>Eviews</w:t>
      </w:r>
      <w:proofErr w:type="spellEnd"/>
      <w:r w:rsidRPr="00747CD6">
        <w:rPr>
          <w:rFonts w:ascii="Times New Roman" w:eastAsia="Times New Roman" w:hAnsi="Times New Roman" w:cs="Times New Roman"/>
          <w:kern w:val="0"/>
          <w:lang w:val="en-GB"/>
          <w14:ligatures w14:val="none"/>
        </w:rPr>
        <w:t xml:space="preserve"> 10,2026. </w:t>
      </w:r>
    </w:p>
    <w:p w14:paraId="50ED9EDC" w14:textId="77777777" w:rsidR="00747CD6" w:rsidRPr="00747CD6" w:rsidRDefault="00747CD6" w:rsidP="00D56BB9">
      <w:pPr>
        <w:spacing w:line="276" w:lineRule="auto"/>
        <w:jc w:val="both"/>
        <w:rPr>
          <w:rFonts w:ascii="Times New Roman" w:hAnsi="Times New Roman" w:cs="Times New Roman"/>
          <w:color w:val="000000"/>
          <w:kern w:val="0"/>
        </w:rPr>
      </w:pPr>
      <w:r w:rsidRPr="00747CD6">
        <w:rPr>
          <w:rFonts w:ascii="Times New Roman" w:eastAsia="Times New Roman" w:hAnsi="Times New Roman" w:cs="Times New Roman"/>
          <w:kern w:val="0"/>
          <w:lang w:val="en-GB"/>
          <w14:ligatures w14:val="none"/>
        </w:rPr>
        <w:t xml:space="preserve">The </w:t>
      </w:r>
      <w:r w:rsidRPr="00747CD6">
        <w:rPr>
          <w:rFonts w:ascii="Times New Roman" w:hAnsi="Times New Roman" w:cs="Times New Roman"/>
          <w:color w:val="000000"/>
          <w:kern w:val="0"/>
        </w:rPr>
        <w:t xml:space="preserve">Breusch-Pagan-Godfrey heteroskedasticity test was conducted to show whether the variance of the residuals is constant. The results indicates that the model does not suffer from homoscedasticity since the probability values is greater than 5% level of significance. With the F-statistic of 4.913906 and probability of 0.0660 and </w:t>
      </w:r>
      <w:proofErr w:type="spellStart"/>
      <w:r w:rsidRPr="00747CD6">
        <w:rPr>
          <w:rFonts w:ascii="Times New Roman" w:hAnsi="Times New Roman" w:cs="Times New Roman"/>
          <w:color w:val="000000"/>
          <w:kern w:val="0"/>
        </w:rPr>
        <w:t>Obs</w:t>
      </w:r>
      <w:proofErr w:type="spellEnd"/>
      <w:r w:rsidRPr="00747CD6">
        <w:rPr>
          <w:rFonts w:ascii="Times New Roman" w:hAnsi="Times New Roman" w:cs="Times New Roman"/>
          <w:color w:val="000000"/>
          <w:kern w:val="0"/>
        </w:rPr>
        <w:t xml:space="preserve">*R-squared of 28.04866 with Chi-square probability of 0.2580, the null hypothesis of heteroskedasticity cannot be rejected. </w:t>
      </w:r>
    </w:p>
    <w:p w14:paraId="46F43297" w14:textId="77777777" w:rsidR="00747CD6" w:rsidRPr="00747CD6" w:rsidRDefault="00747CD6" w:rsidP="00D56BB9">
      <w:pPr>
        <w:spacing w:line="276" w:lineRule="auto"/>
        <w:jc w:val="both"/>
        <w:rPr>
          <w:rFonts w:ascii="Times New Roman" w:hAnsi="Times New Roman" w:cs="Times New Roman"/>
          <w:color w:val="000000"/>
          <w:kern w:val="0"/>
        </w:rPr>
      </w:pPr>
      <w:r w:rsidRPr="00747CD6">
        <w:rPr>
          <w:rFonts w:ascii="Times New Roman" w:hAnsi="Times New Roman" w:cs="Times New Roman"/>
          <w:b/>
          <w:bCs/>
          <w:color w:val="000000"/>
          <w:kern w:val="0"/>
        </w:rPr>
        <w:t xml:space="preserve"> Figure</w:t>
      </w:r>
      <w:r w:rsidRPr="00747CD6">
        <w:rPr>
          <w:rFonts w:ascii="Times New Roman" w:hAnsi="Times New Roman" w:cs="Times New Roman"/>
          <w:color w:val="000000"/>
          <w:kern w:val="0"/>
        </w:rPr>
        <w:t xml:space="preserve"> 4.3 </w:t>
      </w:r>
      <w:proofErr w:type="spellStart"/>
      <w:r w:rsidRPr="00747CD6">
        <w:rPr>
          <w:rFonts w:ascii="Times New Roman" w:hAnsi="Times New Roman" w:cs="Times New Roman"/>
          <w:color w:val="000000"/>
          <w:kern w:val="0"/>
        </w:rPr>
        <w:t>Cusum</w:t>
      </w:r>
      <w:proofErr w:type="spellEnd"/>
      <w:r w:rsidRPr="00747CD6">
        <w:rPr>
          <w:rFonts w:ascii="Times New Roman" w:hAnsi="Times New Roman" w:cs="Times New Roman"/>
          <w:color w:val="000000"/>
          <w:kern w:val="0"/>
        </w:rPr>
        <w:t xml:space="preserve"> test </w:t>
      </w:r>
    </w:p>
    <w:p w14:paraId="2145AE70" w14:textId="5F3AE73E" w:rsidR="00747CD6" w:rsidRPr="00747CD6" w:rsidRDefault="006C4FEB" w:rsidP="00D56BB9">
      <w:pPr>
        <w:spacing w:line="276" w:lineRule="auto"/>
        <w:jc w:val="both"/>
        <w:rPr>
          <w:rFonts w:ascii="Times New Roman" w:hAnsi="Times New Roman" w:cs="Times New Roman"/>
          <w:color w:val="000000"/>
          <w:kern w:val="0"/>
        </w:rPr>
      </w:pPr>
      <w:r w:rsidRPr="00747CD6">
        <w:rPr>
          <w:sz w:val="22"/>
          <w:szCs w:val="22"/>
        </w:rPr>
        <w:object w:dxaOrig="7121" w:dyaOrig="5100" w14:anchorId="3CE35E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5pt;height:79pt" o:ole="">
            <v:imagedata r:id="rId10" o:title=""/>
          </v:shape>
          <o:OLEObject Type="Embed" ProgID="Unknown" ShapeID="_x0000_i1025" DrawAspect="Content" ObjectID="_1839658999" r:id="rId11"/>
        </w:object>
      </w:r>
    </w:p>
    <w:p w14:paraId="0941C187" w14:textId="77777777" w:rsidR="00747CD6" w:rsidRPr="00747CD6" w:rsidRDefault="00747CD6" w:rsidP="00D56BB9">
      <w:pPr>
        <w:spacing w:line="276" w:lineRule="auto"/>
        <w:jc w:val="both"/>
        <w:rPr>
          <w:rFonts w:ascii="Times New Roman" w:eastAsia="Times New Roman" w:hAnsi="Times New Roman" w:cs="Times New Roman"/>
          <w:kern w:val="0"/>
          <w:lang w:val="en-GB"/>
          <w14:ligatures w14:val="none"/>
        </w:rPr>
      </w:pPr>
      <w:r w:rsidRPr="00747CD6">
        <w:rPr>
          <w:rFonts w:ascii="Times New Roman" w:eastAsia="Times New Roman" w:hAnsi="Times New Roman" w:cs="Times New Roman"/>
          <w:kern w:val="0"/>
          <w:lang w:val="en-GB"/>
          <w14:ligatures w14:val="none"/>
        </w:rPr>
        <w:t xml:space="preserve">This was conducted to determine whether the parameters of the model are stable over the study period. The graphical results in Figure 4.3 suggests that </w:t>
      </w:r>
      <w:proofErr w:type="spellStart"/>
      <w:r w:rsidRPr="00747CD6">
        <w:rPr>
          <w:rFonts w:ascii="Times New Roman" w:eastAsia="Times New Roman" w:hAnsi="Times New Roman" w:cs="Times New Roman"/>
          <w:kern w:val="0"/>
          <w:lang w:val="en-GB"/>
          <w14:ligatures w14:val="none"/>
        </w:rPr>
        <w:t>Cusum</w:t>
      </w:r>
      <w:proofErr w:type="spellEnd"/>
      <w:r w:rsidRPr="00747CD6">
        <w:rPr>
          <w:rFonts w:ascii="Times New Roman" w:eastAsia="Times New Roman" w:hAnsi="Times New Roman" w:cs="Times New Roman"/>
          <w:kern w:val="0"/>
          <w:lang w:val="en-GB"/>
          <w14:ligatures w14:val="none"/>
        </w:rPr>
        <w:t xml:space="preserve"> line lies within the critical bound at 5% throughout the period of the study. This indicate that estimated coefficient of the model is stable with no evidence of structural instability.</w:t>
      </w:r>
    </w:p>
    <w:p w14:paraId="3AAA0C6B" w14:textId="77777777" w:rsidR="00747CD6" w:rsidRPr="00747CD6" w:rsidRDefault="00747CD6" w:rsidP="00D56BB9">
      <w:pPr>
        <w:spacing w:line="276" w:lineRule="auto"/>
        <w:jc w:val="both"/>
        <w:rPr>
          <w:rFonts w:ascii="Times New Roman" w:eastAsia="Times New Roman" w:hAnsi="Times New Roman" w:cs="Times New Roman"/>
          <w:kern w:val="0"/>
          <w:lang w:val="en-GB"/>
          <w14:ligatures w14:val="none"/>
        </w:rPr>
      </w:pPr>
      <w:r w:rsidRPr="00747CD6">
        <w:rPr>
          <w:rFonts w:ascii="Times New Roman" w:eastAsia="Times New Roman" w:hAnsi="Times New Roman" w:cs="Times New Roman"/>
          <w:b/>
          <w:bCs/>
          <w:kern w:val="0"/>
          <w:lang w:val="en-GB"/>
          <w14:ligatures w14:val="none"/>
        </w:rPr>
        <w:t>Figure 4.4</w:t>
      </w:r>
      <w:r w:rsidRPr="00747CD6">
        <w:rPr>
          <w:rFonts w:ascii="Times New Roman" w:eastAsia="Times New Roman" w:hAnsi="Times New Roman" w:cs="Times New Roman"/>
          <w:kern w:val="0"/>
          <w:lang w:val="en-GB"/>
          <w14:ligatures w14:val="none"/>
        </w:rPr>
        <w:t xml:space="preserve"> </w:t>
      </w:r>
      <w:proofErr w:type="spellStart"/>
      <w:r w:rsidRPr="00747CD6">
        <w:rPr>
          <w:rFonts w:ascii="Times New Roman" w:eastAsia="Times New Roman" w:hAnsi="Times New Roman" w:cs="Times New Roman"/>
          <w:kern w:val="0"/>
          <w:lang w:val="en-GB"/>
          <w14:ligatures w14:val="none"/>
        </w:rPr>
        <w:t>Cusum</w:t>
      </w:r>
      <w:proofErr w:type="spellEnd"/>
      <w:r w:rsidRPr="00747CD6">
        <w:rPr>
          <w:rFonts w:ascii="Times New Roman" w:eastAsia="Times New Roman" w:hAnsi="Times New Roman" w:cs="Times New Roman"/>
          <w:kern w:val="0"/>
          <w:lang w:val="en-GB"/>
          <w14:ligatures w14:val="none"/>
        </w:rPr>
        <w:t xml:space="preserve"> of </w:t>
      </w:r>
      <w:proofErr w:type="spellStart"/>
      <w:r w:rsidRPr="00747CD6">
        <w:rPr>
          <w:rFonts w:ascii="Times New Roman" w:eastAsia="Times New Roman" w:hAnsi="Times New Roman" w:cs="Times New Roman"/>
          <w:kern w:val="0"/>
          <w:lang w:val="en-GB"/>
          <w14:ligatures w14:val="none"/>
        </w:rPr>
        <w:t>Sqaures</w:t>
      </w:r>
      <w:proofErr w:type="spellEnd"/>
    </w:p>
    <w:p w14:paraId="28AB3D70" w14:textId="50EBC664" w:rsidR="00747CD6" w:rsidRPr="00747CD6" w:rsidRDefault="006C4FEB" w:rsidP="00D56BB9">
      <w:pPr>
        <w:spacing w:line="276" w:lineRule="auto"/>
        <w:jc w:val="both"/>
        <w:rPr>
          <w:rFonts w:ascii="Times New Roman" w:eastAsia="Times New Roman" w:hAnsi="Times New Roman" w:cs="Times New Roman"/>
          <w:kern w:val="0"/>
          <w:lang w:val="en-GB"/>
          <w14:ligatures w14:val="none"/>
        </w:rPr>
      </w:pPr>
      <w:r w:rsidRPr="00747CD6">
        <w:rPr>
          <w:sz w:val="22"/>
          <w:szCs w:val="22"/>
        </w:rPr>
        <w:object w:dxaOrig="7270" w:dyaOrig="5100" w14:anchorId="79AD9E47">
          <v:shape id="_x0000_i1026" type="#_x0000_t75" style="width:364pt;height:95.5pt" o:ole="">
            <v:imagedata r:id="rId12" o:title=""/>
          </v:shape>
          <o:OLEObject Type="Embed" ProgID="Unknown" ShapeID="_x0000_i1026" DrawAspect="Content" ObjectID="_1839659000" r:id="rId13"/>
        </w:object>
      </w:r>
    </w:p>
    <w:p w14:paraId="4C60BFFD" w14:textId="77777777" w:rsidR="00747CD6" w:rsidRPr="00747CD6" w:rsidRDefault="00747CD6" w:rsidP="00D56BB9">
      <w:pPr>
        <w:spacing w:line="276" w:lineRule="auto"/>
        <w:jc w:val="both"/>
        <w:rPr>
          <w:rFonts w:ascii="Times New Roman" w:eastAsia="Times New Roman" w:hAnsi="Times New Roman" w:cs="Times New Roman"/>
          <w:kern w:val="0"/>
          <w:lang w:val="en-GB"/>
          <w14:ligatures w14:val="none"/>
        </w:rPr>
      </w:pPr>
      <w:r w:rsidRPr="00747CD6">
        <w:rPr>
          <w:rFonts w:ascii="Times New Roman" w:eastAsia="Times New Roman" w:hAnsi="Times New Roman" w:cs="Times New Roman"/>
          <w:kern w:val="0"/>
          <w:lang w:val="en-GB"/>
          <w14:ligatures w14:val="none"/>
        </w:rPr>
        <w:t xml:space="preserve">The graph shows that the </w:t>
      </w:r>
      <w:proofErr w:type="spellStart"/>
      <w:r w:rsidRPr="00747CD6">
        <w:rPr>
          <w:rFonts w:ascii="Times New Roman" w:eastAsia="Times New Roman" w:hAnsi="Times New Roman" w:cs="Times New Roman"/>
          <w:kern w:val="0"/>
          <w:lang w:val="en-GB"/>
          <w14:ligatures w14:val="none"/>
        </w:rPr>
        <w:t>Cusum</w:t>
      </w:r>
      <w:proofErr w:type="spellEnd"/>
      <w:r w:rsidRPr="00747CD6">
        <w:rPr>
          <w:rFonts w:ascii="Times New Roman" w:eastAsia="Times New Roman" w:hAnsi="Times New Roman" w:cs="Times New Roman"/>
          <w:kern w:val="0"/>
          <w:lang w:val="en-GB"/>
          <w14:ligatures w14:val="none"/>
        </w:rPr>
        <w:t xml:space="preserve"> of squares line lies within the critical bound of 5% indicating that the estimated coefficients of the model are stable with the period of study. </w:t>
      </w:r>
    </w:p>
    <w:p w14:paraId="449E9478" w14:textId="2D7D7E74" w:rsidR="00D56BB9" w:rsidRPr="00D56BB9" w:rsidRDefault="00627A0C" w:rsidP="00D56BB9">
      <w:pPr>
        <w:spacing w:line="276" w:lineRule="auto"/>
        <w:jc w:val="both"/>
        <w:rPr>
          <w:rFonts w:ascii="Times New Roman" w:hAnsi="Times New Roman" w:cs="Times New Roman"/>
          <w:b/>
          <w:bCs/>
        </w:rPr>
      </w:pPr>
      <w:r>
        <w:rPr>
          <w:rFonts w:ascii="Times New Roman" w:hAnsi="Times New Roman" w:cs="Times New Roman"/>
          <w:b/>
          <w:bCs/>
        </w:rPr>
        <w:t xml:space="preserve">5.0 </w:t>
      </w:r>
      <w:r w:rsidR="00D56BB9" w:rsidRPr="00D56BB9">
        <w:rPr>
          <w:rFonts w:ascii="Times New Roman" w:hAnsi="Times New Roman" w:cs="Times New Roman"/>
          <w:b/>
          <w:bCs/>
        </w:rPr>
        <w:t>CONCLUSION AND RECOMMENDATIONS</w:t>
      </w:r>
    </w:p>
    <w:p w14:paraId="17594012" w14:textId="34472782" w:rsidR="007F5D2D" w:rsidRPr="007F5D2D" w:rsidRDefault="00D56BB9" w:rsidP="007F5D2D">
      <w:pPr>
        <w:spacing w:line="276" w:lineRule="auto"/>
        <w:jc w:val="both"/>
        <w:rPr>
          <w:rFonts w:ascii="Times New Roman" w:hAnsi="Times New Roman" w:cs="Times New Roman"/>
        </w:rPr>
      </w:pPr>
      <w:r w:rsidRPr="00D56BB9">
        <w:rPr>
          <w:rFonts w:ascii="Times New Roman" w:hAnsi="Times New Roman" w:cs="Times New Roman"/>
          <w:lang w:val="en-GB"/>
        </w:rPr>
        <w:t>This study</w:t>
      </w:r>
      <w:r w:rsidR="006C4FEB">
        <w:rPr>
          <w:rFonts w:ascii="Times New Roman" w:hAnsi="Times New Roman" w:cs="Times New Roman"/>
          <w:lang w:val="en-GB"/>
        </w:rPr>
        <w:t xml:space="preserve"> </w:t>
      </w:r>
      <w:r w:rsidR="006C4FEB" w:rsidRPr="00D56BB9">
        <w:rPr>
          <w:rFonts w:ascii="Times New Roman" w:hAnsi="Times New Roman" w:cs="Times New Roman"/>
        </w:rPr>
        <w:t>examines</w:t>
      </w:r>
      <w:r w:rsidRPr="00D56BB9">
        <w:rPr>
          <w:rFonts w:ascii="Times New Roman" w:hAnsi="Times New Roman" w:cs="Times New Roman"/>
        </w:rPr>
        <w:t xml:space="preserve"> how health outcomes affect economic performance in Sub-Saharan</w:t>
      </w:r>
      <w:r w:rsidR="006C4FEB">
        <w:rPr>
          <w:rFonts w:ascii="Times New Roman" w:hAnsi="Times New Roman" w:cs="Times New Roman"/>
        </w:rPr>
        <w:t xml:space="preserve"> Africa using panel data from 47 Sub-Saharan countries. </w:t>
      </w:r>
      <w:r w:rsidRPr="00D56BB9">
        <w:rPr>
          <w:rFonts w:ascii="Times New Roman" w:hAnsi="Times New Roman" w:cs="Times New Roman"/>
        </w:rPr>
        <w:t xml:space="preserve">The results concludes that life expectancy (LEX) has a positive impact on economic performance in Sub-Saharan Africa.  Whereas under-five mortality (UNM), health expenditure (HEX) and Population (POP) also exert a negative impact on economic performance in Sub-Saharan Africa. </w:t>
      </w:r>
      <w:r w:rsidR="00627A0C">
        <w:rPr>
          <w:rFonts w:ascii="Times New Roman" w:hAnsi="Times New Roman" w:cs="Times New Roman"/>
        </w:rPr>
        <w:t xml:space="preserve"> Thus, the study recommends that </w:t>
      </w:r>
      <w:r w:rsidRPr="00D56BB9">
        <w:rPr>
          <w:rFonts w:ascii="Times New Roman" w:hAnsi="Times New Roman" w:cs="Times New Roman"/>
        </w:rPr>
        <w:t>Authorities in Sub-Saharan Africa should place more emphasis on measurable improvements in life expectancy and reductions in under-five mortality by adopting targeted, high-impact health interventions. Specifically, this includes expanding the immunization coverage, scaling up access to child healthcare and maternal services (such as antenatal, skilled birth attendance, and postnatal care), and overhauling the primary healthcare systems, particularly in rural and medically underserved areas. Governments can also invest in nutrition programs, safe drinking water, sanitation infrastructure, and malaria prevention initiatives (such as malaria vaccines and treated Mosquito nets) to address the major drivers of child mortality.</w:t>
      </w:r>
    </w:p>
    <w:p w14:paraId="1F67CD77" w14:textId="6BF0020E" w:rsidR="0040735A" w:rsidRPr="0040735A" w:rsidRDefault="0040735A" w:rsidP="0040735A">
      <w:pPr>
        <w:jc w:val="both"/>
        <w:rPr>
          <w:rFonts w:ascii="Times New Roman" w:hAnsi="Times New Roman" w:cs="Times New Roman"/>
          <w:b/>
          <w:bCs/>
        </w:rPr>
      </w:pPr>
      <w:r w:rsidRPr="00F97164">
        <w:rPr>
          <w:rFonts w:ascii="Times New Roman" w:hAnsi="Times New Roman" w:cs="Times New Roman"/>
          <w:b/>
          <w:bCs/>
        </w:rPr>
        <w:t>REFERENCES</w:t>
      </w:r>
    </w:p>
    <w:p w14:paraId="6C421ACE"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Adebowale, A., &amp; </w:t>
      </w:r>
      <w:proofErr w:type="spellStart"/>
      <w:r w:rsidRPr="00B6318D">
        <w:rPr>
          <w:rFonts w:ascii="Times New Roman" w:hAnsi="Times New Roman" w:cs="Times New Roman"/>
        </w:rPr>
        <w:t>Onisanwa</w:t>
      </w:r>
      <w:proofErr w:type="spellEnd"/>
      <w:r w:rsidRPr="00B6318D">
        <w:rPr>
          <w:rFonts w:ascii="Times New Roman" w:hAnsi="Times New Roman" w:cs="Times New Roman"/>
        </w:rPr>
        <w:t xml:space="preserve">, O. (2024). Public and private health expenditures and health outcomes in Sub-Saharan Africa. </w:t>
      </w:r>
      <w:r w:rsidRPr="00FB7CED">
        <w:rPr>
          <w:rFonts w:ascii="Times New Roman" w:hAnsi="Times New Roman" w:cs="Times New Roman"/>
          <w:i/>
          <w:iCs/>
        </w:rPr>
        <w:t>African Health Economics Review,</w:t>
      </w:r>
      <w:r w:rsidRPr="00B6318D">
        <w:rPr>
          <w:rFonts w:ascii="Times New Roman" w:hAnsi="Times New Roman" w:cs="Times New Roman"/>
        </w:rPr>
        <w:t xml:space="preserve"> 18(2), 88</w:t>
      </w:r>
      <w:r>
        <w:rPr>
          <w:rFonts w:ascii="Times New Roman" w:hAnsi="Times New Roman" w:cs="Times New Roman"/>
        </w:rPr>
        <w:t>-</w:t>
      </w:r>
      <w:r w:rsidRPr="00B6318D">
        <w:rPr>
          <w:rFonts w:ascii="Times New Roman" w:hAnsi="Times New Roman" w:cs="Times New Roman"/>
        </w:rPr>
        <w:t xml:space="preserve">106. </w:t>
      </w:r>
    </w:p>
    <w:p w14:paraId="3F0B431A"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Ahmed, A. A., &amp; Idowu, D. O. (2024). Effect of Health Expenditure on Health Outcomes in Sub-Saharan Africa. </w:t>
      </w:r>
      <w:r w:rsidRPr="00FB7CED">
        <w:rPr>
          <w:rFonts w:ascii="Times New Roman" w:hAnsi="Times New Roman" w:cs="Times New Roman"/>
          <w:i/>
          <w:iCs/>
        </w:rPr>
        <w:t>Gusau International Journal of Management and Social Sciences,</w:t>
      </w:r>
      <w:r w:rsidRPr="00B6318D">
        <w:rPr>
          <w:rFonts w:ascii="Times New Roman" w:hAnsi="Times New Roman" w:cs="Times New Roman"/>
        </w:rPr>
        <w:t xml:space="preserve"> 7(3). </w:t>
      </w:r>
    </w:p>
    <w:p w14:paraId="2E1A1670"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Ajak, D., &amp; </w:t>
      </w:r>
      <w:proofErr w:type="spellStart"/>
      <w:r w:rsidRPr="00B6318D">
        <w:rPr>
          <w:rFonts w:ascii="Times New Roman" w:hAnsi="Times New Roman" w:cs="Times New Roman"/>
        </w:rPr>
        <w:t>Moracha</w:t>
      </w:r>
      <w:proofErr w:type="spellEnd"/>
      <w:r w:rsidRPr="00B6318D">
        <w:rPr>
          <w:rFonts w:ascii="Times New Roman" w:hAnsi="Times New Roman" w:cs="Times New Roman"/>
        </w:rPr>
        <w:t xml:space="preserve">, J. (2020). Economic growth and health outcomes nexus in Sub-Saharan </w:t>
      </w:r>
      <w:r w:rsidRPr="00FB7CED">
        <w:rPr>
          <w:rFonts w:ascii="Times New Roman" w:hAnsi="Times New Roman" w:cs="Times New Roman"/>
          <w:i/>
          <w:iCs/>
        </w:rPr>
        <w:t>Africa. African Development Studies Journal, 12</w:t>
      </w:r>
      <w:r w:rsidRPr="00B6318D">
        <w:rPr>
          <w:rFonts w:ascii="Times New Roman" w:hAnsi="Times New Roman" w:cs="Times New Roman"/>
        </w:rPr>
        <w:t>(1), 66</w:t>
      </w:r>
      <w:r>
        <w:rPr>
          <w:rFonts w:ascii="Times New Roman" w:hAnsi="Times New Roman" w:cs="Times New Roman"/>
        </w:rPr>
        <w:t>-</w:t>
      </w:r>
      <w:r w:rsidRPr="00B6318D">
        <w:rPr>
          <w:rFonts w:ascii="Times New Roman" w:hAnsi="Times New Roman" w:cs="Times New Roman"/>
        </w:rPr>
        <w:t xml:space="preserve">81. </w:t>
      </w:r>
    </w:p>
    <w:p w14:paraId="39DB7FEF"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Arthur, E., &amp; </w:t>
      </w:r>
      <w:proofErr w:type="spellStart"/>
      <w:r w:rsidRPr="00B6318D">
        <w:rPr>
          <w:rFonts w:ascii="Times New Roman" w:hAnsi="Times New Roman" w:cs="Times New Roman"/>
        </w:rPr>
        <w:t>Oaikhenan</w:t>
      </w:r>
      <w:proofErr w:type="spellEnd"/>
      <w:r w:rsidRPr="00B6318D">
        <w:rPr>
          <w:rFonts w:ascii="Times New Roman" w:hAnsi="Times New Roman" w:cs="Times New Roman"/>
        </w:rPr>
        <w:t xml:space="preserve">, H. (2020). Health outcomes and economic growth in Sub-Saharan Africa: A dynamic panel analysis. </w:t>
      </w:r>
      <w:r w:rsidRPr="00FB7CED">
        <w:rPr>
          <w:rFonts w:ascii="Times New Roman" w:hAnsi="Times New Roman" w:cs="Times New Roman"/>
          <w:i/>
          <w:iCs/>
        </w:rPr>
        <w:t>African Journal of Economic Policy</w:t>
      </w:r>
      <w:r w:rsidRPr="00B6318D">
        <w:rPr>
          <w:rFonts w:ascii="Times New Roman" w:hAnsi="Times New Roman" w:cs="Times New Roman"/>
        </w:rPr>
        <w:t>, 27(3), 122</w:t>
      </w:r>
      <w:r>
        <w:rPr>
          <w:rFonts w:ascii="Times New Roman" w:hAnsi="Times New Roman" w:cs="Times New Roman"/>
        </w:rPr>
        <w:t>-</w:t>
      </w:r>
      <w:r w:rsidRPr="00B6318D">
        <w:rPr>
          <w:rFonts w:ascii="Times New Roman" w:hAnsi="Times New Roman" w:cs="Times New Roman"/>
        </w:rPr>
        <w:t xml:space="preserve">140. </w:t>
      </w:r>
    </w:p>
    <w:p w14:paraId="34C7C4F9"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proofErr w:type="spellStart"/>
      <w:r w:rsidRPr="00B6318D">
        <w:rPr>
          <w:rFonts w:ascii="Times New Roman" w:hAnsi="Times New Roman" w:cs="Times New Roman"/>
        </w:rPr>
        <w:t>Asongu</w:t>
      </w:r>
      <w:proofErr w:type="spellEnd"/>
      <w:r w:rsidRPr="00B6318D">
        <w:rPr>
          <w:rFonts w:ascii="Times New Roman" w:hAnsi="Times New Roman" w:cs="Times New Roman"/>
        </w:rPr>
        <w:t xml:space="preserve">, S., &amp; Odhiambo, N. M. (2023). Health performance and economic growth in Sub-Saharan Africa: New evidence based on quantile regressions. </w:t>
      </w:r>
      <w:r w:rsidRPr="00FB7CED">
        <w:rPr>
          <w:rFonts w:ascii="Times New Roman" w:hAnsi="Times New Roman" w:cs="Times New Roman"/>
          <w:i/>
          <w:iCs/>
        </w:rPr>
        <w:t xml:space="preserve">International Journal of Social Economics, </w:t>
      </w:r>
      <w:r w:rsidRPr="00B6318D">
        <w:rPr>
          <w:rFonts w:ascii="Times New Roman" w:hAnsi="Times New Roman" w:cs="Times New Roman"/>
        </w:rPr>
        <w:t>50(12), 1655</w:t>
      </w:r>
      <w:r>
        <w:rPr>
          <w:rFonts w:ascii="Times New Roman" w:hAnsi="Times New Roman" w:cs="Times New Roman"/>
        </w:rPr>
        <w:t>-</w:t>
      </w:r>
      <w:r w:rsidRPr="00B6318D">
        <w:rPr>
          <w:rFonts w:ascii="Times New Roman" w:hAnsi="Times New Roman" w:cs="Times New Roman"/>
        </w:rPr>
        <w:t xml:space="preserve">1671. </w:t>
      </w:r>
    </w:p>
    <w:p w14:paraId="6EDC536E"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Barro, R. J. (2013). Health and economic growth. Annals of Economics and Finance, 14(2), 329</w:t>
      </w:r>
      <w:r>
        <w:rPr>
          <w:rFonts w:ascii="Times New Roman" w:hAnsi="Times New Roman" w:cs="Times New Roman"/>
        </w:rPr>
        <w:t>-</w:t>
      </w:r>
      <w:r w:rsidRPr="00B6318D">
        <w:rPr>
          <w:rFonts w:ascii="Times New Roman" w:hAnsi="Times New Roman" w:cs="Times New Roman"/>
        </w:rPr>
        <w:t xml:space="preserve">366. </w:t>
      </w:r>
    </w:p>
    <w:p w14:paraId="15798E09"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Bloom, D. E., &amp; Canning, D. (2000). The health and wealth of nations. Science, 287(5456), 12071209. </w:t>
      </w:r>
    </w:p>
    <w:p w14:paraId="734AB879"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Bloom, D. E., Canning, D., &amp; Sevilla, J. (2004). The effect of health on economic growth: A production function approach. World Development, 32(1), 1</w:t>
      </w:r>
      <w:r>
        <w:rPr>
          <w:rFonts w:ascii="Times New Roman" w:hAnsi="Times New Roman" w:cs="Times New Roman"/>
        </w:rPr>
        <w:t>-</w:t>
      </w:r>
      <w:r w:rsidRPr="00B6318D">
        <w:rPr>
          <w:rFonts w:ascii="Times New Roman" w:hAnsi="Times New Roman" w:cs="Times New Roman"/>
        </w:rPr>
        <w:t xml:space="preserve">13. </w:t>
      </w:r>
    </w:p>
    <w:p w14:paraId="1493E58F"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Boorse, C. (1977). Health as a theoretical concept. Philosophy of Science, 44(4), 542</w:t>
      </w:r>
      <w:r>
        <w:rPr>
          <w:rFonts w:ascii="Times New Roman" w:hAnsi="Times New Roman" w:cs="Times New Roman"/>
        </w:rPr>
        <w:t>-</w:t>
      </w:r>
      <w:r w:rsidRPr="00B6318D">
        <w:rPr>
          <w:rFonts w:ascii="Times New Roman" w:hAnsi="Times New Roman" w:cs="Times New Roman"/>
        </w:rPr>
        <w:t xml:space="preserve">573. </w:t>
      </w:r>
    </w:p>
    <w:p w14:paraId="08DA4C22"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Caldwell, J. C. (2001). Population health in transition. Bulletin of the World Health Organization, 79(2), 159</w:t>
      </w:r>
      <w:r>
        <w:rPr>
          <w:rFonts w:ascii="Times New Roman" w:hAnsi="Times New Roman" w:cs="Times New Roman"/>
        </w:rPr>
        <w:t>-</w:t>
      </w:r>
      <w:r w:rsidRPr="00B6318D">
        <w:rPr>
          <w:rFonts w:ascii="Times New Roman" w:hAnsi="Times New Roman" w:cs="Times New Roman"/>
        </w:rPr>
        <w:t xml:space="preserve">160. </w:t>
      </w:r>
    </w:p>
    <w:p w14:paraId="39A77C22"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Chewe, M., Banda, T., &amp; Mwila, F. (2020). Health system quality, healthcare access, and economic performance in Sub-Saharan Africa. </w:t>
      </w:r>
      <w:r w:rsidRPr="00FB7CED">
        <w:rPr>
          <w:rFonts w:ascii="Times New Roman" w:hAnsi="Times New Roman" w:cs="Times New Roman"/>
          <w:i/>
          <w:iCs/>
        </w:rPr>
        <w:t>African Journal of Public Policy</w:t>
      </w:r>
      <w:r w:rsidRPr="00B6318D">
        <w:rPr>
          <w:rFonts w:ascii="Times New Roman" w:hAnsi="Times New Roman" w:cs="Times New Roman"/>
        </w:rPr>
        <w:t>, 14(4), 90</w:t>
      </w:r>
      <w:r>
        <w:rPr>
          <w:rFonts w:ascii="Times New Roman" w:hAnsi="Times New Roman" w:cs="Times New Roman"/>
        </w:rPr>
        <w:t>-</w:t>
      </w:r>
      <w:r w:rsidRPr="00B6318D">
        <w:rPr>
          <w:rFonts w:ascii="Times New Roman" w:hAnsi="Times New Roman" w:cs="Times New Roman"/>
        </w:rPr>
        <w:t xml:space="preserve">108. </w:t>
      </w:r>
    </w:p>
    <w:p w14:paraId="6951FEA3"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Currie, J., &amp; Vogl, T. (2013). Early-life health and adult circumstance in developing countries. Annual Review of Economics, 5, 1–36. </w:t>
      </w:r>
    </w:p>
    <w:p w14:paraId="09A2AEB3"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Dyson, T. (2009). The demography of population health. Oxford University Press. </w:t>
      </w:r>
    </w:p>
    <w:p w14:paraId="4114C9B1"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Engel, G. L. (1977). The need for a new medical model: A challenge for biomedicine. Science, 196(4286), 129</w:t>
      </w:r>
      <w:r>
        <w:rPr>
          <w:rFonts w:ascii="Times New Roman" w:hAnsi="Times New Roman" w:cs="Times New Roman"/>
        </w:rPr>
        <w:t>-</w:t>
      </w:r>
      <w:r w:rsidRPr="00B6318D">
        <w:rPr>
          <w:rFonts w:ascii="Times New Roman" w:hAnsi="Times New Roman" w:cs="Times New Roman"/>
        </w:rPr>
        <w:t xml:space="preserve">136. </w:t>
      </w:r>
    </w:p>
    <w:p w14:paraId="558A5BC6"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proofErr w:type="spellStart"/>
      <w:r w:rsidRPr="00B6318D">
        <w:rPr>
          <w:rFonts w:ascii="Times New Roman" w:hAnsi="Times New Roman" w:cs="Times New Roman"/>
        </w:rPr>
        <w:t>Gebrihet</w:t>
      </w:r>
      <w:proofErr w:type="spellEnd"/>
      <w:r w:rsidRPr="00B6318D">
        <w:rPr>
          <w:rFonts w:ascii="Times New Roman" w:hAnsi="Times New Roman" w:cs="Times New Roman"/>
        </w:rPr>
        <w:t xml:space="preserve">, H. G., </w:t>
      </w:r>
      <w:proofErr w:type="spellStart"/>
      <w:r w:rsidRPr="00B6318D">
        <w:rPr>
          <w:rFonts w:ascii="Times New Roman" w:hAnsi="Times New Roman" w:cs="Times New Roman"/>
        </w:rPr>
        <w:t>Gebresilassie</w:t>
      </w:r>
      <w:proofErr w:type="spellEnd"/>
      <w:r w:rsidRPr="00B6318D">
        <w:rPr>
          <w:rFonts w:ascii="Times New Roman" w:hAnsi="Times New Roman" w:cs="Times New Roman"/>
        </w:rPr>
        <w:t xml:space="preserve">, Y. H., &amp; Woldu, G. T. (2024). Does institutional quality enhance the effect of health outcomes on economic growth? Insights from Sub-Saharan African countries. Economies, 12(11), 308. </w:t>
      </w:r>
    </w:p>
    <w:p w14:paraId="37EF97EB"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Grossman, M. (1972). On the concept of health capital and the demand for health. Journal of Political Economy, 80(2), 223</w:t>
      </w:r>
      <w:r>
        <w:rPr>
          <w:rFonts w:ascii="Times New Roman" w:hAnsi="Times New Roman" w:cs="Times New Roman"/>
        </w:rPr>
        <w:t>-</w:t>
      </w:r>
      <w:r w:rsidRPr="00B6318D">
        <w:rPr>
          <w:rFonts w:ascii="Times New Roman" w:hAnsi="Times New Roman" w:cs="Times New Roman"/>
        </w:rPr>
        <w:t xml:space="preserve">255. </w:t>
      </w:r>
    </w:p>
    <w:p w14:paraId="7DA3D5CE"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Helena, R. (2025). Maternal and child health outcomes and economic returns in Sub-Saharan Africa. African </w:t>
      </w:r>
      <w:r w:rsidRPr="00FB7CED">
        <w:rPr>
          <w:rFonts w:ascii="Times New Roman" w:hAnsi="Times New Roman" w:cs="Times New Roman"/>
          <w:i/>
          <w:iCs/>
        </w:rPr>
        <w:t>Journal of Development Research</w:t>
      </w:r>
      <w:r w:rsidRPr="00B6318D">
        <w:rPr>
          <w:rFonts w:ascii="Times New Roman" w:hAnsi="Times New Roman" w:cs="Times New Roman"/>
        </w:rPr>
        <w:t>, 19(1), 4</w:t>
      </w:r>
      <w:r>
        <w:rPr>
          <w:rFonts w:ascii="Times New Roman" w:hAnsi="Times New Roman" w:cs="Times New Roman"/>
        </w:rPr>
        <w:t>-</w:t>
      </w:r>
      <w:r w:rsidRPr="00B6318D">
        <w:rPr>
          <w:rFonts w:ascii="Times New Roman" w:hAnsi="Times New Roman" w:cs="Times New Roman"/>
        </w:rPr>
        <w:t xml:space="preserve">63. </w:t>
      </w:r>
    </w:p>
    <w:p w14:paraId="114E2BF6"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Huber, M., </w:t>
      </w:r>
      <w:proofErr w:type="spellStart"/>
      <w:r w:rsidRPr="00B6318D">
        <w:rPr>
          <w:rFonts w:ascii="Times New Roman" w:hAnsi="Times New Roman" w:cs="Times New Roman"/>
        </w:rPr>
        <w:t>Knottnerus</w:t>
      </w:r>
      <w:proofErr w:type="spellEnd"/>
      <w:r w:rsidRPr="00B6318D">
        <w:rPr>
          <w:rFonts w:ascii="Times New Roman" w:hAnsi="Times New Roman" w:cs="Times New Roman"/>
        </w:rPr>
        <w:t xml:space="preserve">, J. A., Green, L., van der Horst, H., Jadad, A. R., Kromhout, D., &amp; Smid, H. (2011). How should we define health? BMJ, 343, d4163. </w:t>
      </w:r>
    </w:p>
    <w:p w14:paraId="7EF93409"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Journal of Economic Structures. (2025). Health investment and productivity growth nexus in Sub-Saharan Africa. </w:t>
      </w:r>
      <w:r w:rsidRPr="00FB7CED">
        <w:rPr>
          <w:rFonts w:ascii="Times New Roman" w:hAnsi="Times New Roman" w:cs="Times New Roman"/>
          <w:i/>
          <w:iCs/>
        </w:rPr>
        <w:t>Journal of Economic Structures</w:t>
      </w:r>
      <w:r w:rsidRPr="00B6318D">
        <w:rPr>
          <w:rFonts w:ascii="Times New Roman" w:hAnsi="Times New Roman" w:cs="Times New Roman"/>
        </w:rPr>
        <w:t>, 14(1), 1</w:t>
      </w:r>
      <w:r>
        <w:rPr>
          <w:rFonts w:ascii="Times New Roman" w:hAnsi="Times New Roman" w:cs="Times New Roman"/>
        </w:rPr>
        <w:t>-</w:t>
      </w:r>
      <w:r w:rsidRPr="00B6318D">
        <w:rPr>
          <w:rFonts w:ascii="Times New Roman" w:hAnsi="Times New Roman" w:cs="Times New Roman"/>
        </w:rPr>
        <w:t xml:space="preserve">18. </w:t>
      </w:r>
    </w:p>
    <w:p w14:paraId="394E3BE6"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proofErr w:type="spellStart"/>
      <w:r w:rsidRPr="00B6318D">
        <w:rPr>
          <w:rFonts w:ascii="Times New Roman" w:hAnsi="Times New Roman" w:cs="Times New Roman"/>
        </w:rPr>
        <w:t>Kiross</w:t>
      </w:r>
      <w:proofErr w:type="spellEnd"/>
      <w:r w:rsidRPr="00B6318D">
        <w:rPr>
          <w:rFonts w:ascii="Times New Roman" w:hAnsi="Times New Roman" w:cs="Times New Roman"/>
        </w:rPr>
        <w:t xml:space="preserve">, G., Desta, M., &amp; Alemu, T. (2020). Health expenditure and infant mortality in Sub-Saharan </w:t>
      </w:r>
      <w:r w:rsidRPr="00FB7CED">
        <w:rPr>
          <w:rFonts w:ascii="Times New Roman" w:hAnsi="Times New Roman" w:cs="Times New Roman"/>
          <w:i/>
          <w:iCs/>
        </w:rPr>
        <w:t>Africa. Journal of African Health Economics</w:t>
      </w:r>
      <w:r w:rsidRPr="00B6318D">
        <w:rPr>
          <w:rFonts w:ascii="Times New Roman" w:hAnsi="Times New Roman" w:cs="Times New Roman"/>
        </w:rPr>
        <w:t>, 11(2), 77</w:t>
      </w:r>
      <w:r>
        <w:rPr>
          <w:rFonts w:ascii="Times New Roman" w:hAnsi="Times New Roman" w:cs="Times New Roman"/>
        </w:rPr>
        <w:t>-</w:t>
      </w:r>
      <w:r w:rsidRPr="00B6318D">
        <w:rPr>
          <w:rFonts w:ascii="Times New Roman" w:hAnsi="Times New Roman" w:cs="Times New Roman"/>
        </w:rPr>
        <w:t xml:space="preserve">95. </w:t>
      </w:r>
    </w:p>
    <w:p w14:paraId="095CBF80"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McMichael, A. J. (1999). Environmental and global health: Changes, challenges, and opportunities. </w:t>
      </w:r>
      <w:r w:rsidRPr="00FB7CED">
        <w:rPr>
          <w:rFonts w:ascii="Times New Roman" w:hAnsi="Times New Roman" w:cs="Times New Roman"/>
          <w:i/>
          <w:iCs/>
        </w:rPr>
        <w:t>Global Change &amp; Human Health</w:t>
      </w:r>
      <w:r w:rsidRPr="00B6318D">
        <w:rPr>
          <w:rFonts w:ascii="Times New Roman" w:hAnsi="Times New Roman" w:cs="Times New Roman"/>
        </w:rPr>
        <w:t>, 1(1), 3</w:t>
      </w:r>
      <w:r>
        <w:rPr>
          <w:rFonts w:ascii="Times New Roman" w:hAnsi="Times New Roman" w:cs="Times New Roman"/>
        </w:rPr>
        <w:t>-</w:t>
      </w:r>
      <w:r w:rsidRPr="00B6318D">
        <w:rPr>
          <w:rFonts w:ascii="Times New Roman" w:hAnsi="Times New Roman" w:cs="Times New Roman"/>
        </w:rPr>
        <w:t xml:space="preserve">12. </w:t>
      </w:r>
    </w:p>
    <w:p w14:paraId="462B35EA"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McMichael, A. J. (2001). The urban environment and health in a world of increasing globalization. </w:t>
      </w:r>
      <w:r w:rsidRPr="00FB7CED">
        <w:rPr>
          <w:rFonts w:ascii="Times New Roman" w:hAnsi="Times New Roman" w:cs="Times New Roman"/>
          <w:i/>
          <w:iCs/>
        </w:rPr>
        <w:t>Bulletin of the World Health Organization</w:t>
      </w:r>
      <w:r w:rsidRPr="00B6318D">
        <w:rPr>
          <w:rFonts w:ascii="Times New Roman" w:hAnsi="Times New Roman" w:cs="Times New Roman"/>
        </w:rPr>
        <w:t>, 78(9), 1117</w:t>
      </w:r>
      <w:r>
        <w:rPr>
          <w:rFonts w:ascii="Times New Roman" w:hAnsi="Times New Roman" w:cs="Times New Roman"/>
        </w:rPr>
        <w:t>-</w:t>
      </w:r>
      <w:r w:rsidRPr="00B6318D">
        <w:rPr>
          <w:rFonts w:ascii="Times New Roman" w:hAnsi="Times New Roman" w:cs="Times New Roman"/>
        </w:rPr>
        <w:t xml:space="preserve">1126. </w:t>
      </w:r>
    </w:p>
    <w:p w14:paraId="02C0367E"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Musah, A., </w:t>
      </w:r>
      <w:proofErr w:type="spellStart"/>
      <w:r w:rsidRPr="00B6318D">
        <w:rPr>
          <w:rFonts w:ascii="Times New Roman" w:hAnsi="Times New Roman" w:cs="Times New Roman"/>
        </w:rPr>
        <w:t>Aawaar</w:t>
      </w:r>
      <w:proofErr w:type="spellEnd"/>
      <w:r w:rsidRPr="00B6318D">
        <w:rPr>
          <w:rFonts w:ascii="Times New Roman" w:hAnsi="Times New Roman" w:cs="Times New Roman"/>
        </w:rPr>
        <w:t xml:space="preserve">, G., Musah, G., &amp; Abdul-Mumuni, A. (2025). Financial development, public health financing, and health outcomes in Sub-Saharan Africa. </w:t>
      </w:r>
      <w:r w:rsidRPr="00FB7CED">
        <w:rPr>
          <w:rFonts w:ascii="Times New Roman" w:hAnsi="Times New Roman" w:cs="Times New Roman"/>
          <w:i/>
          <w:iCs/>
        </w:rPr>
        <w:t>BMC Public Health</w:t>
      </w:r>
      <w:r w:rsidRPr="00B6318D">
        <w:rPr>
          <w:rFonts w:ascii="Times New Roman" w:hAnsi="Times New Roman" w:cs="Times New Roman"/>
        </w:rPr>
        <w:t xml:space="preserve">, 25, 2943. </w:t>
      </w:r>
    </w:p>
    <w:p w14:paraId="22F72324"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proofErr w:type="spellStart"/>
      <w:r w:rsidRPr="00B6318D">
        <w:rPr>
          <w:rFonts w:ascii="Times New Roman" w:hAnsi="Times New Roman" w:cs="Times New Roman"/>
        </w:rPr>
        <w:t>Notestein</w:t>
      </w:r>
      <w:proofErr w:type="spellEnd"/>
      <w:r w:rsidRPr="00B6318D">
        <w:rPr>
          <w:rFonts w:ascii="Times New Roman" w:hAnsi="Times New Roman" w:cs="Times New Roman"/>
        </w:rPr>
        <w:t>, F. W. (1953). Economic factors in population growth. Journal of the American Statistical Association, 48(264), 13</w:t>
      </w:r>
      <w:r>
        <w:rPr>
          <w:rFonts w:ascii="Times New Roman" w:hAnsi="Times New Roman" w:cs="Times New Roman"/>
        </w:rPr>
        <w:t>-</w:t>
      </w:r>
      <w:r w:rsidRPr="00B6318D">
        <w:rPr>
          <w:rFonts w:ascii="Times New Roman" w:hAnsi="Times New Roman" w:cs="Times New Roman"/>
        </w:rPr>
        <w:t xml:space="preserve">31. </w:t>
      </w:r>
    </w:p>
    <w:p w14:paraId="7E0BEBBA"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Olabisi, M., &amp; </w:t>
      </w:r>
      <w:proofErr w:type="spellStart"/>
      <w:r w:rsidRPr="00B6318D">
        <w:rPr>
          <w:rFonts w:ascii="Times New Roman" w:hAnsi="Times New Roman" w:cs="Times New Roman"/>
        </w:rPr>
        <w:t>Adegbenro</w:t>
      </w:r>
      <w:proofErr w:type="spellEnd"/>
      <w:r w:rsidRPr="00B6318D">
        <w:rPr>
          <w:rFonts w:ascii="Times New Roman" w:hAnsi="Times New Roman" w:cs="Times New Roman"/>
        </w:rPr>
        <w:t xml:space="preserve">, A. (2025). Fiscal policy, government health expenditure, and child health outcomes in Sub-Saharan Africa. </w:t>
      </w:r>
      <w:r w:rsidRPr="00FB7CED">
        <w:rPr>
          <w:rFonts w:ascii="Times New Roman" w:hAnsi="Times New Roman" w:cs="Times New Roman"/>
          <w:i/>
          <w:iCs/>
        </w:rPr>
        <w:t>Journal of African Development Studies</w:t>
      </w:r>
      <w:r w:rsidRPr="00B6318D">
        <w:rPr>
          <w:rFonts w:ascii="Times New Roman" w:hAnsi="Times New Roman" w:cs="Times New Roman"/>
        </w:rPr>
        <w:t>, 14(2), 88</w:t>
      </w:r>
      <w:r>
        <w:rPr>
          <w:rFonts w:ascii="Times New Roman" w:hAnsi="Times New Roman" w:cs="Times New Roman"/>
        </w:rPr>
        <w:t>-</w:t>
      </w:r>
      <w:r w:rsidRPr="00B6318D">
        <w:rPr>
          <w:rFonts w:ascii="Times New Roman" w:hAnsi="Times New Roman" w:cs="Times New Roman"/>
        </w:rPr>
        <w:t xml:space="preserve">104. </w:t>
      </w:r>
    </w:p>
    <w:p w14:paraId="2A5F32A3"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Olabisi, M., &amp; </w:t>
      </w:r>
      <w:proofErr w:type="spellStart"/>
      <w:r w:rsidRPr="00B6318D">
        <w:rPr>
          <w:rFonts w:ascii="Times New Roman" w:hAnsi="Times New Roman" w:cs="Times New Roman"/>
        </w:rPr>
        <w:t>Adegbenro</w:t>
      </w:r>
      <w:proofErr w:type="spellEnd"/>
      <w:r w:rsidRPr="00B6318D">
        <w:rPr>
          <w:rFonts w:ascii="Times New Roman" w:hAnsi="Times New Roman" w:cs="Times New Roman"/>
        </w:rPr>
        <w:t xml:space="preserve">, A. (2025). Fiscal policy, government health expenditure, and child health outcomes in Sub-Saharan Africa. </w:t>
      </w:r>
      <w:r w:rsidRPr="00FB7CED">
        <w:rPr>
          <w:rFonts w:ascii="Times New Roman" w:hAnsi="Times New Roman" w:cs="Times New Roman"/>
          <w:i/>
          <w:iCs/>
        </w:rPr>
        <w:t>Journal of African Development Studies</w:t>
      </w:r>
      <w:r w:rsidRPr="00B6318D">
        <w:rPr>
          <w:rFonts w:ascii="Times New Roman" w:hAnsi="Times New Roman" w:cs="Times New Roman"/>
        </w:rPr>
        <w:t>, 14(2), 88</w:t>
      </w:r>
      <w:r>
        <w:rPr>
          <w:rFonts w:ascii="Times New Roman" w:hAnsi="Times New Roman" w:cs="Times New Roman"/>
        </w:rPr>
        <w:t>-</w:t>
      </w:r>
      <w:r w:rsidRPr="00B6318D">
        <w:rPr>
          <w:rFonts w:ascii="Times New Roman" w:hAnsi="Times New Roman" w:cs="Times New Roman"/>
        </w:rPr>
        <w:t xml:space="preserve">104. </w:t>
      </w:r>
    </w:p>
    <w:p w14:paraId="212658A1"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Olowu, O., &amp; Ojo, T. (2021). Health outcomes and economic growth nexus in Sub-Saharan Africa. African Development Review, 33(4), 540</w:t>
      </w:r>
      <w:r>
        <w:rPr>
          <w:rFonts w:ascii="Times New Roman" w:hAnsi="Times New Roman" w:cs="Times New Roman"/>
        </w:rPr>
        <w:t>-</w:t>
      </w:r>
      <w:r w:rsidRPr="00B6318D">
        <w:rPr>
          <w:rFonts w:ascii="Times New Roman" w:hAnsi="Times New Roman" w:cs="Times New Roman"/>
        </w:rPr>
        <w:t xml:space="preserve">556. </w:t>
      </w:r>
    </w:p>
    <w:p w14:paraId="5722E1EB"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Romer, P. M. (1990). Endogenous technological change. Journal of Political Economy, 98(5), S71</w:t>
      </w:r>
      <w:r>
        <w:rPr>
          <w:rFonts w:ascii="Times New Roman" w:hAnsi="Times New Roman" w:cs="Times New Roman"/>
        </w:rPr>
        <w:t>-</w:t>
      </w:r>
      <w:r w:rsidRPr="00B6318D">
        <w:rPr>
          <w:rFonts w:ascii="Times New Roman" w:hAnsi="Times New Roman" w:cs="Times New Roman"/>
        </w:rPr>
        <w:t xml:space="preserve">S102. </w:t>
      </w:r>
    </w:p>
    <w:p w14:paraId="7041CE82"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Sachs, J. D., &amp; Malaney, P. (2002). The economic and social burden of malaria. Nature, 415(6872), 680</w:t>
      </w:r>
      <w:r>
        <w:rPr>
          <w:rFonts w:ascii="Times New Roman" w:hAnsi="Times New Roman" w:cs="Times New Roman"/>
        </w:rPr>
        <w:t>-</w:t>
      </w:r>
      <w:r w:rsidRPr="00B6318D">
        <w:rPr>
          <w:rFonts w:ascii="Times New Roman" w:hAnsi="Times New Roman" w:cs="Times New Roman"/>
        </w:rPr>
        <w:t xml:space="preserve">685. </w:t>
      </w:r>
    </w:p>
    <w:p w14:paraId="279C3EC6"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Sirag, A., Yusuf, M., &amp; Ahmed, B. (2022). Health outcomes and economic performance in Sub-Saharan Africa: Evidence from panel ARDL models. African Economic Review, 30(1), 55</w:t>
      </w:r>
      <w:r>
        <w:rPr>
          <w:rFonts w:ascii="Times New Roman" w:hAnsi="Times New Roman" w:cs="Times New Roman"/>
        </w:rPr>
        <w:t>-</w:t>
      </w:r>
      <w:r w:rsidRPr="00B6318D">
        <w:rPr>
          <w:rFonts w:ascii="Times New Roman" w:hAnsi="Times New Roman" w:cs="Times New Roman"/>
        </w:rPr>
        <w:t xml:space="preserve">74. </w:t>
      </w:r>
    </w:p>
    <w:p w14:paraId="3020FAFC"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Sisay, T. (2023). Food insecurity, health outcomes, and economic growth in Sub-Saharan Africa. </w:t>
      </w:r>
      <w:r w:rsidRPr="00FB7CED">
        <w:rPr>
          <w:rFonts w:ascii="Times New Roman" w:hAnsi="Times New Roman" w:cs="Times New Roman"/>
          <w:i/>
          <w:iCs/>
        </w:rPr>
        <w:t xml:space="preserve">Journal of Development and Agricultural Economics, </w:t>
      </w:r>
      <w:r w:rsidRPr="00B6318D">
        <w:rPr>
          <w:rFonts w:ascii="Times New Roman" w:hAnsi="Times New Roman" w:cs="Times New Roman"/>
        </w:rPr>
        <w:t>15(4), 144</w:t>
      </w:r>
      <w:r>
        <w:rPr>
          <w:rFonts w:ascii="Times New Roman" w:hAnsi="Times New Roman" w:cs="Times New Roman"/>
        </w:rPr>
        <w:t>-</w:t>
      </w:r>
      <w:r w:rsidRPr="00B6318D">
        <w:rPr>
          <w:rFonts w:ascii="Times New Roman" w:hAnsi="Times New Roman" w:cs="Times New Roman"/>
        </w:rPr>
        <w:t xml:space="preserve">158. </w:t>
      </w:r>
    </w:p>
    <w:p w14:paraId="7C497334"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The Guardian. (2024). Fifth of medicines in Africa may be substandard or fake, research finds. </w:t>
      </w:r>
    </w:p>
    <w:p w14:paraId="28D5940B"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Tonny, B. (2026). Effect of health expenditure on economic growth in East Africa: Empirical evidence from dynamic panel estimation techniques. </w:t>
      </w:r>
      <w:r w:rsidRPr="00FB7CED">
        <w:rPr>
          <w:rFonts w:ascii="Times New Roman" w:hAnsi="Times New Roman" w:cs="Times New Roman"/>
          <w:i/>
          <w:iCs/>
        </w:rPr>
        <w:t xml:space="preserve">Journal of Economic and Social Dynamics, </w:t>
      </w:r>
      <w:r w:rsidRPr="00B6318D">
        <w:rPr>
          <w:rFonts w:ascii="Times New Roman" w:hAnsi="Times New Roman" w:cs="Times New Roman"/>
        </w:rPr>
        <w:t>2(1), 1</w:t>
      </w:r>
      <w:r>
        <w:rPr>
          <w:rFonts w:ascii="Times New Roman" w:hAnsi="Times New Roman" w:cs="Times New Roman"/>
        </w:rPr>
        <w:t>-</w:t>
      </w:r>
      <w:r w:rsidRPr="00B6318D">
        <w:rPr>
          <w:rFonts w:ascii="Times New Roman" w:hAnsi="Times New Roman" w:cs="Times New Roman"/>
        </w:rPr>
        <w:t xml:space="preserve">37. </w:t>
      </w:r>
    </w:p>
    <w:p w14:paraId="249D311B"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Tonny, P. (2026). Public health expenditure and economic growth in Sub-Saharan Africa. </w:t>
      </w:r>
      <w:r w:rsidRPr="00FB7CED">
        <w:rPr>
          <w:rFonts w:ascii="Times New Roman" w:hAnsi="Times New Roman" w:cs="Times New Roman"/>
          <w:i/>
          <w:iCs/>
        </w:rPr>
        <w:t>International Journal of Health Economics and Policy</w:t>
      </w:r>
      <w:r w:rsidRPr="00B6318D">
        <w:rPr>
          <w:rFonts w:ascii="Times New Roman" w:hAnsi="Times New Roman" w:cs="Times New Roman"/>
        </w:rPr>
        <w:t>, 9(1), 23</w:t>
      </w:r>
      <w:r>
        <w:rPr>
          <w:rFonts w:ascii="Times New Roman" w:hAnsi="Times New Roman" w:cs="Times New Roman"/>
        </w:rPr>
        <w:t>-</w:t>
      </w:r>
      <w:r w:rsidRPr="00B6318D">
        <w:rPr>
          <w:rFonts w:ascii="Times New Roman" w:hAnsi="Times New Roman" w:cs="Times New Roman"/>
        </w:rPr>
        <w:t xml:space="preserve">39. </w:t>
      </w:r>
    </w:p>
    <w:p w14:paraId="3D719ABF"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UNICEF. (2023). State of the World’s Children Report 2023. United Nations Children’s Fund. </w:t>
      </w:r>
    </w:p>
    <w:p w14:paraId="4A4A653B"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Weil, D. N. (2007). Accounting for the effect of health on economic growth. </w:t>
      </w:r>
      <w:r w:rsidRPr="00FB7CED">
        <w:rPr>
          <w:rFonts w:ascii="Times New Roman" w:hAnsi="Times New Roman" w:cs="Times New Roman"/>
          <w:i/>
          <w:iCs/>
        </w:rPr>
        <w:t>Quarterly Journal of Economics,</w:t>
      </w:r>
      <w:r w:rsidRPr="00B6318D">
        <w:rPr>
          <w:rFonts w:ascii="Times New Roman" w:hAnsi="Times New Roman" w:cs="Times New Roman"/>
        </w:rPr>
        <w:t xml:space="preserve"> 122(3), 1265</w:t>
      </w:r>
      <w:r>
        <w:rPr>
          <w:rFonts w:ascii="Times New Roman" w:hAnsi="Times New Roman" w:cs="Times New Roman"/>
        </w:rPr>
        <w:t>-</w:t>
      </w:r>
      <w:r w:rsidRPr="00B6318D">
        <w:rPr>
          <w:rFonts w:ascii="Times New Roman" w:hAnsi="Times New Roman" w:cs="Times New Roman"/>
        </w:rPr>
        <w:t xml:space="preserve">1306. </w:t>
      </w:r>
    </w:p>
    <w:p w14:paraId="231A6C17"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World Bank. (2024). Sub-Saharan Africa growth not enough to reduce poverty. World Bank Development Report.</w:t>
      </w:r>
    </w:p>
    <w:p w14:paraId="47B17829"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World Health Organization (WHO). (1948). Preamble to the Constitution of the World Health Organization. Geneva: WHO. </w:t>
      </w:r>
    </w:p>
    <w:p w14:paraId="7E5B9382"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World Health Organization (WHO). (2021). Health inequalities and their causes. Geneva: World Health Organization. </w:t>
      </w:r>
    </w:p>
    <w:p w14:paraId="2A72B8B7" w14:textId="77777777" w:rsidR="00EF67D2" w:rsidRPr="0057754A" w:rsidRDefault="00EF67D2" w:rsidP="00F97164">
      <w:pPr>
        <w:jc w:val="both"/>
        <w:rPr>
          <w:rFonts w:ascii="Times New Roman" w:hAnsi="Times New Roman" w:cs="Times New Roman"/>
        </w:rPr>
      </w:pPr>
    </w:p>
    <w:sectPr w:rsidR="00EF67D2" w:rsidRPr="0057754A">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1D440" w14:textId="77777777" w:rsidR="00E60C9B" w:rsidRDefault="00E60C9B" w:rsidP="00EF67D2">
      <w:pPr>
        <w:spacing w:after="0" w:line="240" w:lineRule="auto"/>
      </w:pPr>
      <w:r>
        <w:separator/>
      </w:r>
    </w:p>
  </w:endnote>
  <w:endnote w:type="continuationSeparator" w:id="0">
    <w:p w14:paraId="356A4271" w14:textId="77777777" w:rsidR="00E60C9B" w:rsidRDefault="00E60C9B" w:rsidP="00EF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248911"/>
      <w:docPartObj>
        <w:docPartGallery w:val="Page Numbers (Bottom of Page)"/>
        <w:docPartUnique/>
      </w:docPartObj>
    </w:sdtPr>
    <w:sdtEndPr>
      <w:rPr>
        <w:noProof/>
      </w:rPr>
    </w:sdtEndPr>
    <w:sdtContent>
      <w:p w14:paraId="586ADAE4" w14:textId="56446B8A" w:rsidR="00EF67D2" w:rsidRDefault="00EF67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77E810" w14:textId="77777777" w:rsidR="00EF67D2" w:rsidRDefault="00EF6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700FF" w14:textId="77777777" w:rsidR="00E60C9B" w:rsidRDefault="00E60C9B" w:rsidP="00EF67D2">
      <w:pPr>
        <w:spacing w:after="0" w:line="240" w:lineRule="auto"/>
      </w:pPr>
      <w:r>
        <w:separator/>
      </w:r>
    </w:p>
  </w:footnote>
  <w:footnote w:type="continuationSeparator" w:id="0">
    <w:p w14:paraId="3C40F033" w14:textId="77777777" w:rsidR="00E60C9B" w:rsidRDefault="00E60C9B" w:rsidP="00EF6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36567"/>
    <w:multiLevelType w:val="multilevel"/>
    <w:tmpl w:val="D6D43B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77147DD"/>
    <w:multiLevelType w:val="hybridMultilevel"/>
    <w:tmpl w:val="3F003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6D69A7"/>
    <w:multiLevelType w:val="hybridMultilevel"/>
    <w:tmpl w:val="18526E5C"/>
    <w:lvl w:ilvl="0" w:tplc="43ACA1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3648E3"/>
    <w:multiLevelType w:val="hybridMultilevel"/>
    <w:tmpl w:val="DE201A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883D91"/>
    <w:multiLevelType w:val="multilevel"/>
    <w:tmpl w:val="5A0AAFEE"/>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77F1B20"/>
    <w:multiLevelType w:val="multilevel"/>
    <w:tmpl w:val="8C507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132551">
    <w:abstractNumId w:val="2"/>
  </w:num>
  <w:num w:numId="2" w16cid:durableId="738946989">
    <w:abstractNumId w:val="5"/>
  </w:num>
  <w:num w:numId="3" w16cid:durableId="1281912845">
    <w:abstractNumId w:val="4"/>
  </w:num>
  <w:num w:numId="4" w16cid:durableId="1550612031">
    <w:abstractNumId w:val="0"/>
  </w:num>
  <w:num w:numId="5" w16cid:durableId="1052073837">
    <w:abstractNumId w:val="1"/>
  </w:num>
  <w:num w:numId="6" w16cid:durableId="2048721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83"/>
    <w:rsid w:val="0003574B"/>
    <w:rsid w:val="00105409"/>
    <w:rsid w:val="00125A3C"/>
    <w:rsid w:val="002432A1"/>
    <w:rsid w:val="003B02A1"/>
    <w:rsid w:val="003D19C9"/>
    <w:rsid w:val="003D362E"/>
    <w:rsid w:val="0040735A"/>
    <w:rsid w:val="004815BC"/>
    <w:rsid w:val="00575EF5"/>
    <w:rsid w:val="0057754A"/>
    <w:rsid w:val="00627A0C"/>
    <w:rsid w:val="00695D83"/>
    <w:rsid w:val="006C4FEB"/>
    <w:rsid w:val="007105EE"/>
    <w:rsid w:val="00747CD6"/>
    <w:rsid w:val="00765EDF"/>
    <w:rsid w:val="007F5D2D"/>
    <w:rsid w:val="009004DD"/>
    <w:rsid w:val="009341E8"/>
    <w:rsid w:val="00965114"/>
    <w:rsid w:val="00B54471"/>
    <w:rsid w:val="00C56FE3"/>
    <w:rsid w:val="00D25F3D"/>
    <w:rsid w:val="00D56BB9"/>
    <w:rsid w:val="00D9135C"/>
    <w:rsid w:val="00DD7E85"/>
    <w:rsid w:val="00E60C9B"/>
    <w:rsid w:val="00EF67D2"/>
    <w:rsid w:val="00F053F2"/>
    <w:rsid w:val="00F938E4"/>
    <w:rsid w:val="00F97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54201"/>
  <w15:chartTrackingRefBased/>
  <w15:docId w15:val="{221CA753-AAC3-465D-A731-6BC49850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D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5D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5D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5D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5D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5D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D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D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D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D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5D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5D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5D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5D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5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D83"/>
    <w:rPr>
      <w:rFonts w:eastAsiaTheme="majorEastAsia" w:cstheme="majorBidi"/>
      <w:color w:val="272727" w:themeColor="text1" w:themeTint="D8"/>
    </w:rPr>
  </w:style>
  <w:style w:type="paragraph" w:styleId="Title">
    <w:name w:val="Title"/>
    <w:basedOn w:val="Normal"/>
    <w:next w:val="Normal"/>
    <w:link w:val="TitleChar"/>
    <w:uiPriority w:val="10"/>
    <w:qFormat/>
    <w:rsid w:val="00695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D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D83"/>
    <w:pPr>
      <w:spacing w:before="160"/>
      <w:jc w:val="center"/>
    </w:pPr>
    <w:rPr>
      <w:i/>
      <w:iCs/>
      <w:color w:val="404040" w:themeColor="text1" w:themeTint="BF"/>
    </w:rPr>
  </w:style>
  <w:style w:type="character" w:customStyle="1" w:styleId="QuoteChar">
    <w:name w:val="Quote Char"/>
    <w:basedOn w:val="DefaultParagraphFont"/>
    <w:link w:val="Quote"/>
    <w:uiPriority w:val="29"/>
    <w:rsid w:val="00695D83"/>
    <w:rPr>
      <w:i/>
      <w:iCs/>
      <w:color w:val="404040" w:themeColor="text1" w:themeTint="BF"/>
    </w:rPr>
  </w:style>
  <w:style w:type="paragraph" w:styleId="ListParagraph">
    <w:name w:val="List Paragraph"/>
    <w:basedOn w:val="Normal"/>
    <w:uiPriority w:val="34"/>
    <w:qFormat/>
    <w:rsid w:val="00695D83"/>
    <w:pPr>
      <w:ind w:left="720"/>
      <w:contextualSpacing/>
    </w:pPr>
  </w:style>
  <w:style w:type="character" w:styleId="IntenseEmphasis">
    <w:name w:val="Intense Emphasis"/>
    <w:basedOn w:val="DefaultParagraphFont"/>
    <w:uiPriority w:val="21"/>
    <w:qFormat/>
    <w:rsid w:val="00695D83"/>
    <w:rPr>
      <w:i/>
      <w:iCs/>
      <w:color w:val="2F5496" w:themeColor="accent1" w:themeShade="BF"/>
    </w:rPr>
  </w:style>
  <w:style w:type="paragraph" w:styleId="IntenseQuote">
    <w:name w:val="Intense Quote"/>
    <w:basedOn w:val="Normal"/>
    <w:next w:val="Normal"/>
    <w:link w:val="IntenseQuoteChar"/>
    <w:uiPriority w:val="30"/>
    <w:qFormat/>
    <w:rsid w:val="00695D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5D83"/>
    <w:rPr>
      <w:i/>
      <w:iCs/>
      <w:color w:val="2F5496" w:themeColor="accent1" w:themeShade="BF"/>
    </w:rPr>
  </w:style>
  <w:style w:type="character" w:styleId="IntenseReference">
    <w:name w:val="Intense Reference"/>
    <w:basedOn w:val="DefaultParagraphFont"/>
    <w:uiPriority w:val="32"/>
    <w:qFormat/>
    <w:rsid w:val="00695D83"/>
    <w:rPr>
      <w:b/>
      <w:bCs/>
      <w:smallCaps/>
      <w:color w:val="2F5496" w:themeColor="accent1" w:themeShade="BF"/>
      <w:spacing w:val="5"/>
    </w:rPr>
  </w:style>
  <w:style w:type="character" w:styleId="Hyperlink">
    <w:name w:val="Hyperlink"/>
    <w:basedOn w:val="DefaultParagraphFont"/>
    <w:uiPriority w:val="99"/>
    <w:unhideWhenUsed/>
    <w:rsid w:val="00695D83"/>
    <w:rPr>
      <w:color w:val="0563C1" w:themeColor="hyperlink"/>
      <w:u w:val="single"/>
    </w:rPr>
  </w:style>
  <w:style w:type="character" w:styleId="UnresolvedMention">
    <w:name w:val="Unresolved Mention"/>
    <w:basedOn w:val="DefaultParagraphFont"/>
    <w:uiPriority w:val="99"/>
    <w:semiHidden/>
    <w:unhideWhenUsed/>
    <w:rsid w:val="0057754A"/>
    <w:rPr>
      <w:color w:val="605E5C"/>
      <w:shd w:val="clear" w:color="auto" w:fill="E1DFDD"/>
    </w:rPr>
  </w:style>
  <w:style w:type="paragraph" w:styleId="Header">
    <w:name w:val="header"/>
    <w:basedOn w:val="Normal"/>
    <w:link w:val="HeaderChar"/>
    <w:uiPriority w:val="99"/>
    <w:unhideWhenUsed/>
    <w:rsid w:val="00EF6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7D2"/>
  </w:style>
  <w:style w:type="paragraph" w:styleId="Footer">
    <w:name w:val="footer"/>
    <w:basedOn w:val="Normal"/>
    <w:link w:val="FooterChar"/>
    <w:uiPriority w:val="99"/>
    <w:unhideWhenUsed/>
    <w:rsid w:val="00EF6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7D2"/>
  </w:style>
  <w:style w:type="table" w:styleId="TableGrid">
    <w:name w:val="Table Grid"/>
    <w:basedOn w:val="TableNormal"/>
    <w:uiPriority w:val="39"/>
    <w:rsid w:val="003D1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47CD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otani786@adsu.edu.ng" TargetMode="External"/><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hyperlink" Target="https://orcid.org/0000-0001-7032-9889" TargetMode="External"/><Relationship Id="rId12" Type="http://schemas.openxmlformats.org/officeDocument/2006/relationships/image" Target="media/image2.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mailto:migonidauda@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20</Pages>
  <Words>7836</Words>
  <Characters>44671</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Panotani Phillips</dc:creator>
  <cp:keywords/>
  <dc:description/>
  <cp:lastModifiedBy>Panotani Phillips</cp:lastModifiedBy>
  <cp:revision>10</cp:revision>
  <dcterms:created xsi:type="dcterms:W3CDTF">2026-05-07T06:42:00Z</dcterms:created>
  <dcterms:modified xsi:type="dcterms:W3CDTF">2026-05-07T10:37:00Z</dcterms:modified>
</cp:coreProperties>
</file>