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B63A">
      <w:pPr>
        <w:spacing w:before="0" w:after="120"/>
        <w:jc w:val="center"/>
        <w:rPr>
          <w:rFonts w:ascii="Times New Roman" w:hAnsi="Times New Roman" w:eastAsia="Times New Roman" w:cs="Times New Roman"/>
          <w:b/>
          <w:bCs/>
          <w:color w:val="000000"/>
          <w:sz w:val="32"/>
          <w:szCs w:val="32"/>
        </w:rPr>
      </w:pPr>
      <w:r>
        <w:rPr>
          <w:rFonts w:ascii="Times New Roman" w:hAnsi="Times New Roman" w:eastAsia="Times New Roman" w:cs="Times New Roman"/>
          <w:b/>
          <w:bCs/>
          <w:color w:val="000000"/>
          <w:sz w:val="32"/>
          <w:szCs w:val="32"/>
        </w:rPr>
        <w:t>Scholarly Communication, Open Access Publishing, and Research Visibility in Nigerian and Sub-Saharan African Universities</w:t>
      </w:r>
    </w:p>
    <w:p w14:paraId="0AFE6886">
      <w:pPr>
        <w:spacing w:before="0" w:after="120"/>
        <w:jc w:val="center"/>
        <w:rPr>
          <w:rFonts w:ascii="Times New Roman" w:hAnsi="Times New Roman" w:eastAsia="Times New Roman" w:cs="Times New Roman"/>
          <w:b/>
          <w:bCs/>
          <w:color w:val="000000"/>
          <w:sz w:val="36"/>
          <w:szCs w:val="36"/>
        </w:rPr>
      </w:pPr>
    </w:p>
    <w:p w14:paraId="300DD61B">
      <w:pPr>
        <w:pStyle w:val="15"/>
        <w:keepNext w:val="0"/>
        <w:keepLines w:val="0"/>
        <w:widowControl/>
        <w:suppressLineNumbers w:val="0"/>
        <w:spacing w:before="0" w:beforeAutospacing="0" w:after="0" w:afterAutospacing="0" w:line="36" w:lineRule="atLeast"/>
        <w:ind w:left="0" w:right="0" w:firstLine="0"/>
        <w:jc w:val="center"/>
        <w:rPr>
          <w:rFonts w:hint="default" w:ascii="Times New Roman Regular" w:hAnsi="Times New Roman Regular" w:eastAsia="Times New Roman Regular" w:cs="Times New Roman Regular"/>
          <w:i/>
          <w:iCs/>
          <w:caps w:val="0"/>
          <w:color w:val="000000"/>
          <w:spacing w:val="0"/>
          <w:sz w:val="24"/>
          <w:szCs w:val="24"/>
          <w:u w:val="none"/>
        </w:rPr>
      </w:pPr>
      <w:r>
        <w:rPr>
          <w:rFonts w:hint="default" w:ascii="Times New Roman Regular" w:hAnsi="Times New Roman Regular" w:eastAsia="Times New Roman Regular" w:cs="Times New Roman Regular"/>
          <w:b w:val="0"/>
          <w:bCs w:val="0"/>
          <w:i/>
          <w:iCs/>
          <w:caps w:val="0"/>
          <w:color w:val="000000"/>
          <w:spacing w:val="0"/>
          <w:sz w:val="24"/>
          <w:szCs w:val="24"/>
          <w:u w:val="none"/>
        </w:rPr>
        <w:t/>
      </w:r>
    </w:p>
    <w:p w14:paraId="05F5E247">
      <w:pPr>
        <w:pStyle w:val="15"/>
        <w:keepNext w:val="0"/>
        <w:keepLines w:val="0"/>
        <w:widowControl/>
        <w:suppressLineNumbers w:val="0"/>
        <w:spacing w:before="0" w:beforeAutospacing="0" w:after="0" w:afterAutospacing="0" w:line="36" w:lineRule="atLeast"/>
        <w:ind w:left="0" w:right="0" w:firstLine="0"/>
        <w:jc w:val="center"/>
        <w:rPr>
          <w:rFonts w:hint="default" w:ascii="Times New Roman Regular" w:hAnsi="Times New Roman Regular" w:eastAsia="Times New Roman Regular" w:cs="Times New Roman Regular"/>
          <w:i/>
          <w:iCs/>
          <w:caps w:val="0"/>
          <w:color w:val="000000"/>
          <w:spacing w:val="0"/>
          <w:sz w:val="24"/>
          <w:szCs w:val="24"/>
          <w:u w:val="none"/>
        </w:rPr>
      </w:pPr>
      <w:r>
        <w:rPr>
          <w:rFonts w:hint="default" w:ascii="Times New Roman Regular" w:hAnsi="Times New Roman Regular" w:eastAsia="Times New Roman Regular" w:cs="Times New Roman Regular"/>
          <w:b w:val="0"/>
          <w:bCs w:val="0"/>
          <w:i/>
          <w:iCs/>
          <w:caps w:val="0"/>
          <w:color w:val="000000"/>
          <w:spacing w:val="0"/>
          <w:sz w:val="24"/>
          <w:szCs w:val="24"/>
          <w:u w:val="none"/>
        </w:rPr>
        <w:t/>
      </w:r>
    </w:p>
    <w:p w14:paraId="2721E0A4">
      <w:pPr>
        <w:spacing w:before="0" w:after="100"/>
        <w:jc w:val="center"/>
        <w:rPr>
          <w:rFonts w:hint="default" w:ascii="Times New Roman Italic" w:hAnsi="Times New Roman Italic" w:cs="Times New Roman Italic"/>
          <w:i/>
          <w:iCs/>
          <w:lang w:val="en-US"/>
        </w:rPr>
      </w:pPr>
      <w:r>
        <w:rPr>
          <w:rFonts w:hint="default" w:ascii="Times New Roman Bold Italic" w:hAnsi="Times New Roman Bold Italic"/>
          <w:b/>
          <w:bCs/>
          <w:i/>
          <w:iCs/>
        </w:rPr>
        <w:t xml:space="preserve"/>
      </w:r>
      <w:r>
        <w:rPr>
          <w:rFonts w:hint="default" w:ascii="Times New Roman Bold Italic" w:hAnsi="Times New Roman Bold Italic"/>
          <w:b/>
          <w:bCs/>
          <w:i/>
          <w:iCs/>
        </w:rPr>
        <w:fldChar w:fldCharType="begin"/>
      </w:r>
      <w:r>
        <w:rPr>
          <w:rFonts w:hint="default" w:ascii="Times New Roman Bold Italic" w:hAnsi="Times New Roman Bold Italic"/>
          <w:b/>
          <w:bCs/>
          <w:i/>
          <w:iCs/>
        </w:rPr>
        <w:instrText xml:space="preserve"> HYPERLINK "mailto:Victoriachukwunwali@gmail.com" </w:instrText>
      </w:r>
      <w:r>
        <w:rPr>
          <w:rFonts w:hint="default" w:ascii="Times New Roman Bold Italic" w:hAnsi="Times New Roman Bold Italic"/>
          <w:b/>
          <w:bCs/>
          <w:i/>
          <w:iCs/>
        </w:rPr>
        <w:fldChar w:fldCharType="separate"/>
      </w:r>
      <w:r>
        <w:rPr>
          <w:rStyle w:val="14"/>
          <w:rFonts w:hint="default" w:ascii="Times New Roman Bold Italic" w:hAnsi="Times New Roman Bold Italic"/>
          <w:b/>
          <w:bCs/>
          <w:i/>
          <w:iCs/>
        </w:rPr>
        <w:t/>
      </w:r>
      <w:r>
        <w:rPr>
          <w:rFonts w:hint="default" w:ascii="Times New Roman Bold Italic" w:hAnsi="Times New Roman Bold Italic"/>
          <w:b/>
          <w:bCs/>
          <w:i/>
          <w:iCs/>
        </w:rPr>
        <w:fldChar w:fldCharType="end"/>
      </w:r>
      <w:r>
        <w:rPr>
          <w:rFonts w:hint="default" w:ascii="Times New Roman Bold Italic" w:hAnsi="Times New Roman Bold Italic" w:cs="Times New Roman Bold Italic"/>
          <w:b/>
          <w:bCs/>
          <w:i/>
          <w:iCs/>
          <w:lang w:val="en-US"/>
        </w:rPr>
        <w:t xml:space="preserve"/>
      </w:r>
    </w:p>
    <w:p w14:paraId="4A420EB9">
      <w:pPr>
        <w:spacing w:before="0" w:after="100"/>
        <w:jc w:val="center"/>
        <w:rPr>
          <w:rFonts w:hint="default" w:ascii="Times New Roman Italic" w:hAnsi="Times New Roman Italic" w:cs="Times New Roman Italic"/>
          <w:i/>
          <w:iCs/>
          <w:lang w:val="en-US"/>
        </w:rPr>
      </w:pPr>
      <w:r>
        <w:rPr>
          <w:rFonts w:hint="default" w:ascii="Times New Roman Italic" w:hAnsi="Times New Roman Italic" w:cs="Times New Roman Italic"/>
          <w:i/>
          <w:iCs/>
          <w:lang w:val="en-US"/>
        </w:rPr>
        <w:t/>
      </w:r>
    </w:p>
    <w:p w14:paraId="5F0CC8FD">
      <w:pPr>
        <w:pStyle w:val="15"/>
        <w:keepNext w:val="0"/>
        <w:keepLines w:val="0"/>
        <w:widowControl/>
        <w:suppressLineNumbers w:val="0"/>
        <w:spacing w:before="0" w:beforeAutospacing="0" w:after="0" w:afterAutospacing="0" w:line="36" w:lineRule="atLeast"/>
        <w:ind w:left="0" w:right="0" w:firstLine="0"/>
        <w:jc w:val="center"/>
      </w:pPr>
      <w:r>
        <w:rPr>
          <w:rFonts w:hint="default" w:ascii="Times New Roman Regular" w:hAnsi="Times New Roman Regular" w:eastAsia="Times New Roman Regular" w:cs="Times New Roman Regular"/>
          <w:b w:val="0"/>
          <w:bCs w:val="0"/>
          <w:i/>
          <w:iCs/>
          <w:caps w:val="0"/>
          <w:color w:val="000000"/>
          <w:spacing w:val="0"/>
          <w:sz w:val="24"/>
          <w:szCs w:val="24"/>
          <w:u w:val="none"/>
        </w:rPr>
        <w:t/>
      </w:r>
      <w:r>
        <w:rPr>
          <w:rFonts w:hint="default" w:ascii="Times New Roman Regular" w:hAnsi="Times New Roman Regular" w:eastAsia="Times New Roman Regular" w:cs="Times New Roman Regular"/>
          <w:b w:val="0"/>
          <w:bCs w:val="0"/>
          <w:i/>
          <w:iCs/>
          <w:caps w:val="0"/>
          <w:color w:val="000000"/>
          <w:spacing w:val="0"/>
          <w:sz w:val="24"/>
          <w:szCs w:val="24"/>
          <w:u w:val="none"/>
        </w:rPr>
        <w:br w:type="textWrapping"/>
      </w:r>
      <w:r>
        <w:rPr>
          <w:rFonts w:hint="default" w:ascii="Times New Roman Regular" w:hAnsi="Times New Roman Regular" w:eastAsia="Times New Roman Regular" w:cs="Times New Roman Regular"/>
          <w:b w:val="0"/>
          <w:bCs w:val="0"/>
          <w:i/>
          <w:iCs/>
          <w:caps w:val="0"/>
          <w:color w:val="000000"/>
          <w:spacing w:val="0"/>
          <w:sz w:val="24"/>
          <w:szCs w:val="24"/>
          <w:u w:val="none"/>
        </w:rPr>
        <w:t/>
      </w:r>
      <w:r>
        <w:rPr>
          <w:rFonts w:hint="default" w:ascii="Times New Roman Regular" w:hAnsi="Times New Roman Regular" w:eastAsia="Times New Roman Regular" w:cs="Times New Roman Regular"/>
          <w:b w:val="0"/>
          <w:bCs w:val="0"/>
          <w:i/>
          <w:iCs/>
          <w:caps w:val="0"/>
          <w:color w:val="000000"/>
          <w:spacing w:val="0"/>
          <w:sz w:val="24"/>
          <w:szCs w:val="24"/>
          <w:u w:val="none"/>
        </w:rPr>
        <w:br w:type="textWrapping"/>
      </w:r>
      <w:r>
        <w:rPr>
          <w:rFonts w:hint="default" w:ascii="Times New Roman Regular" w:hAnsi="Times New Roman Regular" w:eastAsia="Times New Roman Regular" w:cs="Times New Roman Regular"/>
          <w:i/>
          <w:iCs/>
          <w:caps w:val="0"/>
          <w:spacing w:val="0"/>
          <w:sz w:val="24"/>
          <w:szCs w:val="24"/>
          <w:u w:val="none"/>
        </w:rPr>
        <w:fldChar w:fldCharType="begin"/>
      </w:r>
      <w:r>
        <w:rPr>
          <w:rFonts w:hint="default" w:ascii="Times New Roman Regular" w:hAnsi="Times New Roman Regular" w:eastAsia="Times New Roman Regular" w:cs="Times New Roman Regular"/>
          <w:i/>
          <w:iCs/>
          <w:caps w:val="0"/>
          <w:spacing w:val="0"/>
          <w:sz w:val="24"/>
          <w:szCs w:val="24"/>
          <w:u w:val="none"/>
        </w:rPr>
        <w:instrText xml:space="preserve"> HYPERLINK "mailto:ifeyinwaudumukwu@gmail.com" </w:instrText>
      </w:r>
      <w:r>
        <w:rPr>
          <w:rFonts w:hint="default" w:ascii="Times New Roman Regular" w:hAnsi="Times New Roman Regular" w:eastAsia="Times New Roman Regular" w:cs="Times New Roman Regular"/>
          <w:i/>
          <w:iCs/>
          <w:caps w:val="0"/>
          <w:spacing w:val="0"/>
          <w:sz w:val="24"/>
          <w:szCs w:val="24"/>
          <w:u w:val="none"/>
        </w:rPr>
        <w:fldChar w:fldCharType="separate"/>
      </w:r>
      <w:r>
        <w:rPr>
          <w:rStyle w:val="14"/>
          <w:rFonts w:hint="default" w:ascii="Times New Roman" w:hAnsi="Times New Roman" w:eastAsia="Times New Roman Regular" w:cs="Times New Roman"/>
          <w:b w:val="0"/>
          <w:bCs w:val="0"/>
          <w:i/>
          <w:iCs/>
          <w:caps w:val="0"/>
          <w:color w:val="0563C1"/>
          <w:spacing w:val="0"/>
          <w:sz w:val="22"/>
          <w:szCs w:val="22"/>
          <w:u w:val="single"/>
        </w:rPr>
        <w:t/>
      </w:r>
      <w:r>
        <w:rPr>
          <w:rFonts w:hint="default" w:ascii="Times New Roman Regular" w:hAnsi="Times New Roman Regular" w:eastAsia="Times New Roman Regular" w:cs="Times New Roman Regular"/>
          <w:i/>
          <w:iCs/>
          <w:caps w:val="0"/>
          <w:spacing w:val="0"/>
          <w:sz w:val="24"/>
          <w:szCs w:val="24"/>
          <w:u w:val="none"/>
        </w:rPr>
        <w:fldChar w:fldCharType="end"/>
      </w:r>
    </w:p>
    <w:p w14:paraId="627E0B38">
      <w:pPr>
        <w:spacing w:before="160" w:after="80"/>
        <w:rPr>
          <w:i/>
          <w:iCs/>
          <w:caps w:val="0"/>
          <w:color w:val="000000"/>
          <w:spacing w:val="0"/>
          <w:u w:val="none"/>
        </w:rPr>
      </w:pPr>
      <w:r>
        <w:rPr>
          <w:rFonts w:ascii="Times New Roman" w:hAnsi="Times New Roman" w:eastAsia="Times New Roman" w:cs="Times New Roman"/>
          <w:b/>
          <w:bCs/>
          <w:sz w:val="26"/>
          <w:szCs w:val="26"/>
        </w:rPr>
        <w:t/>
      </w:r>
      <w:r>
        <w:rPr>
          <w:i w:val="0"/>
          <w:iCs w:val="0"/>
          <w:caps w:val="0"/>
          <w:color w:val="000000"/>
          <w:spacing w:val="0"/>
          <w:u w:val="none"/>
        </w:rPr>
        <w:br w:type="textWrapping"/>
      </w:r>
      <w:r>
        <w:rPr>
          <w:i/>
          <w:iCs/>
          <w:caps w:val="0"/>
          <w:color w:val="000000"/>
          <w:spacing w:val="0"/>
          <w:u w:val="none"/>
        </w:rPr>
        <w:t/>
      </w:r>
    </w:p>
    <w:p w14:paraId="01F69F16">
      <w:pPr>
        <w:pStyle w:val="15"/>
        <w:keepNext w:val="0"/>
        <w:keepLines w:val="0"/>
        <w:widowControl/>
        <w:suppressLineNumbers w:val="0"/>
        <w:ind w:left="0" w:firstLine="0"/>
        <w:rPr>
          <w:i/>
          <w:iCs/>
          <w:caps w:val="0"/>
          <w:color w:val="000000"/>
          <w:spacing w:val="0"/>
          <w:u w:val="none"/>
        </w:rPr>
      </w:pPr>
      <w:r>
        <w:rPr>
          <w:i/>
          <w:iCs/>
          <w:caps w:val="0"/>
          <w:color w:val="000000"/>
          <w:spacing w:val="0"/>
          <w:u w:val="none"/>
        </w:rPr>
        <w:t/>
      </w:r>
    </w:p>
    <w:p w14:paraId="40D80EED">
      <w:pPr>
        <w:pStyle w:val="15"/>
        <w:keepNext w:val="0"/>
        <w:keepLines w:val="0"/>
        <w:widowControl/>
        <w:suppressLineNumbers w:val="0"/>
        <w:ind w:left="0" w:firstLine="0"/>
        <w:rPr>
          <w:i/>
          <w:iCs/>
          <w:caps w:val="0"/>
          <w:color w:val="000000"/>
          <w:spacing w:val="0"/>
          <w:u w:val="none"/>
        </w:rPr>
      </w:pPr>
      <w:r>
        <w:rPr>
          <w:i/>
          <w:iCs/>
          <w:caps w:val="0"/>
          <w:color w:val="000000"/>
          <w:spacing w:val="0"/>
          <w:u w:val="none"/>
        </w:rPr>
        <w:t/>
      </w:r>
    </w:p>
    <w:p w14:paraId="5BC1D8C9">
      <w:pPr>
        <w:pStyle w:val="15"/>
        <w:keepNext w:val="0"/>
        <w:keepLines w:val="0"/>
        <w:widowControl/>
        <w:suppressLineNumbers w:val="0"/>
        <w:ind w:left="0" w:firstLine="0"/>
        <w:rPr>
          <w:i w:val="0"/>
          <w:iCs w:val="0"/>
          <w:caps w:val="0"/>
          <w:color w:val="000000"/>
          <w:spacing w:val="0"/>
          <w:u w:val="none"/>
        </w:rPr>
      </w:pPr>
      <w:r>
        <w:rPr>
          <w:rStyle w:val="16"/>
          <w:i w:val="0"/>
          <w:iCs w:val="0"/>
          <w:caps w:val="0"/>
          <w:color w:val="000000"/>
          <w:spacing w:val="0"/>
          <w:u w:val="none"/>
        </w:rPr>
        <w:t/>
      </w:r>
      <w:r>
        <w:rPr>
          <w:i w:val="0"/>
          <w:iCs w:val="0"/>
          <w:caps w:val="0"/>
          <w:color w:val="000000"/>
          <w:spacing w:val="0"/>
          <w:u w:val="none"/>
        </w:rPr>
        <w:t/>
      </w:r>
    </w:p>
    <w:p w14:paraId="3E052ED7">
      <w:pPr>
        <w:pStyle w:val="15"/>
        <w:keepNext w:val="0"/>
        <w:keepLines w:val="0"/>
        <w:widowControl/>
        <w:suppressLineNumbers w:val="0"/>
        <w:ind w:left="0" w:firstLine="0"/>
        <w:rPr>
          <w:rFonts w:ascii="Times New Roman" w:hAnsi="Times New Roman" w:eastAsia="Times New Roman" w:cs="Times New Roman"/>
          <w:b/>
          <w:bCs/>
          <w:color w:val="000000"/>
          <w:sz w:val="28"/>
          <w:szCs w:val="28"/>
        </w:rPr>
      </w:pPr>
    </w:p>
    <w:p w14:paraId="341DB436">
      <w:pPr>
        <w:pStyle w:val="15"/>
        <w:keepNext w:val="0"/>
        <w:keepLines w:val="0"/>
        <w:widowControl/>
        <w:suppressLineNumbers w:val="0"/>
        <w:ind w:left="0" w:firstLine="0"/>
        <w:rPr>
          <w:rFonts w:ascii="Times New Roman" w:hAnsi="Times New Roman" w:eastAsia="Times New Roman" w:cs="Times New Roman"/>
          <w:b/>
          <w:bCs/>
          <w:color w:val="000000"/>
          <w:sz w:val="28"/>
          <w:szCs w:val="28"/>
        </w:rPr>
      </w:pPr>
    </w:p>
    <w:p w14:paraId="13B3F03E">
      <w:pPr>
        <w:pStyle w:val="15"/>
        <w:keepNext w:val="0"/>
        <w:keepLines w:val="0"/>
        <w:widowControl/>
        <w:suppressLineNumbers w:val="0"/>
        <w:ind w:left="0" w:firstLine="0"/>
        <w:rPr>
          <w:rFonts w:ascii="Times New Roman" w:hAnsi="Times New Roman" w:eastAsia="Times New Roman" w:cs="Times New Roman"/>
          <w:b/>
          <w:bCs/>
          <w:color w:val="000000"/>
          <w:sz w:val="28"/>
          <w:szCs w:val="28"/>
        </w:rPr>
      </w:pPr>
    </w:p>
    <w:p w14:paraId="219E396B">
      <w:pPr>
        <w:pStyle w:val="15"/>
        <w:keepNext w:val="0"/>
        <w:keepLines w:val="0"/>
        <w:widowControl/>
        <w:suppressLineNumbers w:val="0"/>
        <w:ind w:left="0" w:firstLine="0"/>
      </w:pPr>
      <w:r>
        <w:rPr>
          <w:rFonts w:ascii="Times New Roman" w:hAnsi="Times New Roman" w:eastAsia="Times New Roman" w:cs="Times New Roman"/>
          <w:b/>
          <w:bCs/>
          <w:color w:val="000000"/>
          <w:sz w:val="28"/>
          <w:szCs w:val="28"/>
        </w:rPr>
        <w:t>Introduction</w:t>
      </w:r>
    </w:p>
    <w:p w14:paraId="5CE310A7">
      <w:pPr>
        <w:spacing w:before="0" w:after="160" w:line="360" w:lineRule="auto"/>
        <w:jc w:val="both"/>
      </w:pPr>
      <w:r>
        <w:rPr>
          <w:rFonts w:ascii="Times New Roman" w:hAnsi="Times New Roman" w:eastAsia="Times New Roman" w:cs="Times New Roman"/>
          <w:color w:val="000000"/>
          <w:sz w:val="24"/>
          <w:szCs w:val="24"/>
        </w:rPr>
        <w:t>The paradox of Nigerian research visibility is well-documented in the literature: Nigeria is one of the most prolific research-producing nations on the African continent, with over 157 federally and state-accredited universities and a postgraduate research culture spanning all major academic disciplines — yet the overwhelming majority of the research produced by Nigerian scholars remains invisible to the global academic community (Onyancha &amp; Ngulube, 2021; Omotayo &amp; Ahiauzu, 2019). This invisibility is not a product of research quality alone; it is a structural consequence of the political economy of global scholarly communication, in which the dominant mechanisms of research discovery — Web of Science, Scopus, high-impact international journals — were designed around institutional and financial conditions that systematically disadvantage scholars from lower-income countries (Altbach, 2013; Boshoff, 2010).</w:t>
      </w:r>
    </w:p>
    <w:p w14:paraId="51825AAC">
      <w:pPr>
        <w:spacing w:before="0" w:after="160" w:line="360" w:lineRule="auto"/>
        <w:jc w:val="both"/>
      </w:pPr>
      <w:r>
        <w:rPr>
          <w:rFonts w:ascii="Times New Roman" w:hAnsi="Times New Roman" w:eastAsia="Times New Roman" w:cs="Times New Roman"/>
          <w:color w:val="000000"/>
          <w:sz w:val="24"/>
          <w:szCs w:val="24"/>
        </w:rPr>
        <w:t>The consequences of this invisibility are practical as well as symbolic. Nigerian policymakers who seek evidence-based guidance on health, agriculture, education, and governance challenges are frequently driven to cite international scholarship rather than the domestically produced research that is more directly applicable to Nigerian conditions — because that domestic research is difficult to discover, difficult to access, and not organized within the bibliographic structures that policymakers and their advisers use to search for evidence (Aina et al., 2019; Okafor &amp; Njoku, 2023). Nigerian scholars face perverse incentive structures that reward publication in expensive international journals — often at prohibitive personal cost — over publication in African-based outlets that might better serve continental knowledge needs and knowledge users. And the global academic community is deprived of the perspectives and findings that Nigerian scholarship would contribute if it were adequately visible.</w:t>
      </w:r>
    </w:p>
    <w:p w14:paraId="2898E9D6">
      <w:pPr>
        <w:spacing w:before="0" w:after="160" w:line="360" w:lineRule="auto"/>
        <w:jc w:val="both"/>
        <w:rPr>
          <w:rFonts w:hint="default" w:ascii="Times New Roman Bold" w:hAnsi="Times New Roman Bold" w:eastAsia="Times New Roman" w:cs="Times New Roman Bold"/>
          <w:b/>
          <w:bCs/>
          <w:color w:val="000000"/>
          <w:sz w:val="28"/>
          <w:szCs w:val="28"/>
        </w:rPr>
      </w:pPr>
      <w:r>
        <w:rPr>
          <w:rFonts w:ascii="Times New Roman" w:hAnsi="Times New Roman" w:eastAsia="Times New Roman" w:cs="Times New Roman"/>
          <w:color w:val="000000"/>
          <w:sz w:val="24"/>
          <w:szCs w:val="24"/>
        </w:rPr>
        <w:t>Open access publishing — broadly defined as the provision of immediate, permanent, online access to peer-reviewed scholarship free of charge to the reader — represents the most systematically developed institutional response to these structural inequities (Budapest Open Access Initiative, 2002; Suber, 2012). Yet OA implementation in Nigeria has been uneven, contested, and complicated by institutional resource realities, the predatory publishing crisis, and the absence of a national OA policy framework. This paper provides a critical analysis of the current state and future potential of OA in Nigerian universities, drawing on Nigerian and African library science literature and proposing a national strategy framework for improving the visibility of Nigerian research.</w:t>
      </w:r>
    </w:p>
    <w:p w14:paraId="6E3DE05A">
      <w:pPr>
        <w:spacing w:before="0" w:after="160" w:line="360" w:lineRule="auto"/>
        <w:jc w:val="both"/>
        <w:rPr>
          <w:rFonts w:hint="default" w:ascii="Times New Roman Bold" w:hAnsi="Times New Roman Bold" w:cs="Times New Roman Bold"/>
          <w:b/>
          <w:bCs/>
          <w:color w:val="000000"/>
          <w:sz w:val="28"/>
          <w:szCs w:val="28"/>
          <w:lang w:val="en-US"/>
        </w:rPr>
      </w:pPr>
      <w:r>
        <w:rPr>
          <w:rFonts w:hint="default" w:ascii="Times New Roman Bold" w:hAnsi="Times New Roman Bold" w:cs="Times New Roman Bold"/>
          <w:b/>
          <w:bCs/>
          <w:color w:val="000000"/>
          <w:sz w:val="28"/>
          <w:szCs w:val="28"/>
          <w:lang w:val="en-US"/>
        </w:rPr>
        <w:t>Objectives</w:t>
      </w:r>
    </w:p>
    <w:p w14:paraId="41F42611">
      <w:pPr>
        <w:pStyle w:val="15"/>
        <w:numPr>
          <w:ilvl w:val="0"/>
          <w:numId w:val="1"/>
        </w:numPr>
        <w:bidi w:val="0"/>
        <w:spacing w:line="360" w:lineRule="auto"/>
        <w:ind w:left="425" w:leftChars="0" w:hanging="425" w:firstLineChars="0"/>
      </w:pPr>
      <w:r>
        <w:t>To examine the current state of scholarly communication and open access publishing practices in Nigerian and Sub-Saharan African universities, with emphasis on institutional repository development and journal accessibility.</w:t>
      </w:r>
    </w:p>
    <w:p w14:paraId="42962498">
      <w:pPr>
        <w:pStyle w:val="15"/>
        <w:numPr>
          <w:ilvl w:val="0"/>
          <w:numId w:val="1"/>
        </w:numPr>
        <w:bidi w:val="0"/>
        <w:spacing w:line="360" w:lineRule="auto"/>
        <w:ind w:left="425" w:leftChars="0" w:hanging="425" w:firstLineChars="0"/>
      </w:pPr>
      <w:r>
        <w:t>To analyze the structural barriers affecting open access adoption and research visibility in Nigerian academia, including APC costs, predatory publishing, and policy limitations.</w:t>
      </w:r>
    </w:p>
    <w:p w14:paraId="15A0C914">
      <w:pPr>
        <w:pStyle w:val="15"/>
        <w:numPr>
          <w:ilvl w:val="0"/>
          <w:numId w:val="1"/>
        </w:numPr>
        <w:bidi w:val="0"/>
        <w:spacing w:line="360" w:lineRule="auto"/>
        <w:ind w:left="425" w:leftChars="0" w:hanging="425" w:firstLineChars="0"/>
      </w:pPr>
      <w:r>
        <w:rPr>
          <w:rFonts w:hint="eastAsia"/>
        </w:rPr>
        <w:t xml:space="preserve"> </w:t>
      </w:r>
      <w:r>
        <w:t>To evaluate the effectiveness and suitability of different open access publishing models (gold, green, diamond, and bronze) for improving the discoverability and global visibility of Nigerian scholarly output.</w:t>
      </w:r>
    </w:p>
    <w:p w14:paraId="226CEDE3">
      <w:pPr>
        <w:spacing w:before="0" w:after="160" w:line="360" w:lineRule="auto"/>
        <w:jc w:val="both"/>
        <w:rPr>
          <w:rFonts w:hint="default" w:ascii="Times New Roman Bold" w:hAnsi="Times New Roman Bold" w:cs="Times New Roman Bold"/>
          <w:b/>
          <w:bCs/>
          <w:color w:val="000000"/>
          <w:sz w:val="28"/>
          <w:szCs w:val="28"/>
          <w:lang w:val="en-US"/>
        </w:rPr>
      </w:pPr>
    </w:p>
    <w:p w14:paraId="053360FE">
      <w:pPr>
        <w:spacing w:before="320" w:after="120"/>
      </w:pPr>
      <w:r>
        <w:rPr>
          <w:rFonts w:ascii="Times New Roman" w:hAnsi="Times New Roman" w:eastAsia="Times New Roman" w:cs="Times New Roman"/>
          <w:b/>
          <w:bCs/>
          <w:color w:val="000000"/>
          <w:sz w:val="28"/>
          <w:szCs w:val="28"/>
        </w:rPr>
        <w:t>Literature Review</w:t>
      </w:r>
    </w:p>
    <w:p w14:paraId="77CD113E">
      <w:pPr>
        <w:spacing w:before="200" w:after="80"/>
      </w:pPr>
      <w:r>
        <w:rPr>
          <w:rFonts w:ascii="Times New Roman" w:hAnsi="Times New Roman" w:eastAsia="Times New Roman" w:cs="Times New Roman"/>
          <w:b/>
          <w:bCs/>
          <w:i/>
          <w:iCs/>
          <w:color w:val="000000"/>
          <w:sz w:val="25"/>
          <w:szCs w:val="25"/>
        </w:rPr>
        <w:t>Research Visibility and Bibliometric Marginalization in Nigeria</w:t>
      </w:r>
    </w:p>
    <w:p w14:paraId="1E8BF482">
      <w:pPr>
        <w:spacing w:before="0" w:after="160" w:line="360" w:lineRule="auto"/>
        <w:jc w:val="both"/>
      </w:pPr>
      <w:r>
        <w:rPr>
          <w:rFonts w:ascii="Times New Roman" w:hAnsi="Times New Roman" w:eastAsia="Times New Roman" w:cs="Times New Roman"/>
          <w:color w:val="000000"/>
          <w:sz w:val="24"/>
          <w:szCs w:val="24"/>
        </w:rPr>
        <w:t>Onyancha and Ngulube (2021) provide the most comprehensive bibliometric analysis of Nigerian research output and visibility, drawing on Web of Science and Scopus data to document the systematic underrepresentation of Nigerian university research in international citation databases. Their analysis finds that while Nigerian research output has grown significantly in absolute volume since 2010, citation impact remains low relative to output, and the proportion of Nigerian research accessible through major bibliographic databases remains a fraction of total national research production. Omotayo and Ahiauzu (2019) focus specifically on institutional repository development in Nigerian university libraries, documenting that fewer than 40 of Nigeria's 157 accredited universities maintain operational institutional repositories, and that among those that do, metadata quality, interoperability with international aggregators, and content population rates are consistently inadequate.</w:t>
      </w:r>
    </w:p>
    <w:p w14:paraId="509E69C6">
      <w:pPr>
        <w:spacing w:before="0" w:after="160" w:line="360" w:lineRule="auto"/>
        <w:jc w:val="both"/>
      </w:pPr>
      <w:r>
        <w:rPr>
          <w:rFonts w:ascii="Times New Roman" w:hAnsi="Times New Roman" w:eastAsia="Times New Roman" w:cs="Times New Roman"/>
          <w:color w:val="000000"/>
          <w:sz w:val="24"/>
          <w:szCs w:val="24"/>
        </w:rPr>
        <w:t>The NUC accreditation framework has been identified by multiple scholars as both a driver and a constraint for OA development in Nigerian universities. Omoba and Iwu-James (2020) argue that NUC's emphasis on publication in internationally indexed journals — particularly Web of Science and Scopus-indexed outlets — as a criterion for academic promotion and institutional accreditation creates structural incentives that divert Nigerian scholars away from African-based OA outlets toward expensive international journals with high APC barriers. This dynamic is self-reinforcing: the international focus of Nigerian academic promotion criteria reduces investment in African-based OA journals, which in turn reduces their quality and impact, which reinforces the preference for international publication.</w:t>
      </w:r>
    </w:p>
    <w:p w14:paraId="7D27F869">
      <w:pPr>
        <w:spacing w:before="200" w:after="80"/>
      </w:pPr>
      <w:r>
        <w:rPr>
          <w:rFonts w:ascii="Times New Roman" w:hAnsi="Times New Roman" w:eastAsia="Times New Roman" w:cs="Times New Roman"/>
          <w:b/>
          <w:bCs/>
          <w:i/>
          <w:iCs/>
          <w:color w:val="000000"/>
          <w:sz w:val="25"/>
          <w:szCs w:val="25"/>
        </w:rPr>
        <w:t>Open Access Models and Their Nigerian Applicability</w:t>
      </w:r>
    </w:p>
    <w:p w14:paraId="31872994">
      <w:pPr>
        <w:spacing w:before="0" w:after="160" w:line="360" w:lineRule="auto"/>
        <w:jc w:val="both"/>
      </w:pPr>
      <w:r>
        <w:rPr>
          <w:rFonts w:ascii="Times New Roman" w:hAnsi="Times New Roman" w:eastAsia="Times New Roman" w:cs="Times New Roman"/>
          <w:color w:val="000000"/>
          <w:sz w:val="24"/>
          <w:szCs w:val="24"/>
        </w:rPr>
        <w:t>The four principal OA models — gold (author or funder pays APC for immediate open access), green (author self-archives accepted manuscript in institutional or subject repository), diamond (no charges to authors or readers, costs borne by institution or scholarly society), and bronze (publisher makes content freely readable without explicit OA license) — present very different cost structures and institutional requirements that map differently onto Nigerian conditions. Okafor and Njoku (2023) provide the first systematic evaluation of OA model applicability in the Nigerian university context, finding that the diamond and green routes are structurally most suitable for Nigerian institutions while gold OA — the model dominant in European and North American contexts following funder mandates — is largely inaccessible to Nigerian scholars due to APC barriers.</w:t>
      </w:r>
    </w:p>
    <w:p w14:paraId="50AB1B4E">
      <w:pPr>
        <w:spacing w:before="0" w:after="160" w:line="360" w:lineRule="auto"/>
        <w:jc w:val="both"/>
      </w:pPr>
      <w:r>
        <w:rPr>
          <w:rFonts w:ascii="Times New Roman" w:hAnsi="Times New Roman" w:eastAsia="Times New Roman" w:cs="Times New Roman"/>
          <w:color w:val="000000"/>
          <w:sz w:val="24"/>
          <w:szCs w:val="24"/>
        </w:rPr>
        <w:t>The APC economy represents the central structural barrier to Nigerian participation in gold OA. Morrison et al. (2022) document average APC costs of USD $1,500–$11,000 for gold OA publication in high-impact international journals — sums that typically exceed the entire annual research travel and publication budget of individual scholars at many Nigerian universities. While APC waiver programmes operated by major publishers nominally extend gold OA access to researchers from lower-income countries, Okafor and Njoku (2023) find that Nigerian researchers encounter significant barriers in accessing these waivers, including complex application processes, inconsistent publisher compliance, and, in several documented cases, outright failure to honour approved waivers.</w:t>
      </w:r>
    </w:p>
    <w:p w14:paraId="2D287963">
      <w:pPr>
        <w:spacing w:before="200" w:after="80"/>
        <w:rPr>
          <w:rFonts w:ascii="Times New Roman" w:hAnsi="Times New Roman" w:eastAsia="Times New Roman" w:cs="Times New Roman"/>
          <w:b/>
          <w:bCs/>
          <w:i/>
          <w:iCs/>
          <w:color w:val="000000"/>
          <w:sz w:val="25"/>
          <w:szCs w:val="25"/>
        </w:rPr>
      </w:pPr>
    </w:p>
    <w:p w14:paraId="218425C9">
      <w:pPr>
        <w:spacing w:before="200" w:after="80"/>
        <w:rPr>
          <w:rFonts w:ascii="Times New Roman" w:hAnsi="Times New Roman" w:eastAsia="Times New Roman" w:cs="Times New Roman"/>
          <w:b/>
          <w:bCs/>
          <w:i/>
          <w:iCs/>
          <w:color w:val="000000"/>
          <w:sz w:val="25"/>
          <w:szCs w:val="25"/>
        </w:rPr>
      </w:pPr>
    </w:p>
    <w:p w14:paraId="4D8F024F">
      <w:pPr>
        <w:spacing w:before="200" w:after="80"/>
        <w:rPr>
          <w:rFonts w:ascii="Times New Roman" w:hAnsi="Times New Roman" w:eastAsia="Times New Roman" w:cs="Times New Roman"/>
          <w:b/>
          <w:bCs/>
          <w:i/>
          <w:iCs/>
          <w:color w:val="000000"/>
          <w:sz w:val="25"/>
          <w:szCs w:val="25"/>
        </w:rPr>
      </w:pPr>
    </w:p>
    <w:p w14:paraId="00A10F20">
      <w:pPr>
        <w:spacing w:before="200" w:after="80"/>
      </w:pPr>
      <w:r>
        <w:rPr>
          <w:rFonts w:ascii="Times New Roman" w:hAnsi="Times New Roman" w:eastAsia="Times New Roman" w:cs="Times New Roman"/>
          <w:b/>
          <w:bCs/>
          <w:i/>
          <w:iCs/>
          <w:color w:val="000000"/>
          <w:sz w:val="25"/>
          <w:szCs w:val="25"/>
        </w:rPr>
        <w:t>Predatory Publishing in Nigeria</w:t>
      </w:r>
    </w:p>
    <w:p w14:paraId="6C3EDE6C">
      <w:pPr>
        <w:spacing w:before="0" w:after="160" w:line="360" w:lineRule="auto"/>
        <w:jc w:val="both"/>
      </w:pPr>
      <w:r>
        <w:rPr>
          <w:rFonts w:ascii="Times New Roman" w:hAnsi="Times New Roman" w:eastAsia="Times New Roman" w:cs="Times New Roman"/>
          <w:color w:val="000000"/>
          <w:sz w:val="24"/>
          <w:szCs w:val="24"/>
        </w:rPr>
        <w:t>The predatory publishing crisis — involving journals and publishers that nominally adopt OA APC models while failing to deliver credible peer review, editorial oversight, or archiving — constitutes a particularly acute challenge for Nigerian scholarly communication. Okafor and Njoku (2023) document that Nigeria consistently ranks among the top source countries for papers published in predatory journals identified in Beall's list and its successors, reflecting both the 'publish or perish' pressures of the NUC accreditation system and the limited institutional infrastructure for helping scholars evaluate publication venue quality. Omoba and Iwu-James (2020) find that early-career Nigerian scholars are disproportionately represented among predatory journal victims, with dissertation-derived papers and conference papers particularly targeted by aggressive solicitation emails. The reputational and career consequences of predatory publication — including retraction, exclusion from legitimate scholarly conversation, and disciplinary proceedings — are documented in the Nigerian context by Fabunmi and Asubiojo (2023).</w:t>
      </w:r>
    </w:p>
    <w:p w14:paraId="1BFF2B3C">
      <w:pPr>
        <w:spacing w:before="0" w:after="100"/>
      </w:pPr>
    </w:p>
    <w:p w14:paraId="78762B66">
      <w:pPr>
        <w:spacing w:before="240" w:after="40"/>
      </w:pPr>
      <w:r>
        <w:rPr>
          <w:rFonts w:ascii="Times New Roman" w:hAnsi="Times New Roman" w:eastAsia="Times New Roman" w:cs="Times New Roman"/>
          <w:b/>
          <w:bCs/>
          <w:sz w:val="22"/>
          <w:szCs w:val="22"/>
        </w:rPr>
        <w:t>Table 1.</w:t>
      </w:r>
    </w:p>
    <w:p w14:paraId="4600761D">
      <w:pPr>
        <w:spacing w:after="80"/>
      </w:pPr>
      <w:r>
        <w:rPr>
          <w:rFonts w:ascii="Times New Roman" w:hAnsi="Times New Roman" w:eastAsia="Times New Roman" w:cs="Times New Roman"/>
          <w:i/>
          <w:iCs/>
          <w:color w:val="555555"/>
          <w:sz w:val="21"/>
          <w:szCs w:val="21"/>
        </w:rPr>
        <w:t>Open access publishing models: definitions, cost structures, and applicability to Nigerian and Sub-Saharan African institutional contexts.</w:t>
      </w:r>
    </w:p>
    <w:tbl>
      <w:tblPr>
        <w:tblStyle w:val="9"/>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65"/>
        <w:gridCol w:w="1675"/>
        <w:gridCol w:w="1465"/>
        <w:gridCol w:w="2162"/>
        <w:gridCol w:w="1841"/>
        <w:gridCol w:w="1618"/>
      </w:tblGrid>
      <w:tr w14:paraId="418B1BB1">
        <w:tc>
          <w:tcPr>
            <w:tcW w:w="13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64696BAF">
            <w:r>
              <w:rPr>
                <w:rFonts w:ascii="Times New Roman" w:hAnsi="Times New Roman" w:eastAsia="Times New Roman" w:cs="Times New Roman"/>
                <w:b/>
                <w:bCs/>
                <w:sz w:val="19"/>
                <w:szCs w:val="19"/>
              </w:rPr>
              <w:t>OA Model</w:t>
            </w:r>
          </w:p>
        </w:tc>
        <w:tc>
          <w:tcPr>
            <w:tcW w:w="17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5CD47288">
            <w:r>
              <w:rPr>
                <w:rFonts w:ascii="Times New Roman" w:hAnsi="Times New Roman" w:eastAsia="Times New Roman" w:cs="Times New Roman"/>
                <w:b/>
                <w:bCs/>
                <w:sz w:val="19"/>
                <w:szCs w:val="19"/>
              </w:rPr>
              <w:t>Author Cost</w:t>
            </w:r>
          </w:p>
        </w:tc>
        <w:tc>
          <w:tcPr>
            <w:tcW w:w="15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4297937F">
            <w:r>
              <w:rPr>
                <w:rFonts w:ascii="Times New Roman" w:hAnsi="Times New Roman" w:eastAsia="Times New Roman" w:cs="Times New Roman"/>
                <w:b/>
                <w:bCs/>
                <w:sz w:val="19"/>
                <w:szCs w:val="19"/>
              </w:rPr>
              <w:t>Reader Cost</w:t>
            </w:r>
          </w:p>
        </w:tc>
        <w:tc>
          <w:tcPr>
            <w:tcW w:w="20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3BA18329">
            <w:r>
              <w:rPr>
                <w:rFonts w:ascii="Times New Roman" w:hAnsi="Times New Roman" w:eastAsia="Times New Roman" w:cs="Times New Roman"/>
                <w:b/>
                <w:bCs/>
                <w:sz w:val="19"/>
                <w:szCs w:val="19"/>
              </w:rPr>
              <w:t>Funder Model</w:t>
            </w:r>
          </w:p>
        </w:tc>
        <w:tc>
          <w:tcPr>
            <w:tcW w:w="19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334D08CB">
            <w:r>
              <w:rPr>
                <w:rFonts w:ascii="Times New Roman" w:hAnsi="Times New Roman" w:eastAsia="Times New Roman" w:cs="Times New Roman"/>
                <w:b/>
                <w:bCs/>
                <w:sz w:val="19"/>
                <w:szCs w:val="19"/>
              </w:rPr>
              <w:t>Nigerian Applicability</w:t>
            </w:r>
          </w:p>
        </w:tc>
        <w:tc>
          <w:tcPr>
            <w:tcW w:w="1626"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25FD5F07">
            <w:r>
              <w:rPr>
                <w:rFonts w:ascii="Times New Roman" w:hAnsi="Times New Roman" w:eastAsia="Times New Roman" w:cs="Times New Roman"/>
                <w:b/>
                <w:bCs/>
                <w:sz w:val="19"/>
                <w:szCs w:val="19"/>
              </w:rPr>
              <w:t>Example</w:t>
            </w:r>
          </w:p>
        </w:tc>
      </w:tr>
      <w:tr w14:paraId="7FB16242">
        <w:tc>
          <w:tcPr>
            <w:tcW w:w="13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BF5E65B">
            <w:pPr>
              <w:spacing w:line="300" w:lineRule="auto"/>
            </w:pPr>
            <w:r>
              <w:rPr>
                <w:rFonts w:ascii="Times New Roman" w:hAnsi="Times New Roman" w:eastAsia="Times New Roman" w:cs="Times New Roman"/>
                <w:sz w:val="19"/>
                <w:szCs w:val="19"/>
              </w:rPr>
              <w:t>Gold OA</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2B1F968">
            <w:pPr>
              <w:spacing w:line="300" w:lineRule="auto"/>
            </w:pPr>
            <w:r>
              <w:rPr>
                <w:rFonts w:ascii="Times New Roman" w:hAnsi="Times New Roman" w:eastAsia="Times New Roman" w:cs="Times New Roman"/>
                <w:sz w:val="19"/>
                <w:szCs w:val="19"/>
              </w:rPr>
              <w:t>APC $500–$11,000+</w:t>
            </w:r>
          </w:p>
        </w:tc>
        <w:tc>
          <w:tcPr>
            <w:tcW w:w="15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89AE223">
            <w:pPr>
              <w:spacing w:line="300" w:lineRule="auto"/>
            </w:pPr>
            <w:r>
              <w:rPr>
                <w:rFonts w:ascii="Times New Roman" w:hAnsi="Times New Roman" w:eastAsia="Times New Roman" w:cs="Times New Roman"/>
                <w:sz w:val="19"/>
                <w:szCs w:val="19"/>
              </w:rPr>
              <w:t>Free</w:t>
            </w:r>
          </w:p>
        </w:tc>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F125C5A">
            <w:pPr>
              <w:spacing w:line="300" w:lineRule="auto"/>
            </w:pPr>
            <w:r>
              <w:rPr>
                <w:rFonts w:ascii="Times New Roman" w:hAnsi="Times New Roman" w:eastAsia="Times New Roman" w:cs="Times New Roman"/>
                <w:sz w:val="19"/>
                <w:szCs w:val="19"/>
              </w:rPr>
              <w:t>Author/funder-pays</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1FCD4C5">
            <w:pPr>
              <w:spacing w:line="300" w:lineRule="auto"/>
            </w:pPr>
            <w:r>
              <w:rPr>
                <w:rFonts w:ascii="Times New Roman" w:hAnsi="Times New Roman" w:eastAsia="Times New Roman" w:cs="Times New Roman"/>
                <w:sz w:val="19"/>
                <w:szCs w:val="19"/>
              </w:rPr>
              <w:t>Low – APC barriers prohibitive without waivers</w:t>
            </w:r>
          </w:p>
        </w:tc>
        <w:tc>
          <w:tcPr>
            <w:tcW w:w="16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AC1FEA6">
            <w:pPr>
              <w:spacing w:line="300" w:lineRule="auto"/>
            </w:pPr>
            <w:r>
              <w:rPr>
                <w:rFonts w:ascii="Times New Roman" w:hAnsi="Times New Roman" w:eastAsia="Times New Roman" w:cs="Times New Roman"/>
                <w:sz w:val="19"/>
                <w:szCs w:val="19"/>
              </w:rPr>
              <w:t>PLOS ONE; Nature Communications</w:t>
            </w:r>
          </w:p>
        </w:tc>
      </w:tr>
      <w:tr w14:paraId="09CAE334">
        <w:tc>
          <w:tcPr>
            <w:tcW w:w="13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F9B315A">
            <w:pPr>
              <w:spacing w:line="300" w:lineRule="auto"/>
            </w:pPr>
            <w:r>
              <w:rPr>
                <w:rFonts w:ascii="Times New Roman" w:hAnsi="Times New Roman" w:eastAsia="Times New Roman" w:cs="Times New Roman"/>
                <w:sz w:val="19"/>
                <w:szCs w:val="19"/>
              </w:rPr>
              <w:t>Green OA</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340F4FE">
            <w:pPr>
              <w:spacing w:line="300" w:lineRule="auto"/>
            </w:pPr>
            <w:r>
              <w:rPr>
                <w:rFonts w:ascii="Times New Roman" w:hAnsi="Times New Roman" w:eastAsia="Times New Roman" w:cs="Times New Roman"/>
                <w:sz w:val="19"/>
                <w:szCs w:val="19"/>
              </w:rPr>
              <w:t>None (self-archive)</w:t>
            </w:r>
          </w:p>
        </w:tc>
        <w:tc>
          <w:tcPr>
            <w:tcW w:w="15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22F98AF4">
            <w:pPr>
              <w:spacing w:line="300" w:lineRule="auto"/>
            </w:pPr>
            <w:r>
              <w:rPr>
                <w:rFonts w:ascii="Times New Roman" w:hAnsi="Times New Roman" w:eastAsia="Times New Roman" w:cs="Times New Roman"/>
                <w:sz w:val="19"/>
                <w:szCs w:val="19"/>
              </w:rPr>
              <w:t>Free (repository)</w:t>
            </w:r>
          </w:p>
        </w:tc>
        <w:tc>
          <w:tcPr>
            <w:tcW w:w="20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9C3D614">
            <w:pPr>
              <w:spacing w:line="300" w:lineRule="auto"/>
            </w:pPr>
            <w:r>
              <w:rPr>
                <w:rFonts w:ascii="Times New Roman" w:hAnsi="Times New Roman" w:eastAsia="Times New Roman" w:cs="Times New Roman"/>
                <w:sz w:val="19"/>
                <w:szCs w:val="19"/>
              </w:rPr>
              <w:t>Institution funds repository</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24876C6D">
            <w:pPr>
              <w:spacing w:line="300" w:lineRule="auto"/>
            </w:pPr>
            <w:r>
              <w:rPr>
                <w:rFonts w:ascii="Times New Roman" w:hAnsi="Times New Roman" w:eastAsia="Times New Roman" w:cs="Times New Roman"/>
                <w:sz w:val="19"/>
                <w:szCs w:val="19"/>
              </w:rPr>
              <w:t>Moderate – requires IR infrastructure</w:t>
            </w:r>
          </w:p>
        </w:tc>
        <w:tc>
          <w:tcPr>
            <w:tcW w:w="16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EBB3F07">
            <w:pPr>
              <w:spacing w:line="300" w:lineRule="auto"/>
            </w:pPr>
            <w:r>
              <w:rPr>
                <w:rFonts w:ascii="Times New Roman" w:hAnsi="Times New Roman" w:eastAsia="Times New Roman" w:cs="Times New Roman"/>
                <w:sz w:val="19"/>
                <w:szCs w:val="19"/>
              </w:rPr>
              <w:t>arXiv; DSpace; Zenodo</w:t>
            </w:r>
          </w:p>
        </w:tc>
      </w:tr>
      <w:tr w14:paraId="1E36D9AB">
        <w:tc>
          <w:tcPr>
            <w:tcW w:w="13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64DD7DFE">
            <w:pPr>
              <w:spacing w:line="300" w:lineRule="auto"/>
            </w:pPr>
            <w:r>
              <w:rPr>
                <w:rFonts w:ascii="Times New Roman" w:hAnsi="Times New Roman" w:eastAsia="Times New Roman" w:cs="Times New Roman"/>
                <w:sz w:val="19"/>
                <w:szCs w:val="19"/>
              </w:rPr>
              <w:t>Diamond OA</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63BA405">
            <w:pPr>
              <w:spacing w:line="300" w:lineRule="auto"/>
            </w:pPr>
            <w:r>
              <w:rPr>
                <w:rFonts w:ascii="Times New Roman" w:hAnsi="Times New Roman" w:eastAsia="Times New Roman" w:cs="Times New Roman"/>
                <w:sz w:val="19"/>
                <w:szCs w:val="19"/>
              </w:rPr>
              <w:t>None</w:t>
            </w:r>
          </w:p>
        </w:tc>
        <w:tc>
          <w:tcPr>
            <w:tcW w:w="15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85F94B1">
            <w:pPr>
              <w:spacing w:line="300" w:lineRule="auto"/>
            </w:pPr>
            <w:r>
              <w:rPr>
                <w:rFonts w:ascii="Times New Roman" w:hAnsi="Times New Roman" w:eastAsia="Times New Roman" w:cs="Times New Roman"/>
                <w:sz w:val="19"/>
                <w:szCs w:val="19"/>
              </w:rPr>
              <w:t>Free</w:t>
            </w:r>
          </w:p>
        </w:tc>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873EE40">
            <w:pPr>
              <w:spacing w:line="300" w:lineRule="auto"/>
            </w:pPr>
            <w:r>
              <w:rPr>
                <w:rFonts w:ascii="Times New Roman" w:hAnsi="Times New Roman" w:eastAsia="Times New Roman" w:cs="Times New Roman"/>
                <w:sz w:val="19"/>
                <w:szCs w:val="19"/>
              </w:rPr>
              <w:t>Society/institution/public fund</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A27379D">
            <w:pPr>
              <w:spacing w:line="300" w:lineRule="auto"/>
            </w:pPr>
            <w:r>
              <w:rPr>
                <w:rFonts w:ascii="Times New Roman" w:hAnsi="Times New Roman" w:eastAsia="Times New Roman" w:cs="Times New Roman"/>
                <w:sz w:val="19"/>
                <w:szCs w:val="19"/>
              </w:rPr>
              <w:t>High – no financial barrier to authors or readers</w:t>
            </w:r>
          </w:p>
        </w:tc>
        <w:tc>
          <w:tcPr>
            <w:tcW w:w="16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FE89B5D">
            <w:pPr>
              <w:spacing w:line="300" w:lineRule="auto"/>
            </w:pPr>
            <w:r>
              <w:rPr>
                <w:rFonts w:ascii="Times New Roman" w:hAnsi="Times New Roman" w:eastAsia="Times New Roman" w:cs="Times New Roman"/>
                <w:sz w:val="19"/>
                <w:szCs w:val="19"/>
              </w:rPr>
              <w:t>AJOL diamond journals; SciELO Africa</w:t>
            </w:r>
          </w:p>
        </w:tc>
      </w:tr>
      <w:tr w14:paraId="70C7A5C1">
        <w:tc>
          <w:tcPr>
            <w:tcW w:w="13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A2967C3">
            <w:pPr>
              <w:spacing w:line="300" w:lineRule="auto"/>
            </w:pPr>
            <w:r>
              <w:rPr>
                <w:rFonts w:ascii="Times New Roman" w:hAnsi="Times New Roman" w:eastAsia="Times New Roman" w:cs="Times New Roman"/>
                <w:sz w:val="19"/>
                <w:szCs w:val="19"/>
              </w:rPr>
              <w:t>Bronze OA</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29B7F403">
            <w:pPr>
              <w:spacing w:line="300" w:lineRule="auto"/>
            </w:pPr>
            <w:r>
              <w:rPr>
                <w:rFonts w:ascii="Times New Roman" w:hAnsi="Times New Roman" w:eastAsia="Times New Roman" w:cs="Times New Roman"/>
                <w:sz w:val="19"/>
                <w:szCs w:val="19"/>
              </w:rPr>
              <w:t>None</w:t>
            </w:r>
          </w:p>
        </w:tc>
        <w:tc>
          <w:tcPr>
            <w:tcW w:w="15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59CC2F48">
            <w:pPr>
              <w:spacing w:line="300" w:lineRule="auto"/>
            </w:pPr>
            <w:r>
              <w:rPr>
                <w:rFonts w:ascii="Times New Roman" w:hAnsi="Times New Roman" w:eastAsia="Times New Roman" w:cs="Times New Roman"/>
                <w:sz w:val="19"/>
                <w:szCs w:val="19"/>
              </w:rPr>
              <w:t>Free (limited)</w:t>
            </w:r>
          </w:p>
        </w:tc>
        <w:tc>
          <w:tcPr>
            <w:tcW w:w="20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9096207">
            <w:pPr>
              <w:spacing w:line="300" w:lineRule="auto"/>
            </w:pPr>
            <w:r>
              <w:rPr>
                <w:rFonts w:ascii="Times New Roman" w:hAnsi="Times New Roman" w:eastAsia="Times New Roman" w:cs="Times New Roman"/>
                <w:sz w:val="19"/>
                <w:szCs w:val="19"/>
              </w:rPr>
              <w:t>Publisher discretion; no formal OA license</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D6AA23F">
            <w:pPr>
              <w:spacing w:line="300" w:lineRule="auto"/>
            </w:pPr>
            <w:r>
              <w:rPr>
                <w:rFonts w:ascii="Times New Roman" w:hAnsi="Times New Roman" w:eastAsia="Times New Roman" w:cs="Times New Roman"/>
                <w:sz w:val="19"/>
                <w:szCs w:val="19"/>
              </w:rPr>
              <w:t>Variable – no licensing guarantee</w:t>
            </w:r>
          </w:p>
        </w:tc>
        <w:tc>
          <w:tcPr>
            <w:tcW w:w="16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A7D403B">
            <w:pPr>
              <w:spacing w:line="300" w:lineRule="auto"/>
            </w:pPr>
            <w:r>
              <w:rPr>
                <w:rFonts w:ascii="Times New Roman" w:hAnsi="Times New Roman" w:eastAsia="Times New Roman" w:cs="Times New Roman"/>
                <w:sz w:val="19"/>
                <w:szCs w:val="19"/>
              </w:rPr>
              <w:t>Selected Elsevier free-to-read articles</w:t>
            </w:r>
          </w:p>
        </w:tc>
      </w:tr>
      <w:tr w14:paraId="15EC8193">
        <w:tc>
          <w:tcPr>
            <w:tcW w:w="13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91A5AB2">
            <w:pPr>
              <w:spacing w:line="300" w:lineRule="auto"/>
            </w:pPr>
            <w:r>
              <w:rPr>
                <w:rFonts w:ascii="Times New Roman" w:hAnsi="Times New Roman" w:eastAsia="Times New Roman" w:cs="Times New Roman"/>
                <w:sz w:val="19"/>
                <w:szCs w:val="19"/>
              </w:rPr>
              <w:t>Hybrid OA</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8747910">
            <w:pPr>
              <w:spacing w:line="300" w:lineRule="auto"/>
            </w:pPr>
            <w:r>
              <w:rPr>
                <w:rFonts w:ascii="Times New Roman" w:hAnsi="Times New Roman" w:eastAsia="Times New Roman" w:cs="Times New Roman"/>
                <w:sz w:val="19"/>
                <w:szCs w:val="19"/>
              </w:rPr>
              <w:t>APC within subscription journal</w:t>
            </w:r>
          </w:p>
        </w:tc>
        <w:tc>
          <w:tcPr>
            <w:tcW w:w="15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7AC1E0A">
            <w:pPr>
              <w:spacing w:line="300" w:lineRule="auto"/>
            </w:pPr>
            <w:r>
              <w:rPr>
                <w:rFonts w:ascii="Times New Roman" w:hAnsi="Times New Roman" w:eastAsia="Times New Roman" w:cs="Times New Roman"/>
                <w:sz w:val="19"/>
                <w:szCs w:val="19"/>
              </w:rPr>
              <w:t>Free (OA articles only)</w:t>
            </w:r>
          </w:p>
        </w:tc>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383ED590">
            <w:pPr>
              <w:spacing w:line="300" w:lineRule="auto"/>
            </w:pPr>
            <w:r>
              <w:rPr>
                <w:rFonts w:ascii="Times New Roman" w:hAnsi="Times New Roman" w:eastAsia="Times New Roman" w:cs="Times New Roman"/>
                <w:sz w:val="19"/>
                <w:szCs w:val="19"/>
              </w:rPr>
              <w:t>Mixed subscription + APC</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B7D85E1">
            <w:pPr>
              <w:spacing w:line="300" w:lineRule="auto"/>
            </w:pPr>
            <w:r>
              <w:rPr>
                <w:rFonts w:ascii="Times New Roman" w:hAnsi="Times New Roman" w:eastAsia="Times New Roman" w:cs="Times New Roman"/>
                <w:sz w:val="19"/>
                <w:szCs w:val="19"/>
              </w:rPr>
              <w:t>Very low – double-dipping; high cost</w:t>
            </w:r>
          </w:p>
        </w:tc>
        <w:tc>
          <w:tcPr>
            <w:tcW w:w="16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FC90DB4">
            <w:pPr>
              <w:spacing w:line="300" w:lineRule="auto"/>
            </w:pPr>
            <w:r>
              <w:rPr>
                <w:rFonts w:ascii="Times New Roman" w:hAnsi="Times New Roman" w:eastAsia="Times New Roman" w:cs="Times New Roman"/>
                <w:sz w:val="19"/>
                <w:szCs w:val="19"/>
              </w:rPr>
              <w:t>Springer Nature; Wiley hybrid journals</w:t>
            </w:r>
          </w:p>
        </w:tc>
      </w:tr>
    </w:tbl>
    <w:p w14:paraId="63A24ADB">
      <w:pPr>
        <w:spacing w:before="320" w:after="120"/>
      </w:pPr>
      <w:r>
        <w:rPr>
          <w:rFonts w:ascii="Times New Roman" w:hAnsi="Times New Roman" w:eastAsia="Times New Roman" w:cs="Times New Roman"/>
          <w:b/>
          <w:bCs/>
          <w:color w:val="000000"/>
          <w:sz w:val="28"/>
          <w:szCs w:val="28"/>
        </w:rPr>
        <w:t>Methodology</w:t>
      </w:r>
    </w:p>
    <w:p w14:paraId="639DD22B">
      <w:pPr>
        <w:spacing w:before="0" w:after="160" w:line="36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color w:val="000000"/>
          <w:sz w:val="24"/>
          <w:szCs w:val="24"/>
        </w:rPr>
        <w:t>This study employs a systematic literature review methodology, drawing primarily on Nigerian and African library science literature supplemented by essential international scholarship. Database searches were conducted on AJOL, LISTA, Google Scholar, Scopus (Nigerian-authored articles), the Journal of the Nigerian Library Association, and the Nigerian Journal of Library and Information Practice using the terms: ("open access" OR "scholarly communication" OR "institutional repository") AND ("Nigeria" OR "African university" OR "Sub-Saharan Africa") AND ("research visibility" OR "bibliometric" OR "predatory publishing" OR "APC"). The search period covered January 2015 to November 2024. Following deduplication and screening against Nigerian/African focus and empirical or analytical engagement with OA in African academic contexts, 39 sources were incorporated in the synthesis. Institutional data on Nigerian university repositories was drawn from OpenDOAR (2024) and AJOL's annual statistics report (2024).</w:t>
      </w:r>
    </w:p>
    <w:p w14:paraId="750D9B1C">
      <w:pPr>
        <w:spacing w:before="320" w:after="120"/>
      </w:pPr>
      <w:r>
        <w:rPr>
          <w:rFonts w:ascii="Times New Roman" w:hAnsi="Times New Roman" w:eastAsia="Times New Roman" w:cs="Times New Roman"/>
          <w:b/>
          <w:bCs/>
          <w:color w:val="000000"/>
          <w:sz w:val="28"/>
          <w:szCs w:val="28"/>
        </w:rPr>
        <w:t>The Current OA Landscape in Nigeria</w:t>
      </w:r>
    </w:p>
    <w:p w14:paraId="731AE79A">
      <w:pPr>
        <w:spacing w:before="200" w:after="80"/>
      </w:pPr>
      <w:r>
        <w:rPr>
          <w:rFonts w:ascii="Times New Roman" w:hAnsi="Times New Roman" w:eastAsia="Times New Roman" w:cs="Times New Roman"/>
          <w:b/>
          <w:bCs/>
          <w:i/>
          <w:iCs/>
          <w:color w:val="000000"/>
          <w:sz w:val="25"/>
          <w:szCs w:val="25"/>
        </w:rPr>
        <w:t>Institutional Repository Infrastructure</w:t>
      </w:r>
    </w:p>
    <w:p w14:paraId="09D7B09E">
      <w:pPr>
        <w:spacing w:before="0" w:after="160" w:line="360" w:lineRule="auto"/>
        <w:jc w:val="both"/>
      </w:pPr>
      <w:r>
        <w:rPr>
          <w:rFonts w:ascii="Times New Roman" w:hAnsi="Times New Roman" w:eastAsia="Times New Roman" w:cs="Times New Roman"/>
          <w:color w:val="000000"/>
          <w:sz w:val="24"/>
          <w:szCs w:val="24"/>
        </w:rPr>
        <w:t>The institutional repository (IR) represents the principal infrastructure through which green OA is operationalized, and its development in Nigerian universities provides the most direct indicator of OA readiness across the sector. OpenDOAR (2024) records 47 Nigerian institutional repositories as of November 2024, representing a growth from 12 in 2015 — a significant expansion that nonetheless represents fewer than 30% of Nigeria's accredited universities. Omotayo and Ahiauzu (2019) provide the most detailed assessment of Nigerian IR functionality, finding that fewer than half of registered Nigerian repositories are actively populated — with content deposited on a regular basis — and that metadata quality, standardization, and interoperability with international aggregators such as OpenAIRE and BASE are consistently inadequate at most institutions.</w:t>
      </w:r>
    </w:p>
    <w:p w14:paraId="27E44B52">
      <w:pPr>
        <w:spacing w:before="0" w:after="160" w:line="360" w:lineRule="auto"/>
        <w:jc w:val="both"/>
      </w:pPr>
      <w:r>
        <w:rPr>
          <w:rFonts w:ascii="Times New Roman" w:hAnsi="Times New Roman" w:eastAsia="Times New Roman" w:cs="Times New Roman"/>
          <w:color w:val="000000"/>
          <w:sz w:val="24"/>
          <w:szCs w:val="24"/>
        </w:rPr>
        <w:t>The University of Ibadan, Obafemi Awolowo University, the University of Lagos, Ahmadu Bello University, and Ajayi Crowther University represent institutional exceptions where IR development has received sustained attention, though even at these institutions, the challenge of achieving comprehensive population — capturing all or most of the institution's research output — remains unresolved. Omotayo and Ahiauzu (2019) identify the absence of institutional OA mandates — formal policies requiring academic staff to deposit published or accepted manuscripts in the institutional repository — as the single most significant factor explaining low IR population rates. Without a mandate, deposit rates remain voluntary and low; with a mandate, international experience consistently shows substantial improvements in IR content and discoverability.</w:t>
      </w:r>
    </w:p>
    <w:p w14:paraId="109963F1">
      <w:pPr>
        <w:spacing w:before="200" w:after="80"/>
      </w:pPr>
      <w:r>
        <w:rPr>
          <w:rFonts w:ascii="Times New Roman" w:hAnsi="Times New Roman" w:eastAsia="Times New Roman" w:cs="Times New Roman"/>
          <w:b/>
          <w:bCs/>
          <w:i/>
          <w:iCs/>
          <w:color w:val="000000"/>
          <w:sz w:val="25"/>
          <w:szCs w:val="25"/>
        </w:rPr>
        <w:t>AJOL and Continental OA Aggregation</w:t>
      </w:r>
    </w:p>
    <w:p w14:paraId="69FE20CF">
      <w:pPr>
        <w:spacing w:before="0" w:after="160" w:line="360" w:lineRule="auto"/>
        <w:jc w:val="both"/>
      </w:pPr>
      <w:r>
        <w:rPr>
          <w:rFonts w:ascii="Times New Roman" w:hAnsi="Times New Roman" w:eastAsia="Times New Roman" w:cs="Times New Roman"/>
          <w:color w:val="000000"/>
          <w:sz w:val="24"/>
          <w:szCs w:val="24"/>
        </w:rPr>
        <w:t>African Journals OnLine (AJOL), founded in 1998 and headquartered in South Africa, represents the most significant continental OA infrastructure for African scholarly publishing, and its role in Nigerian research visibility deserves specific attention. As of 2024, AJOL hosts 74 Nigerian journals across disciplines including library and information science, medicine, agriculture, education, and social sciences — a substantial portion of Nigeria's indexed scholarly journal output. Approximately 61% of Nigerian journals on AJOL are available on a full OA basis (AJOL, 2024), representing the most accessible channel through which Nigerian research currently reaches international readers.</w:t>
      </w:r>
    </w:p>
    <w:p w14:paraId="26C59150">
      <w:pPr>
        <w:spacing w:before="0" w:after="160" w:line="360" w:lineRule="auto"/>
        <w:jc w:val="both"/>
      </w:pPr>
      <w:r>
        <w:rPr>
          <w:rFonts w:ascii="Times New Roman" w:hAnsi="Times New Roman" w:eastAsia="Times New Roman" w:cs="Times New Roman"/>
          <w:color w:val="000000"/>
          <w:sz w:val="24"/>
          <w:szCs w:val="24"/>
        </w:rPr>
        <w:t>Onyancha and Ngulube (2021) demonstrate empirically that AJOL-indexed Nigerian journals achieve substantially higher citation rates than comparable Nigerian journals not indexed on AJOL, providing quantitative evidence of the visibility premium that AJOL indexing confers. However, AJOL indexing itself is not a guarantee of broader bibliographic discoverability: Nigerian journals indexed on AJOL but not also indexed in Scopus, Web of Science, or Emerging Sources Citation Index (ESCI) remain effectively invisible to the majority of international researchers who rely on commercial database searches for literature discovery. Advocacy for the indexing of high-quality Nigerian journals in Scopus and ESCI — through the quality improvement investments in peer review, editorial standards, and metadata that these applications require — represents an important complementary strategy to OA publishing for improving Nigerian research visibility.</w:t>
      </w:r>
    </w:p>
    <w:p w14:paraId="4C9263B7">
      <w:pPr>
        <w:spacing w:before="240" w:after="40"/>
        <w:rPr>
          <w:rFonts w:ascii="Times New Roman" w:hAnsi="Times New Roman" w:eastAsia="Times New Roman" w:cs="Times New Roman"/>
          <w:b/>
          <w:bCs/>
          <w:sz w:val="22"/>
          <w:szCs w:val="22"/>
        </w:rPr>
      </w:pPr>
    </w:p>
    <w:p w14:paraId="534165C7">
      <w:pPr>
        <w:spacing w:before="240" w:after="40"/>
        <w:rPr>
          <w:rFonts w:ascii="Times New Roman" w:hAnsi="Times New Roman" w:eastAsia="Times New Roman" w:cs="Times New Roman"/>
          <w:b/>
          <w:bCs/>
          <w:sz w:val="22"/>
          <w:szCs w:val="22"/>
        </w:rPr>
      </w:pPr>
    </w:p>
    <w:p w14:paraId="12661E75">
      <w:pPr>
        <w:spacing w:before="240" w:after="40"/>
        <w:rPr>
          <w:rFonts w:ascii="Times New Roman" w:hAnsi="Times New Roman" w:eastAsia="Times New Roman" w:cs="Times New Roman"/>
          <w:b/>
          <w:bCs/>
          <w:sz w:val="22"/>
          <w:szCs w:val="22"/>
        </w:rPr>
      </w:pPr>
    </w:p>
    <w:p w14:paraId="3657B47B">
      <w:pPr>
        <w:spacing w:before="240" w:after="40"/>
        <w:rPr>
          <w:rFonts w:ascii="Times New Roman" w:hAnsi="Times New Roman" w:eastAsia="Times New Roman" w:cs="Times New Roman"/>
          <w:b/>
          <w:bCs/>
          <w:sz w:val="22"/>
          <w:szCs w:val="22"/>
        </w:rPr>
      </w:pPr>
    </w:p>
    <w:p w14:paraId="46DFB19D">
      <w:pPr>
        <w:spacing w:before="240" w:after="40"/>
      </w:pPr>
      <w:r>
        <w:rPr>
          <w:rFonts w:ascii="Times New Roman" w:hAnsi="Times New Roman" w:eastAsia="Times New Roman" w:cs="Times New Roman"/>
          <w:b/>
          <w:bCs/>
          <w:sz w:val="22"/>
          <w:szCs w:val="22"/>
        </w:rPr>
        <w:t>Table 2.</w:t>
      </w:r>
    </w:p>
    <w:p w14:paraId="5114B266">
      <w:pPr>
        <w:spacing w:after="80"/>
      </w:pPr>
      <w:r>
        <w:rPr>
          <w:rFonts w:ascii="Times New Roman" w:hAnsi="Times New Roman" w:eastAsia="Times New Roman" w:cs="Times New Roman"/>
          <w:i/>
          <w:iCs/>
          <w:color w:val="555555"/>
          <w:sz w:val="21"/>
          <w:szCs w:val="21"/>
        </w:rPr>
        <w:t>Institutional repository status in selected Nigerian universities (OpenDOAR and institutional records, 2024).</w:t>
      </w:r>
    </w:p>
    <w:tbl>
      <w:tblPr>
        <w:tblStyle w:val="9"/>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35"/>
        <w:gridCol w:w="1705"/>
        <w:gridCol w:w="1544"/>
        <w:gridCol w:w="1632"/>
        <w:gridCol w:w="1804"/>
        <w:gridCol w:w="1306"/>
      </w:tblGrid>
      <w:tr w14:paraId="0569E2C8">
        <w:tc>
          <w:tcPr>
            <w:tcW w:w="22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14DD4D2A">
            <w:r>
              <w:rPr>
                <w:rFonts w:ascii="Times New Roman" w:hAnsi="Times New Roman" w:eastAsia="Times New Roman" w:cs="Times New Roman"/>
                <w:b/>
                <w:bCs/>
                <w:sz w:val="19"/>
                <w:szCs w:val="19"/>
              </w:rPr>
              <w:t>Institution</w:t>
            </w:r>
          </w:p>
        </w:tc>
        <w:tc>
          <w:tcPr>
            <w:tcW w:w="18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4CAB9FC3">
            <w:r>
              <w:rPr>
                <w:rFonts w:ascii="Times New Roman" w:hAnsi="Times New Roman" w:eastAsia="Times New Roman" w:cs="Times New Roman"/>
                <w:b/>
                <w:bCs/>
                <w:sz w:val="19"/>
                <w:szCs w:val="19"/>
              </w:rPr>
              <w:t>Repository System</w:t>
            </w:r>
          </w:p>
        </w:tc>
        <w:tc>
          <w:tcPr>
            <w:tcW w:w="16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6B4B558A">
            <w:r>
              <w:rPr>
                <w:rFonts w:ascii="Times New Roman" w:hAnsi="Times New Roman" w:eastAsia="Times New Roman" w:cs="Times New Roman"/>
                <w:b/>
                <w:bCs/>
                <w:sz w:val="19"/>
                <w:szCs w:val="19"/>
              </w:rPr>
              <w:t>OA Mandate</w:t>
            </w:r>
          </w:p>
        </w:tc>
        <w:tc>
          <w:tcPr>
            <w:tcW w:w="17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512242E2">
            <w:r>
              <w:rPr>
                <w:rFonts w:ascii="Times New Roman" w:hAnsi="Times New Roman" w:eastAsia="Times New Roman" w:cs="Times New Roman"/>
                <w:b/>
                <w:bCs/>
                <w:sz w:val="19"/>
                <w:szCs w:val="19"/>
              </w:rPr>
              <w:t>OpenDOAR Status</w:t>
            </w:r>
          </w:p>
        </w:tc>
        <w:tc>
          <w:tcPr>
            <w:tcW w:w="19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12F2D576">
            <w:r>
              <w:rPr>
                <w:rFonts w:ascii="Times New Roman" w:hAnsi="Times New Roman" w:eastAsia="Times New Roman" w:cs="Times New Roman"/>
                <w:b/>
                <w:bCs/>
                <w:sz w:val="19"/>
                <w:szCs w:val="19"/>
              </w:rPr>
              <w:t>Scopus/WoS Indexed Journals</w:t>
            </w:r>
          </w:p>
        </w:tc>
        <w:tc>
          <w:tcPr>
            <w:tcW w:w="826"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5D25A13F">
            <w:r>
              <w:rPr>
                <w:rFonts w:ascii="Times New Roman" w:hAnsi="Times New Roman" w:eastAsia="Times New Roman" w:cs="Times New Roman"/>
                <w:b/>
                <w:bCs/>
                <w:sz w:val="19"/>
                <w:szCs w:val="19"/>
              </w:rPr>
              <w:t>Development Stage</w:t>
            </w:r>
          </w:p>
        </w:tc>
      </w:tr>
      <w:tr w14:paraId="1C72E570">
        <w:tc>
          <w:tcPr>
            <w:tcW w:w="22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6808D5F">
            <w:pPr>
              <w:spacing w:line="300" w:lineRule="auto"/>
            </w:pPr>
            <w:r>
              <w:rPr>
                <w:rFonts w:ascii="Times New Roman" w:hAnsi="Times New Roman" w:eastAsia="Times New Roman" w:cs="Times New Roman"/>
                <w:sz w:val="19"/>
                <w:szCs w:val="19"/>
              </w:rPr>
              <w:t>University of Ibadan</w:t>
            </w:r>
          </w:p>
        </w:tc>
        <w:tc>
          <w:tcPr>
            <w:tcW w:w="18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4829A7DE">
            <w:pPr>
              <w:spacing w:line="300" w:lineRule="auto"/>
            </w:pPr>
            <w:r>
              <w:rPr>
                <w:rFonts w:ascii="Times New Roman" w:hAnsi="Times New Roman" w:eastAsia="Times New Roman" w:cs="Times New Roman"/>
                <w:sz w:val="19"/>
                <w:szCs w:val="19"/>
              </w:rPr>
              <w:t>DSpace (UI IR)</w:t>
            </w:r>
          </w:p>
        </w:tc>
        <w:tc>
          <w:tcPr>
            <w:tcW w:w="1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517D3DA">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1F5DB3D">
            <w:pPr>
              <w:spacing w:line="300" w:lineRule="auto"/>
            </w:pPr>
            <w:r>
              <w:rPr>
                <w:rFonts w:ascii="Times New Roman" w:hAnsi="Times New Roman" w:eastAsia="Times New Roman" w:cs="Times New Roman"/>
                <w:sz w:val="19"/>
                <w:szCs w:val="19"/>
              </w:rPr>
              <w:t>Registered; partially active</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A91D2B5">
            <w:pPr>
              <w:spacing w:line="300" w:lineRule="auto"/>
            </w:pPr>
            <w:r>
              <w:rPr>
                <w:rFonts w:ascii="Times New Roman" w:hAnsi="Times New Roman" w:eastAsia="Times New Roman" w:cs="Times New Roman"/>
                <w:sz w:val="19"/>
                <w:szCs w:val="19"/>
              </w:rPr>
              <w:t>3 Scopus-indexed journals</w:t>
            </w:r>
          </w:p>
        </w:tc>
        <w:tc>
          <w:tcPr>
            <w:tcW w:w="8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30387E1">
            <w:pPr>
              <w:spacing w:line="300" w:lineRule="auto"/>
            </w:pPr>
            <w:r>
              <w:rPr>
                <w:rFonts w:ascii="Times New Roman" w:hAnsi="Times New Roman" w:eastAsia="Times New Roman" w:cs="Times New Roman"/>
                <w:sz w:val="19"/>
                <w:szCs w:val="19"/>
              </w:rPr>
              <w:t>Established</w:t>
            </w:r>
          </w:p>
        </w:tc>
      </w:tr>
      <w:tr w14:paraId="6C9BD7BB">
        <w:tc>
          <w:tcPr>
            <w:tcW w:w="22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C09FE3C">
            <w:pPr>
              <w:spacing w:line="300" w:lineRule="auto"/>
            </w:pPr>
            <w:r>
              <w:rPr>
                <w:rFonts w:ascii="Times New Roman" w:hAnsi="Times New Roman" w:eastAsia="Times New Roman" w:cs="Times New Roman"/>
                <w:sz w:val="19"/>
                <w:szCs w:val="19"/>
              </w:rPr>
              <w:t>University of Lagos</w:t>
            </w:r>
          </w:p>
        </w:tc>
        <w:tc>
          <w:tcPr>
            <w:tcW w:w="18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13BC1C19">
            <w:pPr>
              <w:spacing w:line="300" w:lineRule="auto"/>
            </w:pPr>
            <w:r>
              <w:rPr>
                <w:rFonts w:ascii="Times New Roman" w:hAnsi="Times New Roman" w:eastAsia="Times New Roman" w:cs="Times New Roman"/>
                <w:sz w:val="19"/>
                <w:szCs w:val="19"/>
              </w:rPr>
              <w:t>DSpace (UNILAG IR)</w:t>
            </w:r>
          </w:p>
        </w:tc>
        <w:tc>
          <w:tcPr>
            <w:tcW w:w="1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1FE751F3">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EF87D15">
            <w:pPr>
              <w:spacing w:line="300" w:lineRule="auto"/>
            </w:pPr>
            <w:r>
              <w:rPr>
                <w:rFonts w:ascii="Times New Roman" w:hAnsi="Times New Roman" w:eastAsia="Times New Roman" w:cs="Times New Roman"/>
                <w:sz w:val="19"/>
                <w:szCs w:val="19"/>
              </w:rPr>
              <w:t>Registered; partially active</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325E0D4">
            <w:pPr>
              <w:spacing w:line="300" w:lineRule="auto"/>
            </w:pPr>
            <w:r>
              <w:rPr>
                <w:rFonts w:ascii="Times New Roman" w:hAnsi="Times New Roman" w:eastAsia="Times New Roman" w:cs="Times New Roman"/>
                <w:sz w:val="19"/>
                <w:szCs w:val="19"/>
              </w:rPr>
              <w:t>2 Scopus-indexed journals</w:t>
            </w:r>
          </w:p>
        </w:tc>
        <w:tc>
          <w:tcPr>
            <w:tcW w:w="8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080ADCEC">
            <w:pPr>
              <w:spacing w:line="300" w:lineRule="auto"/>
            </w:pPr>
            <w:r>
              <w:rPr>
                <w:rFonts w:ascii="Times New Roman" w:hAnsi="Times New Roman" w:eastAsia="Times New Roman" w:cs="Times New Roman"/>
                <w:sz w:val="19"/>
                <w:szCs w:val="19"/>
              </w:rPr>
              <w:t>Established</w:t>
            </w:r>
          </w:p>
        </w:tc>
      </w:tr>
      <w:tr w14:paraId="40DADC51">
        <w:tc>
          <w:tcPr>
            <w:tcW w:w="22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3D7C91B1">
            <w:pPr>
              <w:spacing w:line="300" w:lineRule="auto"/>
            </w:pPr>
            <w:r>
              <w:rPr>
                <w:rFonts w:ascii="Times New Roman" w:hAnsi="Times New Roman" w:eastAsia="Times New Roman" w:cs="Times New Roman"/>
                <w:sz w:val="19"/>
                <w:szCs w:val="19"/>
              </w:rPr>
              <w:t>Obafemi Awolowo University</w:t>
            </w:r>
          </w:p>
        </w:tc>
        <w:tc>
          <w:tcPr>
            <w:tcW w:w="18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EA7F732">
            <w:pPr>
              <w:spacing w:line="300" w:lineRule="auto"/>
            </w:pPr>
            <w:r>
              <w:rPr>
                <w:rFonts w:ascii="Times New Roman" w:hAnsi="Times New Roman" w:eastAsia="Times New Roman" w:cs="Times New Roman"/>
                <w:sz w:val="19"/>
                <w:szCs w:val="19"/>
              </w:rPr>
              <w:t>DSpace (OAU IR)</w:t>
            </w:r>
          </w:p>
        </w:tc>
        <w:tc>
          <w:tcPr>
            <w:tcW w:w="1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49F1A58">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3F04EA69">
            <w:pPr>
              <w:spacing w:line="300" w:lineRule="auto"/>
            </w:pPr>
            <w:r>
              <w:rPr>
                <w:rFonts w:ascii="Times New Roman" w:hAnsi="Times New Roman" w:eastAsia="Times New Roman" w:cs="Times New Roman"/>
                <w:sz w:val="19"/>
                <w:szCs w:val="19"/>
              </w:rPr>
              <w:t>Registered; low deposit rate</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AE97A57">
            <w:pPr>
              <w:spacing w:line="300" w:lineRule="auto"/>
            </w:pPr>
            <w:r>
              <w:rPr>
                <w:rFonts w:ascii="Times New Roman" w:hAnsi="Times New Roman" w:eastAsia="Times New Roman" w:cs="Times New Roman"/>
                <w:sz w:val="19"/>
                <w:szCs w:val="19"/>
              </w:rPr>
              <w:t>1 Scopus-indexed journal</w:t>
            </w:r>
          </w:p>
        </w:tc>
        <w:tc>
          <w:tcPr>
            <w:tcW w:w="8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4856090">
            <w:pPr>
              <w:spacing w:line="300" w:lineRule="auto"/>
            </w:pPr>
            <w:r>
              <w:rPr>
                <w:rFonts w:ascii="Times New Roman" w:hAnsi="Times New Roman" w:eastAsia="Times New Roman" w:cs="Times New Roman"/>
                <w:sz w:val="19"/>
                <w:szCs w:val="19"/>
              </w:rPr>
              <w:t>Developing</w:t>
            </w:r>
          </w:p>
        </w:tc>
      </w:tr>
      <w:tr w14:paraId="77783460">
        <w:tc>
          <w:tcPr>
            <w:tcW w:w="22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F952D2D">
            <w:pPr>
              <w:spacing w:line="300" w:lineRule="auto"/>
            </w:pPr>
            <w:r>
              <w:rPr>
                <w:rFonts w:ascii="Times New Roman" w:hAnsi="Times New Roman" w:eastAsia="Times New Roman" w:cs="Times New Roman"/>
                <w:sz w:val="19"/>
                <w:szCs w:val="19"/>
              </w:rPr>
              <w:t>Ahmadu Bello University</w:t>
            </w:r>
          </w:p>
        </w:tc>
        <w:tc>
          <w:tcPr>
            <w:tcW w:w="18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82B7908">
            <w:pPr>
              <w:spacing w:line="300" w:lineRule="auto"/>
            </w:pPr>
            <w:r>
              <w:rPr>
                <w:rFonts w:ascii="Times New Roman" w:hAnsi="Times New Roman" w:eastAsia="Times New Roman" w:cs="Times New Roman"/>
                <w:sz w:val="19"/>
                <w:szCs w:val="19"/>
              </w:rPr>
              <w:t>DSpace (ABU IR)</w:t>
            </w:r>
          </w:p>
        </w:tc>
        <w:tc>
          <w:tcPr>
            <w:tcW w:w="1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B872309">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3BFBEA7">
            <w:pPr>
              <w:spacing w:line="300" w:lineRule="auto"/>
            </w:pPr>
            <w:r>
              <w:rPr>
                <w:rFonts w:ascii="Times New Roman" w:hAnsi="Times New Roman" w:eastAsia="Times New Roman" w:cs="Times New Roman"/>
                <w:sz w:val="19"/>
                <w:szCs w:val="19"/>
              </w:rPr>
              <w:t>Registered; low deposit rate</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8E5D6FC">
            <w:pPr>
              <w:spacing w:line="300" w:lineRule="auto"/>
            </w:pPr>
            <w:r>
              <w:rPr>
                <w:rFonts w:ascii="Times New Roman" w:hAnsi="Times New Roman" w:eastAsia="Times New Roman" w:cs="Times New Roman"/>
                <w:sz w:val="19"/>
                <w:szCs w:val="19"/>
              </w:rPr>
              <w:t>2 Scopus-indexed journals</w:t>
            </w:r>
          </w:p>
        </w:tc>
        <w:tc>
          <w:tcPr>
            <w:tcW w:w="8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AAC26D8">
            <w:pPr>
              <w:spacing w:line="300" w:lineRule="auto"/>
            </w:pPr>
            <w:r>
              <w:rPr>
                <w:rFonts w:ascii="Times New Roman" w:hAnsi="Times New Roman" w:eastAsia="Times New Roman" w:cs="Times New Roman"/>
                <w:sz w:val="19"/>
                <w:szCs w:val="19"/>
              </w:rPr>
              <w:t>Developing</w:t>
            </w:r>
          </w:p>
        </w:tc>
      </w:tr>
      <w:tr w14:paraId="230C5CC3">
        <w:tc>
          <w:tcPr>
            <w:tcW w:w="22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EBC6AB9">
            <w:pPr>
              <w:spacing w:line="300" w:lineRule="auto"/>
            </w:pPr>
            <w:r>
              <w:rPr>
                <w:rFonts w:ascii="Times New Roman" w:hAnsi="Times New Roman" w:eastAsia="Times New Roman" w:cs="Times New Roman"/>
                <w:sz w:val="19"/>
                <w:szCs w:val="19"/>
              </w:rPr>
              <w:t>University of Nigeria Nsukka</w:t>
            </w:r>
          </w:p>
        </w:tc>
        <w:tc>
          <w:tcPr>
            <w:tcW w:w="18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130B9D6">
            <w:pPr>
              <w:spacing w:line="300" w:lineRule="auto"/>
            </w:pPr>
            <w:r>
              <w:rPr>
                <w:rFonts w:ascii="Times New Roman" w:hAnsi="Times New Roman" w:eastAsia="Times New Roman" w:cs="Times New Roman"/>
                <w:sz w:val="19"/>
                <w:szCs w:val="19"/>
              </w:rPr>
              <w:t>DSpace (UNN IR)</w:t>
            </w:r>
          </w:p>
        </w:tc>
        <w:tc>
          <w:tcPr>
            <w:tcW w:w="1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6B295F2E">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D6318C5">
            <w:pPr>
              <w:spacing w:line="300" w:lineRule="auto"/>
            </w:pPr>
            <w:r>
              <w:rPr>
                <w:rFonts w:ascii="Times New Roman" w:hAnsi="Times New Roman" w:eastAsia="Times New Roman" w:cs="Times New Roman"/>
                <w:sz w:val="19"/>
                <w:szCs w:val="19"/>
              </w:rPr>
              <w:t>Registered; low deposit rate</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69C2FC3F">
            <w:pPr>
              <w:spacing w:line="300" w:lineRule="auto"/>
            </w:pPr>
            <w:r>
              <w:rPr>
                <w:rFonts w:ascii="Times New Roman" w:hAnsi="Times New Roman" w:eastAsia="Times New Roman" w:cs="Times New Roman"/>
                <w:sz w:val="19"/>
                <w:szCs w:val="19"/>
              </w:rPr>
              <w:t>1 Scopus-indexed journal</w:t>
            </w:r>
          </w:p>
        </w:tc>
        <w:tc>
          <w:tcPr>
            <w:tcW w:w="8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F3F8213">
            <w:pPr>
              <w:spacing w:line="300" w:lineRule="auto"/>
            </w:pPr>
            <w:r>
              <w:rPr>
                <w:rFonts w:ascii="Times New Roman" w:hAnsi="Times New Roman" w:eastAsia="Times New Roman" w:cs="Times New Roman"/>
                <w:sz w:val="19"/>
                <w:szCs w:val="19"/>
              </w:rPr>
              <w:t>Developing</w:t>
            </w:r>
          </w:p>
        </w:tc>
      </w:tr>
      <w:tr w14:paraId="3BF40F92">
        <w:tc>
          <w:tcPr>
            <w:tcW w:w="22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03ECF3E">
            <w:pPr>
              <w:spacing w:line="300" w:lineRule="auto"/>
            </w:pPr>
            <w:r>
              <w:rPr>
                <w:rFonts w:ascii="Times New Roman" w:hAnsi="Times New Roman" w:eastAsia="Times New Roman" w:cs="Times New Roman"/>
                <w:sz w:val="19"/>
                <w:szCs w:val="19"/>
              </w:rPr>
              <w:t>Ajayi Crowther University</w:t>
            </w:r>
          </w:p>
        </w:tc>
        <w:tc>
          <w:tcPr>
            <w:tcW w:w="18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1679B625">
            <w:pPr>
              <w:spacing w:line="300" w:lineRule="auto"/>
            </w:pPr>
            <w:r>
              <w:rPr>
                <w:rFonts w:ascii="Times New Roman" w:hAnsi="Times New Roman" w:eastAsia="Times New Roman" w:cs="Times New Roman"/>
                <w:sz w:val="19"/>
                <w:szCs w:val="19"/>
              </w:rPr>
              <w:t>DSpace (ACU Repository)</w:t>
            </w:r>
          </w:p>
        </w:tc>
        <w:tc>
          <w:tcPr>
            <w:tcW w:w="1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55D68E38">
            <w:pPr>
              <w:spacing w:line="300" w:lineRule="auto"/>
            </w:pPr>
            <w:r>
              <w:rPr>
                <w:rFonts w:ascii="Times New Roman" w:hAnsi="Times New Roman" w:eastAsia="Times New Roman" w:cs="Times New Roman"/>
                <w:sz w:val="19"/>
                <w:szCs w:val="19"/>
              </w:rPr>
              <w:t>Under development</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C67AB97">
            <w:pPr>
              <w:spacing w:line="300" w:lineRule="auto"/>
            </w:pPr>
            <w:r>
              <w:rPr>
                <w:rFonts w:ascii="Times New Roman" w:hAnsi="Times New Roman" w:eastAsia="Times New Roman" w:cs="Times New Roman"/>
                <w:sz w:val="19"/>
                <w:szCs w:val="19"/>
              </w:rPr>
              <w:t>Registered</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5C11C7D7">
            <w:pPr>
              <w:spacing w:line="300" w:lineRule="auto"/>
            </w:pPr>
            <w:r>
              <w:rPr>
                <w:rFonts w:ascii="Times New Roman" w:hAnsi="Times New Roman" w:eastAsia="Times New Roman" w:cs="Times New Roman"/>
                <w:sz w:val="19"/>
                <w:szCs w:val="19"/>
              </w:rPr>
              <w:t>None currently</w:t>
            </w:r>
          </w:p>
        </w:tc>
        <w:tc>
          <w:tcPr>
            <w:tcW w:w="8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1F3A5441">
            <w:pPr>
              <w:spacing w:line="300" w:lineRule="auto"/>
            </w:pPr>
            <w:r>
              <w:rPr>
                <w:rFonts w:ascii="Times New Roman" w:hAnsi="Times New Roman" w:eastAsia="Times New Roman" w:cs="Times New Roman"/>
                <w:sz w:val="19"/>
                <w:szCs w:val="19"/>
              </w:rPr>
              <w:t>Emerging</w:t>
            </w:r>
          </w:p>
        </w:tc>
      </w:tr>
      <w:tr w14:paraId="3F06C4B5">
        <w:tc>
          <w:tcPr>
            <w:tcW w:w="22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202FAE2">
            <w:pPr>
              <w:spacing w:line="300" w:lineRule="auto"/>
            </w:pPr>
            <w:r>
              <w:rPr>
                <w:rFonts w:ascii="Times New Roman" w:hAnsi="Times New Roman" w:eastAsia="Times New Roman" w:cs="Times New Roman"/>
                <w:sz w:val="19"/>
                <w:szCs w:val="19"/>
              </w:rPr>
              <w:t>Covenant University</w:t>
            </w:r>
          </w:p>
        </w:tc>
        <w:tc>
          <w:tcPr>
            <w:tcW w:w="18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F017B4F">
            <w:pPr>
              <w:spacing w:line="300" w:lineRule="auto"/>
            </w:pPr>
            <w:r>
              <w:rPr>
                <w:rFonts w:ascii="Times New Roman" w:hAnsi="Times New Roman" w:eastAsia="Times New Roman" w:cs="Times New Roman"/>
                <w:sz w:val="19"/>
                <w:szCs w:val="19"/>
              </w:rPr>
              <w:t>Institutional platform</w:t>
            </w:r>
          </w:p>
        </w:tc>
        <w:tc>
          <w:tcPr>
            <w:tcW w:w="1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4B3A690A">
            <w:pPr>
              <w:spacing w:line="300" w:lineRule="auto"/>
            </w:pPr>
            <w:r>
              <w:rPr>
                <w:rFonts w:ascii="Times New Roman" w:hAnsi="Times New Roman" w:eastAsia="Times New Roman" w:cs="Times New Roman"/>
                <w:sz w:val="19"/>
                <w:szCs w:val="19"/>
              </w:rPr>
              <w:t>Partial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3A64668">
            <w:pPr>
              <w:spacing w:line="300" w:lineRule="auto"/>
            </w:pPr>
            <w:r>
              <w:rPr>
                <w:rFonts w:ascii="Times New Roman" w:hAnsi="Times New Roman" w:eastAsia="Times New Roman" w:cs="Times New Roman"/>
                <w:sz w:val="19"/>
                <w:szCs w:val="19"/>
              </w:rPr>
              <w:t>Registered; moderate activity</w:t>
            </w:r>
          </w:p>
        </w:tc>
        <w:tc>
          <w:tcPr>
            <w:tcW w:w="1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4386ED72">
            <w:pPr>
              <w:spacing w:line="300" w:lineRule="auto"/>
            </w:pPr>
            <w:r>
              <w:rPr>
                <w:rFonts w:ascii="Times New Roman" w:hAnsi="Times New Roman" w:eastAsia="Times New Roman" w:cs="Times New Roman"/>
                <w:sz w:val="19"/>
                <w:szCs w:val="19"/>
              </w:rPr>
              <w:t>1 Scopus-indexed journal</w:t>
            </w:r>
          </w:p>
        </w:tc>
        <w:tc>
          <w:tcPr>
            <w:tcW w:w="8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9EDF25C">
            <w:pPr>
              <w:spacing w:line="300" w:lineRule="auto"/>
            </w:pPr>
            <w:r>
              <w:rPr>
                <w:rFonts w:ascii="Times New Roman" w:hAnsi="Times New Roman" w:eastAsia="Times New Roman" w:cs="Times New Roman"/>
                <w:sz w:val="19"/>
                <w:szCs w:val="19"/>
              </w:rPr>
              <w:t>Developing</w:t>
            </w:r>
          </w:p>
        </w:tc>
      </w:tr>
      <w:tr w14:paraId="2382B280">
        <w:tc>
          <w:tcPr>
            <w:tcW w:w="22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372116C">
            <w:pPr>
              <w:spacing w:line="300" w:lineRule="auto"/>
            </w:pPr>
            <w:r>
              <w:rPr>
                <w:rFonts w:ascii="Times New Roman" w:hAnsi="Times New Roman" w:eastAsia="Times New Roman" w:cs="Times New Roman"/>
                <w:sz w:val="19"/>
                <w:szCs w:val="19"/>
              </w:rPr>
              <w:t>Lagos State University</w:t>
            </w:r>
          </w:p>
        </w:tc>
        <w:tc>
          <w:tcPr>
            <w:tcW w:w="18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6A57054">
            <w:pPr>
              <w:spacing w:line="300" w:lineRule="auto"/>
            </w:pPr>
            <w:r>
              <w:rPr>
                <w:rFonts w:ascii="Times New Roman" w:hAnsi="Times New Roman" w:eastAsia="Times New Roman" w:cs="Times New Roman"/>
                <w:sz w:val="19"/>
                <w:szCs w:val="19"/>
              </w:rPr>
              <w:t>DSpace</w:t>
            </w:r>
          </w:p>
        </w:tc>
        <w:tc>
          <w:tcPr>
            <w:tcW w:w="1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D30A70A">
            <w:pPr>
              <w:spacing w:line="300" w:lineRule="auto"/>
            </w:pPr>
            <w:r>
              <w:rPr>
                <w:rFonts w:ascii="Times New Roman" w:hAnsi="Times New Roman" w:eastAsia="Times New Roman" w:cs="Times New Roman"/>
                <w:sz w:val="19"/>
                <w:szCs w:val="19"/>
              </w:rPr>
              <w:t>No formal mandate</w:t>
            </w:r>
          </w:p>
        </w:tc>
        <w:tc>
          <w:tcPr>
            <w:tcW w:w="17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5A9C10FD">
            <w:pPr>
              <w:spacing w:line="300" w:lineRule="auto"/>
            </w:pPr>
            <w:r>
              <w:rPr>
                <w:rFonts w:ascii="Times New Roman" w:hAnsi="Times New Roman" w:eastAsia="Times New Roman" w:cs="Times New Roman"/>
                <w:sz w:val="19"/>
                <w:szCs w:val="19"/>
              </w:rPr>
              <w:t>Registered; inactive</w:t>
            </w:r>
          </w:p>
        </w:tc>
        <w:tc>
          <w:tcPr>
            <w:tcW w:w="1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286DF11A">
            <w:pPr>
              <w:spacing w:line="300" w:lineRule="auto"/>
            </w:pPr>
            <w:r>
              <w:rPr>
                <w:rFonts w:ascii="Times New Roman" w:hAnsi="Times New Roman" w:eastAsia="Times New Roman" w:cs="Times New Roman"/>
                <w:sz w:val="19"/>
                <w:szCs w:val="19"/>
              </w:rPr>
              <w:t>None currently</w:t>
            </w:r>
          </w:p>
        </w:tc>
        <w:tc>
          <w:tcPr>
            <w:tcW w:w="8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E9184FA">
            <w:pPr>
              <w:spacing w:line="300" w:lineRule="auto"/>
            </w:pPr>
            <w:r>
              <w:rPr>
                <w:rFonts w:ascii="Times New Roman" w:hAnsi="Times New Roman" w:eastAsia="Times New Roman" w:cs="Times New Roman"/>
                <w:sz w:val="19"/>
                <w:szCs w:val="19"/>
              </w:rPr>
              <w:t>Early stage</w:t>
            </w:r>
          </w:p>
        </w:tc>
      </w:tr>
    </w:tbl>
    <w:p w14:paraId="535F1C96">
      <w:pPr>
        <w:spacing w:before="0" w:after="100"/>
      </w:pPr>
    </w:p>
    <w:p w14:paraId="41435618">
      <w:pPr>
        <w:spacing w:before="320" w:after="120"/>
      </w:pPr>
      <w:r>
        <w:rPr>
          <w:rFonts w:ascii="Times New Roman" w:hAnsi="Times New Roman" w:eastAsia="Times New Roman" w:cs="Times New Roman"/>
          <w:b/>
          <w:bCs/>
          <w:color w:val="000000"/>
          <w:sz w:val="28"/>
          <w:szCs w:val="28"/>
        </w:rPr>
        <w:t>Barriers to Open Access Adoption in Nigerian Universities</w:t>
      </w:r>
    </w:p>
    <w:p w14:paraId="1166AF3B">
      <w:pPr>
        <w:spacing w:before="200" w:after="80"/>
      </w:pPr>
      <w:r>
        <w:rPr>
          <w:rFonts w:ascii="Times New Roman" w:hAnsi="Times New Roman" w:eastAsia="Times New Roman" w:cs="Times New Roman"/>
          <w:b/>
          <w:bCs/>
          <w:i/>
          <w:iCs/>
          <w:color w:val="000000"/>
          <w:sz w:val="25"/>
          <w:szCs w:val="25"/>
        </w:rPr>
        <w:t>APC Costs and Economic Exclusion</w:t>
      </w:r>
    </w:p>
    <w:p w14:paraId="7E4BB89B">
      <w:pPr>
        <w:spacing w:before="0" w:after="160" w:line="360" w:lineRule="auto"/>
        <w:jc w:val="both"/>
      </w:pPr>
      <w:r>
        <w:rPr>
          <w:rFonts w:ascii="Times New Roman" w:hAnsi="Times New Roman" w:eastAsia="Times New Roman" w:cs="Times New Roman"/>
          <w:color w:val="000000"/>
          <w:sz w:val="24"/>
          <w:szCs w:val="24"/>
        </w:rPr>
        <w:t>As documented above, the APC economy represents the dominant structural barrier to Nigerian participation in the gold OA model that prevails in European and North American academic contexts. Okafor and Njoku (2023) estimate that fewer than 5% of Nigerian academic staff publish in high-APC gold OA journals without external funding support, and that the proportion is lower still outside the STEM disciplines where international research grant funding is most available. The Nigerian Research and Innovation Council (NRIC) and the Tertiary Education Trust Fund (TETFund) — the two primary national sources of research funding for Nigerian universities — do not currently include APC payments within their eligible expenditure categories, creating a policy gap that further constrains Nigerian OA publishing access.</w:t>
      </w:r>
    </w:p>
    <w:p w14:paraId="7466CE37">
      <w:pPr>
        <w:spacing w:before="200" w:after="80"/>
        <w:rPr>
          <w:rFonts w:ascii="Times New Roman" w:hAnsi="Times New Roman" w:eastAsia="Times New Roman" w:cs="Times New Roman"/>
          <w:b/>
          <w:bCs/>
          <w:i/>
          <w:iCs/>
          <w:color w:val="000000"/>
          <w:sz w:val="25"/>
          <w:szCs w:val="25"/>
        </w:rPr>
      </w:pPr>
    </w:p>
    <w:p w14:paraId="6B09D781">
      <w:pPr>
        <w:spacing w:before="200" w:after="80"/>
      </w:pPr>
      <w:r>
        <w:rPr>
          <w:rFonts w:ascii="Times New Roman" w:hAnsi="Times New Roman" w:eastAsia="Times New Roman" w:cs="Times New Roman"/>
          <w:b/>
          <w:bCs/>
          <w:i/>
          <w:iCs/>
          <w:color w:val="000000"/>
          <w:sz w:val="25"/>
          <w:szCs w:val="25"/>
        </w:rPr>
        <w:t>Predatory Publishing and Reputational Risk</w:t>
      </w:r>
    </w:p>
    <w:p w14:paraId="0F816301">
      <w:pPr>
        <w:spacing w:before="0" w:after="160" w:line="360" w:lineRule="auto"/>
        <w:jc w:val="both"/>
      </w:pPr>
      <w:r>
        <w:rPr>
          <w:rFonts w:ascii="Times New Roman" w:hAnsi="Times New Roman" w:eastAsia="Times New Roman" w:cs="Times New Roman"/>
          <w:color w:val="000000"/>
          <w:sz w:val="24"/>
          <w:szCs w:val="24"/>
        </w:rPr>
        <w:t>The predatory publishing crisis imposes both direct costs — through wasted APC payments to illegitimate journals — and indirect costs, through reputational damage to Nigerian scholarship and the diversion of research output into publishing channels that provide no genuine value-adding editorial or peer review services. Okafor and Njoku (2023) estimate that between 2015 and 2023, Nigerian scholars collectively paid approximately $2.3 million USD in APC fees to journals subsequently identified as predatory — a substantial loss of research funding that could have supported legitimate OA publication or IR development. The NUC's accreditation criteria, which count publications in any 'peer-reviewed international journal' toward promotion and accreditation requirements without adequate mechanisms to exclude predatory journals, is identified by Omoba and Iwu-James (2020) as a key systemic driver of Nigerian predatory publishing vulnerability.</w:t>
      </w:r>
    </w:p>
    <w:p w14:paraId="234F79D6">
      <w:pPr>
        <w:spacing w:before="200" w:after="80"/>
      </w:pPr>
      <w:r>
        <w:rPr>
          <w:rFonts w:ascii="Times New Roman" w:hAnsi="Times New Roman" w:eastAsia="Times New Roman" w:cs="Times New Roman"/>
          <w:b/>
          <w:bCs/>
          <w:i/>
          <w:iCs/>
          <w:color w:val="000000"/>
          <w:sz w:val="25"/>
          <w:szCs w:val="25"/>
        </w:rPr>
        <w:t>Awareness and Policy Gaps</w:t>
      </w:r>
    </w:p>
    <w:p w14:paraId="2E01451F">
      <w:pPr>
        <w:spacing w:before="0" w:after="160" w:line="360" w:lineRule="auto"/>
        <w:jc w:val="both"/>
      </w:pPr>
      <w:r>
        <w:rPr>
          <w:rFonts w:ascii="Times New Roman" w:hAnsi="Times New Roman" w:eastAsia="Times New Roman" w:cs="Times New Roman"/>
          <w:color w:val="000000"/>
          <w:sz w:val="24"/>
          <w:szCs w:val="24"/>
        </w:rPr>
        <w:t>Beyond financial barriers, Omoba and Iwu-James (2020) document significant awareness gaps among Nigerian academic staff regarding OA publication options, institutional repository deposit procedures, and the identification of legitimate versus predatory journals. Their survey of 420 academic staff across ten Nigerian universities found that 62% were unaware of their institution's OA policy (where one existed), 74% had never deposited a paper in an institutional repository, and 58% could not correctly identify a predatory journal from a list of publication options. Library-led OA awareness and education programmes</w:t>
      </w:r>
      <w:r>
        <w:rPr>
          <w:rFonts w:hint="default" w:cs="Times New Roman"/>
          <w:color w:val="000000"/>
          <w:sz w:val="24"/>
          <w:szCs w:val="24"/>
          <w:lang w:val="en-US"/>
        </w:rPr>
        <w:t xml:space="preserve"> </w:t>
      </w:r>
      <w:r>
        <w:rPr>
          <w:rFonts w:ascii="Times New Roman" w:hAnsi="Times New Roman" w:eastAsia="Times New Roman" w:cs="Times New Roman"/>
          <w:color w:val="000000"/>
          <w:sz w:val="24"/>
          <w:szCs w:val="24"/>
        </w:rPr>
        <w:t>integrating predatory publisher identification, IR deposit training, and OA licensing literacy</w:t>
      </w:r>
      <w:r>
        <w:rPr>
          <w:rFonts w:hint="default" w:cs="Times New Roman"/>
          <w:color w:val="000000"/>
          <w:sz w:val="24"/>
          <w:szCs w:val="24"/>
          <w:lang w:val="en-US"/>
        </w:rPr>
        <w:t xml:space="preserve"> </w:t>
      </w:r>
      <w:r>
        <w:rPr>
          <w:rFonts w:ascii="Times New Roman" w:hAnsi="Times New Roman" w:eastAsia="Times New Roman" w:cs="Times New Roman"/>
          <w:color w:val="000000"/>
          <w:sz w:val="24"/>
          <w:szCs w:val="24"/>
        </w:rPr>
        <w:t>represent an immediate and practical intervention within the existing scope of library professional competence.</w:t>
      </w:r>
    </w:p>
    <w:p w14:paraId="656DCE51">
      <w:pPr>
        <w:spacing w:before="240" w:after="40"/>
      </w:pPr>
      <w:r>
        <w:rPr>
          <w:rFonts w:ascii="Times New Roman" w:hAnsi="Times New Roman" w:eastAsia="Times New Roman" w:cs="Times New Roman"/>
          <w:b/>
          <w:bCs/>
          <w:sz w:val="22"/>
          <w:szCs w:val="22"/>
        </w:rPr>
        <w:t>Table 3.</w:t>
      </w:r>
    </w:p>
    <w:p w14:paraId="09F6B1A4">
      <w:pPr>
        <w:spacing w:after="80"/>
      </w:pPr>
      <w:r>
        <w:rPr>
          <w:rFonts w:ascii="Times New Roman" w:hAnsi="Times New Roman" w:eastAsia="Times New Roman" w:cs="Times New Roman"/>
          <w:i/>
          <w:iCs/>
          <w:color w:val="555555"/>
          <w:sz w:val="21"/>
          <w:szCs w:val="21"/>
        </w:rPr>
        <w:t>Barriers to open access adoption in Nigerian universities, with severity assessment and proposed responses.</w:t>
      </w:r>
    </w:p>
    <w:tbl>
      <w:tblPr>
        <w:tblStyle w:val="9"/>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99"/>
        <w:gridCol w:w="905"/>
        <w:gridCol w:w="2598"/>
        <w:gridCol w:w="2524"/>
      </w:tblGrid>
      <w:tr w14:paraId="4CE06082">
        <w:tc>
          <w:tcPr>
            <w:tcW w:w="20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4195D741">
            <w:r>
              <w:rPr>
                <w:rFonts w:ascii="Times New Roman" w:hAnsi="Times New Roman" w:eastAsia="Times New Roman" w:cs="Times New Roman"/>
                <w:b/>
                <w:bCs/>
                <w:sz w:val="19"/>
                <w:szCs w:val="19"/>
              </w:rPr>
              <w:t>Barrier</w:t>
            </w:r>
          </w:p>
        </w:tc>
        <w:tc>
          <w:tcPr>
            <w:tcW w:w="9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719AE542">
            <w:r>
              <w:rPr>
                <w:rFonts w:ascii="Times New Roman" w:hAnsi="Times New Roman" w:eastAsia="Times New Roman" w:cs="Times New Roman"/>
                <w:b/>
                <w:bCs/>
                <w:sz w:val="19"/>
                <w:szCs w:val="19"/>
              </w:rPr>
              <w:t>Severity</w:t>
            </w:r>
          </w:p>
        </w:tc>
        <w:tc>
          <w:tcPr>
            <w:tcW w:w="2600"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1D4E6AEA">
            <w:r>
              <w:rPr>
                <w:rFonts w:ascii="Times New Roman" w:hAnsi="Times New Roman" w:eastAsia="Times New Roman" w:cs="Times New Roman"/>
                <w:b/>
                <w:bCs/>
                <w:sz w:val="19"/>
                <w:szCs w:val="19"/>
              </w:rPr>
              <w:t>Nigerian-Specific Dimension</w:t>
            </w:r>
          </w:p>
        </w:tc>
        <w:tc>
          <w:tcPr>
            <w:tcW w:w="2526" w:type="dxa"/>
            <w:tcBorders>
              <w:top w:val="single" w:color="BBBBBB" w:sz="4" w:space="0"/>
              <w:left w:val="single" w:color="BBBBBB" w:sz="4" w:space="0"/>
              <w:bottom w:val="single" w:color="BBBBBB" w:sz="4" w:space="0"/>
              <w:right w:val="single" w:color="BBBBBB" w:sz="4" w:space="0"/>
            </w:tcBorders>
            <w:shd w:val="clear" w:color="auto" w:fill="EEEEEE"/>
            <w:tcMar>
              <w:top w:w="80" w:type="dxa"/>
              <w:left w:w="120" w:type="dxa"/>
              <w:bottom w:w="80" w:type="dxa"/>
              <w:right w:w="120" w:type="dxa"/>
            </w:tcMar>
          </w:tcPr>
          <w:p w14:paraId="34C3116A">
            <w:r>
              <w:rPr>
                <w:rFonts w:ascii="Times New Roman" w:hAnsi="Times New Roman" w:eastAsia="Times New Roman" w:cs="Times New Roman"/>
                <w:b/>
                <w:bCs/>
                <w:sz w:val="19"/>
                <w:szCs w:val="19"/>
              </w:rPr>
              <w:t>Proposed Response</w:t>
            </w:r>
          </w:p>
        </w:tc>
      </w:tr>
      <w:tr w14:paraId="6522A7B0">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7D0CF20">
            <w:pPr>
              <w:spacing w:line="300" w:lineRule="auto"/>
            </w:pPr>
            <w:r>
              <w:rPr>
                <w:rFonts w:ascii="Times New Roman" w:hAnsi="Times New Roman" w:eastAsia="Times New Roman" w:cs="Times New Roman"/>
                <w:sz w:val="19"/>
                <w:szCs w:val="19"/>
              </w:rPr>
              <w:t>APC costs</w:t>
            </w:r>
          </w:p>
        </w:tc>
        <w:tc>
          <w:tcPr>
            <w:tcW w:w="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DFB3FAE">
            <w:pPr>
              <w:spacing w:line="300" w:lineRule="auto"/>
            </w:pPr>
            <w:r>
              <w:rPr>
                <w:rFonts w:ascii="Times New Roman" w:hAnsi="Times New Roman" w:eastAsia="Times New Roman" w:cs="Times New Roman"/>
                <w:sz w:val="19"/>
                <w:szCs w:val="19"/>
              </w:rPr>
              <w:t>High</w:t>
            </w:r>
          </w:p>
        </w:tc>
        <w:tc>
          <w:tcPr>
            <w:tcW w:w="2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0C8304B">
            <w:pPr>
              <w:spacing w:line="300" w:lineRule="auto"/>
            </w:pPr>
            <w:r>
              <w:rPr>
                <w:rFonts w:ascii="Times New Roman" w:hAnsi="Times New Roman" w:eastAsia="Times New Roman" w:cs="Times New Roman"/>
                <w:sz w:val="19"/>
                <w:szCs w:val="19"/>
              </w:rPr>
              <w:t>TETFund/NRIC do not fund APCs; no national APC waiver agreements</w:t>
            </w:r>
          </w:p>
        </w:tc>
        <w:tc>
          <w:tcPr>
            <w:tcW w:w="25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62B1413">
            <w:pPr>
              <w:spacing w:line="300" w:lineRule="auto"/>
            </w:pPr>
            <w:r>
              <w:rPr>
                <w:rFonts w:ascii="Times New Roman" w:hAnsi="Times New Roman" w:eastAsia="Times New Roman" w:cs="Times New Roman"/>
                <w:sz w:val="19"/>
                <w:szCs w:val="19"/>
              </w:rPr>
              <w:t>TETFund policy revision; NUC negotiate national APC waiver agreements with publishers</w:t>
            </w:r>
          </w:p>
        </w:tc>
      </w:tr>
      <w:tr w14:paraId="215497CF">
        <w:tc>
          <w:tcPr>
            <w:tcW w:w="20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2E234A6">
            <w:pPr>
              <w:spacing w:line="300" w:lineRule="auto"/>
            </w:pPr>
            <w:r>
              <w:rPr>
                <w:rFonts w:ascii="Times New Roman" w:hAnsi="Times New Roman" w:eastAsia="Times New Roman" w:cs="Times New Roman"/>
                <w:sz w:val="19"/>
                <w:szCs w:val="19"/>
              </w:rPr>
              <w:t>Predatory publishing</w:t>
            </w:r>
          </w:p>
        </w:tc>
        <w:tc>
          <w:tcPr>
            <w:tcW w:w="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D419408">
            <w:pPr>
              <w:spacing w:line="300" w:lineRule="auto"/>
            </w:pPr>
            <w:r>
              <w:rPr>
                <w:rFonts w:ascii="Times New Roman" w:hAnsi="Times New Roman" w:eastAsia="Times New Roman" w:cs="Times New Roman"/>
                <w:sz w:val="19"/>
                <w:szCs w:val="19"/>
              </w:rPr>
              <w:t>High</w:t>
            </w:r>
          </w:p>
        </w:tc>
        <w:tc>
          <w:tcPr>
            <w:tcW w:w="2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FFA2762">
            <w:pPr>
              <w:spacing w:line="300" w:lineRule="auto"/>
            </w:pPr>
            <w:r>
              <w:rPr>
                <w:rFonts w:ascii="Times New Roman" w:hAnsi="Times New Roman" w:eastAsia="Times New Roman" w:cs="Times New Roman"/>
                <w:sz w:val="19"/>
                <w:szCs w:val="19"/>
              </w:rPr>
              <w:t>Nigeria among top source countries for predatory journal papers</w:t>
            </w:r>
          </w:p>
        </w:tc>
        <w:tc>
          <w:tcPr>
            <w:tcW w:w="25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2DD2BC0">
            <w:pPr>
              <w:spacing w:line="300" w:lineRule="auto"/>
            </w:pPr>
            <w:r>
              <w:rPr>
                <w:rFonts w:ascii="Times New Roman" w:hAnsi="Times New Roman" w:eastAsia="Times New Roman" w:cs="Times New Roman"/>
                <w:sz w:val="19"/>
                <w:szCs w:val="19"/>
              </w:rPr>
              <w:t>NUC revise promotion criteria; library-led predatory journal awareness training</w:t>
            </w:r>
          </w:p>
        </w:tc>
      </w:tr>
      <w:tr w14:paraId="42AED069">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341A9E3E">
            <w:pPr>
              <w:spacing w:line="300" w:lineRule="auto"/>
            </w:pPr>
            <w:r>
              <w:rPr>
                <w:rFonts w:ascii="Times New Roman" w:hAnsi="Times New Roman" w:eastAsia="Times New Roman" w:cs="Times New Roman"/>
                <w:sz w:val="19"/>
                <w:szCs w:val="19"/>
              </w:rPr>
              <w:t>Absence of OA mandates</w:t>
            </w:r>
          </w:p>
        </w:tc>
        <w:tc>
          <w:tcPr>
            <w:tcW w:w="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5056FA2C">
            <w:pPr>
              <w:spacing w:line="300" w:lineRule="auto"/>
            </w:pPr>
            <w:r>
              <w:rPr>
                <w:rFonts w:ascii="Times New Roman" w:hAnsi="Times New Roman" w:eastAsia="Times New Roman" w:cs="Times New Roman"/>
                <w:sz w:val="19"/>
                <w:szCs w:val="19"/>
              </w:rPr>
              <w:t>High</w:t>
            </w:r>
          </w:p>
        </w:tc>
        <w:tc>
          <w:tcPr>
            <w:tcW w:w="2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6235135D">
            <w:pPr>
              <w:spacing w:line="300" w:lineRule="auto"/>
            </w:pPr>
            <w:r>
              <w:rPr>
                <w:rFonts w:ascii="Times New Roman" w:hAnsi="Times New Roman" w:eastAsia="Times New Roman" w:cs="Times New Roman"/>
                <w:sz w:val="19"/>
                <w:szCs w:val="19"/>
              </w:rPr>
              <w:t>No university or national OA deposit mandate in Nigeria</w:t>
            </w:r>
          </w:p>
        </w:tc>
        <w:tc>
          <w:tcPr>
            <w:tcW w:w="25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2DF7EC6">
            <w:pPr>
              <w:spacing w:line="300" w:lineRule="auto"/>
            </w:pPr>
            <w:r>
              <w:rPr>
                <w:rFonts w:ascii="Times New Roman" w:hAnsi="Times New Roman" w:eastAsia="Times New Roman" w:cs="Times New Roman"/>
                <w:sz w:val="19"/>
                <w:szCs w:val="19"/>
              </w:rPr>
              <w:t>NUC model OA mandate; institutional IR deposit policies at university level</w:t>
            </w:r>
          </w:p>
        </w:tc>
      </w:tr>
      <w:tr w14:paraId="2E5B9E21">
        <w:tc>
          <w:tcPr>
            <w:tcW w:w="20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39048F1">
            <w:pPr>
              <w:spacing w:line="300" w:lineRule="auto"/>
            </w:pPr>
            <w:r>
              <w:rPr>
                <w:rFonts w:ascii="Times New Roman" w:hAnsi="Times New Roman" w:eastAsia="Times New Roman" w:cs="Times New Roman"/>
                <w:sz w:val="19"/>
                <w:szCs w:val="19"/>
              </w:rPr>
              <w:t>Low IR awareness</w:t>
            </w:r>
          </w:p>
        </w:tc>
        <w:tc>
          <w:tcPr>
            <w:tcW w:w="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11314DA0">
            <w:pPr>
              <w:spacing w:line="300" w:lineRule="auto"/>
            </w:pPr>
            <w:r>
              <w:rPr>
                <w:rFonts w:ascii="Times New Roman" w:hAnsi="Times New Roman" w:eastAsia="Times New Roman" w:cs="Times New Roman"/>
                <w:sz w:val="19"/>
                <w:szCs w:val="19"/>
              </w:rPr>
              <w:t>Medium</w:t>
            </w:r>
          </w:p>
        </w:tc>
        <w:tc>
          <w:tcPr>
            <w:tcW w:w="2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28646CFD">
            <w:pPr>
              <w:spacing w:line="300" w:lineRule="auto"/>
            </w:pPr>
            <w:r>
              <w:rPr>
                <w:rFonts w:ascii="Times New Roman" w:hAnsi="Times New Roman" w:eastAsia="Times New Roman" w:cs="Times New Roman"/>
                <w:sz w:val="19"/>
                <w:szCs w:val="19"/>
              </w:rPr>
              <w:t>74% of surveyed staff never deposited to IR (Omoba &amp; Iwu-James, 2020)</w:t>
            </w:r>
          </w:p>
        </w:tc>
        <w:tc>
          <w:tcPr>
            <w:tcW w:w="25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69E3BEAF">
            <w:pPr>
              <w:spacing w:line="300" w:lineRule="auto"/>
            </w:pPr>
            <w:r>
              <w:rPr>
                <w:rFonts w:ascii="Times New Roman" w:hAnsi="Times New Roman" w:eastAsia="Times New Roman" w:cs="Times New Roman"/>
                <w:sz w:val="19"/>
                <w:szCs w:val="19"/>
              </w:rPr>
              <w:t>Library OA roadshows; embedded IR deposit training in postgraduate induction</w:t>
            </w:r>
          </w:p>
        </w:tc>
      </w:tr>
      <w:tr w14:paraId="0AD76427">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120D4AD5">
            <w:pPr>
              <w:spacing w:line="300" w:lineRule="auto"/>
            </w:pPr>
            <w:r>
              <w:rPr>
                <w:rFonts w:ascii="Times New Roman" w:hAnsi="Times New Roman" w:eastAsia="Times New Roman" w:cs="Times New Roman"/>
                <w:sz w:val="19"/>
                <w:szCs w:val="19"/>
              </w:rPr>
              <w:t>Metadata quality</w:t>
            </w:r>
          </w:p>
        </w:tc>
        <w:tc>
          <w:tcPr>
            <w:tcW w:w="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02B9079">
            <w:pPr>
              <w:spacing w:line="300" w:lineRule="auto"/>
            </w:pPr>
            <w:r>
              <w:rPr>
                <w:rFonts w:ascii="Times New Roman" w:hAnsi="Times New Roman" w:eastAsia="Times New Roman" w:cs="Times New Roman"/>
                <w:sz w:val="19"/>
                <w:szCs w:val="19"/>
              </w:rPr>
              <w:t>Medium</w:t>
            </w:r>
          </w:p>
        </w:tc>
        <w:tc>
          <w:tcPr>
            <w:tcW w:w="2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FF295A0">
            <w:pPr>
              <w:spacing w:line="300" w:lineRule="auto"/>
            </w:pPr>
            <w:r>
              <w:rPr>
                <w:rFonts w:ascii="Times New Roman" w:hAnsi="Times New Roman" w:eastAsia="Times New Roman" w:cs="Times New Roman"/>
                <w:sz w:val="19"/>
                <w:szCs w:val="19"/>
              </w:rPr>
              <w:t>Nigerian IRs have low OpenAIRE/BASE interoperability compliance</w:t>
            </w:r>
          </w:p>
        </w:tc>
        <w:tc>
          <w:tcPr>
            <w:tcW w:w="25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6C6A6C6">
            <w:pPr>
              <w:spacing w:line="300" w:lineRule="auto"/>
            </w:pPr>
            <w:r>
              <w:rPr>
                <w:rFonts w:ascii="Times New Roman" w:hAnsi="Times New Roman" w:eastAsia="Times New Roman" w:cs="Times New Roman"/>
                <w:sz w:val="19"/>
                <w:szCs w:val="19"/>
              </w:rPr>
              <w:t>OAI-PMH standard implementation; NUC IR technical guidelines</w:t>
            </w:r>
          </w:p>
        </w:tc>
      </w:tr>
      <w:tr w14:paraId="7AB7C315">
        <w:tc>
          <w:tcPr>
            <w:tcW w:w="20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7CD2CA48">
            <w:pPr>
              <w:spacing w:line="300" w:lineRule="auto"/>
            </w:pPr>
            <w:r>
              <w:rPr>
                <w:rFonts w:ascii="Times New Roman" w:hAnsi="Times New Roman" w:eastAsia="Times New Roman" w:cs="Times New Roman"/>
                <w:sz w:val="19"/>
                <w:szCs w:val="19"/>
              </w:rPr>
              <w:t>Promotion criteria bias</w:t>
            </w:r>
          </w:p>
        </w:tc>
        <w:tc>
          <w:tcPr>
            <w:tcW w:w="9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5E8B5829">
            <w:pPr>
              <w:spacing w:line="300" w:lineRule="auto"/>
            </w:pPr>
            <w:r>
              <w:rPr>
                <w:rFonts w:ascii="Times New Roman" w:hAnsi="Times New Roman" w:eastAsia="Times New Roman" w:cs="Times New Roman"/>
                <w:sz w:val="19"/>
                <w:szCs w:val="19"/>
              </w:rPr>
              <w:t>Medium</w:t>
            </w:r>
          </w:p>
        </w:tc>
        <w:tc>
          <w:tcPr>
            <w:tcW w:w="2600"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43F65FEE">
            <w:pPr>
              <w:spacing w:line="300" w:lineRule="auto"/>
            </w:pPr>
            <w:r>
              <w:rPr>
                <w:rFonts w:ascii="Times New Roman" w:hAnsi="Times New Roman" w:eastAsia="Times New Roman" w:cs="Times New Roman"/>
                <w:sz w:val="19"/>
                <w:szCs w:val="19"/>
              </w:rPr>
              <w:t>WoS/Scopus publication required for promotion; discourages African OA journals</w:t>
            </w:r>
          </w:p>
        </w:tc>
        <w:tc>
          <w:tcPr>
            <w:tcW w:w="2526" w:type="dxa"/>
            <w:tcBorders>
              <w:top w:val="single" w:color="BBBBBB" w:sz="4" w:space="0"/>
              <w:left w:val="single" w:color="BBBBBB" w:sz="4" w:space="0"/>
              <w:bottom w:val="single" w:color="BBBBBB" w:sz="4" w:space="0"/>
              <w:right w:val="single" w:color="BBBBBB" w:sz="4" w:space="0"/>
            </w:tcBorders>
            <w:shd w:val="clear" w:color="auto" w:fill="F8F8F8"/>
            <w:tcMar>
              <w:top w:w="70" w:type="dxa"/>
              <w:left w:w="120" w:type="dxa"/>
              <w:bottom w:w="70" w:type="dxa"/>
              <w:right w:w="120" w:type="dxa"/>
            </w:tcMar>
          </w:tcPr>
          <w:p w14:paraId="33091F08">
            <w:pPr>
              <w:spacing w:line="300" w:lineRule="auto"/>
            </w:pPr>
            <w:r>
              <w:rPr>
                <w:rFonts w:ascii="Times New Roman" w:hAnsi="Times New Roman" w:eastAsia="Times New Roman" w:cs="Times New Roman"/>
                <w:sz w:val="19"/>
                <w:szCs w:val="19"/>
              </w:rPr>
              <w:t>NUC revise promotion criteria to formally recognize AJOL-indexed journals</w:t>
            </w:r>
          </w:p>
        </w:tc>
      </w:tr>
      <w:tr w14:paraId="01348A53">
        <w:tc>
          <w:tcPr>
            <w:tcW w:w="20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021642DB">
            <w:pPr>
              <w:spacing w:line="300" w:lineRule="auto"/>
            </w:pPr>
            <w:r>
              <w:rPr>
                <w:rFonts w:ascii="Times New Roman" w:hAnsi="Times New Roman" w:eastAsia="Times New Roman" w:cs="Times New Roman"/>
                <w:sz w:val="19"/>
                <w:szCs w:val="19"/>
              </w:rPr>
              <w:t>Underfunding of IR</w:t>
            </w:r>
          </w:p>
        </w:tc>
        <w:tc>
          <w:tcPr>
            <w:tcW w:w="9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2283D4AE">
            <w:pPr>
              <w:spacing w:line="300" w:lineRule="auto"/>
            </w:pPr>
            <w:r>
              <w:rPr>
                <w:rFonts w:ascii="Times New Roman" w:hAnsi="Times New Roman" w:eastAsia="Times New Roman" w:cs="Times New Roman"/>
                <w:sz w:val="19"/>
                <w:szCs w:val="19"/>
              </w:rPr>
              <w:t>Medium</w:t>
            </w:r>
          </w:p>
        </w:tc>
        <w:tc>
          <w:tcPr>
            <w:tcW w:w="2600"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D5B4CC5">
            <w:pPr>
              <w:spacing w:line="300" w:lineRule="auto"/>
            </w:pPr>
            <w:r>
              <w:rPr>
                <w:rFonts w:ascii="Times New Roman" w:hAnsi="Times New Roman" w:eastAsia="Times New Roman" w:cs="Times New Roman"/>
                <w:sz w:val="19"/>
                <w:szCs w:val="19"/>
              </w:rPr>
              <w:t>Most IR infrastructure development relies on donor funding or individual initiative</w:t>
            </w:r>
          </w:p>
        </w:tc>
        <w:tc>
          <w:tcPr>
            <w:tcW w:w="2526" w:type="dxa"/>
            <w:tcBorders>
              <w:top w:val="single" w:color="BBBBBB" w:sz="4" w:space="0"/>
              <w:left w:val="single" w:color="BBBBBB" w:sz="4" w:space="0"/>
              <w:bottom w:val="single" w:color="BBBBBB" w:sz="4" w:space="0"/>
              <w:right w:val="single" w:color="BBBBBB" w:sz="4" w:space="0"/>
            </w:tcBorders>
            <w:shd w:val="clear" w:color="auto" w:fill="FFFFFF"/>
            <w:tcMar>
              <w:top w:w="70" w:type="dxa"/>
              <w:left w:w="120" w:type="dxa"/>
              <w:bottom w:w="70" w:type="dxa"/>
              <w:right w:w="120" w:type="dxa"/>
            </w:tcMar>
          </w:tcPr>
          <w:p w14:paraId="7C020048">
            <w:pPr>
              <w:spacing w:line="300" w:lineRule="auto"/>
            </w:pPr>
            <w:r>
              <w:rPr>
                <w:rFonts w:ascii="Times New Roman" w:hAnsi="Times New Roman" w:eastAsia="Times New Roman" w:cs="Times New Roman"/>
                <w:sz w:val="19"/>
                <w:szCs w:val="19"/>
              </w:rPr>
              <w:t>NUC recurrent IR funding line in university budget accreditation requirements</w:t>
            </w:r>
          </w:p>
        </w:tc>
      </w:tr>
    </w:tbl>
    <w:p w14:paraId="3C5C2A9A">
      <w:pPr>
        <w:spacing w:before="320" w:after="120"/>
        <w:rPr>
          <w:rFonts w:ascii="Times New Roman" w:hAnsi="Times New Roman" w:eastAsia="Times New Roman" w:cs="Times New Roman"/>
          <w:b/>
          <w:bCs/>
          <w:color w:val="000000"/>
          <w:sz w:val="28"/>
          <w:szCs w:val="28"/>
        </w:rPr>
      </w:pPr>
    </w:p>
    <w:p w14:paraId="3FF0228F">
      <w:pPr>
        <w:spacing w:before="320" w:after="120"/>
      </w:pPr>
      <w:r>
        <w:rPr>
          <w:rFonts w:ascii="Times New Roman" w:hAnsi="Times New Roman" w:eastAsia="Times New Roman" w:cs="Times New Roman"/>
          <w:b/>
          <w:bCs/>
          <w:color w:val="000000"/>
          <w:sz w:val="28"/>
          <w:szCs w:val="28"/>
        </w:rPr>
        <w:t>A National OA Strategy Framework for Nigerian Universities</w:t>
      </w:r>
    </w:p>
    <w:p w14:paraId="12601F92">
      <w:pPr>
        <w:spacing w:before="0" w:after="160" w:line="360" w:lineRule="auto"/>
        <w:jc w:val="both"/>
      </w:pPr>
      <w:r>
        <w:rPr>
          <w:rFonts w:ascii="Times New Roman" w:hAnsi="Times New Roman" w:eastAsia="Times New Roman" w:cs="Times New Roman"/>
          <w:color w:val="000000"/>
          <w:sz w:val="24"/>
          <w:szCs w:val="24"/>
        </w:rPr>
        <w:t>Addressing the systemic research visibility deficit of Nigerian universities requires action at multiple institutional levels simultaneously. This paper proposes a five-component National Open Access Strategy Framework for Nigeria, drawing on the recommendations of Omotayo and Ahiauzu (2019), Okafor and Njoku (2023), Omoba and Iwu-James (2020), and international OA strategy models. The framework is aligned with UNESCO's (2021) Recommendation on Open Science, which Nigeria endorsed as a UNESCO Member State.</w:t>
      </w:r>
    </w:p>
    <w:p w14:paraId="7861BEC8">
      <w:pPr>
        <w:spacing w:before="0" w:after="160" w:line="360" w:lineRule="auto"/>
        <w:jc w:val="both"/>
      </w:pPr>
      <w:r>
        <w:rPr>
          <w:rFonts w:ascii="Times New Roman" w:hAnsi="Times New Roman" w:eastAsia="Times New Roman" w:cs="Times New Roman"/>
          <w:color w:val="000000"/>
          <w:sz w:val="24"/>
          <w:szCs w:val="24"/>
        </w:rPr>
        <w:t>Component 1 — National OA Policy Mandate: The NUC and NRIC should adopt and enforce a national OA mandate requiring the deposit of all publicly funded research outputs in institutional or designated national repositories within 12 months of publication, modelled on the UK Research and Innovation (UKRI) open access policy and adapted to the Nigerian institutional context. Component 2 — Diamond OA Journal Investment: TETFund and the NUC should establish a dedicated funding mechanism for the development and sustainability of diamond OA journals operated by Nigerian and African scholarly societies, prioritizing journals in disciplines of highest national policy relevance. AJOL should be positioned as the primary national aggregator for diamond OA Nigerian journals.</w:t>
      </w:r>
    </w:p>
    <w:p w14:paraId="4A39299D">
      <w:pPr>
        <w:spacing w:before="0" w:after="160" w:line="360" w:lineRule="auto"/>
        <w:jc w:val="both"/>
      </w:pPr>
      <w:r>
        <w:rPr>
          <w:rFonts w:ascii="Times New Roman" w:hAnsi="Times New Roman" w:eastAsia="Times New Roman" w:cs="Times New Roman"/>
          <w:color w:val="000000"/>
          <w:sz w:val="24"/>
          <w:szCs w:val="24"/>
        </w:rPr>
        <w:t>Component 3 — IR Interoperability Mandate: All NUC-accredited universities should be required, as a condition of institutional accreditation, to maintain operational institutional repositories that comply with OAI-PMH harvesting protocols and COAR-aligned metadata standards, enabling international aggregation through OpenAIRE, BASE, and AJOL. Component 4 — Predatory Publishing Literacy: The NLA and LRCN should develop and disseminate nationally standardized training materials on predatory journal identification and legitimate OA publication options, delivered through library-led workshops integrated into all postgraduate research induction programmes. Component 5 — Revised Promotion Criteria: The NUC should formally revise institutional accreditation criteria for academic promotions to recognize publication in AJOL-indexed, DOAJ-listed, and other quality-assured African OA journals on equivalent terms to Scopus and WoS-indexed international publications, removing the structural incentive that currently drives Nigerian scholars toward expensive international venues.</w:t>
      </w:r>
    </w:p>
    <w:p w14:paraId="150DFB8A">
      <w:pPr>
        <w:spacing w:before="320" w:after="120"/>
        <w:rPr>
          <w:rFonts w:ascii="Times New Roman" w:hAnsi="Times New Roman" w:eastAsia="Times New Roman" w:cs="Times New Roman"/>
          <w:b/>
          <w:bCs/>
          <w:color w:val="000000"/>
          <w:sz w:val="28"/>
          <w:szCs w:val="28"/>
        </w:rPr>
      </w:pPr>
    </w:p>
    <w:p w14:paraId="3AF4FFA6">
      <w:pPr>
        <w:spacing w:before="320" w:after="120"/>
      </w:pPr>
      <w:r>
        <w:rPr>
          <w:rFonts w:ascii="Times New Roman" w:hAnsi="Times New Roman" w:eastAsia="Times New Roman" w:cs="Times New Roman"/>
          <w:b/>
          <w:bCs/>
          <w:color w:val="000000"/>
          <w:sz w:val="28"/>
          <w:szCs w:val="28"/>
        </w:rPr>
        <w:t>Conclusion</w:t>
      </w:r>
    </w:p>
    <w:p w14:paraId="79972D8D">
      <w:pPr>
        <w:spacing w:before="0" w:after="160" w:line="360" w:lineRule="auto"/>
        <w:jc w:val="both"/>
      </w:pPr>
      <w:r>
        <w:rPr>
          <w:rFonts w:ascii="Times New Roman" w:hAnsi="Times New Roman" w:eastAsia="Times New Roman" w:cs="Times New Roman"/>
          <w:color w:val="000000"/>
          <w:sz w:val="24"/>
          <w:szCs w:val="24"/>
        </w:rPr>
        <w:t>The structural marginalization of Nigerian research within global scholarly communication circuits is not an inevitable consequence of research quality differentials — it is an artifact of the political economy of academic publishing, the inadequacy of Nigerian IR infrastructure, the perverse incentives of the NUC accreditation system, and the predatory publishing crisis. Open access publishing, particularly through the diamond OA and green self-archiving routes, offers a technically feasible and financially realistic pathway toward greater research visibility for Nigerian scholars that does not require capitulation to the APC economy that dominates publishing in the Global North.</w:t>
      </w:r>
    </w:p>
    <w:p w14:paraId="02A018F0">
      <w:pPr>
        <w:spacing w:before="0" w:after="16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realization of this potential requires a coordinated national response encompassing policy mandates, institutional infrastructure investment, revised promotion criteria, and library-led awareness and training programmes. The five-component national OA strategy framework proposed in this paper provides a structured starting point for this response, building on the existing work of AJOL, OpenDOAR, and the growing number of Nigerian library professionals committed to improving the visibility of Nigerian scholarship. Nigerian scholars produce research of genuine national and international significance. The imperative is to build the infrastructure — repositories, diamond journals, interoperability standards, policy frameworks, and professional capacity — through which that research can be discovered, engaged, and built upon by the global knowledge community it deserves to reach.</w:t>
      </w:r>
    </w:p>
    <w:p w14:paraId="1C71C36D">
      <w:pPr>
        <w:spacing w:before="0" w:after="160" w:line="360" w:lineRule="auto"/>
        <w:jc w:val="both"/>
        <w:rPr>
          <w:rFonts w:ascii="Times New Roman" w:hAnsi="Times New Roman" w:eastAsia="Times New Roman" w:cs="Times New Roman"/>
          <w:color w:val="000000"/>
          <w:sz w:val="24"/>
          <w:szCs w:val="24"/>
        </w:rPr>
      </w:pPr>
    </w:p>
    <w:p w14:paraId="2FDBFAE0">
      <w:pPr>
        <w:spacing w:before="0" w:after="160" w:line="360" w:lineRule="auto"/>
        <w:jc w:val="both"/>
        <w:rPr>
          <w:rFonts w:ascii="Times New Roman" w:hAnsi="Times New Roman" w:eastAsia="Times New Roman" w:cs="Times New Roman"/>
          <w:color w:val="000000"/>
          <w:sz w:val="24"/>
          <w:szCs w:val="24"/>
        </w:rPr>
      </w:pPr>
    </w:p>
    <w:p w14:paraId="5D652F2D">
      <w:pPr>
        <w:spacing w:before="0" w:after="160" w:line="360" w:lineRule="auto"/>
        <w:jc w:val="both"/>
        <w:rPr>
          <w:rFonts w:ascii="Times New Roman" w:hAnsi="Times New Roman" w:eastAsia="Times New Roman" w:cs="Times New Roman"/>
          <w:color w:val="000000"/>
          <w:sz w:val="24"/>
          <w:szCs w:val="24"/>
        </w:rPr>
      </w:pPr>
    </w:p>
    <w:p w14:paraId="4D0398AB">
      <w:pPr>
        <w:spacing w:before="0" w:after="160" w:line="360" w:lineRule="auto"/>
        <w:jc w:val="both"/>
        <w:rPr>
          <w:rFonts w:ascii="Times New Roman" w:hAnsi="Times New Roman" w:eastAsia="Times New Roman" w:cs="Times New Roman"/>
          <w:color w:val="000000"/>
          <w:sz w:val="24"/>
          <w:szCs w:val="24"/>
        </w:rPr>
      </w:pPr>
    </w:p>
    <w:p w14:paraId="766D8D8B">
      <w:pPr>
        <w:spacing w:before="0" w:after="160" w:line="360" w:lineRule="auto"/>
        <w:jc w:val="both"/>
        <w:rPr>
          <w:rFonts w:ascii="Times New Roman" w:hAnsi="Times New Roman" w:eastAsia="Times New Roman" w:cs="Times New Roman"/>
          <w:color w:val="000000"/>
          <w:sz w:val="24"/>
          <w:szCs w:val="24"/>
        </w:rPr>
      </w:pPr>
    </w:p>
    <w:p w14:paraId="3C4E5B3E">
      <w:pPr>
        <w:spacing w:before="0" w:after="160" w:line="360" w:lineRule="auto"/>
        <w:jc w:val="both"/>
        <w:rPr>
          <w:rFonts w:ascii="Times New Roman" w:hAnsi="Times New Roman" w:eastAsia="Times New Roman" w:cs="Times New Roman"/>
          <w:color w:val="000000"/>
          <w:sz w:val="24"/>
          <w:szCs w:val="24"/>
        </w:rPr>
      </w:pPr>
    </w:p>
    <w:p w14:paraId="1DEEE49E">
      <w:pPr>
        <w:spacing w:before="0" w:after="160" w:line="360" w:lineRule="auto"/>
        <w:jc w:val="both"/>
        <w:rPr>
          <w:rFonts w:ascii="Times New Roman" w:hAnsi="Times New Roman" w:eastAsia="Times New Roman" w:cs="Times New Roman"/>
          <w:color w:val="000000"/>
          <w:sz w:val="24"/>
          <w:szCs w:val="24"/>
        </w:rPr>
      </w:pPr>
    </w:p>
    <w:p w14:paraId="619FB68A">
      <w:pPr>
        <w:spacing w:before="0" w:after="160" w:line="360" w:lineRule="auto"/>
        <w:jc w:val="both"/>
        <w:rPr>
          <w:rFonts w:ascii="Times New Roman" w:hAnsi="Times New Roman" w:eastAsia="Times New Roman" w:cs="Times New Roman"/>
          <w:color w:val="000000"/>
          <w:sz w:val="24"/>
          <w:szCs w:val="24"/>
        </w:rPr>
      </w:pPr>
    </w:p>
    <w:p w14:paraId="43CAA662">
      <w:pPr>
        <w:spacing w:before="0" w:after="160" w:line="360" w:lineRule="auto"/>
        <w:jc w:val="both"/>
        <w:rPr>
          <w:rFonts w:ascii="Times New Roman" w:hAnsi="Times New Roman" w:eastAsia="Times New Roman" w:cs="Times New Roman"/>
          <w:color w:val="000000"/>
          <w:sz w:val="24"/>
          <w:szCs w:val="24"/>
        </w:rPr>
      </w:pPr>
    </w:p>
    <w:p w14:paraId="15BD32D2">
      <w:pPr>
        <w:spacing w:before="0" w:after="160" w:line="360" w:lineRule="auto"/>
        <w:jc w:val="both"/>
        <w:rPr>
          <w:rFonts w:ascii="Times New Roman" w:hAnsi="Times New Roman" w:eastAsia="Times New Roman" w:cs="Times New Roman"/>
          <w:color w:val="000000"/>
          <w:sz w:val="24"/>
          <w:szCs w:val="24"/>
        </w:rPr>
      </w:pPr>
    </w:p>
    <w:p w14:paraId="54A73AA5">
      <w:pPr>
        <w:spacing w:before="0" w:after="160" w:line="360" w:lineRule="auto"/>
        <w:jc w:val="both"/>
        <w:rPr>
          <w:rFonts w:ascii="Times New Roman" w:hAnsi="Times New Roman" w:eastAsia="Times New Roman" w:cs="Times New Roman"/>
          <w:color w:val="000000"/>
          <w:sz w:val="24"/>
          <w:szCs w:val="24"/>
        </w:rPr>
      </w:pPr>
    </w:p>
    <w:p w14:paraId="1D2F20B5">
      <w:pPr>
        <w:spacing w:before="0" w:after="160" w:line="360" w:lineRule="auto"/>
        <w:jc w:val="both"/>
        <w:rPr>
          <w:rFonts w:ascii="Times New Roman" w:hAnsi="Times New Roman" w:eastAsia="Times New Roman" w:cs="Times New Roman"/>
          <w:color w:val="000000"/>
          <w:sz w:val="24"/>
          <w:szCs w:val="24"/>
        </w:rPr>
      </w:pPr>
    </w:p>
    <w:p w14:paraId="4B16673E">
      <w:pPr>
        <w:spacing w:before="0" w:after="160" w:line="360" w:lineRule="auto"/>
        <w:jc w:val="both"/>
        <w:rPr>
          <w:rFonts w:ascii="Times New Roman" w:hAnsi="Times New Roman" w:eastAsia="Times New Roman" w:cs="Times New Roman"/>
          <w:color w:val="000000"/>
          <w:sz w:val="24"/>
          <w:szCs w:val="24"/>
        </w:rPr>
      </w:pPr>
    </w:p>
    <w:p w14:paraId="257FDEC5">
      <w:pPr>
        <w:spacing w:before="0" w:after="160" w:line="360" w:lineRule="auto"/>
        <w:jc w:val="both"/>
        <w:rPr>
          <w:rFonts w:ascii="Times New Roman" w:hAnsi="Times New Roman" w:eastAsia="Times New Roman" w:cs="Times New Roman"/>
          <w:color w:val="000000"/>
          <w:sz w:val="24"/>
          <w:szCs w:val="24"/>
        </w:rPr>
      </w:pPr>
    </w:p>
    <w:p w14:paraId="0BC39789">
      <w:pPr>
        <w:spacing w:before="0" w:after="160" w:line="360" w:lineRule="auto"/>
        <w:jc w:val="both"/>
        <w:rPr>
          <w:rFonts w:ascii="Times New Roman" w:hAnsi="Times New Roman" w:eastAsia="Times New Roman" w:cs="Times New Roman"/>
          <w:color w:val="000000"/>
          <w:sz w:val="24"/>
          <w:szCs w:val="24"/>
        </w:rPr>
      </w:pPr>
      <w:bookmarkStart w:id="0" w:name="_GoBack"/>
      <w:bookmarkEnd w:id="0"/>
    </w:p>
    <w:p w14:paraId="18C5B40F">
      <w:pPr>
        <w:spacing w:before="0" w:after="160" w:line="360" w:lineRule="auto"/>
        <w:jc w:val="both"/>
        <w:rPr>
          <w:rFonts w:ascii="Times New Roman" w:hAnsi="Times New Roman" w:eastAsia="Times New Roman" w:cs="Times New Roman"/>
          <w:color w:val="000000"/>
          <w:sz w:val="24"/>
          <w:szCs w:val="24"/>
        </w:rPr>
      </w:pPr>
    </w:p>
    <w:p w14:paraId="59949E3D">
      <w:pPr>
        <w:spacing w:before="0" w:after="160" w:line="360" w:lineRule="auto"/>
        <w:jc w:val="both"/>
        <w:rPr>
          <w:rFonts w:ascii="Times New Roman" w:hAnsi="Times New Roman" w:eastAsia="Times New Roman" w:cs="Times New Roman"/>
          <w:color w:val="000000"/>
          <w:sz w:val="24"/>
          <w:szCs w:val="24"/>
        </w:rPr>
      </w:pPr>
    </w:p>
    <w:p w14:paraId="668623CB">
      <w:pPr>
        <w:spacing w:before="0" w:after="160" w:line="360" w:lineRule="auto"/>
        <w:jc w:val="both"/>
        <w:rPr>
          <w:rFonts w:ascii="Times New Roman" w:hAnsi="Times New Roman" w:eastAsia="Times New Roman" w:cs="Times New Roman"/>
          <w:color w:val="000000"/>
          <w:sz w:val="24"/>
          <w:szCs w:val="24"/>
        </w:rPr>
      </w:pPr>
    </w:p>
    <w:p w14:paraId="205B6F27">
      <w:pPr>
        <w:spacing w:before="0" w:after="160" w:line="360" w:lineRule="auto"/>
        <w:jc w:val="both"/>
        <w:rPr>
          <w:rFonts w:ascii="Times New Roman" w:hAnsi="Times New Roman" w:eastAsia="Times New Roman" w:cs="Times New Roman"/>
          <w:color w:val="000000"/>
          <w:sz w:val="24"/>
          <w:szCs w:val="24"/>
        </w:rPr>
      </w:pPr>
    </w:p>
    <w:p w14:paraId="6C61C623">
      <w:pPr>
        <w:spacing w:before="0" w:after="160" w:line="360" w:lineRule="auto"/>
        <w:jc w:val="both"/>
        <w:rPr>
          <w:rFonts w:ascii="Times New Roman" w:hAnsi="Times New Roman" w:eastAsia="Times New Roman" w:cs="Times New Roman"/>
          <w:color w:val="000000"/>
          <w:sz w:val="24"/>
          <w:szCs w:val="24"/>
        </w:rPr>
      </w:pPr>
    </w:p>
    <w:p w14:paraId="6A5DCACE">
      <w:pPr>
        <w:spacing w:before="0" w:after="160" w:line="360" w:lineRule="auto"/>
        <w:jc w:val="both"/>
      </w:pPr>
      <w:r>
        <w:rPr>
          <w:rFonts w:ascii="Times New Roman" w:hAnsi="Times New Roman" w:eastAsia="Times New Roman" w:cs="Times New Roman"/>
          <w:b/>
          <w:bCs/>
          <w:sz w:val="28"/>
          <w:szCs w:val="28"/>
        </w:rPr>
        <w:t>References</w:t>
      </w:r>
    </w:p>
    <w:p w14:paraId="6EE4E965">
      <w:pPr>
        <w:spacing w:before="0" w:after="100" w:line="320" w:lineRule="auto"/>
        <w:ind w:left="720" w:hanging="360"/>
      </w:pPr>
      <w:r>
        <w:rPr>
          <w:rFonts w:ascii="Times New Roman" w:hAnsi="Times New Roman" w:eastAsia="Times New Roman" w:cs="Times New Roman"/>
          <w:color w:val="333333"/>
          <w:sz w:val="20"/>
          <w:szCs w:val="20"/>
        </w:rPr>
        <w:t>Aina, L. O., Onyancha, O. B., &amp; Mutula, S. M. (2019). Open access and scholarly communication in Africa. African Books Collective.</w:t>
      </w:r>
    </w:p>
    <w:p w14:paraId="4F6E59CF">
      <w:pPr>
        <w:spacing w:before="0" w:after="100" w:line="320" w:lineRule="auto"/>
        <w:ind w:left="720" w:hanging="360"/>
      </w:pPr>
      <w:r>
        <w:rPr>
          <w:rFonts w:ascii="Times New Roman" w:hAnsi="Times New Roman" w:eastAsia="Times New Roman" w:cs="Times New Roman"/>
          <w:color w:val="333333"/>
          <w:sz w:val="20"/>
          <w:szCs w:val="20"/>
        </w:rPr>
        <w:t>AJOL. (2024). AJOL statistics and usage report 2024. African Journals OnLine. https://www.ajol.info/stats</w:t>
      </w:r>
    </w:p>
    <w:p w14:paraId="63DD0638">
      <w:pPr>
        <w:spacing w:before="0" w:after="100" w:line="320" w:lineRule="auto"/>
        <w:ind w:left="720" w:hanging="360"/>
      </w:pPr>
      <w:r>
        <w:rPr>
          <w:rFonts w:ascii="Times New Roman" w:hAnsi="Times New Roman" w:eastAsia="Times New Roman" w:cs="Times New Roman"/>
          <w:color w:val="333333"/>
          <w:sz w:val="20"/>
          <w:szCs w:val="20"/>
        </w:rPr>
        <w:t>Altbach, P. G. (2013). Advancing the national and global knowledge economy: The role of research universities in developing countries. Studies in Higher Education, 38(3), 316–330.</w:t>
      </w:r>
    </w:p>
    <w:p w14:paraId="152F245F">
      <w:pPr>
        <w:spacing w:before="0" w:after="100" w:line="320" w:lineRule="auto"/>
        <w:ind w:left="720" w:hanging="360"/>
      </w:pPr>
      <w:r>
        <w:rPr>
          <w:rFonts w:ascii="Times New Roman" w:hAnsi="Times New Roman" w:eastAsia="Times New Roman" w:cs="Times New Roman"/>
          <w:color w:val="333333"/>
          <w:sz w:val="20"/>
          <w:szCs w:val="20"/>
        </w:rPr>
        <w:t>Boshoff, N. (2010). South-South research collaboration of African countries: The case of the African laser centre. Scientometrics, 84(2), 415–433.</w:t>
      </w:r>
    </w:p>
    <w:p w14:paraId="621D743E">
      <w:pPr>
        <w:spacing w:before="0" w:after="100" w:line="320" w:lineRule="auto"/>
        <w:ind w:left="720" w:hanging="360"/>
      </w:pPr>
      <w:r>
        <w:rPr>
          <w:rFonts w:ascii="Times New Roman" w:hAnsi="Times New Roman" w:eastAsia="Times New Roman" w:cs="Times New Roman"/>
          <w:color w:val="333333"/>
          <w:sz w:val="20"/>
          <w:szCs w:val="20"/>
        </w:rPr>
        <w:t>Budapest Open Access Initiative. (2002). Budapest open access initiative declaration. https://www.budapestopenaccessinitiative.org</w:t>
      </w:r>
    </w:p>
    <w:p w14:paraId="5C30D032">
      <w:pPr>
        <w:spacing w:before="0" w:after="100" w:line="320" w:lineRule="auto"/>
        <w:ind w:left="720" w:hanging="360"/>
      </w:pPr>
      <w:r>
        <w:rPr>
          <w:rFonts w:ascii="Times New Roman" w:hAnsi="Times New Roman" w:eastAsia="Times New Roman" w:cs="Times New Roman"/>
          <w:color w:val="333333"/>
          <w:sz w:val="20"/>
          <w:szCs w:val="20"/>
        </w:rPr>
        <w:t>Fabunmi, B. A., &amp; Asubiojo, B. O. (2023). Indigenous knowledge representation in Nigerian library classification systems. African Journal of Library, Archives and Information Science, 33(1), 19–36.</w:t>
      </w:r>
    </w:p>
    <w:p w14:paraId="15073DED">
      <w:pPr>
        <w:spacing w:before="0" w:after="100" w:line="320" w:lineRule="auto"/>
        <w:ind w:left="720" w:hanging="360"/>
      </w:pPr>
      <w:r>
        <w:rPr>
          <w:rFonts w:ascii="Times New Roman" w:hAnsi="Times New Roman" w:eastAsia="Times New Roman" w:cs="Times New Roman"/>
          <w:color w:val="333333"/>
          <w:sz w:val="20"/>
          <w:szCs w:val="20"/>
        </w:rPr>
        <w:t>Morrison, H., Desautels, L., Laferrière, M., Ghadai, M., &amp; Salhab, J. (2022). Dramatic growth of open access 2021. Journal of Librarianship and Scholarly Communication, 10(1).</w:t>
      </w:r>
    </w:p>
    <w:p w14:paraId="2C623981">
      <w:pPr>
        <w:spacing w:before="0" w:after="100" w:line="320" w:lineRule="auto"/>
        <w:ind w:left="720" w:hanging="360"/>
      </w:pPr>
      <w:r>
        <w:rPr>
          <w:rFonts w:ascii="Times New Roman" w:hAnsi="Times New Roman" w:eastAsia="Times New Roman" w:cs="Times New Roman"/>
          <w:color w:val="333333"/>
          <w:sz w:val="20"/>
          <w:szCs w:val="20"/>
        </w:rPr>
        <w:t>Okafor, O. C., &amp; Njoku, C. M. (2023). Predatory publishing and the Nigerian academic: Awareness, vulnerability, and institutional responses. African Journal of Library, Archives and Information Science, 33(2), 119–136.</w:t>
      </w:r>
    </w:p>
    <w:p w14:paraId="4D22F046">
      <w:pPr>
        <w:spacing w:before="0" w:after="100" w:line="320" w:lineRule="auto"/>
        <w:ind w:left="720" w:hanging="360"/>
      </w:pPr>
      <w:r>
        <w:rPr>
          <w:rFonts w:ascii="Times New Roman" w:hAnsi="Times New Roman" w:eastAsia="Times New Roman" w:cs="Times New Roman"/>
          <w:color w:val="333333"/>
          <w:sz w:val="20"/>
          <w:szCs w:val="20"/>
        </w:rPr>
        <w:t>Omoba, F. A., &amp; Iwu-James, J. (2020). Open access awareness and utilisation among academics in Nigerian universities. Library Philosophy and Practice (e-journal), Paper 4037.</w:t>
      </w:r>
    </w:p>
    <w:p w14:paraId="775BF483">
      <w:pPr>
        <w:spacing w:before="0" w:after="100" w:line="320" w:lineRule="auto"/>
        <w:ind w:left="720" w:hanging="360"/>
      </w:pPr>
      <w:r>
        <w:rPr>
          <w:rFonts w:ascii="Times New Roman" w:hAnsi="Times New Roman" w:eastAsia="Times New Roman" w:cs="Times New Roman"/>
          <w:color w:val="333333"/>
          <w:sz w:val="20"/>
          <w:szCs w:val="20"/>
        </w:rPr>
        <w:t>Omotayo, F. O., &amp; Ahiauzu, L. U. (2019). Institutional repositories in Nigerian university libraries: Challenges and prospects. Library Management, 40(6/7), 407–422.</w:t>
      </w:r>
    </w:p>
    <w:p w14:paraId="312A9EDD">
      <w:pPr>
        <w:spacing w:before="0" w:after="100" w:line="320" w:lineRule="auto"/>
        <w:ind w:left="720" w:hanging="360"/>
      </w:pPr>
      <w:r>
        <w:rPr>
          <w:rFonts w:ascii="Times New Roman" w:hAnsi="Times New Roman" w:eastAsia="Times New Roman" w:cs="Times New Roman"/>
          <w:color w:val="333333"/>
          <w:sz w:val="20"/>
          <w:szCs w:val="20"/>
        </w:rPr>
        <w:t>Onyancha, O. B., &amp; Ngulube, P. (2021). The visibility and research impact of Sub-Saharan African universities: A bibliometric analysis. IFLA Journal, 47(2), 199–218.</w:t>
      </w:r>
    </w:p>
    <w:p w14:paraId="01889FDA">
      <w:pPr>
        <w:spacing w:before="0" w:after="100" w:line="320" w:lineRule="auto"/>
        <w:ind w:left="720" w:hanging="360"/>
      </w:pPr>
      <w:r>
        <w:rPr>
          <w:rFonts w:ascii="Times New Roman" w:hAnsi="Times New Roman" w:eastAsia="Times New Roman" w:cs="Times New Roman"/>
          <w:color w:val="333333"/>
          <w:sz w:val="20"/>
          <w:szCs w:val="20"/>
        </w:rPr>
        <w:t>OpenDOAR. (2024). Directory of Open Access Repositories — Nigeria statistics. University of Nottingham. https://v2.sherpa.ac.uk/opendoar/</w:t>
      </w:r>
    </w:p>
    <w:p w14:paraId="03B09A73">
      <w:pPr>
        <w:spacing w:before="0" w:after="100" w:line="320" w:lineRule="auto"/>
        <w:ind w:left="720" w:hanging="360"/>
      </w:pPr>
      <w:r>
        <w:rPr>
          <w:rFonts w:ascii="Times New Roman" w:hAnsi="Times New Roman" w:eastAsia="Times New Roman" w:cs="Times New Roman"/>
          <w:color w:val="333333"/>
          <w:sz w:val="20"/>
          <w:szCs w:val="20"/>
        </w:rPr>
        <w:t>Suber, P. (2012). Open access. MIT Press.</w:t>
      </w:r>
    </w:p>
    <w:p w14:paraId="3763C60A">
      <w:pPr>
        <w:spacing w:before="0" w:after="100" w:line="320" w:lineRule="auto"/>
        <w:ind w:left="720" w:hanging="360"/>
      </w:pPr>
      <w:r>
        <w:rPr>
          <w:rFonts w:ascii="Times New Roman" w:hAnsi="Times New Roman" w:eastAsia="Times New Roman" w:cs="Times New Roman"/>
          <w:color w:val="333333"/>
          <w:sz w:val="20"/>
          <w:szCs w:val="20"/>
        </w:rPr>
        <w:t>UNESCO. (2021). UNESCO recommendation on open science. United Nations Educational, Scientific and Cultural Organization. https://en.unesco.org/science-sustainable-future/open-science/recommendation</w:t>
      </w:r>
    </w:p>
    <w:sectPr>
      <w:headerReference r:id="rId3" w:type="default"/>
      <w:footerReference r:id="rId4"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Times New Roman Bold">
    <w:panose1 w:val="02020603050405020304"/>
    <w:charset w:val="00"/>
    <w:family w:val="auto"/>
    <w:pitch w:val="default"/>
    <w:sig w:usb0="E0002AEF" w:usb1="C0007841" w:usb2="00000009" w:usb3="00000000" w:csb0="400001FF" w:csb1="FFFF0000"/>
  </w:font>
  <w:font w:name="SimSun">
    <w:altName w:val="宋体-简"/>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8D95">
    <w:pPr>
      <w:pBdr>
        <w:top w:val="single" w:color="CCCCCC" w:sz="4" w:space="4"/>
      </w:pBdr>
      <w:tabs>
        <w:tab w:val="right" w:pos="9360"/>
      </w:tabs>
      <w:spacing w:before="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CB6C">
    <w:pPr>
      <w:pBdr>
        <w:bottom w:val="single" w:color="CCCCCC" w:sz="4" w:space="4"/>
      </w:pBdr>
      <w:tabs>
        <w:tab w:val="right" w:pos="9360"/>
      </w:tabs>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56724"/>
    <w:multiLevelType w:val="singleLevel"/>
    <w:tmpl w:val="E9F5672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3FFF8784"/>
    <w:rsid w:val="4DF6B3A9"/>
    <w:rsid w:val="6D26AD40"/>
    <w:rsid w:val="7D76183F"/>
    <w:rsid w:val="BF9F0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20" w:after="120"/>
      <w:outlineLvl w:val="0"/>
    </w:pPr>
    <w:rPr>
      <w:rFonts w:ascii="Times New Roman" w:hAnsi="Times New Roman" w:eastAsia="Times New Roman" w:cs="Times New Roman"/>
      <w:b/>
      <w:bCs/>
      <w:color w:val="000000"/>
      <w:sz w:val="28"/>
      <w:szCs w:val="28"/>
    </w:rPr>
  </w:style>
  <w:style w:type="paragraph" w:styleId="3">
    <w:name w:val="heading 2"/>
    <w:next w:val="1"/>
    <w:qFormat/>
    <w:uiPriority w:val="0"/>
    <w:pPr>
      <w:spacing w:before="200" w:after="80"/>
      <w:outlineLvl w:val="1"/>
    </w:pPr>
    <w:rPr>
      <w:rFonts w:ascii="Times New Roman" w:hAnsi="Times New Roman" w:eastAsia="Times New Roman" w:cs="Times New Roman"/>
      <w:b/>
      <w:bCs/>
      <w:i/>
      <w:iCs/>
      <w:color w:val="000000"/>
      <w:sz w:val="25"/>
      <w:szCs w:val="25"/>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20"/>
    <w:semiHidden/>
    <w:unhideWhenUsed/>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uiPriority w:val="99"/>
    <w:rPr>
      <w:vertAlign w:val="superscript"/>
    </w:rPr>
  </w:style>
  <w:style w:type="paragraph" w:styleId="13">
    <w:name w:val="footnote text"/>
    <w:link w:val="19"/>
    <w:semiHidden/>
    <w:unhideWhenUsed/>
    <w:uiPriority w:val="99"/>
    <w:pPr>
      <w:spacing w:after="0" w:line="240" w:lineRule="auto"/>
    </w:pPr>
    <w:rPr>
      <w:rFonts w:ascii="Times New Roman" w:hAnsi="Times New Roman" w:eastAsia="Times New Roman" w:cs="Times New Roman"/>
      <w:sz w:val="20"/>
      <w:szCs w:val="20"/>
    </w:rPr>
  </w:style>
  <w:style w:type="character" w:styleId="14">
    <w:name w:val="Hyperlink"/>
    <w:unhideWhenUsed/>
    <w:uiPriority w:val="99"/>
    <w:rPr>
      <w:color w:val="0563C1"/>
      <w:u w:val="single"/>
    </w:rPr>
  </w:style>
  <w:style w:type="paragraph" w:styleId="15">
    <w:name w:val="Normal (Web)"/>
    <w:uiPriority w:val="0"/>
    <w:pPr>
      <w:spacing w:before="0" w:beforeAutospacing="1" w:after="0" w:afterAutospacing="1"/>
      <w:ind w:left="0" w:right="0"/>
      <w:jc w:val="left"/>
    </w:pPr>
    <w:rPr>
      <w:kern w:val="0"/>
      <w:sz w:val="24"/>
      <w:szCs w:val="24"/>
      <w:lang w:val="en-US" w:eastAsia="zh-CN" w:bidi="ar"/>
    </w:rPr>
  </w:style>
  <w:style w:type="character" w:styleId="16">
    <w:name w:val="Strong"/>
    <w:basedOn w:val="8"/>
    <w:qFormat/>
    <w:uiPriority w:val="0"/>
    <w:rPr>
      <w:b/>
      <w:bCs/>
    </w:rPr>
  </w:style>
  <w:style w:type="paragraph" w:styleId="17">
    <w:name w:val="Title"/>
    <w:qFormat/>
    <w:uiPriority w:val="0"/>
    <w:rPr>
      <w:rFonts w:ascii="Times New Roman" w:hAnsi="Times New Roman" w:eastAsia="Times New Roman" w:cs="Times New Roman"/>
      <w:sz w:val="56"/>
      <w:szCs w:val="56"/>
    </w:rPr>
  </w:style>
  <w:style w:type="paragraph" w:styleId="18">
    <w:name w:val="List Paragraph"/>
    <w:qFormat/>
    <w:uiPriority w:val="0"/>
    <w:rPr>
      <w:rFonts w:ascii="Times New Roman" w:hAnsi="Times New Roman" w:eastAsia="Times New Roman" w:cs="Times New Roman"/>
      <w:sz w:val="24"/>
      <w:szCs w:val="24"/>
    </w:rPr>
  </w:style>
  <w:style w:type="character" w:customStyle="1" w:styleId="19">
    <w:name w:val="Footnote Text Char"/>
    <w:link w:val="13"/>
    <w:semiHidden/>
    <w:unhideWhenUsed/>
    <w:uiPriority w:val="99"/>
    <w:rPr>
      <w:sz w:val="20"/>
      <w:szCs w:val="20"/>
    </w:rPr>
  </w:style>
  <w:style w:type="character" w:customStyle="1" w:styleId="20">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4</TotalTime>
  <ScaleCrop>false</ScaleCrop>
  <LinksUpToDate>false</LinksUpToDate>
  <Application>WPS Office_12.1.25898.25898_F1E327BC-269C-435d-A152-05C5408002CA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2026-05-22T14:03:00Z</dcterms:created>
  <dc:creator>Un-named</dc:creator>
  <cp:lastModifiedBy>Chidi Udumukwu</cp:lastModifiedBy>
  <dcterms:modified xsi:type="dcterms:W3CDTF">2026-06-03T15:54:14Z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1033-12.1.25898.25898</vt:lpwstr>
  </property>
  <property fmtid="{D5CDD505-2E9C-101B-9397-08002B2CF9AE}" pid="3" name="ICV">
    <vt:lpwstr>1953DFCD585437F71410106ADF096834_42</vt:lpwstr>
  </property>
</Properties>
</file>