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EDBA" w14:textId="77777777" w:rsidR="00A028C0" w:rsidRDefault="003C335F" w:rsidP="00A028C0">
      <w:pPr>
        <w:spacing w:line="240" w:lineRule="auto"/>
        <w:ind w:left="720"/>
        <w:jc w:val="center"/>
        <w:rPr>
          <w:rFonts w:ascii="Times New Roman" w:hAnsi="Times New Roman" w:cs="Times New Roman"/>
          <w:b/>
          <w:bCs/>
          <w:sz w:val="24"/>
          <w:szCs w:val="24"/>
          <w:lang w:val="en-US"/>
        </w:rPr>
      </w:pPr>
      <w:r w:rsidRPr="00793859">
        <w:rPr>
          <w:rFonts w:ascii="Times New Roman" w:hAnsi="Times New Roman" w:cs="Times New Roman"/>
          <w:b/>
          <w:bCs/>
          <w:sz w:val="24"/>
          <w:szCs w:val="24"/>
          <w:lang w:val="en-US"/>
        </w:rPr>
        <w:t>Title:</w:t>
      </w:r>
    </w:p>
    <w:p w14:paraId="340A7267" w14:textId="255B046B" w:rsidR="003C335F" w:rsidRPr="00793859" w:rsidRDefault="003C335F" w:rsidP="00A028C0">
      <w:pPr>
        <w:spacing w:line="240" w:lineRule="auto"/>
        <w:ind w:left="720"/>
        <w:jc w:val="center"/>
        <w:rPr>
          <w:rFonts w:ascii="Times New Roman" w:hAnsi="Times New Roman" w:cs="Times New Roman"/>
          <w:b/>
          <w:bCs/>
          <w:sz w:val="24"/>
          <w:szCs w:val="24"/>
          <w:lang w:val="en-US"/>
        </w:rPr>
      </w:pPr>
      <w:bookmarkStart w:id="0" w:name="_Hlk229498298"/>
      <w:bookmarkStart w:id="1" w:name="_Hlk229236673"/>
      <w:r w:rsidRPr="00793859">
        <w:rPr>
          <w:rFonts w:ascii="Times New Roman" w:hAnsi="Times New Roman" w:cs="Times New Roman"/>
          <w:b/>
          <w:bCs/>
          <w:sz w:val="24"/>
          <w:szCs w:val="24"/>
          <w:lang w:val="en-US"/>
        </w:rPr>
        <w:t xml:space="preserve">Access and Benefit Sharing Mechanisms for </w:t>
      </w:r>
      <w:r w:rsidR="00793859">
        <w:rPr>
          <w:rFonts w:ascii="Times New Roman" w:hAnsi="Times New Roman" w:cs="Times New Roman"/>
          <w:b/>
          <w:bCs/>
          <w:sz w:val="24"/>
          <w:szCs w:val="24"/>
          <w:lang w:val="en-US"/>
        </w:rPr>
        <w:t>G</w:t>
      </w:r>
      <w:r w:rsidR="0006594F">
        <w:rPr>
          <w:rFonts w:ascii="Times New Roman" w:hAnsi="Times New Roman" w:cs="Times New Roman"/>
          <w:b/>
          <w:bCs/>
          <w:sz w:val="24"/>
          <w:szCs w:val="24"/>
          <w:lang w:val="en-US"/>
        </w:rPr>
        <w:t xml:space="preserve">enetic </w:t>
      </w:r>
      <w:r w:rsidR="00793859">
        <w:rPr>
          <w:rFonts w:ascii="Times New Roman" w:hAnsi="Times New Roman" w:cs="Times New Roman"/>
          <w:b/>
          <w:bCs/>
          <w:sz w:val="24"/>
          <w:szCs w:val="24"/>
          <w:lang w:val="en-US"/>
        </w:rPr>
        <w:t>R</w:t>
      </w:r>
      <w:r w:rsidR="0006594F">
        <w:rPr>
          <w:rFonts w:ascii="Times New Roman" w:hAnsi="Times New Roman" w:cs="Times New Roman"/>
          <w:b/>
          <w:bCs/>
          <w:sz w:val="24"/>
          <w:szCs w:val="24"/>
          <w:lang w:val="en-US"/>
        </w:rPr>
        <w:t xml:space="preserve">esources </w:t>
      </w:r>
      <w:r w:rsidRPr="00793859">
        <w:rPr>
          <w:rFonts w:ascii="Times New Roman" w:hAnsi="Times New Roman" w:cs="Times New Roman"/>
          <w:b/>
          <w:bCs/>
          <w:sz w:val="24"/>
          <w:szCs w:val="24"/>
          <w:lang w:val="en-US"/>
        </w:rPr>
        <w:t xml:space="preserve">and </w:t>
      </w:r>
      <w:r w:rsidR="00D572E1" w:rsidRPr="00D572E1">
        <w:rPr>
          <w:rFonts w:ascii="Times New Roman" w:hAnsi="Times New Roman" w:cs="Times New Roman"/>
          <w:b/>
          <w:bCs/>
          <w:sz w:val="24"/>
          <w:szCs w:val="24"/>
        </w:rPr>
        <w:t>Associated Traditional Knowledge</w:t>
      </w:r>
      <w:r w:rsidR="00D572E1">
        <w:rPr>
          <w:rFonts w:ascii="Times New Roman" w:hAnsi="Times New Roman" w:cs="Times New Roman"/>
          <w:sz w:val="24"/>
          <w:szCs w:val="24"/>
        </w:rPr>
        <w:t xml:space="preserve"> </w:t>
      </w:r>
      <w:r w:rsidRPr="00793859">
        <w:rPr>
          <w:rFonts w:ascii="Times New Roman" w:hAnsi="Times New Roman" w:cs="Times New Roman"/>
          <w:b/>
          <w:bCs/>
          <w:sz w:val="24"/>
          <w:szCs w:val="24"/>
          <w:lang w:val="en-US"/>
        </w:rPr>
        <w:t>in Cameroon</w:t>
      </w:r>
      <w:bookmarkEnd w:id="0"/>
      <w:r w:rsidRPr="00793859">
        <w:rPr>
          <w:rFonts w:ascii="Times New Roman" w:hAnsi="Times New Roman" w:cs="Times New Roman"/>
          <w:b/>
          <w:bCs/>
          <w:sz w:val="24"/>
          <w:szCs w:val="24"/>
          <w:lang w:val="en-US"/>
        </w:rPr>
        <w:t>: A Legal Appraisal</w:t>
      </w:r>
      <w:bookmarkEnd w:id="1"/>
    </w:p>
    <w:p w14:paraId="55321B53" w14:textId="18C723F9" w:rsidR="003C335F" w:rsidRPr="00793859" w:rsidRDefault="003C335F" w:rsidP="00793859">
      <w:pPr>
        <w:spacing w:line="360" w:lineRule="auto"/>
        <w:jc w:val="both"/>
        <w:rPr>
          <w:rFonts w:ascii="Times New Roman" w:hAnsi="Times New Roman" w:cs="Times New Roman"/>
          <w:i/>
          <w:iCs/>
          <w:sz w:val="24"/>
          <w:szCs w:val="24"/>
          <w:lang w:val="en-US"/>
        </w:rPr>
      </w:pPr>
      <w:r w:rsidRPr="00793859">
        <w:rPr>
          <w:rFonts w:ascii="Times New Roman" w:hAnsi="Times New Roman" w:cs="Times New Roman"/>
          <w:i/>
          <w:iCs/>
          <w:sz w:val="24"/>
          <w:szCs w:val="24"/>
          <w:lang w:val="en-US"/>
        </w:rPr>
        <w:t xml:space="preserve"> Abstract </w:t>
      </w:r>
    </w:p>
    <w:p w14:paraId="3AEEE06A" w14:textId="140CA668" w:rsidR="003C335F" w:rsidRPr="00793859" w:rsidRDefault="003C335F" w:rsidP="00793859">
      <w:pPr>
        <w:spacing w:line="360" w:lineRule="auto"/>
        <w:jc w:val="both"/>
        <w:rPr>
          <w:rFonts w:ascii="Times New Roman" w:hAnsi="Times New Roman" w:cs="Times New Roman"/>
          <w:sz w:val="24"/>
          <w:szCs w:val="24"/>
        </w:rPr>
      </w:pPr>
      <w:r w:rsidRPr="00793859">
        <w:rPr>
          <w:rFonts w:ascii="Times New Roman" w:hAnsi="Times New Roman" w:cs="Times New Roman"/>
          <w:sz w:val="24"/>
          <w:szCs w:val="24"/>
        </w:rPr>
        <w:t xml:space="preserve">Cameroon is endowed with rich biodiversity and extensive </w:t>
      </w:r>
      <w:bookmarkStart w:id="2" w:name="_Hlk231726745"/>
      <w:r w:rsidR="00793859">
        <w:rPr>
          <w:rFonts w:ascii="Times New Roman" w:hAnsi="Times New Roman" w:cs="Times New Roman"/>
          <w:sz w:val="24"/>
          <w:szCs w:val="24"/>
        </w:rPr>
        <w:t>G</w:t>
      </w:r>
      <w:r w:rsidR="0006594F">
        <w:rPr>
          <w:rFonts w:ascii="Times New Roman" w:hAnsi="Times New Roman" w:cs="Times New Roman"/>
          <w:sz w:val="24"/>
          <w:szCs w:val="24"/>
        </w:rPr>
        <w:t xml:space="preserve">enetic </w:t>
      </w:r>
      <w:r w:rsidR="00793859">
        <w:rPr>
          <w:rFonts w:ascii="Times New Roman" w:hAnsi="Times New Roman" w:cs="Times New Roman"/>
          <w:sz w:val="24"/>
          <w:szCs w:val="24"/>
        </w:rPr>
        <w:t>R</w:t>
      </w:r>
      <w:r w:rsidR="0006594F">
        <w:rPr>
          <w:rFonts w:ascii="Times New Roman" w:hAnsi="Times New Roman" w:cs="Times New Roman"/>
          <w:sz w:val="24"/>
          <w:szCs w:val="24"/>
        </w:rPr>
        <w:t xml:space="preserve">esources </w:t>
      </w:r>
      <w:r w:rsidRPr="00793859">
        <w:rPr>
          <w:rFonts w:ascii="Times New Roman" w:hAnsi="Times New Roman" w:cs="Times New Roman"/>
          <w:sz w:val="24"/>
          <w:szCs w:val="24"/>
        </w:rPr>
        <w:t xml:space="preserve">(GR), along with </w:t>
      </w:r>
      <w:r w:rsidR="00793859">
        <w:rPr>
          <w:rFonts w:ascii="Times New Roman" w:hAnsi="Times New Roman" w:cs="Times New Roman"/>
          <w:sz w:val="24"/>
          <w:szCs w:val="24"/>
        </w:rPr>
        <w:t>A</w:t>
      </w:r>
      <w:r w:rsidR="0006594F">
        <w:rPr>
          <w:rFonts w:ascii="Times New Roman" w:hAnsi="Times New Roman" w:cs="Times New Roman"/>
          <w:sz w:val="24"/>
          <w:szCs w:val="24"/>
        </w:rPr>
        <w:t xml:space="preserve">ssociated </w:t>
      </w:r>
      <w:r w:rsidR="00793859">
        <w:rPr>
          <w:rFonts w:ascii="Times New Roman" w:hAnsi="Times New Roman" w:cs="Times New Roman"/>
          <w:sz w:val="24"/>
          <w:szCs w:val="24"/>
        </w:rPr>
        <w:t>T</w:t>
      </w:r>
      <w:r w:rsidR="0006594F">
        <w:rPr>
          <w:rFonts w:ascii="Times New Roman" w:hAnsi="Times New Roman" w:cs="Times New Roman"/>
          <w:sz w:val="24"/>
          <w:szCs w:val="24"/>
        </w:rPr>
        <w:t xml:space="preserve">raditional </w:t>
      </w:r>
      <w:r w:rsidR="00793859">
        <w:rPr>
          <w:rFonts w:ascii="Times New Roman" w:hAnsi="Times New Roman" w:cs="Times New Roman"/>
          <w:sz w:val="24"/>
          <w:szCs w:val="24"/>
        </w:rPr>
        <w:t>K</w:t>
      </w:r>
      <w:r w:rsidR="0006594F">
        <w:rPr>
          <w:rFonts w:ascii="Times New Roman" w:hAnsi="Times New Roman" w:cs="Times New Roman"/>
          <w:sz w:val="24"/>
          <w:szCs w:val="24"/>
        </w:rPr>
        <w:t>nowledge</w:t>
      </w:r>
      <w:bookmarkEnd w:id="2"/>
      <w:r w:rsidR="0006594F">
        <w:rPr>
          <w:rFonts w:ascii="Times New Roman" w:hAnsi="Times New Roman" w:cs="Times New Roman"/>
          <w:sz w:val="24"/>
          <w:szCs w:val="24"/>
        </w:rPr>
        <w:t xml:space="preserve"> </w:t>
      </w:r>
      <w:r w:rsidRPr="00793859">
        <w:rPr>
          <w:rFonts w:ascii="Times New Roman" w:hAnsi="Times New Roman" w:cs="Times New Roman"/>
          <w:sz w:val="24"/>
          <w:szCs w:val="24"/>
        </w:rPr>
        <w:t xml:space="preserve">(ATK) held by </w:t>
      </w:r>
      <w:r w:rsidR="00793859">
        <w:rPr>
          <w:rFonts w:ascii="Times New Roman" w:hAnsi="Times New Roman" w:cs="Times New Roman"/>
          <w:sz w:val="24"/>
          <w:szCs w:val="24"/>
        </w:rPr>
        <w:t>I</w:t>
      </w:r>
      <w:r w:rsidR="0006594F">
        <w:rPr>
          <w:rFonts w:ascii="Times New Roman" w:hAnsi="Times New Roman" w:cs="Times New Roman"/>
          <w:sz w:val="24"/>
          <w:szCs w:val="24"/>
        </w:rPr>
        <w:t xml:space="preserve">ndigenous </w:t>
      </w:r>
      <w:r w:rsidR="00793859">
        <w:rPr>
          <w:rFonts w:ascii="Times New Roman" w:hAnsi="Times New Roman" w:cs="Times New Roman"/>
          <w:sz w:val="24"/>
          <w:szCs w:val="24"/>
        </w:rPr>
        <w:t>P</w:t>
      </w:r>
      <w:r w:rsidR="0006594F">
        <w:rPr>
          <w:rFonts w:ascii="Times New Roman" w:hAnsi="Times New Roman" w:cs="Times New Roman"/>
          <w:sz w:val="24"/>
          <w:szCs w:val="24"/>
        </w:rPr>
        <w:t xml:space="preserve">eople </w:t>
      </w:r>
      <w:r w:rsidR="00793859">
        <w:rPr>
          <w:rFonts w:ascii="Times New Roman" w:hAnsi="Times New Roman" w:cs="Times New Roman"/>
          <w:sz w:val="24"/>
          <w:szCs w:val="24"/>
        </w:rPr>
        <w:t>L</w:t>
      </w:r>
      <w:r w:rsidR="0006594F">
        <w:rPr>
          <w:rFonts w:ascii="Times New Roman" w:hAnsi="Times New Roman" w:cs="Times New Roman"/>
          <w:sz w:val="24"/>
          <w:szCs w:val="24"/>
        </w:rPr>
        <w:t xml:space="preserve">ocal </w:t>
      </w:r>
      <w:r w:rsidR="00793859">
        <w:rPr>
          <w:rFonts w:ascii="Times New Roman" w:hAnsi="Times New Roman" w:cs="Times New Roman"/>
          <w:sz w:val="24"/>
          <w:szCs w:val="24"/>
        </w:rPr>
        <w:t>C</w:t>
      </w:r>
      <w:r w:rsidR="0006594F">
        <w:rPr>
          <w:rFonts w:ascii="Times New Roman" w:hAnsi="Times New Roman" w:cs="Times New Roman"/>
          <w:sz w:val="24"/>
          <w:szCs w:val="24"/>
        </w:rPr>
        <w:t>ommunitie</w:t>
      </w:r>
      <w:r w:rsidR="00793859">
        <w:rPr>
          <w:rFonts w:ascii="Times New Roman" w:hAnsi="Times New Roman" w:cs="Times New Roman"/>
          <w:sz w:val="24"/>
          <w:szCs w:val="24"/>
        </w:rPr>
        <w:t>s</w:t>
      </w:r>
      <w:r w:rsidR="0006594F">
        <w:rPr>
          <w:rFonts w:ascii="Times New Roman" w:hAnsi="Times New Roman" w:cs="Times New Roman"/>
          <w:sz w:val="24"/>
          <w:szCs w:val="24"/>
        </w:rPr>
        <w:t xml:space="preserve"> </w:t>
      </w:r>
      <w:r w:rsidRPr="00793859">
        <w:rPr>
          <w:rFonts w:ascii="Times New Roman" w:hAnsi="Times New Roman" w:cs="Times New Roman"/>
          <w:sz w:val="24"/>
          <w:szCs w:val="24"/>
        </w:rPr>
        <w:t xml:space="preserve">(IPLCs). To govern access to these assets, Law No. 2021/014 of 9 July 2021, which regulates access to </w:t>
      </w:r>
      <w:r w:rsidR="00B62E8E">
        <w:rPr>
          <w:rFonts w:ascii="Times New Roman" w:hAnsi="Times New Roman" w:cs="Times New Roman"/>
          <w:sz w:val="24"/>
          <w:szCs w:val="24"/>
        </w:rPr>
        <w:t>GR</w:t>
      </w:r>
      <w:r w:rsidRPr="00793859">
        <w:rPr>
          <w:rFonts w:ascii="Times New Roman" w:hAnsi="Times New Roman" w:cs="Times New Roman"/>
          <w:sz w:val="24"/>
          <w:szCs w:val="24"/>
        </w:rPr>
        <w:t xml:space="preserve">, their derivatives, and </w:t>
      </w:r>
      <w:r w:rsidR="00793859">
        <w:rPr>
          <w:rFonts w:ascii="Times New Roman" w:hAnsi="Times New Roman" w:cs="Times New Roman"/>
          <w:sz w:val="24"/>
          <w:szCs w:val="24"/>
        </w:rPr>
        <w:t>ATK</w:t>
      </w:r>
      <w:r w:rsidRPr="00793859">
        <w:rPr>
          <w:rFonts w:ascii="Times New Roman" w:hAnsi="Times New Roman" w:cs="Times New Roman"/>
          <w:sz w:val="24"/>
          <w:szCs w:val="24"/>
        </w:rPr>
        <w:t>, as well as the fair and equitable sharing of benefits arising from their utilization</w:t>
      </w:r>
      <w:r w:rsidR="0006594F">
        <w:rPr>
          <w:rFonts w:ascii="Times New Roman" w:hAnsi="Times New Roman" w:cs="Times New Roman"/>
          <w:sz w:val="24"/>
          <w:szCs w:val="24"/>
        </w:rPr>
        <w:t xml:space="preserve"> was enacted in 2021</w:t>
      </w:r>
      <w:r w:rsidRPr="00793859">
        <w:rPr>
          <w:rFonts w:ascii="Times New Roman" w:hAnsi="Times New Roman" w:cs="Times New Roman"/>
          <w:sz w:val="24"/>
          <w:szCs w:val="24"/>
        </w:rPr>
        <w:t>. Beyond aligning domestic legislation with international obligations, this legislative measure establishes mechanisms for sharing the benefits derived from the utilization of resources and knowledge within the national territory.</w:t>
      </w:r>
      <w:r w:rsidR="00B62E8E">
        <w:rPr>
          <w:rFonts w:ascii="Times New Roman" w:hAnsi="Times New Roman" w:cs="Times New Roman"/>
          <w:sz w:val="24"/>
          <w:szCs w:val="24"/>
        </w:rPr>
        <w:t xml:space="preserve"> B</w:t>
      </w:r>
      <w:r w:rsidRPr="00793859">
        <w:rPr>
          <w:rFonts w:ascii="Times New Roman" w:hAnsi="Times New Roman" w:cs="Times New Roman"/>
          <w:sz w:val="24"/>
          <w:szCs w:val="24"/>
        </w:rPr>
        <w:t xml:space="preserve">enefit-sharing is designed to be operationalized through Mutually Agreed Terms (MAT) with the active participation of the relevant IPLCs. Nevertheless, access to GR and ATK frequently occurs without securing MAT involving these communities. According to the 2026 National Report on Access and Benefit Sharing, while Cameroon has issued forty-eight (48) access permits, only four (4) of these instruments were executed subject to MAT involving IPLCs. Against this backdrop, a question arises regarding the specific legal circumstances that trigger benefit-sharing obligations. </w:t>
      </w:r>
      <w:r w:rsidR="00B62E8E">
        <w:rPr>
          <w:rFonts w:ascii="Times New Roman" w:hAnsi="Times New Roman" w:cs="Times New Roman"/>
          <w:sz w:val="24"/>
          <w:szCs w:val="24"/>
        </w:rPr>
        <w:t>T</w:t>
      </w:r>
      <w:r w:rsidRPr="00793859">
        <w:rPr>
          <w:rFonts w:ascii="Times New Roman" w:hAnsi="Times New Roman" w:cs="Times New Roman"/>
          <w:sz w:val="24"/>
          <w:szCs w:val="24"/>
        </w:rPr>
        <w:t xml:space="preserve">his study examines whether access to such resources and knowledge inherently generates benefits susceptible to equitable distribution among all relevant stakeholders. </w:t>
      </w:r>
      <w:r w:rsidR="00B62E8E">
        <w:rPr>
          <w:rFonts w:ascii="Times New Roman" w:hAnsi="Times New Roman" w:cs="Times New Roman"/>
          <w:sz w:val="24"/>
          <w:szCs w:val="24"/>
        </w:rPr>
        <w:t xml:space="preserve">It </w:t>
      </w:r>
      <w:r w:rsidRPr="00793859">
        <w:rPr>
          <w:rFonts w:ascii="Times New Roman" w:hAnsi="Times New Roman" w:cs="Times New Roman"/>
          <w:sz w:val="24"/>
          <w:szCs w:val="24"/>
        </w:rPr>
        <w:t>adopts a dual approach, combining doctrinal legal analysis with an empirical inquiry drawing upon both primary and secondary sources. Ultimately, this paper offers a concrete recommendation that, if effectively implemented and enforced, will safeguard fair and equitable benefit-sharing, thereby fostering sustainable development.</w:t>
      </w:r>
    </w:p>
    <w:p w14:paraId="4034A153" w14:textId="04EF5317" w:rsidR="0006594F" w:rsidRPr="00793859" w:rsidRDefault="003C335F" w:rsidP="00793859">
      <w:pPr>
        <w:spacing w:after="0" w:line="360" w:lineRule="auto"/>
        <w:jc w:val="both"/>
        <w:rPr>
          <w:rFonts w:ascii="Times New Roman" w:eastAsia="Times New Roman" w:hAnsi="Times New Roman" w:cs="Times New Roman"/>
          <w:i/>
          <w:iCs/>
          <w:sz w:val="24"/>
          <w:szCs w:val="24"/>
          <w:lang w:eastAsia="en-ZA"/>
        </w:rPr>
      </w:pPr>
      <w:r w:rsidRPr="00793859">
        <w:rPr>
          <w:rFonts w:ascii="Times New Roman" w:eastAsia="Times New Roman" w:hAnsi="Times New Roman" w:cs="Times New Roman"/>
          <w:b/>
          <w:bCs/>
          <w:sz w:val="24"/>
          <w:szCs w:val="24"/>
          <w:lang w:eastAsia="en-ZA"/>
        </w:rPr>
        <w:t>Keywords</w:t>
      </w:r>
      <w:r w:rsidRPr="00793859">
        <w:rPr>
          <w:rFonts w:ascii="Times New Roman" w:eastAsia="Times New Roman" w:hAnsi="Times New Roman" w:cs="Times New Roman"/>
          <w:sz w:val="24"/>
          <w:szCs w:val="24"/>
          <w:lang w:eastAsia="en-ZA"/>
        </w:rPr>
        <w:t xml:space="preserve">: </w:t>
      </w:r>
      <w:r w:rsidRPr="00793859">
        <w:rPr>
          <w:rFonts w:ascii="Times New Roman" w:eastAsia="Times New Roman" w:hAnsi="Times New Roman" w:cs="Times New Roman"/>
          <w:i/>
          <w:iCs/>
          <w:sz w:val="24"/>
          <w:szCs w:val="24"/>
          <w:lang w:eastAsia="en-ZA"/>
        </w:rPr>
        <w:t xml:space="preserve">Genetic resources; </w:t>
      </w:r>
      <w:r w:rsidR="0006594F" w:rsidRPr="0006594F">
        <w:rPr>
          <w:rFonts w:ascii="Times New Roman" w:hAnsi="Times New Roman" w:cs="Times New Roman"/>
          <w:i/>
          <w:iCs/>
          <w:sz w:val="24"/>
          <w:szCs w:val="24"/>
        </w:rPr>
        <w:t>Associated Traditional Knowledge</w:t>
      </w:r>
      <w:r w:rsidRPr="00793859">
        <w:rPr>
          <w:rFonts w:ascii="Times New Roman" w:eastAsia="Times New Roman" w:hAnsi="Times New Roman" w:cs="Times New Roman"/>
          <w:i/>
          <w:iCs/>
          <w:sz w:val="24"/>
          <w:szCs w:val="24"/>
          <w:lang w:eastAsia="en-ZA"/>
        </w:rPr>
        <w:t>; Access and Benefit Sharing; Cameroon.</w:t>
      </w:r>
    </w:p>
    <w:p w14:paraId="41536759" w14:textId="24732C11" w:rsidR="003C335F" w:rsidRPr="00793859" w:rsidRDefault="003C335F" w:rsidP="00793859">
      <w:pPr>
        <w:pStyle w:val="Heading1"/>
        <w:spacing w:line="360" w:lineRule="auto"/>
        <w:jc w:val="both"/>
        <w:rPr>
          <w:rFonts w:ascii="Times New Roman" w:hAnsi="Times New Roman" w:cs="Times New Roman"/>
          <w:b/>
          <w:bCs/>
          <w:color w:val="auto"/>
          <w:sz w:val="24"/>
          <w:szCs w:val="24"/>
          <w:lang w:val="en-US"/>
        </w:rPr>
      </w:pPr>
      <w:r w:rsidRPr="00793859">
        <w:rPr>
          <w:rFonts w:ascii="Times New Roman" w:hAnsi="Times New Roman" w:cs="Times New Roman"/>
          <w:b/>
          <w:bCs/>
          <w:color w:val="auto"/>
          <w:sz w:val="24"/>
          <w:szCs w:val="24"/>
          <w:lang w:val="en-US"/>
        </w:rPr>
        <w:t xml:space="preserve">1. Introduction </w:t>
      </w:r>
    </w:p>
    <w:p w14:paraId="0B916BEE" w14:textId="54E25E38" w:rsidR="003C335F" w:rsidRPr="00793859" w:rsidRDefault="003C335F" w:rsidP="00793859">
      <w:pPr>
        <w:spacing w:line="360" w:lineRule="auto"/>
        <w:jc w:val="both"/>
        <w:rPr>
          <w:rFonts w:ascii="Times New Roman" w:hAnsi="Times New Roman" w:cs="Times New Roman"/>
          <w:sz w:val="24"/>
          <w:szCs w:val="24"/>
        </w:rPr>
      </w:pPr>
      <w:r w:rsidRPr="00793859">
        <w:rPr>
          <w:rFonts w:ascii="Times New Roman" w:hAnsi="Times New Roman" w:cs="Times New Roman"/>
          <w:sz w:val="24"/>
          <w:szCs w:val="24"/>
        </w:rPr>
        <w:t xml:space="preserve">Since the adoption of the Convention on Biological Diversity (CBD) in 1992, the legal status of </w:t>
      </w:r>
      <w:r w:rsidR="0006594F">
        <w:rPr>
          <w:rFonts w:ascii="Times New Roman" w:hAnsi="Times New Roman" w:cs="Times New Roman"/>
          <w:sz w:val="24"/>
          <w:szCs w:val="24"/>
        </w:rPr>
        <w:t xml:space="preserve">Genetic Resources </w:t>
      </w:r>
      <w:r w:rsidR="0006594F" w:rsidRPr="00793859">
        <w:rPr>
          <w:rFonts w:ascii="Times New Roman" w:hAnsi="Times New Roman" w:cs="Times New Roman"/>
          <w:sz w:val="24"/>
          <w:szCs w:val="24"/>
        </w:rPr>
        <w:t xml:space="preserve">(GR), along with </w:t>
      </w:r>
      <w:r w:rsidR="0006594F">
        <w:rPr>
          <w:rFonts w:ascii="Times New Roman" w:hAnsi="Times New Roman" w:cs="Times New Roman"/>
          <w:sz w:val="24"/>
          <w:szCs w:val="24"/>
        </w:rPr>
        <w:t xml:space="preserve">Associated Traditional Knowledge </w:t>
      </w:r>
      <w:r w:rsidR="0006594F" w:rsidRPr="00793859">
        <w:rPr>
          <w:rFonts w:ascii="Times New Roman" w:hAnsi="Times New Roman" w:cs="Times New Roman"/>
          <w:sz w:val="24"/>
          <w:szCs w:val="24"/>
        </w:rPr>
        <w:t xml:space="preserve">(ATK) </w:t>
      </w:r>
      <w:r w:rsidRPr="00793859">
        <w:rPr>
          <w:rFonts w:ascii="Times New Roman" w:hAnsi="Times New Roman" w:cs="Times New Roman"/>
          <w:sz w:val="24"/>
          <w:szCs w:val="24"/>
        </w:rPr>
        <w:t xml:space="preserve">has undergone a fundamental paradigm shift. These assets transitioned from being treated as open-access resources into highly regulated and restricted access regimes governed by benefit-sharing frameworks. This transition is codified </w:t>
      </w:r>
      <w:r w:rsidRPr="00793859">
        <w:rPr>
          <w:rFonts w:ascii="Times New Roman" w:hAnsi="Times New Roman" w:cs="Times New Roman"/>
          <w:i/>
          <w:iCs/>
          <w:sz w:val="24"/>
          <w:szCs w:val="24"/>
        </w:rPr>
        <w:t>inter alia</w:t>
      </w:r>
      <w:r w:rsidRPr="00793859">
        <w:rPr>
          <w:rFonts w:ascii="Times New Roman" w:hAnsi="Times New Roman" w:cs="Times New Roman"/>
          <w:sz w:val="24"/>
          <w:szCs w:val="24"/>
        </w:rPr>
        <w:t xml:space="preserve"> in Articles 8(j) and 15 of the CBD, which respectively uphold the protection and preservation of traditional knowledge and </w:t>
      </w:r>
      <w:r w:rsidRPr="00793859">
        <w:rPr>
          <w:rFonts w:ascii="Times New Roman" w:hAnsi="Times New Roman" w:cs="Times New Roman"/>
          <w:sz w:val="24"/>
          <w:szCs w:val="24"/>
        </w:rPr>
        <w:lastRenderedPageBreak/>
        <w:t xml:space="preserve">reaffirm the sovereign rights of States over their natural resources. These provisions seek to vest in the custodians of these resources and knowledge the authority to regulate access, while simultaneously establishing legal mechanisms to secure the fair and equitable sharing of benefits, in alignment with the third objective of the CBD. To operationalize these </w:t>
      </w:r>
      <w:r w:rsidR="008879FF" w:rsidRPr="00793859">
        <w:rPr>
          <w:rFonts w:ascii="Times New Roman" w:hAnsi="Times New Roman" w:cs="Times New Roman"/>
          <w:sz w:val="24"/>
          <w:szCs w:val="24"/>
        </w:rPr>
        <w:t>provisions</w:t>
      </w:r>
      <w:r w:rsidRPr="00793859">
        <w:rPr>
          <w:rFonts w:ascii="Times New Roman" w:hAnsi="Times New Roman" w:cs="Times New Roman"/>
          <w:sz w:val="24"/>
          <w:szCs w:val="24"/>
        </w:rPr>
        <w:t xml:space="preserve"> and provide greater normative clarity, the Nagoya Protocol to the CBD was adopted in 2010. </w:t>
      </w:r>
      <w:r w:rsidR="00B62E8E">
        <w:rPr>
          <w:rFonts w:ascii="Times New Roman" w:hAnsi="Times New Roman" w:cs="Times New Roman"/>
          <w:sz w:val="24"/>
          <w:szCs w:val="24"/>
        </w:rPr>
        <w:t xml:space="preserve">With the </w:t>
      </w:r>
      <w:r w:rsidRPr="00793859">
        <w:rPr>
          <w:rFonts w:ascii="Times New Roman" w:hAnsi="Times New Roman" w:cs="Times New Roman"/>
          <w:sz w:val="24"/>
          <w:szCs w:val="24"/>
        </w:rPr>
        <w:t xml:space="preserve">objective to facilitate the fair and equitable sharing of benefits arising from the utilization of GR, including appropriate access to </w:t>
      </w:r>
      <w:r w:rsidR="00793859">
        <w:rPr>
          <w:rFonts w:ascii="Times New Roman" w:hAnsi="Times New Roman" w:cs="Times New Roman"/>
          <w:sz w:val="24"/>
          <w:szCs w:val="24"/>
        </w:rPr>
        <w:t>GR</w:t>
      </w:r>
      <w:r w:rsidR="0006594F">
        <w:rPr>
          <w:rFonts w:ascii="Times New Roman" w:hAnsi="Times New Roman" w:cs="Times New Roman"/>
          <w:sz w:val="24"/>
          <w:szCs w:val="24"/>
        </w:rPr>
        <w:t xml:space="preserve"> </w:t>
      </w:r>
      <w:r w:rsidRPr="00793859">
        <w:rPr>
          <w:rFonts w:ascii="Times New Roman" w:hAnsi="Times New Roman" w:cs="Times New Roman"/>
          <w:sz w:val="24"/>
          <w:szCs w:val="24"/>
        </w:rPr>
        <w:t>and the transfer of relevant technologies</w:t>
      </w:r>
      <w:r w:rsidR="008879FF" w:rsidRPr="00793859">
        <w:rPr>
          <w:rStyle w:val="FootnoteReference"/>
          <w:rFonts w:ascii="Times New Roman" w:eastAsia="Times New Roman" w:hAnsi="Times New Roman" w:cs="Times New Roman"/>
          <w:sz w:val="24"/>
          <w:szCs w:val="24"/>
          <w:lang w:eastAsia="en-ZA"/>
        </w:rPr>
        <w:footnoteReference w:id="1"/>
      </w:r>
      <w:r w:rsidRPr="00793859">
        <w:rPr>
          <w:rFonts w:ascii="Times New Roman" w:hAnsi="Times New Roman" w:cs="Times New Roman"/>
          <w:sz w:val="24"/>
          <w:szCs w:val="24"/>
        </w:rPr>
        <w:t xml:space="preserve">. </w:t>
      </w:r>
    </w:p>
    <w:p w14:paraId="6FB3F53F" w14:textId="13C8B6F1" w:rsidR="003C335F" w:rsidRPr="00793859" w:rsidRDefault="003C335F" w:rsidP="00793859">
      <w:pPr>
        <w:spacing w:line="360" w:lineRule="auto"/>
        <w:jc w:val="both"/>
        <w:rPr>
          <w:rFonts w:ascii="Times New Roman" w:hAnsi="Times New Roman" w:cs="Times New Roman"/>
          <w:sz w:val="24"/>
          <w:szCs w:val="24"/>
        </w:rPr>
      </w:pPr>
      <w:r w:rsidRPr="00793859">
        <w:rPr>
          <w:rFonts w:ascii="Times New Roman" w:hAnsi="Times New Roman" w:cs="Times New Roman"/>
          <w:sz w:val="24"/>
          <w:szCs w:val="24"/>
        </w:rPr>
        <w:t>As binding instruments of international law, both the CBD and the Nagoya Protocol obligate Contracting Parties to adopt appropriate legislative, administrative, or policy measures to implement their provisions within domestic legal systems. In fulfilling its treaty obligations as a State Party, Cameroon has enacted regulatory measures governing GR and ATK</w:t>
      </w:r>
      <w:r w:rsidR="008879FF" w:rsidRPr="00793859">
        <w:rPr>
          <w:rFonts w:ascii="Times New Roman" w:eastAsia="Times New Roman" w:hAnsi="Times New Roman" w:cs="Times New Roman"/>
          <w:sz w:val="24"/>
          <w:szCs w:val="24"/>
          <w:lang w:eastAsia="en-ZA"/>
        </w:rPr>
        <w:t xml:space="preserve"> ensuring that, </w:t>
      </w:r>
      <w:r w:rsidR="008879FF" w:rsidRPr="00793859">
        <w:rPr>
          <w:rFonts w:ascii="Times New Roman" w:hAnsi="Times New Roman" w:cs="Times New Roman"/>
          <w:sz w:val="24"/>
          <w:szCs w:val="24"/>
        </w:rPr>
        <w:t>their utilization yields equitable benefits for all relevant stakeholders</w:t>
      </w:r>
      <w:r w:rsidR="008879FF" w:rsidRPr="00793859">
        <w:rPr>
          <w:rFonts w:ascii="Times New Roman" w:eastAsia="Times New Roman" w:hAnsi="Times New Roman" w:cs="Times New Roman"/>
          <w:sz w:val="24"/>
          <w:szCs w:val="24"/>
          <w:lang w:eastAsia="en-ZA"/>
        </w:rPr>
        <w:t xml:space="preserve">. </w:t>
      </w:r>
      <w:r w:rsidRPr="00793859">
        <w:rPr>
          <w:rFonts w:ascii="Times New Roman" w:hAnsi="Times New Roman" w:cs="Times New Roman"/>
          <w:sz w:val="24"/>
          <w:szCs w:val="24"/>
        </w:rPr>
        <w:t>Indeed, Cameroon</w:t>
      </w:r>
      <w:r w:rsidR="008879FF" w:rsidRPr="00793859">
        <w:rPr>
          <w:rFonts w:ascii="Times New Roman" w:hAnsi="Times New Roman" w:cs="Times New Roman"/>
          <w:sz w:val="24"/>
          <w:szCs w:val="24"/>
        </w:rPr>
        <w:t xml:space="preserve"> </w:t>
      </w:r>
      <w:r w:rsidRPr="00793859">
        <w:rPr>
          <w:rFonts w:ascii="Times New Roman" w:hAnsi="Times New Roman" w:cs="Times New Roman"/>
          <w:sz w:val="24"/>
          <w:szCs w:val="24"/>
        </w:rPr>
        <w:t>frequently characterized as "Africa in miniature"</w:t>
      </w:r>
      <w:r w:rsidR="008879FF" w:rsidRPr="00793859">
        <w:rPr>
          <w:rFonts w:ascii="Times New Roman" w:hAnsi="Times New Roman" w:cs="Times New Roman"/>
          <w:sz w:val="24"/>
          <w:szCs w:val="24"/>
        </w:rPr>
        <w:t xml:space="preserve"> </w:t>
      </w:r>
      <w:r w:rsidRPr="00793859">
        <w:rPr>
          <w:rFonts w:ascii="Times New Roman" w:hAnsi="Times New Roman" w:cs="Times New Roman"/>
          <w:sz w:val="24"/>
          <w:szCs w:val="24"/>
        </w:rPr>
        <w:t xml:space="preserve">is endowed with an extraordinarily diverse array of GR and ATK conserved by its numerous </w:t>
      </w:r>
      <w:r w:rsidR="00B62E8E">
        <w:rPr>
          <w:rFonts w:ascii="Times New Roman" w:hAnsi="Times New Roman" w:cs="Times New Roman"/>
          <w:sz w:val="24"/>
          <w:szCs w:val="24"/>
        </w:rPr>
        <w:t xml:space="preserve">Indigenous People Local Communities </w:t>
      </w:r>
      <w:r w:rsidRPr="00793859">
        <w:rPr>
          <w:rFonts w:ascii="Times New Roman" w:hAnsi="Times New Roman" w:cs="Times New Roman"/>
          <w:sz w:val="24"/>
          <w:szCs w:val="24"/>
        </w:rPr>
        <w:t xml:space="preserve">(IPLCs). The country hosts approximately 92% of the diverse ecosystem types found across the African continent. This ecological variation is driven by diverse climatic zones and varied topographical relief, resulting in a rich biological matrix comprising over 9,000 species of vascular plants, 297 mammal species, 900 bird species, and 400 reptile and amphibian species, alongside dense marine, coastal, and mangrove flora. This diverse array of terrestrial, forest, savannah, montane, marine, and freshwater ecosystems directly </w:t>
      </w:r>
      <w:r w:rsidR="00C05A47" w:rsidRPr="00793859">
        <w:rPr>
          <w:rFonts w:ascii="Times New Roman" w:hAnsi="Times New Roman" w:cs="Times New Roman"/>
          <w:sz w:val="24"/>
          <w:szCs w:val="24"/>
        </w:rPr>
        <w:t>correspond</w:t>
      </w:r>
      <w:r w:rsidRPr="00793859">
        <w:rPr>
          <w:rFonts w:ascii="Times New Roman" w:hAnsi="Times New Roman" w:cs="Times New Roman"/>
          <w:sz w:val="24"/>
          <w:szCs w:val="24"/>
        </w:rPr>
        <w:t xml:space="preserve"> to the vast reservoir of GR found within Cameroonian territory</w:t>
      </w:r>
      <w:r w:rsidR="008879FF" w:rsidRPr="00793859">
        <w:rPr>
          <w:rStyle w:val="FootnoteReference"/>
          <w:rFonts w:ascii="Times New Roman" w:eastAsia="Times New Roman" w:hAnsi="Times New Roman" w:cs="Times New Roman"/>
          <w:sz w:val="24"/>
          <w:szCs w:val="24"/>
          <w:lang w:eastAsia="en-ZA"/>
        </w:rPr>
        <w:footnoteReference w:id="2"/>
      </w:r>
      <w:r w:rsidR="008879FF" w:rsidRPr="00793859">
        <w:rPr>
          <w:rFonts w:ascii="Times New Roman" w:eastAsia="Times New Roman" w:hAnsi="Times New Roman" w:cs="Times New Roman"/>
          <w:sz w:val="24"/>
          <w:szCs w:val="24"/>
          <w:lang w:eastAsia="en-ZA"/>
        </w:rPr>
        <w:t>.</w:t>
      </w:r>
    </w:p>
    <w:p w14:paraId="65D457A3" w14:textId="3B1A1875" w:rsidR="003C335F" w:rsidRPr="00793859" w:rsidRDefault="003C335F" w:rsidP="00793859">
      <w:pPr>
        <w:spacing w:line="360" w:lineRule="auto"/>
        <w:jc w:val="both"/>
        <w:rPr>
          <w:rFonts w:ascii="Times New Roman" w:hAnsi="Times New Roman" w:cs="Times New Roman"/>
          <w:sz w:val="24"/>
          <w:szCs w:val="24"/>
        </w:rPr>
      </w:pPr>
      <w:r w:rsidRPr="00793859">
        <w:rPr>
          <w:rFonts w:ascii="Times New Roman" w:hAnsi="Times New Roman" w:cs="Times New Roman"/>
          <w:sz w:val="24"/>
          <w:szCs w:val="24"/>
        </w:rPr>
        <w:t xml:space="preserve">The integration of GR and ATK into research and development (R&amp;D) for both commercial and non-commercial purposes </w:t>
      </w:r>
      <w:r w:rsidR="00C05A47" w:rsidRPr="00793859">
        <w:rPr>
          <w:rFonts w:ascii="Times New Roman" w:hAnsi="Times New Roman" w:cs="Times New Roman"/>
          <w:sz w:val="24"/>
          <w:szCs w:val="24"/>
        </w:rPr>
        <w:t>render</w:t>
      </w:r>
      <w:r w:rsidRPr="00793859">
        <w:rPr>
          <w:rFonts w:ascii="Times New Roman" w:hAnsi="Times New Roman" w:cs="Times New Roman"/>
          <w:sz w:val="24"/>
          <w:szCs w:val="24"/>
        </w:rPr>
        <w:t xml:space="preserve"> these assets vital not only to their traditional custodians but to humanity at large. To safeguard the rights of custodians over their resources and knowledge, international and regional instruments establish structured access regimes. These instruments impose binding legal obligations on both provider and user States to </w:t>
      </w:r>
      <w:r w:rsidR="007C643A" w:rsidRPr="00793859">
        <w:rPr>
          <w:rFonts w:ascii="Times New Roman" w:hAnsi="Times New Roman" w:cs="Times New Roman"/>
          <w:sz w:val="24"/>
          <w:szCs w:val="24"/>
        </w:rPr>
        <w:t xml:space="preserve">take appropriate </w:t>
      </w:r>
      <w:r w:rsidRPr="00793859">
        <w:rPr>
          <w:rFonts w:ascii="Times New Roman" w:hAnsi="Times New Roman" w:cs="Times New Roman"/>
          <w:sz w:val="24"/>
          <w:szCs w:val="24"/>
        </w:rPr>
        <w:t>measures that facilitate and govern access to GR and ATK</w:t>
      </w:r>
      <w:r w:rsidR="007C643A" w:rsidRPr="00793859">
        <w:rPr>
          <w:rStyle w:val="FootnoteReference"/>
          <w:rFonts w:ascii="Times New Roman" w:hAnsi="Times New Roman" w:cs="Times New Roman"/>
          <w:sz w:val="24"/>
          <w:szCs w:val="24"/>
          <w:lang w:val="en-US"/>
        </w:rPr>
        <w:footnoteReference w:id="3"/>
      </w:r>
      <w:r w:rsidRPr="00793859">
        <w:rPr>
          <w:rFonts w:ascii="Times New Roman" w:hAnsi="Times New Roman" w:cs="Times New Roman"/>
          <w:sz w:val="24"/>
          <w:szCs w:val="24"/>
        </w:rPr>
        <w:t>. This is operationalized through the establishment of predictable and transparent regulatory conditions, guaranteeing that any access to and utilization of GR and ATK remains strictly subject to Prior Informed Consent (PIC) and Mutually Agreed Terms (MAT).</w:t>
      </w:r>
    </w:p>
    <w:p w14:paraId="7CD19B7D" w14:textId="201B5D98" w:rsidR="00F451B4" w:rsidRPr="00793859" w:rsidRDefault="00F451B4" w:rsidP="00456AC8">
      <w:pPr>
        <w:pStyle w:val="isselectedend"/>
        <w:spacing w:line="360" w:lineRule="auto"/>
        <w:jc w:val="both"/>
      </w:pPr>
      <w:r w:rsidRPr="00793859">
        <w:lastRenderedPageBreak/>
        <w:t xml:space="preserve">Under the Cameroon ABS regime, benefit-sharing arrangements are generally expected to be established through MAT, negotiated with the participation of the relevant IPLCs where their resources or knowledge are concerned. Nevertheless, certain instances of access to </w:t>
      </w:r>
      <w:r w:rsidR="00793859">
        <w:t>GR</w:t>
      </w:r>
      <w:r w:rsidR="00B62E8E">
        <w:t xml:space="preserve"> </w:t>
      </w:r>
      <w:r w:rsidRPr="00793859">
        <w:t xml:space="preserve">and </w:t>
      </w:r>
      <w:r w:rsidR="00793859">
        <w:t>ATK</w:t>
      </w:r>
      <w:r w:rsidRPr="00793859">
        <w:t xml:space="preserve"> occur without the conclusion of MAT involving IPLCs. According to Cameroon’s 2026 national ABS report, forty-eight access permits had been issued, yet only four were subject to MAT negotiated with the participation of IPLCs. This disparity raises important legal and practical questions regarding the circumstances under which access to </w:t>
      </w:r>
      <w:r w:rsidR="00793859">
        <w:t>GR</w:t>
      </w:r>
      <w:r w:rsidR="00B62E8E">
        <w:t xml:space="preserve"> </w:t>
      </w:r>
      <w:r w:rsidRPr="00793859">
        <w:t xml:space="preserve">and </w:t>
      </w:r>
      <w:r w:rsidR="00793859">
        <w:t>ATK</w:t>
      </w:r>
      <w:r w:rsidRPr="00793859">
        <w:t xml:space="preserve"> gives rise to benefit-sharing obligations. More specifically, does every instance of access generate benefits that must be shared among stakeholders, and under what legal conditions do such obligations arise?</w:t>
      </w:r>
      <w:r w:rsidR="00456AC8">
        <w:t xml:space="preserve"> </w:t>
      </w:r>
      <w:r w:rsidRPr="00793859">
        <w:t xml:space="preserve">This article seeks to answer these questions through a critical examination of the ABS regime under Cameroonian law. The first part analyses the meaning of GR and ATK in the legal mechanisms governing access to </w:t>
      </w:r>
      <w:r w:rsidR="00793859">
        <w:t>GR</w:t>
      </w:r>
      <w:r w:rsidR="00456AC8">
        <w:t xml:space="preserve"> </w:t>
      </w:r>
      <w:r w:rsidRPr="00793859">
        <w:t xml:space="preserve">and </w:t>
      </w:r>
      <w:r w:rsidR="00793859">
        <w:t>ATK</w:t>
      </w:r>
      <w:r w:rsidRPr="00793859">
        <w:t xml:space="preserve">, with particular emphasis on the relationship between the two concepts. The second part examines the legal framework for benefit-sharing and its underlying foundations in international environmental law and related legal principles. The third part evaluates the principal challenges affecting the implementation of ABS in Cameroon, highlighting normative, institutional, and operational deficiencies. Finally, the article proposes </w:t>
      </w:r>
      <w:r w:rsidR="0054546A" w:rsidRPr="00793859">
        <w:t xml:space="preserve">a </w:t>
      </w:r>
      <w:r w:rsidRPr="00793859">
        <w:t xml:space="preserve">recommendation </w:t>
      </w:r>
      <w:r w:rsidR="0054546A" w:rsidRPr="00793859">
        <w:t>to strengthen</w:t>
      </w:r>
      <w:r w:rsidRPr="00793859">
        <w:t xml:space="preserve"> the effectiveness, inclusiveness, and legal certainty of Cameroon’s ABS framework.</w:t>
      </w:r>
    </w:p>
    <w:p w14:paraId="1E32FBD5" w14:textId="784B4089" w:rsidR="003C335F" w:rsidRPr="00793859" w:rsidRDefault="00F451B4" w:rsidP="00D572E1">
      <w:pPr>
        <w:spacing w:line="240" w:lineRule="auto"/>
        <w:jc w:val="center"/>
        <w:rPr>
          <w:rFonts w:ascii="Times New Roman" w:hAnsi="Times New Roman" w:cs="Times New Roman"/>
          <w:sz w:val="24"/>
          <w:szCs w:val="24"/>
        </w:rPr>
      </w:pPr>
      <w:bookmarkStart w:id="3" w:name="_Hlk231710994"/>
      <w:r w:rsidRPr="00793859">
        <w:rPr>
          <w:rFonts w:ascii="Times New Roman" w:hAnsi="Times New Roman" w:cs="Times New Roman"/>
          <w:b/>
          <w:bCs/>
          <w:sz w:val="24"/>
          <w:szCs w:val="24"/>
          <w:lang w:val="en-US"/>
        </w:rPr>
        <w:t xml:space="preserve">2. </w:t>
      </w:r>
      <w:r w:rsidRPr="00793859">
        <w:rPr>
          <w:rFonts w:ascii="Times New Roman" w:eastAsia="Times New Roman" w:hAnsi="Times New Roman" w:cs="Times New Roman"/>
          <w:b/>
          <w:bCs/>
          <w:sz w:val="24"/>
          <w:szCs w:val="24"/>
          <w:lang w:eastAsia="en-ZA"/>
        </w:rPr>
        <w:t xml:space="preserve">Meaning of </w:t>
      </w:r>
      <w:r w:rsidR="00D572E1" w:rsidRPr="00D572E1">
        <w:rPr>
          <w:rFonts w:ascii="Times New Roman" w:eastAsia="Times New Roman" w:hAnsi="Times New Roman" w:cs="Times New Roman"/>
          <w:b/>
          <w:bCs/>
          <w:sz w:val="24"/>
          <w:szCs w:val="24"/>
          <w:lang w:eastAsia="en-ZA"/>
        </w:rPr>
        <w:t>Genetic Resources</w:t>
      </w:r>
      <w:r w:rsidR="00D572E1">
        <w:rPr>
          <w:rFonts w:ascii="Times New Roman" w:eastAsia="Times New Roman" w:hAnsi="Times New Roman" w:cs="Times New Roman"/>
          <w:b/>
          <w:bCs/>
          <w:sz w:val="24"/>
          <w:szCs w:val="24"/>
          <w:lang w:eastAsia="en-ZA"/>
        </w:rPr>
        <w:t xml:space="preserve"> and </w:t>
      </w:r>
      <w:r w:rsidR="00D572E1" w:rsidRPr="00D572E1">
        <w:rPr>
          <w:rFonts w:ascii="Times New Roman" w:eastAsia="Times New Roman" w:hAnsi="Times New Roman" w:cs="Times New Roman"/>
          <w:b/>
          <w:bCs/>
          <w:sz w:val="24"/>
          <w:szCs w:val="24"/>
          <w:lang w:eastAsia="en-ZA"/>
        </w:rPr>
        <w:t xml:space="preserve">Associated Traditional Knowledge </w:t>
      </w:r>
      <w:r w:rsidRPr="00793859">
        <w:rPr>
          <w:rFonts w:ascii="Times New Roman" w:eastAsia="Times New Roman" w:hAnsi="Times New Roman" w:cs="Times New Roman"/>
          <w:b/>
          <w:bCs/>
          <w:sz w:val="24"/>
          <w:szCs w:val="24"/>
          <w:lang w:eastAsia="en-ZA"/>
        </w:rPr>
        <w:t>in the context of Access and Benefit Sharing governance</w:t>
      </w:r>
      <w:bookmarkEnd w:id="3"/>
    </w:p>
    <w:p w14:paraId="184ABAAA" w14:textId="288F1AAA" w:rsidR="00E21B59" w:rsidRPr="00456AC8" w:rsidRDefault="00793859" w:rsidP="00456AC8">
      <w:pPr>
        <w:pStyle w:val="isselectedend"/>
        <w:spacing w:line="360" w:lineRule="auto"/>
        <w:jc w:val="both"/>
      </w:pPr>
      <w:r>
        <w:t>GR</w:t>
      </w:r>
      <w:r w:rsidR="00456AC8">
        <w:t xml:space="preserve"> </w:t>
      </w:r>
      <w:r w:rsidR="00E21B59" w:rsidRPr="00793859">
        <w:t>are defined under Article 2 of the CBD</w:t>
      </w:r>
      <w:r w:rsidR="00456AC8">
        <w:t xml:space="preserve"> </w:t>
      </w:r>
      <w:r w:rsidR="00E21B59" w:rsidRPr="00793859">
        <w:t>as “</w:t>
      </w:r>
      <w:r w:rsidR="00E21B59" w:rsidRPr="00793859">
        <w:rPr>
          <w:i/>
          <w:iCs/>
        </w:rPr>
        <w:t>genetic material of actual or potential value</w:t>
      </w:r>
      <w:r w:rsidR="00E21B59" w:rsidRPr="00793859">
        <w:t>.” In the same provision, “</w:t>
      </w:r>
      <w:r w:rsidR="00E21B59" w:rsidRPr="00793859">
        <w:rPr>
          <w:i/>
          <w:iCs/>
        </w:rPr>
        <w:t>genetic material</w:t>
      </w:r>
      <w:r w:rsidR="00E21B59" w:rsidRPr="00793859">
        <w:t>” is defined as “</w:t>
      </w:r>
      <w:r w:rsidR="00E21B59" w:rsidRPr="00793859">
        <w:rPr>
          <w:i/>
          <w:iCs/>
        </w:rPr>
        <w:t>any material of plant, animal, microbial or other origin containing functional units of heredity</w:t>
      </w:r>
      <w:r w:rsidR="00E21B59" w:rsidRPr="00793859">
        <w:t>”</w:t>
      </w:r>
      <w:r w:rsidR="00C05A47" w:rsidRPr="00793859">
        <w:rPr>
          <w:rStyle w:val="FootnoteReference"/>
          <w:lang w:val="en-US"/>
        </w:rPr>
        <w:footnoteReference w:id="4"/>
      </w:r>
      <w:r w:rsidR="00C05A47" w:rsidRPr="00793859">
        <w:rPr>
          <w:rStyle w:val="FootnoteTextChar"/>
          <w:sz w:val="24"/>
          <w:szCs w:val="24"/>
          <w:lang w:val="en-US"/>
        </w:rPr>
        <w:t>.</w:t>
      </w:r>
      <w:r w:rsidR="00E21B59" w:rsidRPr="00793859">
        <w:t xml:space="preserve"> This definition has attracted scholarly criticism for its lack of conceptual precision, particularly because it focuses exclusively on the presence of functional units of heredity</w:t>
      </w:r>
      <w:r w:rsidR="00C05A47" w:rsidRPr="00793859">
        <w:rPr>
          <w:rStyle w:val="FootnoteReference"/>
          <w:lang w:val="en-US"/>
        </w:rPr>
        <w:footnoteReference w:id="5"/>
      </w:r>
      <w:r w:rsidR="00E21B59" w:rsidRPr="00793859">
        <w:t xml:space="preserve">. In legal and scientific terms, </w:t>
      </w:r>
      <w:r>
        <w:t>GR</w:t>
      </w:r>
      <w:r w:rsidR="00456AC8">
        <w:t xml:space="preserve"> </w:t>
      </w:r>
      <w:r w:rsidR="00E21B59" w:rsidRPr="00793859">
        <w:t>constitute a subset of biological resources and encompass genetic material possessing actual or potential value for humanity, in addition to their ecological significance within biological systems</w:t>
      </w:r>
      <w:r w:rsidR="00C05A47" w:rsidRPr="00793859">
        <w:rPr>
          <w:rStyle w:val="FootnoteReference"/>
          <w:lang w:val="en-US"/>
        </w:rPr>
        <w:footnoteReference w:id="6"/>
      </w:r>
      <w:r w:rsidR="00E21B59" w:rsidRPr="00793859">
        <w:t>.</w:t>
      </w:r>
      <w:r w:rsidR="00456AC8">
        <w:t xml:space="preserve"> </w:t>
      </w:r>
      <w:r w:rsidR="00E21B59" w:rsidRPr="00793859">
        <w:t xml:space="preserve">The value of </w:t>
      </w:r>
      <w:r>
        <w:t>GR</w:t>
      </w:r>
      <w:r w:rsidR="00456AC8">
        <w:t xml:space="preserve"> </w:t>
      </w:r>
      <w:r w:rsidR="00E21B59" w:rsidRPr="00793859">
        <w:t xml:space="preserve">is often realised through their utilisation in conjunction with </w:t>
      </w:r>
      <w:r>
        <w:t>ATK</w:t>
      </w:r>
      <w:r w:rsidR="00E21B59" w:rsidRPr="00793859">
        <w:t xml:space="preserve"> held by </w:t>
      </w:r>
      <w:r>
        <w:t>IPLC</w:t>
      </w:r>
      <w:r w:rsidR="00456AC8">
        <w:t>s</w:t>
      </w:r>
      <w:r w:rsidR="00E21B59" w:rsidRPr="00793859">
        <w:t xml:space="preserve">. </w:t>
      </w:r>
      <w:r w:rsidR="00C05A47" w:rsidRPr="00793859">
        <w:t xml:space="preserve">It may be understood as knowledge developed, preserved, and transmitted </w:t>
      </w:r>
      <w:r w:rsidR="00C05A47" w:rsidRPr="00793859">
        <w:lastRenderedPageBreak/>
        <w:t xml:space="preserve">within indigenous and local communities over generations, and intrinsically linked to </w:t>
      </w:r>
      <w:r>
        <w:t>GR</w:t>
      </w:r>
      <w:r w:rsidR="00C05A47" w:rsidRPr="00793859">
        <w:t xml:space="preserve">. </w:t>
      </w:r>
      <w:r w:rsidR="00E21B59" w:rsidRPr="00793859">
        <w:t xml:space="preserve">Unlike </w:t>
      </w:r>
      <w:r w:rsidR="00456AC8">
        <w:t>GR</w:t>
      </w:r>
      <w:r w:rsidR="00E21B59" w:rsidRPr="00793859">
        <w:t>, ATK</w:t>
      </w:r>
      <w:r w:rsidR="000242EC" w:rsidRPr="00793859">
        <w:rPr>
          <w:rStyle w:val="FootnoteReference"/>
        </w:rPr>
        <w:footnoteReference w:id="7"/>
      </w:r>
      <w:r w:rsidR="00E21B59" w:rsidRPr="00793859">
        <w:t xml:space="preserve"> has not been accorded a universally accepted definition, particularly within the normative frameworks of the CBD and the Nagoya Protocol (NP)</w:t>
      </w:r>
      <w:r w:rsidR="00C05A47" w:rsidRPr="00793859">
        <w:rPr>
          <w:rStyle w:val="FootnoteTextChar"/>
          <w:sz w:val="24"/>
          <w:szCs w:val="24"/>
          <w:lang w:val="en-US"/>
        </w:rPr>
        <w:t xml:space="preserve"> </w:t>
      </w:r>
      <w:r w:rsidR="00C05A47" w:rsidRPr="00793859">
        <w:rPr>
          <w:rStyle w:val="FootnoteReference"/>
          <w:lang w:val="en-US"/>
        </w:rPr>
        <w:footnoteReference w:id="8"/>
      </w:r>
      <w:r w:rsidR="00E21B59" w:rsidRPr="00793859">
        <w:t>. Scholars attribute this absence of definitional uniformity to several factors. First, traditional knowledge is conceptualised and practised differently across cultural and geographical contexts</w:t>
      </w:r>
      <w:r w:rsidR="00C05A47" w:rsidRPr="00793859">
        <w:rPr>
          <w:rStyle w:val="FootnoteReference"/>
          <w:lang w:val="en-US"/>
        </w:rPr>
        <w:footnoteReference w:id="9"/>
      </w:r>
      <w:r w:rsidR="00E21B59" w:rsidRPr="00793859">
        <w:t>. Secondly, a single universal definition would be incapable of adequately capturing the diversity, complexity, and dynamic nature of knowledge systems maintained by indigenous and local communities</w:t>
      </w:r>
      <w:bookmarkStart w:id="4" w:name="_Hlk231715504"/>
      <w:r w:rsidR="00C05A47" w:rsidRPr="00793859">
        <w:rPr>
          <w:rStyle w:val="FootnoteReference"/>
          <w:lang w:val="en-US"/>
        </w:rPr>
        <w:footnoteReference w:id="10"/>
      </w:r>
      <w:bookmarkEnd w:id="4"/>
      <w:r w:rsidR="00E21B59" w:rsidRPr="00793859">
        <w:t>.</w:t>
      </w:r>
      <w:r w:rsidR="000242EC" w:rsidRPr="00793859">
        <w:t xml:space="preserve">  Against this backdrop ATK has been defined under the Cameroonian ABS Law as a </w:t>
      </w:r>
      <w:r w:rsidR="000242EC" w:rsidRPr="00793859">
        <w:rPr>
          <w:color w:val="000000"/>
        </w:rPr>
        <w:t xml:space="preserve">dynamic and evolving body of knowledge, </w:t>
      </w:r>
      <w:r w:rsidR="000242EC" w:rsidRPr="000242EC">
        <w:rPr>
          <w:color w:val="000000"/>
        </w:rPr>
        <w:t>developed within in a traditional context, collectively preserved and passed on from</w:t>
      </w:r>
      <w:r w:rsidR="000242EC" w:rsidRPr="00793859">
        <w:rPr>
          <w:color w:val="000000"/>
        </w:rPr>
        <w:t xml:space="preserve"> </w:t>
      </w:r>
      <w:r w:rsidR="000242EC" w:rsidRPr="000242EC">
        <w:rPr>
          <w:color w:val="000000"/>
        </w:rPr>
        <w:t>one generation to another, including know-how, techniques, innovations, practices</w:t>
      </w:r>
      <w:r w:rsidR="000242EC" w:rsidRPr="00793859">
        <w:rPr>
          <w:color w:val="000000"/>
        </w:rPr>
        <w:t xml:space="preserve"> and learning, that subsists in biological and </w:t>
      </w:r>
      <w:r w:rsidR="00456AC8">
        <w:rPr>
          <w:color w:val="000000"/>
        </w:rPr>
        <w:t>GR</w:t>
      </w:r>
      <w:r w:rsidR="000242EC" w:rsidRPr="00793859">
        <w:rPr>
          <w:rStyle w:val="FootnoteReference"/>
          <w:color w:val="000000"/>
        </w:rPr>
        <w:footnoteReference w:id="11"/>
      </w:r>
      <w:r w:rsidR="000242EC" w:rsidRPr="00793859">
        <w:rPr>
          <w:color w:val="000000"/>
        </w:rPr>
        <w:t>.</w:t>
      </w:r>
    </w:p>
    <w:p w14:paraId="05E7BF16" w14:textId="0B00E680" w:rsidR="00E21B59" w:rsidRPr="00793859" w:rsidRDefault="00E21B59" w:rsidP="00793859">
      <w:pPr>
        <w:pStyle w:val="isselectedend"/>
        <w:spacing w:line="360" w:lineRule="auto"/>
        <w:jc w:val="both"/>
      </w:pPr>
      <w:r w:rsidRPr="00793859">
        <w:t xml:space="preserve">One of the most significant legal issues arising from the utilisation of GR and ATK concerns access and use without the fair and equitable sharing of benefits. </w:t>
      </w:r>
      <w:r w:rsidR="00793859">
        <w:t>GR</w:t>
      </w:r>
      <w:r w:rsidR="00456AC8">
        <w:t xml:space="preserve"> </w:t>
      </w:r>
      <w:r w:rsidRPr="00793859">
        <w:t xml:space="preserve">and </w:t>
      </w:r>
      <w:r w:rsidR="00793859">
        <w:t>ATK</w:t>
      </w:r>
      <w:r w:rsidRPr="00793859">
        <w:t xml:space="preserve"> constitute valuable inputs in the pharmaceutical, cosmetic, agricultural, biotechnology, and industrial sectors, generating substantial economic returns. It has been estimated that, in 2006 alone, products derived from </w:t>
      </w:r>
      <w:r w:rsidR="00793859">
        <w:t>GR</w:t>
      </w:r>
      <w:r w:rsidR="00456AC8">
        <w:t xml:space="preserve"> </w:t>
      </w:r>
      <w:r w:rsidRPr="00793859">
        <w:t>generated approximately US$22 billion</w:t>
      </w:r>
      <w:r w:rsidR="00F00703" w:rsidRPr="00793859">
        <w:rPr>
          <w:rStyle w:val="FootnoteReference"/>
          <w:lang w:val="en-US"/>
        </w:rPr>
        <w:footnoteReference w:id="12"/>
      </w:r>
      <w:r w:rsidRPr="00793859">
        <w:t xml:space="preserve"> in the botanical, food, and beverage industries, US$30 billion</w:t>
      </w:r>
      <w:r w:rsidR="00F00703" w:rsidRPr="00793859">
        <w:rPr>
          <w:rStyle w:val="FootnoteReference"/>
          <w:lang w:val="en-US"/>
        </w:rPr>
        <w:footnoteReference w:id="13"/>
      </w:r>
      <w:r w:rsidRPr="00793859">
        <w:t xml:space="preserve"> in the agricultural seed sector, US$31 billion</w:t>
      </w:r>
      <w:r w:rsidR="00F00703" w:rsidRPr="00793859">
        <w:rPr>
          <w:rStyle w:val="FootnoteReference"/>
          <w:lang w:val="en-US"/>
        </w:rPr>
        <w:footnoteReference w:id="14"/>
      </w:r>
      <w:r w:rsidRPr="00793859">
        <w:t xml:space="preserve"> in the personal care industry, and up to US$640 billion</w:t>
      </w:r>
      <w:r w:rsidR="00F00703" w:rsidRPr="00793859">
        <w:rPr>
          <w:rStyle w:val="FootnoteReference"/>
          <w:lang w:val="en-US"/>
        </w:rPr>
        <w:footnoteReference w:id="15"/>
      </w:r>
      <w:r w:rsidRPr="00793859">
        <w:t xml:space="preserve"> in the pharmaceutical sector. Notwithstanding these considerable economic gains, the resulting benefits have not always </w:t>
      </w:r>
      <w:r w:rsidRPr="00793859">
        <w:lastRenderedPageBreak/>
        <w:t>been shared fairly and equitably with the providers and custodians of such resources and knowledge, particularly IPLCs.</w:t>
      </w:r>
    </w:p>
    <w:p w14:paraId="39BCAA41" w14:textId="76C4199E" w:rsidR="003C335F" w:rsidRPr="00793859" w:rsidRDefault="00E21B59" w:rsidP="00793859">
      <w:pPr>
        <w:pStyle w:val="isselectedend"/>
        <w:spacing w:line="360" w:lineRule="auto"/>
        <w:jc w:val="both"/>
      </w:pPr>
      <w:r w:rsidRPr="00793859">
        <w:t xml:space="preserve">To address this imbalance, the concept of Access and Benefit-Sharing (ABS) was introduced through international legal instruments as a mechanism for ensuring that access to </w:t>
      </w:r>
      <w:r w:rsidR="00793859">
        <w:t>G</w:t>
      </w:r>
      <w:r w:rsidR="00456AC8">
        <w:t xml:space="preserve">R </w:t>
      </w:r>
      <w:r w:rsidRPr="00793859">
        <w:t xml:space="preserve">and </w:t>
      </w:r>
      <w:r w:rsidR="00793859">
        <w:t>ATK</w:t>
      </w:r>
      <w:r w:rsidRPr="00793859">
        <w:t xml:space="preserve"> gives rise to the fair and equitable sharing of benefits derived from their utilisation. In Cameroon, ABS is principally regulated by Law No. 2021/014 of 9 July 2021 governing access to genetic resources, their derivatives, traditional knowledge associated with genetic resources, and the fair and equitable sharing of benefits arising from their utilisation (Cameroon ABS Law), together with Decree No. 2023/7526/PM of 6 October 2023 laying down the conditions for its implementation. Collectively, these legislative and regulatory instruments establish the legal framework governing access to </w:t>
      </w:r>
      <w:r w:rsidR="00793859">
        <w:t>GR</w:t>
      </w:r>
      <w:r w:rsidR="00456AC8">
        <w:t xml:space="preserve"> </w:t>
      </w:r>
      <w:r w:rsidRPr="00793859">
        <w:t xml:space="preserve">and </w:t>
      </w:r>
      <w:r w:rsidR="00793859">
        <w:t>ATK</w:t>
      </w:r>
      <w:r w:rsidRPr="00793859">
        <w:t>, as well as the distribution of benefits arising from their utilisation within the national territory.</w:t>
      </w:r>
    </w:p>
    <w:p w14:paraId="440EB125" w14:textId="1A12E954" w:rsidR="00F45DF6" w:rsidRPr="00456AC8" w:rsidRDefault="00F00703" w:rsidP="00D572E1">
      <w:pPr>
        <w:pStyle w:val="Heading1"/>
        <w:spacing w:before="0" w:line="240" w:lineRule="auto"/>
        <w:jc w:val="center"/>
        <w:rPr>
          <w:rFonts w:ascii="Times New Roman" w:hAnsi="Times New Roman" w:cs="Times New Roman"/>
          <w:b/>
          <w:bCs/>
          <w:color w:val="auto"/>
          <w:sz w:val="24"/>
          <w:szCs w:val="24"/>
          <w:lang w:val="en-US"/>
        </w:rPr>
      </w:pPr>
      <w:bookmarkStart w:id="5" w:name="_Hlk231715929"/>
      <w:bookmarkStart w:id="6" w:name="_Hlk231713702"/>
      <w:bookmarkStart w:id="7" w:name="_Hlk229318917"/>
      <w:bookmarkStart w:id="8" w:name="_Hlk229395542"/>
      <w:r w:rsidRPr="00793859">
        <w:rPr>
          <w:rFonts w:ascii="Times New Roman" w:hAnsi="Times New Roman" w:cs="Times New Roman"/>
          <w:b/>
          <w:bCs/>
          <w:color w:val="auto"/>
          <w:sz w:val="24"/>
          <w:szCs w:val="24"/>
          <w:lang w:val="en-US"/>
        </w:rPr>
        <w:t xml:space="preserve">3. </w:t>
      </w:r>
      <w:bookmarkStart w:id="9" w:name="_Hlk231715884"/>
      <w:bookmarkEnd w:id="5"/>
      <w:r w:rsidRPr="00793859">
        <w:rPr>
          <w:rFonts w:ascii="Times New Roman" w:hAnsi="Times New Roman" w:cs="Times New Roman"/>
          <w:b/>
          <w:bCs/>
          <w:color w:val="auto"/>
          <w:sz w:val="24"/>
          <w:szCs w:val="24"/>
          <w:lang w:val="en-US"/>
        </w:rPr>
        <w:t xml:space="preserve">Access </w:t>
      </w:r>
      <w:bookmarkEnd w:id="6"/>
      <w:r w:rsidRPr="00793859">
        <w:rPr>
          <w:rFonts w:ascii="Times New Roman" w:hAnsi="Times New Roman" w:cs="Times New Roman"/>
          <w:b/>
          <w:bCs/>
          <w:color w:val="auto"/>
          <w:sz w:val="24"/>
          <w:szCs w:val="24"/>
          <w:lang w:val="en-US"/>
        </w:rPr>
        <w:t>Mechanisms for</w:t>
      </w:r>
      <w:r w:rsidRPr="00793859">
        <w:rPr>
          <w:rFonts w:ascii="Times New Roman" w:hAnsi="Times New Roman" w:cs="Times New Roman"/>
          <w:b/>
          <w:bCs/>
          <w:color w:val="auto"/>
          <w:sz w:val="24"/>
          <w:szCs w:val="24"/>
        </w:rPr>
        <w:t xml:space="preserve"> </w:t>
      </w:r>
      <w:r w:rsidR="00793859">
        <w:rPr>
          <w:rFonts w:ascii="Times New Roman" w:hAnsi="Times New Roman" w:cs="Times New Roman"/>
          <w:b/>
          <w:bCs/>
          <w:color w:val="auto"/>
          <w:sz w:val="24"/>
          <w:szCs w:val="24"/>
          <w:lang w:val="en-US"/>
        </w:rPr>
        <w:t>G</w:t>
      </w:r>
      <w:r w:rsidR="0006594F">
        <w:rPr>
          <w:rFonts w:ascii="Times New Roman" w:hAnsi="Times New Roman" w:cs="Times New Roman"/>
          <w:b/>
          <w:bCs/>
          <w:color w:val="auto"/>
          <w:sz w:val="24"/>
          <w:szCs w:val="24"/>
          <w:lang w:val="en-US"/>
        </w:rPr>
        <w:t xml:space="preserve">enetic </w:t>
      </w:r>
      <w:r w:rsidR="00793859">
        <w:rPr>
          <w:rFonts w:ascii="Times New Roman" w:hAnsi="Times New Roman" w:cs="Times New Roman"/>
          <w:b/>
          <w:bCs/>
          <w:color w:val="auto"/>
          <w:sz w:val="24"/>
          <w:szCs w:val="24"/>
          <w:lang w:val="en-US"/>
        </w:rPr>
        <w:t>R</w:t>
      </w:r>
      <w:r w:rsidR="0006594F">
        <w:rPr>
          <w:rFonts w:ascii="Times New Roman" w:hAnsi="Times New Roman" w:cs="Times New Roman"/>
          <w:b/>
          <w:bCs/>
          <w:color w:val="auto"/>
          <w:sz w:val="24"/>
          <w:szCs w:val="24"/>
          <w:lang w:val="en-US"/>
        </w:rPr>
        <w:t xml:space="preserve">esources </w:t>
      </w:r>
      <w:r w:rsidRPr="00793859">
        <w:rPr>
          <w:rFonts w:ascii="Times New Roman" w:hAnsi="Times New Roman" w:cs="Times New Roman"/>
          <w:b/>
          <w:bCs/>
          <w:color w:val="auto"/>
          <w:sz w:val="24"/>
          <w:szCs w:val="24"/>
          <w:lang w:val="en-US"/>
        </w:rPr>
        <w:t>and</w:t>
      </w:r>
      <w:r w:rsidR="00D572E1">
        <w:rPr>
          <w:rFonts w:ascii="Times New Roman" w:hAnsi="Times New Roman" w:cs="Times New Roman"/>
          <w:b/>
          <w:bCs/>
          <w:color w:val="auto"/>
          <w:sz w:val="24"/>
          <w:szCs w:val="24"/>
          <w:lang w:val="en-US"/>
        </w:rPr>
        <w:t xml:space="preserve"> </w:t>
      </w:r>
      <w:r w:rsidR="00D572E1" w:rsidRPr="00D572E1">
        <w:rPr>
          <w:rFonts w:ascii="Times New Roman" w:hAnsi="Times New Roman" w:cs="Times New Roman"/>
          <w:b/>
          <w:bCs/>
          <w:color w:val="auto"/>
          <w:sz w:val="24"/>
          <w:szCs w:val="24"/>
          <w:lang w:val="en-US"/>
        </w:rPr>
        <w:t xml:space="preserve">Associated Traditional Knowledge </w:t>
      </w:r>
      <w:r w:rsidRPr="00793859">
        <w:rPr>
          <w:rFonts w:ascii="Times New Roman" w:hAnsi="Times New Roman" w:cs="Times New Roman"/>
          <w:b/>
          <w:bCs/>
          <w:color w:val="auto"/>
          <w:sz w:val="24"/>
          <w:szCs w:val="24"/>
          <w:lang w:val="en-US"/>
        </w:rPr>
        <w:t>under Cameroon</w:t>
      </w:r>
      <w:r w:rsidR="00B47B64" w:rsidRPr="00793859">
        <w:rPr>
          <w:rFonts w:ascii="Times New Roman" w:hAnsi="Times New Roman" w:cs="Times New Roman"/>
          <w:b/>
          <w:bCs/>
          <w:color w:val="auto"/>
          <w:sz w:val="24"/>
          <w:szCs w:val="24"/>
          <w:lang w:val="en-US"/>
        </w:rPr>
        <w:t>ian</w:t>
      </w:r>
      <w:r w:rsidRPr="00793859">
        <w:rPr>
          <w:rFonts w:ascii="Times New Roman" w:hAnsi="Times New Roman" w:cs="Times New Roman"/>
          <w:b/>
          <w:bCs/>
          <w:color w:val="auto"/>
          <w:sz w:val="24"/>
          <w:szCs w:val="24"/>
          <w:lang w:val="en-US"/>
        </w:rPr>
        <w:t xml:space="preserve"> Law</w:t>
      </w:r>
      <w:bookmarkEnd w:id="7"/>
      <w:bookmarkEnd w:id="8"/>
      <w:bookmarkEnd w:id="9"/>
    </w:p>
    <w:p w14:paraId="53FE940B" w14:textId="05B54DAB" w:rsidR="00F00703" w:rsidRPr="00793859" w:rsidRDefault="00F00703" w:rsidP="00793859">
      <w:pPr>
        <w:pStyle w:val="NormalWeb"/>
        <w:spacing w:line="360" w:lineRule="auto"/>
        <w:jc w:val="both"/>
      </w:pPr>
      <w:r w:rsidRPr="00793859">
        <w:t>Access and Benefit-Sharing (ABS) mechanisms require that, prior to access being granted, P</w:t>
      </w:r>
      <w:r w:rsidR="0006594F">
        <w:t xml:space="preserve">IC </w:t>
      </w:r>
      <w:r w:rsidRPr="00793859">
        <w:t>must be obtained and M</w:t>
      </w:r>
      <w:r w:rsidR="0006594F">
        <w:t xml:space="preserve">AT </w:t>
      </w:r>
      <w:r w:rsidRPr="00793859">
        <w:t>must be established. Before examining the legal significance and operational functions of PIC and MAT, it is necessary to clarify the concept of “access,” as a proper understanding of this notion is fundamental to analysing the legal mechanisms governing benefit-sharing. Neither the CBD nor the Nagoya Protocol</w:t>
      </w:r>
      <w:r w:rsidR="00D572E1">
        <w:t xml:space="preserve"> </w:t>
      </w:r>
      <w:r w:rsidRPr="00793859">
        <w:t xml:space="preserve">provides an explicit definition of “access.” This omission has generated interpretative challenges regarding the precise legal acts and activities that constitute access to </w:t>
      </w:r>
      <w:r w:rsidR="00793859">
        <w:t>GR</w:t>
      </w:r>
      <w:r w:rsidR="0006594F">
        <w:t xml:space="preserve"> </w:t>
      </w:r>
      <w:r w:rsidRPr="00793859">
        <w:t xml:space="preserve">and </w:t>
      </w:r>
      <w:r w:rsidR="00793859">
        <w:t>ATK</w:t>
      </w:r>
      <w:r w:rsidRPr="00793859">
        <w:t xml:space="preserve"> for stakeholders seeking to utilise such resources and knowledge.</w:t>
      </w:r>
      <w:r w:rsidR="00456AC8">
        <w:t xml:space="preserve"> </w:t>
      </w:r>
      <w:r w:rsidRPr="00793859">
        <w:t>At the regional level, the African Model Law on the Rights of Communities, Farmers, Breeders, and Access to Biological Resources, adopted in 2000, defines access as “</w:t>
      </w:r>
      <w:r w:rsidRPr="00793859">
        <w:rPr>
          <w:i/>
          <w:iCs/>
        </w:rPr>
        <w:t>the acquisition of biological resources, their derivatives, community knowledge, innovations, technologies or practices as authorised by the National Competent Authority.</w:t>
      </w:r>
      <w:r w:rsidRPr="00793859">
        <w:t xml:space="preserve">” Although the Model Law has not entered into force, its definition provides useful normative guidance for understanding the concept of access. It was designed to serve as a legislative template for African States in developing national ABS frameworks and, more broadly, as an instrument contributing to the establishment of a </w:t>
      </w:r>
      <w:r w:rsidRPr="00793859">
        <w:rPr>
          <w:i/>
          <w:iCs/>
        </w:rPr>
        <w:t>sui generis</w:t>
      </w:r>
      <w:r w:rsidRPr="00793859">
        <w:t xml:space="preserve"> regime for the </w:t>
      </w:r>
      <w:r w:rsidRPr="00793859">
        <w:lastRenderedPageBreak/>
        <w:t>protection of plant varieties and community rights</w:t>
      </w:r>
      <w:r w:rsidR="003967FE" w:rsidRPr="00793859">
        <w:rPr>
          <w:rStyle w:val="FootnoteReference"/>
        </w:rPr>
        <w:footnoteReference w:id="16"/>
      </w:r>
      <w:r w:rsidRPr="00793859">
        <w:t xml:space="preserve">. Nevertheless, the definition does not expressly refer to </w:t>
      </w:r>
      <w:r w:rsidR="00793859">
        <w:t>GR</w:t>
      </w:r>
      <w:r w:rsidR="0006594F">
        <w:t xml:space="preserve"> </w:t>
      </w:r>
      <w:r w:rsidRPr="00793859">
        <w:t xml:space="preserve">or </w:t>
      </w:r>
      <w:r w:rsidR="00793859">
        <w:t>ATK</w:t>
      </w:r>
      <w:r w:rsidRPr="00793859">
        <w:t xml:space="preserve">. This may be explained by the fact that </w:t>
      </w:r>
      <w:r w:rsidR="00793859">
        <w:t>GR</w:t>
      </w:r>
      <w:r w:rsidR="0006594F">
        <w:t xml:space="preserve"> </w:t>
      </w:r>
      <w:r w:rsidRPr="00793859">
        <w:t xml:space="preserve">constitute a subset of biological resources; consequently, the acquisition of biological resources does not necessarily entail access to </w:t>
      </w:r>
      <w:r w:rsidR="00793859">
        <w:t>GR</w:t>
      </w:r>
      <w:r w:rsidR="0006594F">
        <w:t xml:space="preserve"> </w:t>
      </w:r>
      <w:r w:rsidRPr="00793859">
        <w:t>as such.</w:t>
      </w:r>
      <w:r w:rsidR="003967FE" w:rsidRPr="00793859">
        <w:t xml:space="preserve"> </w:t>
      </w:r>
      <w:r w:rsidRPr="00793859">
        <w:t>At the national level, the Cameroon ABS Law defines access as the “</w:t>
      </w:r>
      <w:r w:rsidRPr="00793859">
        <w:rPr>
          <w:i/>
          <w:iCs/>
        </w:rPr>
        <w:t xml:space="preserve">possibility for a person or group to acquire, own and master knowledge. It entails collection and acquisition including any transaction involving genetic resources, their derivatives or </w:t>
      </w:r>
      <w:r w:rsidR="00793859">
        <w:rPr>
          <w:i/>
          <w:iCs/>
        </w:rPr>
        <w:t>ATK</w:t>
      </w:r>
      <w:r w:rsidRPr="00793859">
        <w:t>”</w:t>
      </w:r>
      <w:r w:rsidR="003967FE" w:rsidRPr="00793859">
        <w:rPr>
          <w:rStyle w:val="FootnoteReference"/>
          <w:lang w:val="en-US"/>
        </w:rPr>
        <w:footnoteReference w:id="17"/>
      </w:r>
      <w:r w:rsidR="003967FE" w:rsidRPr="00793859">
        <w:rPr>
          <w:lang w:val="en-US"/>
        </w:rPr>
        <w:t>.</w:t>
      </w:r>
      <w:r w:rsidRPr="00793859">
        <w:t xml:space="preserve"> This definition reflects a broader conception of </w:t>
      </w:r>
      <w:r w:rsidRPr="00793859">
        <w:rPr>
          <w:i/>
          <w:iCs/>
        </w:rPr>
        <w:t>access</w:t>
      </w:r>
      <w:r w:rsidRPr="00793859">
        <w:t xml:space="preserve">, encompassing not only the collection and acquisition of </w:t>
      </w:r>
      <w:r w:rsidR="00793859">
        <w:t>GR</w:t>
      </w:r>
      <w:r w:rsidR="0006594F">
        <w:t xml:space="preserve"> </w:t>
      </w:r>
      <w:r w:rsidRPr="00793859">
        <w:t xml:space="preserve">and </w:t>
      </w:r>
      <w:r w:rsidR="00793859">
        <w:t>ATK</w:t>
      </w:r>
      <w:r w:rsidRPr="00793859">
        <w:t xml:space="preserve"> but also the ability to obtain and exercise control over such knowledge and resources.</w:t>
      </w:r>
      <w:r w:rsidR="003967FE" w:rsidRPr="00793859">
        <w:t xml:space="preserve"> </w:t>
      </w:r>
      <w:r w:rsidRPr="00793859">
        <w:t xml:space="preserve">These definitions illustrate the multidimensional nature of access within ABS governance. The definition contained in the African Model Law conceptualises access primarily as the authorised acquisition of biological resources and related knowledge, subject to the approval of the National Competent Authority. By contrast, the Cameroon ABS Law places greater emphasis on collection, acquisition, ownership, and the exercise of control over genetic resources, their derivatives, and </w:t>
      </w:r>
      <w:r w:rsidR="00793859">
        <w:t>ATK</w:t>
      </w:r>
      <w:r w:rsidRPr="00793859">
        <w:t>.</w:t>
      </w:r>
    </w:p>
    <w:p w14:paraId="68823EE3" w14:textId="651615CE" w:rsidR="00F00703" w:rsidRPr="00793859" w:rsidRDefault="00F00703" w:rsidP="00793859">
      <w:pPr>
        <w:pStyle w:val="NormalWeb"/>
        <w:spacing w:line="360" w:lineRule="auto"/>
        <w:jc w:val="both"/>
      </w:pPr>
      <w:r w:rsidRPr="00793859">
        <w:t xml:space="preserve">For the purposes of this study, access </w:t>
      </w:r>
      <w:r w:rsidR="00C9420E" w:rsidRPr="00793859">
        <w:t>may be</w:t>
      </w:r>
      <w:r w:rsidRPr="00793859">
        <w:t xml:space="preserve"> </w:t>
      </w:r>
      <w:r w:rsidR="00C9420E" w:rsidRPr="00793859">
        <w:t>considered</w:t>
      </w:r>
      <w:r w:rsidRPr="00793859">
        <w:t xml:space="preserve"> as the legally authorised ability to enter a designated area within the sovereign territory of a State, or to obtain </w:t>
      </w:r>
      <w:r w:rsidR="00793859">
        <w:t>GR</w:t>
      </w:r>
      <w:r w:rsidR="0006594F">
        <w:t xml:space="preserve"> </w:t>
      </w:r>
      <w:r w:rsidRPr="00793859">
        <w:t xml:space="preserve">and </w:t>
      </w:r>
      <w:r w:rsidR="00793859">
        <w:t>ATK</w:t>
      </w:r>
      <w:r w:rsidRPr="00793859">
        <w:t xml:space="preserve">, whether through collection, acquisition, or other legally recognised means, with the approval of the competent authority and, where applicable, the concerned IPLCs. Access constitutes a foundational element of the ABS regime, as it establishes the legal basis upon which subsequent benefit-sharing obligations arise. Consequently, the regulation of access serves as an essential mechanism for ensuring that benefits derived from the utilisation of </w:t>
      </w:r>
      <w:r w:rsidR="00793859">
        <w:t>GR</w:t>
      </w:r>
      <w:r w:rsidR="0006594F">
        <w:t xml:space="preserve"> </w:t>
      </w:r>
      <w:r w:rsidRPr="00793859">
        <w:t xml:space="preserve">and </w:t>
      </w:r>
      <w:r w:rsidR="00793859">
        <w:t>ATK</w:t>
      </w:r>
      <w:r w:rsidRPr="00793859">
        <w:t xml:space="preserve"> are shared fairly and equitably with their legitimate holders, notably provider States and IPLCs.</w:t>
      </w:r>
    </w:p>
    <w:p w14:paraId="3B7625D4" w14:textId="3C0FCC53" w:rsidR="001803D9" w:rsidRPr="00793859" w:rsidRDefault="001803D9" w:rsidP="00793859">
      <w:pPr>
        <w:pStyle w:val="Heading2"/>
        <w:spacing w:line="360" w:lineRule="auto"/>
        <w:jc w:val="both"/>
        <w:rPr>
          <w:rFonts w:ascii="Times New Roman" w:hAnsi="Times New Roman" w:cs="Times New Roman"/>
          <w:b/>
          <w:bCs/>
          <w:color w:val="000000" w:themeColor="text1"/>
          <w:sz w:val="24"/>
          <w:szCs w:val="24"/>
        </w:rPr>
      </w:pPr>
      <w:r w:rsidRPr="00793859">
        <w:rPr>
          <w:rFonts w:ascii="Times New Roman" w:hAnsi="Times New Roman" w:cs="Times New Roman"/>
          <w:b/>
          <w:bCs/>
          <w:color w:val="000000" w:themeColor="text1"/>
          <w:sz w:val="24"/>
          <w:szCs w:val="24"/>
        </w:rPr>
        <w:t xml:space="preserve">3.1 The nexus between </w:t>
      </w:r>
      <w:r w:rsidR="00793859">
        <w:rPr>
          <w:rFonts w:ascii="Times New Roman" w:hAnsi="Times New Roman" w:cs="Times New Roman"/>
          <w:b/>
          <w:bCs/>
          <w:color w:val="000000" w:themeColor="text1"/>
          <w:sz w:val="24"/>
          <w:szCs w:val="24"/>
        </w:rPr>
        <w:t>G</w:t>
      </w:r>
      <w:r w:rsidR="0006594F">
        <w:rPr>
          <w:rFonts w:ascii="Times New Roman" w:hAnsi="Times New Roman" w:cs="Times New Roman"/>
          <w:b/>
          <w:bCs/>
          <w:color w:val="000000" w:themeColor="text1"/>
          <w:sz w:val="24"/>
          <w:szCs w:val="24"/>
        </w:rPr>
        <w:t xml:space="preserve">enetic </w:t>
      </w:r>
      <w:r w:rsidR="00793859">
        <w:rPr>
          <w:rFonts w:ascii="Times New Roman" w:hAnsi="Times New Roman" w:cs="Times New Roman"/>
          <w:b/>
          <w:bCs/>
          <w:color w:val="000000" w:themeColor="text1"/>
          <w:sz w:val="24"/>
          <w:szCs w:val="24"/>
        </w:rPr>
        <w:t>R</w:t>
      </w:r>
      <w:r w:rsidR="0006594F">
        <w:rPr>
          <w:rFonts w:ascii="Times New Roman" w:hAnsi="Times New Roman" w:cs="Times New Roman"/>
          <w:b/>
          <w:bCs/>
          <w:color w:val="000000" w:themeColor="text1"/>
          <w:sz w:val="24"/>
          <w:szCs w:val="24"/>
        </w:rPr>
        <w:t xml:space="preserve">esources </w:t>
      </w:r>
      <w:r w:rsidRPr="00793859">
        <w:rPr>
          <w:rFonts w:ascii="Times New Roman" w:hAnsi="Times New Roman" w:cs="Times New Roman"/>
          <w:b/>
          <w:bCs/>
          <w:color w:val="000000" w:themeColor="text1"/>
          <w:sz w:val="24"/>
          <w:szCs w:val="24"/>
        </w:rPr>
        <w:t xml:space="preserve">and </w:t>
      </w:r>
      <w:r w:rsidR="00793859">
        <w:rPr>
          <w:rFonts w:ascii="Times New Roman" w:hAnsi="Times New Roman" w:cs="Times New Roman"/>
          <w:b/>
          <w:bCs/>
          <w:color w:val="000000" w:themeColor="text1"/>
          <w:sz w:val="24"/>
          <w:szCs w:val="24"/>
        </w:rPr>
        <w:t>ATK</w:t>
      </w:r>
      <w:r w:rsidRPr="00793859">
        <w:rPr>
          <w:rFonts w:ascii="Times New Roman" w:hAnsi="Times New Roman" w:cs="Times New Roman"/>
          <w:b/>
          <w:bCs/>
          <w:color w:val="000000" w:themeColor="text1"/>
          <w:sz w:val="24"/>
          <w:szCs w:val="24"/>
        </w:rPr>
        <w:t xml:space="preserve"> </w:t>
      </w:r>
    </w:p>
    <w:p w14:paraId="6E35C241" w14:textId="5544CF3F" w:rsidR="001803D9" w:rsidRPr="00793859" w:rsidRDefault="001803D9" w:rsidP="00793859">
      <w:pPr>
        <w:pStyle w:val="NormalWeb"/>
        <w:spacing w:line="360" w:lineRule="auto"/>
        <w:jc w:val="both"/>
      </w:pPr>
      <w:r w:rsidRPr="00793859">
        <w:t>T</w:t>
      </w:r>
      <w:r w:rsidR="00D85436" w:rsidRPr="00793859">
        <w:t>he</w:t>
      </w:r>
      <w:r w:rsidRPr="00793859">
        <w:t xml:space="preserve"> fundamental doctrinal issue in ABS governance</w:t>
      </w:r>
      <w:r w:rsidR="00D85436" w:rsidRPr="00793859">
        <w:t xml:space="preserve"> is addressed under this section to determine </w:t>
      </w:r>
      <w:r w:rsidRPr="00793859">
        <w:t xml:space="preserve">whether access to </w:t>
      </w:r>
      <w:r w:rsidR="00793859">
        <w:t>G</w:t>
      </w:r>
      <w:r w:rsidR="0006594F">
        <w:t xml:space="preserve">R </w:t>
      </w:r>
      <w:r w:rsidRPr="00793859">
        <w:t xml:space="preserve">necessarily entails access to </w:t>
      </w:r>
      <w:r w:rsidR="00793859">
        <w:t>ATK</w:t>
      </w:r>
      <w:r w:rsidRPr="00793859">
        <w:t xml:space="preserve">. In this context, it is important to emphasise that the intrinsic relationship between </w:t>
      </w:r>
      <w:r w:rsidR="00793859">
        <w:t>G</w:t>
      </w:r>
      <w:r w:rsidR="00456AC8">
        <w:t>R</w:t>
      </w:r>
      <w:r w:rsidRPr="00793859">
        <w:t xml:space="preserve"> and </w:t>
      </w:r>
      <w:r w:rsidR="00793859">
        <w:t>ATK</w:t>
      </w:r>
      <w:r w:rsidRPr="00793859">
        <w:t xml:space="preserve"> has generated significant debate. Recognition of the nexus between GR and ATK is reflected in the Preamble to the Nagoya Protocol, which acknowledges “the interrelationship between </w:t>
      </w:r>
      <w:r w:rsidR="00793859">
        <w:t>GR</w:t>
      </w:r>
      <w:r w:rsidR="0006594F">
        <w:t xml:space="preserve"> </w:t>
      </w:r>
      <w:r w:rsidRPr="00793859">
        <w:t xml:space="preserve">and traditional </w:t>
      </w:r>
      <w:r w:rsidRPr="00793859">
        <w:lastRenderedPageBreak/>
        <w:t>knowledge, their inseparable nature for indigenous and local communities, the importance of traditional knowledge for the conservation of biological diversity and the sustainable use of its components, and for the sustainable livelihoods of these communities.”</w:t>
      </w:r>
      <w:r w:rsidR="00456AC8">
        <w:t xml:space="preserve"> </w:t>
      </w:r>
      <w:r w:rsidRPr="00793859">
        <w:t xml:space="preserve">This recognition suggests that, </w:t>
      </w:r>
      <w:r w:rsidR="00793859">
        <w:t>GR</w:t>
      </w:r>
      <w:r w:rsidR="0006594F">
        <w:t xml:space="preserve"> </w:t>
      </w:r>
      <w:r w:rsidRPr="00793859">
        <w:t xml:space="preserve">and </w:t>
      </w:r>
      <w:r w:rsidR="00793859">
        <w:t>ATK</w:t>
      </w:r>
      <w:r w:rsidRPr="00793859">
        <w:t xml:space="preserve"> are often closely interconnected and may, in certain circumstances, constitute complementary components of a single knowledge-resource system. Nevertheless, a different approach is reflected in the Bonn Guidelines on Access to </w:t>
      </w:r>
      <w:r w:rsidR="00793859">
        <w:t>GR</w:t>
      </w:r>
      <w:r w:rsidR="0006594F">
        <w:t xml:space="preserve"> </w:t>
      </w:r>
      <w:r w:rsidRPr="00793859">
        <w:t xml:space="preserve">and Fair and Equitable Sharing of the Benefits Arising out of their Utilization. The Guidelines provide that “permission to access </w:t>
      </w:r>
      <w:r w:rsidR="00793859">
        <w:t>GR</w:t>
      </w:r>
      <w:r w:rsidR="0006594F">
        <w:t xml:space="preserve"> </w:t>
      </w:r>
      <w:r w:rsidRPr="00793859">
        <w:t>does not necessarily imply permission to use associated knowledge and vice versa”</w:t>
      </w:r>
      <w:r w:rsidR="00EA014E" w:rsidRPr="00793859">
        <w:rPr>
          <w:rStyle w:val="FootnoteReference"/>
        </w:rPr>
        <w:footnoteReference w:id="18"/>
      </w:r>
      <w:r w:rsidR="00EA014E" w:rsidRPr="00793859">
        <w:t>.</w:t>
      </w:r>
      <w:r w:rsidRPr="00793859">
        <w:t xml:space="preserve"> This position indicates that access to </w:t>
      </w:r>
      <w:r w:rsidR="00793859">
        <w:t>GR</w:t>
      </w:r>
      <w:r w:rsidR="0006594F">
        <w:t xml:space="preserve"> </w:t>
      </w:r>
      <w:r w:rsidRPr="00793859">
        <w:t xml:space="preserve">may occur independently of access to </w:t>
      </w:r>
      <w:r w:rsidR="00793859">
        <w:t>ATK</w:t>
      </w:r>
      <w:r w:rsidRPr="00793859">
        <w:t xml:space="preserve">, just as access to </w:t>
      </w:r>
      <w:r w:rsidR="00793859">
        <w:t>ATK</w:t>
      </w:r>
      <w:r w:rsidRPr="00793859">
        <w:t xml:space="preserve"> may occur without access to </w:t>
      </w:r>
      <w:r w:rsidR="00456AC8">
        <w:t>GR</w:t>
      </w:r>
      <w:r w:rsidRPr="00793859">
        <w:t>.</w:t>
      </w:r>
    </w:p>
    <w:p w14:paraId="48D51FB5" w14:textId="6FE66CBF" w:rsidR="001803D9" w:rsidRPr="00793859" w:rsidRDefault="001803D9" w:rsidP="00793859">
      <w:pPr>
        <w:pStyle w:val="NormalWeb"/>
        <w:spacing w:line="360" w:lineRule="auto"/>
        <w:jc w:val="both"/>
      </w:pPr>
      <w:r w:rsidRPr="00793859">
        <w:t>Although the Bonn Guidelines constitute</w:t>
      </w:r>
      <w:r w:rsidR="00D85436" w:rsidRPr="00793859">
        <w:t>s</w:t>
      </w:r>
      <w:r w:rsidRPr="00793859">
        <w:t xml:space="preserve"> a </w:t>
      </w:r>
      <w:r w:rsidR="00EA014E" w:rsidRPr="00793859">
        <w:rPr>
          <w:i/>
          <w:iCs/>
        </w:rPr>
        <w:t>S</w:t>
      </w:r>
      <w:r w:rsidRPr="00793859">
        <w:rPr>
          <w:i/>
          <w:iCs/>
        </w:rPr>
        <w:t xml:space="preserve">oft </w:t>
      </w:r>
      <w:r w:rsidR="00EA014E" w:rsidRPr="00793859">
        <w:rPr>
          <w:i/>
          <w:iCs/>
        </w:rPr>
        <w:t>L</w:t>
      </w:r>
      <w:r w:rsidRPr="00793859">
        <w:rPr>
          <w:i/>
          <w:iCs/>
        </w:rPr>
        <w:t>aw</w:t>
      </w:r>
      <w:r w:rsidRPr="00793859">
        <w:t xml:space="preserve"> instrument, they have significantly influenced the development of national Access and Benefit-Sharing regimes by affording States discretion in determining the legal relationship between GR and ATK within their domestic legal frameworks. This approach appears to have informed the </w:t>
      </w:r>
      <w:r w:rsidR="00D85436" w:rsidRPr="00793859">
        <w:t>legislative</w:t>
      </w:r>
      <w:r w:rsidRPr="00793859">
        <w:t xml:space="preserve"> architecture adopted under Cameroonian law, which allocates rights over </w:t>
      </w:r>
      <w:r w:rsidR="00793859">
        <w:t>GR</w:t>
      </w:r>
      <w:r w:rsidR="0006594F">
        <w:t xml:space="preserve"> </w:t>
      </w:r>
      <w:r w:rsidRPr="00793859">
        <w:t xml:space="preserve">and </w:t>
      </w:r>
      <w:r w:rsidR="00793859">
        <w:t>ATK</w:t>
      </w:r>
      <w:r w:rsidRPr="00793859">
        <w:t xml:space="preserve"> to distinct categories of rights holders.</w:t>
      </w:r>
      <w:r w:rsidR="00D85436" w:rsidRPr="00793859">
        <w:t xml:space="preserve"> </w:t>
      </w:r>
      <w:r w:rsidRPr="00793859">
        <w:t>The Cameroon ABS Law provides that “</w:t>
      </w:r>
      <w:r w:rsidR="00793859">
        <w:t>GR</w:t>
      </w:r>
      <w:r w:rsidR="0006594F">
        <w:t xml:space="preserve"> </w:t>
      </w:r>
      <w:r w:rsidRPr="00793859">
        <w:t>and their derivatives of national origin belonging to the State shall constitute the common heritage of the Nation and no person may utilise them … without Prior Informed Consent”</w:t>
      </w:r>
      <w:r w:rsidR="00EA014E" w:rsidRPr="00793859">
        <w:rPr>
          <w:rStyle w:val="FootnoteReference"/>
        </w:rPr>
        <w:footnoteReference w:id="19"/>
      </w:r>
      <w:r w:rsidR="00EA014E" w:rsidRPr="00793859">
        <w:t>.</w:t>
      </w:r>
      <w:r w:rsidRPr="00793859">
        <w:t xml:space="preserve"> By contrast, the same legislation stipulates that “</w:t>
      </w:r>
      <w:r w:rsidR="00793859">
        <w:t>ATK</w:t>
      </w:r>
      <w:r w:rsidR="00EA014E" w:rsidRPr="00793859">
        <w:t xml:space="preserve"> shall belong to the indigenous and local communities that developed, preserved and handed it down from generation to generation, or to individuals identified by them in their midst</w:t>
      </w:r>
      <w:r w:rsidRPr="00793859">
        <w:t>”</w:t>
      </w:r>
      <w:r w:rsidR="00EA014E" w:rsidRPr="00793859">
        <w:rPr>
          <w:rStyle w:val="FootnoteTextChar"/>
          <w:sz w:val="24"/>
          <w:szCs w:val="24"/>
        </w:rPr>
        <w:t xml:space="preserve"> </w:t>
      </w:r>
      <w:r w:rsidR="00EA014E" w:rsidRPr="00793859">
        <w:rPr>
          <w:rStyle w:val="FootnoteReference"/>
        </w:rPr>
        <w:footnoteReference w:id="20"/>
      </w:r>
      <w:r w:rsidR="00EA014E" w:rsidRPr="00793859">
        <w:rPr>
          <w:rStyle w:val="FootnoteTextChar"/>
          <w:sz w:val="24"/>
          <w:szCs w:val="24"/>
        </w:rPr>
        <w:t>.</w:t>
      </w:r>
      <w:r w:rsidRPr="00793859">
        <w:t xml:space="preserve"> Consequently, while the State exercises sovereign rights over </w:t>
      </w:r>
      <w:r w:rsidR="00D572E1">
        <w:t>GR</w:t>
      </w:r>
      <w:r w:rsidRPr="00793859">
        <w:t xml:space="preserve">, ownership and custodianship of </w:t>
      </w:r>
      <w:r w:rsidR="00793859">
        <w:t>ATK</w:t>
      </w:r>
      <w:r w:rsidRPr="00793859">
        <w:t xml:space="preserve"> are vested in the relevant I</w:t>
      </w:r>
      <w:r w:rsidR="00D572E1">
        <w:t>PLCs</w:t>
      </w:r>
      <w:r w:rsidRPr="00793859">
        <w:t>.</w:t>
      </w:r>
    </w:p>
    <w:p w14:paraId="6E42F031" w14:textId="3A205DA5" w:rsidR="00AD01FC" w:rsidRDefault="001803D9" w:rsidP="00793859">
      <w:pPr>
        <w:pStyle w:val="NormalWeb"/>
        <w:spacing w:line="360" w:lineRule="auto"/>
        <w:jc w:val="both"/>
      </w:pPr>
      <w:r w:rsidRPr="00793859">
        <w:t>This distinction is further reinforced by Decree No. 2023/7526/PM of 6 October 2023 laying down the conditions for the implementation of Law No. 2021/014 of 9 July 2021 governing access to genetic resources, their derivatives, traditional knowledge associated with genetic resources, and the fair and equitable sharing of benefits arising from their utilisation</w:t>
      </w:r>
      <w:r w:rsidR="00AD01FC" w:rsidRPr="00793859">
        <w:rPr>
          <w:rStyle w:val="FootnoteReference"/>
        </w:rPr>
        <w:footnoteReference w:id="21"/>
      </w:r>
      <w:r w:rsidRPr="00793859">
        <w:t xml:space="preserve">. The combined effect of these legislative and regulatory instruments demonstrates that, under Cameroonian law, </w:t>
      </w:r>
      <w:r w:rsidR="00793859">
        <w:t>GR</w:t>
      </w:r>
      <w:r w:rsidR="00D572E1">
        <w:t xml:space="preserve"> </w:t>
      </w:r>
      <w:r w:rsidRPr="00793859">
        <w:t xml:space="preserve">and </w:t>
      </w:r>
      <w:r w:rsidR="00793859">
        <w:t>ATK</w:t>
      </w:r>
      <w:r w:rsidRPr="00793859">
        <w:t xml:space="preserve"> are recognised as interconnected yet legally distinct subject </w:t>
      </w:r>
      <w:r w:rsidRPr="00793859">
        <w:lastRenderedPageBreak/>
        <w:t>matters, each governed by separate ownership and access regimes.</w:t>
      </w:r>
      <w:r w:rsidR="00E453E5" w:rsidRPr="00793859">
        <w:t xml:space="preserve"> Therefore,</w:t>
      </w:r>
      <w:r w:rsidR="00D572E1">
        <w:t xml:space="preserve"> this implies that,</w:t>
      </w:r>
      <w:r w:rsidR="00E453E5" w:rsidRPr="00793859">
        <w:t xml:space="preserve"> </w:t>
      </w:r>
      <w:r w:rsidR="00E453E5" w:rsidRPr="00793859">
        <w:rPr>
          <w:rStyle w:val="Strong"/>
          <w:b w:val="0"/>
          <w:bCs w:val="0"/>
        </w:rPr>
        <w:t xml:space="preserve">access to GR </w:t>
      </w:r>
      <w:r w:rsidR="00D572E1">
        <w:rPr>
          <w:rStyle w:val="Strong"/>
          <w:b w:val="0"/>
          <w:bCs w:val="0"/>
        </w:rPr>
        <w:t>may not</w:t>
      </w:r>
      <w:r w:rsidR="00E453E5" w:rsidRPr="00793859">
        <w:rPr>
          <w:rStyle w:val="Strong"/>
          <w:b w:val="0"/>
          <w:bCs w:val="0"/>
        </w:rPr>
        <w:t xml:space="preserve"> automatically </w:t>
      </w:r>
      <w:r w:rsidR="00D572E1">
        <w:rPr>
          <w:rStyle w:val="Strong"/>
          <w:b w:val="0"/>
          <w:bCs w:val="0"/>
        </w:rPr>
        <w:t>mean</w:t>
      </w:r>
      <w:r w:rsidR="00E453E5" w:rsidRPr="00793859">
        <w:rPr>
          <w:rStyle w:val="Strong"/>
          <w:b w:val="0"/>
          <w:bCs w:val="0"/>
        </w:rPr>
        <w:t xml:space="preserve"> access to ATK under Cameroonian law</w:t>
      </w:r>
      <w:r w:rsidR="00AD01FC">
        <w:t>.</w:t>
      </w:r>
    </w:p>
    <w:p w14:paraId="0CC52550" w14:textId="564904F0" w:rsidR="001803D9" w:rsidRPr="00793859" w:rsidRDefault="001803D9" w:rsidP="00793859">
      <w:pPr>
        <w:pStyle w:val="Heading2"/>
        <w:spacing w:after="240" w:line="360" w:lineRule="auto"/>
        <w:jc w:val="both"/>
        <w:rPr>
          <w:rFonts w:ascii="Times New Roman" w:eastAsia="Times New Roman" w:hAnsi="Times New Roman" w:cs="Times New Roman"/>
          <w:b/>
          <w:bCs/>
          <w:color w:val="auto"/>
          <w:sz w:val="24"/>
          <w:szCs w:val="24"/>
          <w:lang w:eastAsia="en-ZA"/>
        </w:rPr>
      </w:pPr>
      <w:r w:rsidRPr="00793859">
        <w:rPr>
          <w:rFonts w:ascii="Times New Roman" w:eastAsia="Times New Roman" w:hAnsi="Times New Roman" w:cs="Times New Roman"/>
          <w:b/>
          <w:bCs/>
          <w:color w:val="auto"/>
          <w:sz w:val="24"/>
          <w:szCs w:val="24"/>
          <w:lang w:eastAsia="en-ZA"/>
        </w:rPr>
        <w:t xml:space="preserve">3.2 Access Mechanisms for </w:t>
      </w:r>
      <w:r w:rsidR="00793859">
        <w:rPr>
          <w:rFonts w:ascii="Times New Roman" w:eastAsia="Times New Roman" w:hAnsi="Times New Roman" w:cs="Times New Roman"/>
          <w:b/>
          <w:bCs/>
          <w:color w:val="auto"/>
          <w:sz w:val="24"/>
          <w:szCs w:val="24"/>
          <w:lang w:eastAsia="en-ZA"/>
        </w:rPr>
        <w:t>G</w:t>
      </w:r>
      <w:r w:rsidR="0006594F">
        <w:rPr>
          <w:rFonts w:ascii="Times New Roman" w:eastAsia="Times New Roman" w:hAnsi="Times New Roman" w:cs="Times New Roman"/>
          <w:b/>
          <w:bCs/>
          <w:color w:val="auto"/>
          <w:sz w:val="24"/>
          <w:szCs w:val="24"/>
          <w:lang w:eastAsia="en-ZA"/>
        </w:rPr>
        <w:t xml:space="preserve">enetic Resources </w:t>
      </w:r>
      <w:r w:rsidRPr="00793859">
        <w:rPr>
          <w:rFonts w:ascii="Times New Roman" w:eastAsia="Times New Roman" w:hAnsi="Times New Roman" w:cs="Times New Roman"/>
          <w:b/>
          <w:bCs/>
          <w:color w:val="auto"/>
          <w:sz w:val="24"/>
          <w:szCs w:val="24"/>
          <w:lang w:eastAsia="en-ZA"/>
        </w:rPr>
        <w:t>in Cameroon</w:t>
      </w:r>
      <w:r w:rsidR="00B47B64" w:rsidRPr="00793859">
        <w:rPr>
          <w:rFonts w:ascii="Times New Roman" w:eastAsia="Times New Roman" w:hAnsi="Times New Roman" w:cs="Times New Roman"/>
          <w:b/>
          <w:bCs/>
          <w:color w:val="auto"/>
          <w:sz w:val="24"/>
          <w:szCs w:val="24"/>
          <w:lang w:eastAsia="en-ZA"/>
        </w:rPr>
        <w:t>ian</w:t>
      </w:r>
      <w:r w:rsidRPr="00793859">
        <w:rPr>
          <w:rFonts w:ascii="Times New Roman" w:eastAsia="Times New Roman" w:hAnsi="Times New Roman" w:cs="Times New Roman"/>
          <w:b/>
          <w:bCs/>
          <w:color w:val="auto"/>
          <w:sz w:val="24"/>
          <w:szCs w:val="24"/>
          <w:lang w:eastAsia="en-ZA"/>
        </w:rPr>
        <w:t xml:space="preserve"> legal framework</w:t>
      </w:r>
    </w:p>
    <w:p w14:paraId="79D242F4" w14:textId="43E4A1AD" w:rsidR="00AD01FC" w:rsidRDefault="001803D9"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1803D9">
        <w:rPr>
          <w:rFonts w:ascii="Times New Roman" w:eastAsia="Times New Roman" w:hAnsi="Times New Roman" w:cs="Times New Roman"/>
          <w:sz w:val="24"/>
          <w:szCs w:val="24"/>
          <w:lang w:eastAsia="en-ZA"/>
        </w:rPr>
        <w:t xml:space="preserve">As noted above, although </w:t>
      </w:r>
      <w:r w:rsidR="0006594F">
        <w:rPr>
          <w:rFonts w:ascii="Times New Roman" w:eastAsia="Times New Roman" w:hAnsi="Times New Roman" w:cs="Times New Roman"/>
          <w:sz w:val="24"/>
          <w:szCs w:val="24"/>
          <w:lang w:eastAsia="en-ZA"/>
        </w:rPr>
        <w:t>GR</w:t>
      </w:r>
      <w:r w:rsidRPr="001803D9">
        <w:rPr>
          <w:rFonts w:ascii="Times New Roman" w:eastAsia="Times New Roman" w:hAnsi="Times New Roman" w:cs="Times New Roman"/>
          <w:sz w:val="24"/>
          <w:szCs w:val="24"/>
          <w:lang w:eastAsia="en-ZA"/>
        </w:rPr>
        <w:t xml:space="preserve"> and </w:t>
      </w:r>
      <w:r w:rsidR="00793859">
        <w:rPr>
          <w:rFonts w:ascii="Times New Roman" w:eastAsia="Times New Roman" w:hAnsi="Times New Roman" w:cs="Times New Roman"/>
          <w:sz w:val="24"/>
          <w:szCs w:val="24"/>
          <w:lang w:eastAsia="en-ZA"/>
        </w:rPr>
        <w:t>ATK</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are closely interconnected, certain legal indicators demonstrate that, under Cameroonian law,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may be accessed independently of </w:t>
      </w:r>
      <w:r w:rsidR="00793859">
        <w:rPr>
          <w:rFonts w:ascii="Times New Roman" w:eastAsia="Times New Roman" w:hAnsi="Times New Roman" w:cs="Times New Roman"/>
          <w:sz w:val="24"/>
          <w:szCs w:val="24"/>
          <w:lang w:eastAsia="en-ZA"/>
        </w:rPr>
        <w:t>ATK</w:t>
      </w:r>
      <w:r w:rsidRPr="001803D9">
        <w:rPr>
          <w:rFonts w:ascii="Times New Roman" w:eastAsia="Times New Roman" w:hAnsi="Times New Roman" w:cs="Times New Roman"/>
          <w:sz w:val="24"/>
          <w:szCs w:val="24"/>
          <w:lang w:eastAsia="en-ZA"/>
        </w:rPr>
        <w:t xml:space="preserve">. These indicators can be identified through an examination of the legal mechanisms governing access to </w:t>
      </w:r>
      <w:r w:rsidR="00AD01FC">
        <w:rPr>
          <w:rFonts w:ascii="Times New Roman" w:eastAsia="Times New Roman" w:hAnsi="Times New Roman" w:cs="Times New Roman"/>
          <w:sz w:val="24"/>
          <w:szCs w:val="24"/>
          <w:lang w:eastAsia="en-ZA"/>
        </w:rPr>
        <w:t>GR</w:t>
      </w:r>
      <w:r w:rsidRPr="001803D9">
        <w:rPr>
          <w:rFonts w:ascii="Times New Roman" w:eastAsia="Times New Roman" w:hAnsi="Times New Roman" w:cs="Times New Roman"/>
          <w:sz w:val="24"/>
          <w:szCs w:val="24"/>
          <w:lang w:eastAsia="en-ZA"/>
        </w:rPr>
        <w:t>.</w:t>
      </w:r>
      <w:r w:rsidR="00E453E5" w:rsidRPr="00793859">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Prior to the enactment of the Cameroon Access and Benefit-Sharing (ABS) Law, the regulation of access to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was principally governed by Law No. 94/01 of 20 January 1994 laying down forestry, wildlife and fisheries regulations and Law No. 96/12 of 5 August 1996 relating to environmental management, as amended in 2022. The 1994 Law provides that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forming part of the national heritage belong to the State and may not be utilised for scientific, commercial, or cultural purposes without prior authorisation, which is subject to the payment of royalties to the State</w:t>
      </w:r>
      <w:r w:rsidR="00EA014E" w:rsidRPr="00793859">
        <w:rPr>
          <w:rStyle w:val="FootnoteReference"/>
          <w:rFonts w:ascii="Times New Roman" w:eastAsia="Times New Roman" w:hAnsi="Times New Roman" w:cs="Times New Roman"/>
          <w:sz w:val="24"/>
          <w:szCs w:val="24"/>
          <w:lang w:eastAsia="en-ZA"/>
        </w:rPr>
        <w:footnoteReference w:id="22"/>
      </w:r>
      <w:r w:rsidRPr="001803D9">
        <w:rPr>
          <w:rFonts w:ascii="Times New Roman" w:eastAsia="Times New Roman" w:hAnsi="Times New Roman" w:cs="Times New Roman"/>
          <w:sz w:val="24"/>
          <w:szCs w:val="24"/>
          <w:lang w:eastAsia="en-ZA"/>
        </w:rPr>
        <w:t>. Similarly, the 1996 Framework Law on Environmental Management emphasises the sustainable utilisation of biodiversity through a system regulating access to</w:t>
      </w:r>
      <w:r w:rsidR="00564332">
        <w:rPr>
          <w:rFonts w:ascii="Times New Roman" w:eastAsia="Times New Roman" w:hAnsi="Times New Roman" w:cs="Times New Roman"/>
          <w:sz w:val="24"/>
          <w:szCs w:val="24"/>
          <w:lang w:eastAsia="en-ZA"/>
        </w:rPr>
        <w:t xml:space="preserve"> GR</w:t>
      </w:r>
      <w:r w:rsidR="00EA014E" w:rsidRPr="00793859">
        <w:rPr>
          <w:rStyle w:val="FootnoteReference"/>
          <w:rFonts w:ascii="Times New Roman" w:hAnsi="Times New Roman" w:cs="Times New Roman"/>
          <w:sz w:val="24"/>
          <w:szCs w:val="24"/>
          <w:lang w:val="en-US"/>
        </w:rPr>
        <w:footnoteReference w:id="23"/>
      </w:r>
      <w:r w:rsidRPr="001803D9">
        <w:rPr>
          <w:rFonts w:ascii="Times New Roman" w:eastAsia="Times New Roman" w:hAnsi="Times New Roman" w:cs="Times New Roman"/>
          <w:sz w:val="24"/>
          <w:szCs w:val="24"/>
          <w:lang w:eastAsia="en-ZA"/>
        </w:rPr>
        <w:t xml:space="preserve">. It further envisages the adoption of an implementing decree establishing the conditions under which foreign researchers, national research institutions, and local communities would collaborate in matters relating to </w:t>
      </w:r>
      <w:r w:rsidR="00564332">
        <w:rPr>
          <w:rFonts w:ascii="Times New Roman" w:eastAsia="Times New Roman" w:hAnsi="Times New Roman" w:cs="Times New Roman"/>
          <w:sz w:val="24"/>
          <w:szCs w:val="24"/>
          <w:lang w:eastAsia="en-ZA"/>
        </w:rPr>
        <w:t>GR</w:t>
      </w:r>
      <w:r w:rsidR="00EA014E" w:rsidRPr="00793859">
        <w:rPr>
          <w:rStyle w:val="FootnoteReference"/>
          <w:rFonts w:ascii="Times New Roman" w:hAnsi="Times New Roman" w:cs="Times New Roman"/>
          <w:sz w:val="24"/>
          <w:szCs w:val="24"/>
          <w:lang w:val="en-US"/>
        </w:rPr>
        <w:footnoteReference w:id="24"/>
      </w:r>
      <w:r w:rsidRPr="001803D9">
        <w:rPr>
          <w:rFonts w:ascii="Times New Roman" w:eastAsia="Times New Roman" w:hAnsi="Times New Roman" w:cs="Times New Roman"/>
          <w:sz w:val="24"/>
          <w:szCs w:val="24"/>
          <w:lang w:eastAsia="en-ZA"/>
        </w:rPr>
        <w:t>. Although such decree was never adopted, the enactment of the Cameroon ABS Law and its implementing Decree filled th</w:t>
      </w:r>
      <w:r w:rsidR="00AD01FC">
        <w:rPr>
          <w:rFonts w:ascii="Times New Roman" w:eastAsia="Times New Roman" w:hAnsi="Times New Roman" w:cs="Times New Roman"/>
          <w:sz w:val="24"/>
          <w:szCs w:val="24"/>
          <w:lang w:eastAsia="en-ZA"/>
        </w:rPr>
        <w:t>is</w:t>
      </w:r>
      <w:r w:rsidRPr="001803D9">
        <w:rPr>
          <w:rFonts w:ascii="Times New Roman" w:eastAsia="Times New Roman" w:hAnsi="Times New Roman" w:cs="Times New Roman"/>
          <w:sz w:val="24"/>
          <w:szCs w:val="24"/>
          <w:lang w:eastAsia="en-ZA"/>
        </w:rPr>
        <w:t xml:space="preserve"> regulatory lacuna</w:t>
      </w:r>
      <w:r w:rsidR="00AD01FC">
        <w:rPr>
          <w:rFonts w:ascii="Times New Roman" w:eastAsia="Times New Roman" w:hAnsi="Times New Roman" w:cs="Times New Roman"/>
          <w:sz w:val="24"/>
          <w:szCs w:val="24"/>
          <w:lang w:eastAsia="en-ZA"/>
        </w:rPr>
        <w:t>.</w:t>
      </w:r>
    </w:p>
    <w:p w14:paraId="2AE04B52" w14:textId="01428D16" w:rsidR="001803D9" w:rsidRPr="001803D9" w:rsidRDefault="001803D9"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1803D9">
        <w:rPr>
          <w:rFonts w:ascii="Times New Roman" w:eastAsia="Times New Roman" w:hAnsi="Times New Roman" w:cs="Times New Roman"/>
          <w:sz w:val="24"/>
          <w:szCs w:val="24"/>
          <w:lang w:eastAsia="en-ZA"/>
        </w:rPr>
        <w:t xml:space="preserve">Under the Cameroon ABS regime, the requirements for accessing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vary according to the applicable access regime. The legal framework distinguishes between a standard regime and two specific regimes, namely the declaratory and the emergency regime</w:t>
      </w:r>
      <w:r w:rsidR="00AD01FC">
        <w:rPr>
          <w:rFonts w:ascii="Times New Roman" w:eastAsia="Times New Roman" w:hAnsi="Times New Roman" w:cs="Times New Roman"/>
          <w:sz w:val="24"/>
          <w:szCs w:val="24"/>
          <w:lang w:eastAsia="en-ZA"/>
        </w:rPr>
        <w:t>s</w:t>
      </w:r>
      <w:r w:rsidRPr="001803D9">
        <w:rPr>
          <w:rFonts w:ascii="Times New Roman" w:eastAsia="Times New Roman" w:hAnsi="Times New Roman" w:cs="Times New Roman"/>
          <w:sz w:val="24"/>
          <w:szCs w:val="24"/>
          <w:lang w:eastAsia="en-ZA"/>
        </w:rPr>
        <w:t>.</w:t>
      </w:r>
      <w:r w:rsidR="00155F9E" w:rsidRPr="00793859">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Under the standard regime, which is available to any person seeking access to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and their derivatives, the National Committee on Access and Fair and Equitable Sharing of Benefits first examines the application and provides its opinion. Thereafter, the Competent National Authority (CNA) may grant PIC</w:t>
      </w:r>
      <w:r w:rsidR="00EA014E" w:rsidRPr="00793859">
        <w:rPr>
          <w:rStyle w:val="FootnoteTextChar"/>
          <w:rFonts w:ascii="Times New Roman" w:hAnsi="Times New Roman" w:cs="Times New Roman"/>
          <w:sz w:val="24"/>
          <w:szCs w:val="24"/>
          <w:lang w:val="en-GB"/>
        </w:rPr>
        <w:t xml:space="preserve"> </w:t>
      </w:r>
      <w:r w:rsidR="00EA014E" w:rsidRPr="00793859">
        <w:rPr>
          <w:rStyle w:val="FootnoteReference"/>
          <w:rFonts w:ascii="Times New Roman" w:hAnsi="Times New Roman" w:cs="Times New Roman"/>
          <w:sz w:val="24"/>
          <w:szCs w:val="24"/>
          <w:lang w:val="en-GB"/>
        </w:rPr>
        <w:footnoteReference w:id="25"/>
      </w:r>
      <w:r w:rsidRPr="001803D9">
        <w:rPr>
          <w:rFonts w:ascii="Times New Roman" w:eastAsia="Times New Roman" w:hAnsi="Times New Roman" w:cs="Times New Roman"/>
          <w:sz w:val="24"/>
          <w:szCs w:val="24"/>
          <w:lang w:eastAsia="en-ZA"/>
        </w:rPr>
        <w:t>. Upon obtaining PIC, the applicant becomes eligible to apply for an ABS permit</w:t>
      </w:r>
      <w:r w:rsidR="003B6634" w:rsidRPr="00793859">
        <w:rPr>
          <w:rStyle w:val="FootnoteReference"/>
          <w:rFonts w:ascii="Times New Roman" w:hAnsi="Times New Roman" w:cs="Times New Roman"/>
          <w:sz w:val="24"/>
          <w:szCs w:val="24"/>
          <w:lang w:val="en-GB"/>
        </w:rPr>
        <w:footnoteReference w:id="26"/>
      </w:r>
      <w:r w:rsidR="003B6634">
        <w:rPr>
          <w:rFonts w:ascii="Times New Roman" w:eastAsia="Times New Roman" w:hAnsi="Times New Roman" w:cs="Times New Roman"/>
          <w:sz w:val="24"/>
          <w:szCs w:val="24"/>
          <w:lang w:val="en-GB" w:eastAsia="en-ZA"/>
        </w:rPr>
        <w:t xml:space="preserve"> </w:t>
      </w:r>
      <w:r w:rsidRPr="001803D9">
        <w:rPr>
          <w:rFonts w:ascii="Times New Roman" w:eastAsia="Times New Roman" w:hAnsi="Times New Roman" w:cs="Times New Roman"/>
          <w:sz w:val="24"/>
          <w:szCs w:val="24"/>
          <w:lang w:eastAsia="en-ZA"/>
        </w:rPr>
        <w:lastRenderedPageBreak/>
        <w:t>and may subsequently enter into negotiations for the conclusion of MAT</w:t>
      </w:r>
      <w:r w:rsidR="00564332">
        <w:rPr>
          <w:rFonts w:ascii="Times New Roman" w:eastAsia="Times New Roman" w:hAnsi="Times New Roman" w:cs="Times New Roman"/>
          <w:sz w:val="24"/>
          <w:szCs w:val="24"/>
          <w:lang w:val="en-GB" w:eastAsia="en-ZA"/>
        </w:rPr>
        <w:t xml:space="preserve"> </w:t>
      </w:r>
      <w:r w:rsidRPr="001803D9">
        <w:rPr>
          <w:rFonts w:ascii="Times New Roman" w:eastAsia="Times New Roman" w:hAnsi="Times New Roman" w:cs="Times New Roman"/>
          <w:sz w:val="24"/>
          <w:szCs w:val="24"/>
          <w:lang w:eastAsia="en-ZA"/>
        </w:rPr>
        <w:t xml:space="preserve">where required by law, particularly when the access involves </w:t>
      </w:r>
      <w:r w:rsidR="00793859">
        <w:rPr>
          <w:rFonts w:ascii="Times New Roman" w:eastAsia="Times New Roman" w:hAnsi="Times New Roman" w:cs="Times New Roman"/>
          <w:sz w:val="24"/>
          <w:szCs w:val="24"/>
          <w:lang w:eastAsia="en-ZA"/>
        </w:rPr>
        <w:t>ATK</w:t>
      </w:r>
      <w:r w:rsidRPr="001803D9">
        <w:rPr>
          <w:rFonts w:ascii="Times New Roman" w:eastAsia="Times New Roman" w:hAnsi="Times New Roman" w:cs="Times New Roman"/>
          <w:sz w:val="24"/>
          <w:szCs w:val="24"/>
          <w:lang w:eastAsia="en-ZA"/>
        </w:rPr>
        <w:t xml:space="preserve"> or the rights of </w:t>
      </w:r>
      <w:r w:rsidR="00793859">
        <w:rPr>
          <w:rFonts w:ascii="Times New Roman" w:eastAsia="Times New Roman" w:hAnsi="Times New Roman" w:cs="Times New Roman"/>
          <w:sz w:val="24"/>
          <w:szCs w:val="24"/>
          <w:lang w:eastAsia="en-ZA"/>
        </w:rPr>
        <w:t>IPLCs</w:t>
      </w:r>
      <w:r w:rsidR="00EA014E" w:rsidRPr="00793859">
        <w:rPr>
          <w:rStyle w:val="FootnoteReference"/>
          <w:rFonts w:ascii="Times New Roman" w:hAnsi="Times New Roman" w:cs="Times New Roman"/>
          <w:sz w:val="24"/>
          <w:szCs w:val="24"/>
          <w:lang w:val="en-GB"/>
        </w:rPr>
        <w:footnoteReference w:id="27"/>
      </w:r>
      <w:r w:rsidRPr="001803D9">
        <w:rPr>
          <w:rFonts w:ascii="Times New Roman" w:eastAsia="Times New Roman" w:hAnsi="Times New Roman" w:cs="Times New Roman"/>
          <w:sz w:val="24"/>
          <w:szCs w:val="24"/>
          <w:lang w:eastAsia="en-ZA"/>
        </w:rPr>
        <w:t>.</w:t>
      </w:r>
    </w:p>
    <w:p w14:paraId="39973A3F" w14:textId="77777777" w:rsidR="003B6634" w:rsidRDefault="001803D9"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1803D9">
        <w:rPr>
          <w:rFonts w:ascii="Times New Roman" w:eastAsia="Times New Roman" w:hAnsi="Times New Roman" w:cs="Times New Roman"/>
          <w:sz w:val="24"/>
          <w:szCs w:val="24"/>
          <w:lang w:eastAsia="en-ZA"/>
        </w:rPr>
        <w:t>The declaratory regime constitutes a specific access mechanism applicable to professionals engaged in fundamental research or development programmes within the national research system. Under this regime, applicants are exempt from the requirement to obtain PIC and are instead required to submit a declaration of their research project to the Competent National Authority</w:t>
      </w:r>
      <w:r w:rsidR="00EA014E" w:rsidRPr="00793859">
        <w:rPr>
          <w:rStyle w:val="FootnoteReference"/>
          <w:rFonts w:ascii="Times New Roman" w:hAnsi="Times New Roman" w:cs="Times New Roman"/>
          <w:sz w:val="24"/>
          <w:szCs w:val="24"/>
          <w:lang w:val="en-GB"/>
        </w:rPr>
        <w:footnoteReference w:id="28"/>
      </w:r>
      <w:r w:rsidRPr="001803D9">
        <w:rPr>
          <w:rFonts w:ascii="Times New Roman" w:eastAsia="Times New Roman" w:hAnsi="Times New Roman" w:cs="Times New Roman"/>
          <w:sz w:val="24"/>
          <w:szCs w:val="24"/>
          <w:lang w:eastAsia="en-ZA"/>
        </w:rPr>
        <w:t>. The rationale underlying this special regime is to facilitate scientific research and technological development by reducing administrative constraints that could otherwise impede activities aimed at advancing knowledge relevant to the conservation and sustainable use of biological diversity.</w:t>
      </w:r>
      <w:r w:rsidR="00155F9E" w:rsidRPr="00793859">
        <w:rPr>
          <w:rFonts w:ascii="Times New Roman" w:eastAsia="Times New Roman" w:hAnsi="Times New Roman" w:cs="Times New Roman"/>
          <w:sz w:val="24"/>
          <w:szCs w:val="24"/>
          <w:lang w:eastAsia="en-ZA"/>
        </w:rPr>
        <w:t xml:space="preserve"> </w:t>
      </w:r>
      <w:r w:rsidR="00564332">
        <w:rPr>
          <w:rFonts w:ascii="Times New Roman" w:eastAsia="Times New Roman" w:hAnsi="Times New Roman" w:cs="Times New Roman"/>
          <w:sz w:val="24"/>
          <w:szCs w:val="24"/>
          <w:lang w:eastAsia="en-ZA"/>
        </w:rPr>
        <w:t xml:space="preserve">Another </w:t>
      </w:r>
      <w:r w:rsidRPr="001803D9">
        <w:rPr>
          <w:rFonts w:ascii="Times New Roman" w:eastAsia="Times New Roman" w:hAnsi="Times New Roman" w:cs="Times New Roman"/>
          <w:sz w:val="24"/>
          <w:szCs w:val="24"/>
          <w:lang w:eastAsia="en-ZA"/>
        </w:rPr>
        <w:t>specific mechanism is the emergency regime</w:t>
      </w:r>
      <w:r w:rsidR="00564332">
        <w:rPr>
          <w:rFonts w:ascii="Times New Roman" w:eastAsia="Times New Roman" w:hAnsi="Times New Roman" w:cs="Times New Roman"/>
          <w:sz w:val="24"/>
          <w:szCs w:val="24"/>
          <w:lang w:eastAsia="en-ZA"/>
        </w:rPr>
        <w:t xml:space="preserve"> which </w:t>
      </w:r>
      <w:r w:rsidRPr="001803D9">
        <w:rPr>
          <w:rFonts w:ascii="Times New Roman" w:eastAsia="Times New Roman" w:hAnsi="Times New Roman" w:cs="Times New Roman"/>
          <w:sz w:val="24"/>
          <w:szCs w:val="24"/>
          <w:lang w:eastAsia="en-ZA"/>
        </w:rPr>
        <w:t xml:space="preserve">applies in situations of actual or imminent emergencies affecting human, animal, or plant health, or threatening food security. Such situations must be formally recognised by the Competent National Authority upon receipt of evidence demonstrating the existence of the emergency. In these circumstances, access to </w:t>
      </w:r>
      <w:r w:rsidR="00564332">
        <w:rPr>
          <w:rFonts w:ascii="Times New Roman" w:eastAsia="Times New Roman" w:hAnsi="Times New Roman" w:cs="Times New Roman"/>
          <w:sz w:val="24"/>
          <w:szCs w:val="24"/>
          <w:lang w:eastAsia="en-ZA"/>
        </w:rPr>
        <w:t>GR</w:t>
      </w:r>
      <w:r w:rsidRPr="001803D9">
        <w:rPr>
          <w:rFonts w:ascii="Times New Roman" w:eastAsia="Times New Roman" w:hAnsi="Times New Roman" w:cs="Times New Roman"/>
          <w:sz w:val="24"/>
          <w:szCs w:val="24"/>
          <w:lang w:eastAsia="en-ZA"/>
        </w:rPr>
        <w:t xml:space="preserve">, their derivatives, and, where necessary, </w:t>
      </w:r>
      <w:r w:rsidR="00793859">
        <w:rPr>
          <w:rFonts w:ascii="Times New Roman" w:eastAsia="Times New Roman" w:hAnsi="Times New Roman" w:cs="Times New Roman"/>
          <w:sz w:val="24"/>
          <w:szCs w:val="24"/>
          <w:lang w:eastAsia="en-ZA"/>
        </w:rPr>
        <w:t>ATK</w:t>
      </w:r>
      <w:r w:rsidRPr="001803D9">
        <w:rPr>
          <w:rFonts w:ascii="Times New Roman" w:eastAsia="Times New Roman" w:hAnsi="Times New Roman" w:cs="Times New Roman"/>
          <w:sz w:val="24"/>
          <w:szCs w:val="24"/>
          <w:lang w:eastAsia="en-ZA"/>
        </w:rPr>
        <w:t xml:space="preserve"> is facilitated through a simplified authorisation procedure</w:t>
      </w:r>
      <w:r w:rsidR="000F1434" w:rsidRPr="00793859">
        <w:rPr>
          <w:rStyle w:val="FootnoteReference"/>
          <w:rFonts w:ascii="Times New Roman" w:hAnsi="Times New Roman" w:cs="Times New Roman"/>
          <w:sz w:val="24"/>
          <w:szCs w:val="24"/>
          <w:lang w:val="en-GB"/>
        </w:rPr>
        <w:footnoteReference w:id="29"/>
      </w:r>
      <w:r w:rsidRPr="001803D9">
        <w:rPr>
          <w:rFonts w:ascii="Times New Roman" w:eastAsia="Times New Roman" w:hAnsi="Times New Roman" w:cs="Times New Roman"/>
          <w:sz w:val="24"/>
          <w:szCs w:val="24"/>
          <w:lang w:eastAsia="en-ZA"/>
        </w:rPr>
        <w:t xml:space="preserve">. The objective of this regime is not to derogate entirely from the sovereign rights of the State over its </w:t>
      </w:r>
      <w:r w:rsidR="00793859">
        <w:rPr>
          <w:rFonts w:ascii="Times New Roman" w:eastAsia="Times New Roman" w:hAnsi="Times New Roman" w:cs="Times New Roman"/>
          <w:sz w:val="24"/>
          <w:szCs w:val="24"/>
          <w:lang w:eastAsia="en-ZA"/>
        </w:rPr>
        <w:t>GR</w:t>
      </w:r>
      <w:r w:rsidR="0006594F">
        <w:rPr>
          <w:rFonts w:ascii="Times New Roman" w:eastAsia="Times New Roman" w:hAnsi="Times New Roman" w:cs="Times New Roman"/>
          <w:sz w:val="24"/>
          <w:szCs w:val="24"/>
          <w:lang w:eastAsia="en-ZA"/>
        </w:rPr>
        <w:t xml:space="preserve"> </w:t>
      </w:r>
      <w:r w:rsidRPr="001803D9">
        <w:rPr>
          <w:rFonts w:ascii="Times New Roman" w:eastAsia="Times New Roman" w:hAnsi="Times New Roman" w:cs="Times New Roman"/>
          <w:sz w:val="24"/>
          <w:szCs w:val="24"/>
          <w:lang w:eastAsia="en-ZA"/>
        </w:rPr>
        <w:t xml:space="preserve">but rather to ensure the availability of resources necessary to respond effectively to emergencies. Nevertheless, users benefiting from this expedited procedure remain subject to obligations relating to the fair and equitable sharing of benefits arising from the utilisation of </w:t>
      </w:r>
      <w:r w:rsidR="00564332">
        <w:rPr>
          <w:rFonts w:ascii="Times New Roman" w:eastAsia="Times New Roman" w:hAnsi="Times New Roman" w:cs="Times New Roman"/>
          <w:sz w:val="24"/>
          <w:szCs w:val="24"/>
          <w:lang w:eastAsia="en-ZA"/>
        </w:rPr>
        <w:t>GR i</w:t>
      </w:r>
      <w:r w:rsidRPr="001803D9">
        <w:rPr>
          <w:rFonts w:ascii="Times New Roman" w:eastAsia="Times New Roman" w:hAnsi="Times New Roman" w:cs="Times New Roman"/>
          <w:sz w:val="24"/>
          <w:szCs w:val="24"/>
          <w:lang w:eastAsia="en-ZA"/>
        </w:rPr>
        <w:t>ncluding, where appropriate, access to resulting treatments at affordable costs</w:t>
      </w:r>
      <w:r w:rsidR="000F1434" w:rsidRPr="00793859">
        <w:rPr>
          <w:rStyle w:val="FootnoteReference"/>
          <w:rFonts w:ascii="Times New Roman" w:hAnsi="Times New Roman" w:cs="Times New Roman"/>
          <w:sz w:val="24"/>
          <w:szCs w:val="24"/>
          <w:lang w:val="en-GB"/>
        </w:rPr>
        <w:footnoteReference w:id="30"/>
      </w:r>
      <w:r w:rsidRPr="001803D9">
        <w:rPr>
          <w:rFonts w:ascii="Times New Roman" w:eastAsia="Times New Roman" w:hAnsi="Times New Roman" w:cs="Times New Roman"/>
          <w:sz w:val="24"/>
          <w:szCs w:val="24"/>
          <w:lang w:eastAsia="en-ZA"/>
        </w:rPr>
        <w:t>.</w:t>
      </w:r>
      <w:r w:rsidR="00564332">
        <w:rPr>
          <w:rFonts w:ascii="Times New Roman" w:eastAsia="Times New Roman" w:hAnsi="Times New Roman" w:cs="Times New Roman"/>
          <w:sz w:val="24"/>
          <w:szCs w:val="24"/>
          <w:lang w:eastAsia="en-ZA"/>
        </w:rPr>
        <w:t xml:space="preserve"> This demonstrates that,</w:t>
      </w:r>
      <w:r w:rsidRPr="001803D9">
        <w:rPr>
          <w:rFonts w:ascii="Times New Roman" w:eastAsia="Times New Roman" w:hAnsi="Times New Roman" w:cs="Times New Roman"/>
          <w:sz w:val="24"/>
          <w:szCs w:val="24"/>
          <w:lang w:eastAsia="en-ZA"/>
        </w:rPr>
        <w:t xml:space="preserve"> the Cameroonian legal framework establishes multiple pathways</w:t>
      </w:r>
      <w:r w:rsidR="003B6634">
        <w:rPr>
          <w:rFonts w:ascii="Times New Roman" w:eastAsia="Times New Roman" w:hAnsi="Times New Roman" w:cs="Times New Roman"/>
          <w:sz w:val="24"/>
          <w:szCs w:val="24"/>
          <w:lang w:eastAsia="en-ZA"/>
        </w:rPr>
        <w:t xml:space="preserve"> to illustrate flexibility</w:t>
      </w:r>
      <w:r w:rsidRPr="001803D9">
        <w:rPr>
          <w:rFonts w:ascii="Times New Roman" w:eastAsia="Times New Roman" w:hAnsi="Times New Roman" w:cs="Times New Roman"/>
          <w:sz w:val="24"/>
          <w:szCs w:val="24"/>
          <w:lang w:eastAsia="en-ZA"/>
        </w:rPr>
        <w:t xml:space="preserve"> for accessing </w:t>
      </w:r>
      <w:r w:rsidR="00564332">
        <w:rPr>
          <w:rFonts w:ascii="Times New Roman" w:eastAsia="Times New Roman" w:hAnsi="Times New Roman" w:cs="Times New Roman"/>
          <w:sz w:val="24"/>
          <w:szCs w:val="24"/>
          <w:lang w:eastAsia="en-ZA"/>
        </w:rPr>
        <w:t>GR</w:t>
      </w:r>
      <w:r w:rsidRPr="001803D9">
        <w:rPr>
          <w:rFonts w:ascii="Times New Roman" w:eastAsia="Times New Roman" w:hAnsi="Times New Roman" w:cs="Times New Roman"/>
          <w:sz w:val="24"/>
          <w:szCs w:val="24"/>
          <w:lang w:eastAsia="en-ZA"/>
        </w:rPr>
        <w:t>, depending on the nature and purpose of the intended utilisation</w:t>
      </w:r>
      <w:r w:rsidR="00564332">
        <w:rPr>
          <w:rFonts w:ascii="Times New Roman" w:eastAsia="Times New Roman" w:hAnsi="Times New Roman" w:cs="Times New Roman"/>
          <w:sz w:val="24"/>
          <w:szCs w:val="24"/>
          <w:lang w:eastAsia="en-ZA"/>
        </w:rPr>
        <w:t>.</w:t>
      </w:r>
      <w:r w:rsidRPr="001803D9">
        <w:rPr>
          <w:rFonts w:ascii="Times New Roman" w:eastAsia="Times New Roman" w:hAnsi="Times New Roman" w:cs="Times New Roman"/>
          <w:sz w:val="24"/>
          <w:szCs w:val="24"/>
          <w:lang w:eastAsia="en-ZA"/>
        </w:rPr>
        <w:t xml:space="preserve"> </w:t>
      </w:r>
    </w:p>
    <w:p w14:paraId="58ACC832" w14:textId="3CCE6557" w:rsidR="00782AE8" w:rsidRPr="001803D9" w:rsidRDefault="00782AE8" w:rsidP="003126AB">
      <w:pPr>
        <w:pStyle w:val="Heading2"/>
        <w:spacing w:after="240" w:line="240" w:lineRule="auto"/>
        <w:jc w:val="center"/>
        <w:rPr>
          <w:rFonts w:ascii="Times New Roman" w:eastAsia="Times New Roman" w:hAnsi="Times New Roman" w:cs="Times New Roman"/>
          <w:b/>
          <w:bCs/>
          <w:color w:val="auto"/>
          <w:sz w:val="24"/>
          <w:szCs w:val="24"/>
          <w:lang w:eastAsia="en-ZA"/>
        </w:rPr>
      </w:pPr>
      <w:r w:rsidRPr="00793859">
        <w:rPr>
          <w:rFonts w:ascii="Times New Roman" w:eastAsia="Times New Roman" w:hAnsi="Times New Roman" w:cs="Times New Roman"/>
          <w:b/>
          <w:bCs/>
          <w:color w:val="auto"/>
          <w:sz w:val="24"/>
          <w:szCs w:val="24"/>
          <w:lang w:eastAsia="en-ZA"/>
        </w:rPr>
        <w:t xml:space="preserve">3.3 Access Mechanisms for </w:t>
      </w:r>
      <w:r w:rsidR="00AD01FC" w:rsidRPr="008465D6">
        <w:rPr>
          <w:rFonts w:ascii="Times New Roman" w:eastAsia="Times New Roman" w:hAnsi="Times New Roman" w:cs="Times New Roman"/>
          <w:b/>
          <w:bCs/>
          <w:color w:val="auto"/>
          <w:sz w:val="24"/>
          <w:szCs w:val="24"/>
          <w:lang w:eastAsia="en-ZA"/>
        </w:rPr>
        <w:t>Associated Traditional Knowledge</w:t>
      </w:r>
      <w:r w:rsidR="00AD01FC">
        <w:rPr>
          <w:rFonts w:ascii="Times New Roman" w:eastAsia="Times New Roman" w:hAnsi="Times New Roman" w:cs="Times New Roman"/>
          <w:b/>
          <w:bCs/>
          <w:color w:val="auto"/>
          <w:sz w:val="24"/>
          <w:szCs w:val="24"/>
          <w:lang w:eastAsia="en-ZA"/>
        </w:rPr>
        <w:t xml:space="preserve"> </w:t>
      </w:r>
      <w:r w:rsidRPr="00793859">
        <w:rPr>
          <w:rFonts w:ascii="Times New Roman" w:eastAsia="Times New Roman" w:hAnsi="Times New Roman" w:cs="Times New Roman"/>
          <w:b/>
          <w:bCs/>
          <w:color w:val="auto"/>
          <w:sz w:val="24"/>
          <w:szCs w:val="24"/>
          <w:lang w:eastAsia="en-ZA"/>
        </w:rPr>
        <w:t>in Cameroon legal framework</w:t>
      </w:r>
    </w:p>
    <w:p w14:paraId="430327C6" w14:textId="7A6DA113" w:rsidR="00782AE8" w:rsidRPr="00782AE8" w:rsidRDefault="00793859"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ATK</w:t>
      </w:r>
      <w:r w:rsidR="00782AE8" w:rsidRPr="00782AE8">
        <w:rPr>
          <w:rFonts w:ascii="Times New Roman" w:eastAsia="Times New Roman" w:hAnsi="Times New Roman" w:cs="Times New Roman"/>
          <w:sz w:val="24"/>
          <w:szCs w:val="24"/>
          <w:lang w:eastAsia="en-ZA"/>
        </w:rPr>
        <w:t xml:space="preserve">, in conjunction with </w:t>
      </w:r>
      <w:r>
        <w:rPr>
          <w:rFonts w:ascii="Times New Roman" w:eastAsia="Times New Roman" w:hAnsi="Times New Roman" w:cs="Times New Roman"/>
          <w:sz w:val="24"/>
          <w:szCs w:val="24"/>
          <w:lang w:eastAsia="en-ZA"/>
        </w:rPr>
        <w:t>GR</w:t>
      </w:r>
      <w:r w:rsidR="00782AE8" w:rsidRPr="00782AE8">
        <w:rPr>
          <w:rFonts w:ascii="Times New Roman" w:eastAsia="Times New Roman" w:hAnsi="Times New Roman" w:cs="Times New Roman"/>
          <w:sz w:val="24"/>
          <w:szCs w:val="24"/>
          <w:lang w:eastAsia="en-ZA"/>
        </w:rPr>
        <w:t xml:space="preserve">, constitutes a valuable body of knowledge that facilitates the identification, utilisation, and sustainable management of </w:t>
      </w:r>
      <w:r>
        <w:rPr>
          <w:rFonts w:ascii="Times New Roman" w:eastAsia="Times New Roman" w:hAnsi="Times New Roman" w:cs="Times New Roman"/>
          <w:sz w:val="24"/>
          <w:szCs w:val="24"/>
          <w:lang w:eastAsia="en-ZA"/>
        </w:rPr>
        <w:t xml:space="preserve">GR </w:t>
      </w:r>
      <w:r w:rsidR="00782AE8" w:rsidRPr="00782AE8">
        <w:rPr>
          <w:rFonts w:ascii="Times New Roman" w:eastAsia="Times New Roman" w:hAnsi="Times New Roman" w:cs="Times New Roman"/>
          <w:sz w:val="24"/>
          <w:szCs w:val="24"/>
          <w:lang w:eastAsia="en-ZA"/>
        </w:rPr>
        <w:t>across various sectors</w:t>
      </w:r>
      <w:r w:rsidR="000F1434" w:rsidRPr="00793859">
        <w:rPr>
          <w:rStyle w:val="FootnoteReference"/>
          <w:rFonts w:ascii="Times New Roman" w:eastAsia="Times New Roman" w:hAnsi="Times New Roman" w:cs="Times New Roman"/>
          <w:sz w:val="24"/>
          <w:szCs w:val="24"/>
          <w:lang w:eastAsia="en-ZA"/>
        </w:rPr>
        <w:footnoteReference w:id="31"/>
      </w:r>
      <w:r w:rsidR="000F1434" w:rsidRPr="00793859">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 xml:space="preserve">It enhances the capacity of </w:t>
      </w:r>
      <w:r>
        <w:rPr>
          <w:rFonts w:ascii="Times New Roman" w:eastAsia="Times New Roman" w:hAnsi="Times New Roman" w:cs="Times New Roman"/>
          <w:sz w:val="24"/>
          <w:szCs w:val="24"/>
          <w:lang w:eastAsia="en-ZA"/>
        </w:rPr>
        <w:t xml:space="preserve">IPLCs </w:t>
      </w:r>
      <w:r w:rsidR="00782AE8" w:rsidRPr="00782AE8">
        <w:rPr>
          <w:rFonts w:ascii="Times New Roman" w:eastAsia="Times New Roman" w:hAnsi="Times New Roman" w:cs="Times New Roman"/>
          <w:sz w:val="24"/>
          <w:szCs w:val="24"/>
          <w:lang w:eastAsia="en-ZA"/>
        </w:rPr>
        <w:t xml:space="preserve">to derive benefits from the utilisation of their knowledge, </w:t>
      </w:r>
      <w:r w:rsidR="00782AE8" w:rsidRPr="00782AE8">
        <w:rPr>
          <w:rFonts w:ascii="Times New Roman" w:eastAsia="Times New Roman" w:hAnsi="Times New Roman" w:cs="Times New Roman"/>
          <w:sz w:val="24"/>
          <w:szCs w:val="24"/>
          <w:lang w:eastAsia="en-ZA"/>
        </w:rPr>
        <w:lastRenderedPageBreak/>
        <w:t>innovations, and customary practices.</w:t>
      </w:r>
      <w:r>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 xml:space="preserve">The Cameroon ABS Law provides that </w:t>
      </w:r>
      <w:r>
        <w:rPr>
          <w:rFonts w:ascii="Times New Roman" w:eastAsia="Times New Roman" w:hAnsi="Times New Roman" w:cs="Times New Roman"/>
          <w:sz w:val="24"/>
          <w:szCs w:val="24"/>
          <w:lang w:eastAsia="en-ZA"/>
        </w:rPr>
        <w:t>ATK</w:t>
      </w:r>
      <w:r w:rsidR="00782AE8" w:rsidRPr="00782AE8">
        <w:rPr>
          <w:rFonts w:ascii="Times New Roman" w:eastAsia="Times New Roman" w:hAnsi="Times New Roman" w:cs="Times New Roman"/>
          <w:sz w:val="24"/>
          <w:szCs w:val="24"/>
          <w:lang w:eastAsia="en-ZA"/>
        </w:rPr>
        <w:t xml:space="preserve"> belongs to the IPLCs that have developed, preserved, and transmitted it from generation to generation, or to individuals designated by such communities</w:t>
      </w:r>
      <w:r w:rsidR="000F1434" w:rsidRPr="00793859">
        <w:rPr>
          <w:rStyle w:val="FootnoteReference"/>
          <w:rFonts w:ascii="Times New Roman" w:eastAsia="Times New Roman" w:hAnsi="Times New Roman" w:cs="Times New Roman"/>
          <w:sz w:val="24"/>
          <w:szCs w:val="24"/>
          <w:lang w:eastAsia="en-ZA"/>
        </w:rPr>
        <w:footnoteReference w:id="32"/>
      </w:r>
      <w:r w:rsidR="00782AE8" w:rsidRPr="00782AE8">
        <w:rPr>
          <w:rFonts w:ascii="Times New Roman" w:eastAsia="Times New Roman" w:hAnsi="Times New Roman" w:cs="Times New Roman"/>
          <w:sz w:val="24"/>
          <w:szCs w:val="24"/>
          <w:lang w:eastAsia="en-ZA"/>
        </w:rPr>
        <w:t xml:space="preserve">. Consequently, the authority to grant access to ATK is vested primarily in the concerned IPLCs. This entitlement is consistent with international legal instruments governing access to </w:t>
      </w:r>
      <w:r>
        <w:rPr>
          <w:rFonts w:ascii="Times New Roman" w:eastAsia="Times New Roman" w:hAnsi="Times New Roman" w:cs="Times New Roman"/>
          <w:sz w:val="24"/>
          <w:szCs w:val="24"/>
          <w:lang w:eastAsia="en-ZA"/>
        </w:rPr>
        <w:t xml:space="preserve">GR </w:t>
      </w:r>
      <w:r w:rsidR="00782AE8" w:rsidRPr="00782AE8">
        <w:rPr>
          <w:rFonts w:ascii="Times New Roman" w:eastAsia="Times New Roman" w:hAnsi="Times New Roman" w:cs="Times New Roman"/>
          <w:sz w:val="24"/>
          <w:szCs w:val="24"/>
          <w:lang w:eastAsia="en-ZA"/>
        </w:rPr>
        <w:t xml:space="preserve">and </w:t>
      </w:r>
      <w:r>
        <w:rPr>
          <w:rFonts w:ascii="Times New Roman" w:eastAsia="Times New Roman" w:hAnsi="Times New Roman" w:cs="Times New Roman"/>
          <w:sz w:val="24"/>
          <w:szCs w:val="24"/>
          <w:lang w:eastAsia="en-ZA"/>
        </w:rPr>
        <w:t>ATK</w:t>
      </w:r>
      <w:r w:rsidR="00782AE8" w:rsidRPr="00782AE8">
        <w:rPr>
          <w:rFonts w:ascii="Times New Roman" w:eastAsia="Times New Roman" w:hAnsi="Times New Roman" w:cs="Times New Roman"/>
          <w:sz w:val="24"/>
          <w:szCs w:val="24"/>
          <w:lang w:eastAsia="en-ZA"/>
        </w:rPr>
        <w:t xml:space="preserve">, which recognise the rights of </w:t>
      </w:r>
      <w:r w:rsidR="003B6634">
        <w:rPr>
          <w:rFonts w:ascii="Times New Roman" w:eastAsia="Times New Roman" w:hAnsi="Times New Roman" w:cs="Times New Roman"/>
          <w:sz w:val="24"/>
          <w:szCs w:val="24"/>
          <w:lang w:eastAsia="en-ZA"/>
        </w:rPr>
        <w:t>IPLCs</w:t>
      </w:r>
      <w:r w:rsidR="00782AE8" w:rsidRPr="00782AE8">
        <w:rPr>
          <w:rFonts w:ascii="Times New Roman" w:eastAsia="Times New Roman" w:hAnsi="Times New Roman" w:cs="Times New Roman"/>
          <w:sz w:val="24"/>
          <w:szCs w:val="24"/>
          <w:lang w:eastAsia="en-ZA"/>
        </w:rPr>
        <w:t xml:space="preserve"> over their knowledge systems</w:t>
      </w:r>
      <w:r w:rsidR="000F1434" w:rsidRPr="00793859">
        <w:rPr>
          <w:rStyle w:val="FootnoteReference"/>
          <w:rFonts w:ascii="Times New Roman" w:eastAsia="Times New Roman" w:hAnsi="Times New Roman" w:cs="Times New Roman"/>
          <w:sz w:val="24"/>
          <w:szCs w:val="24"/>
          <w:lang w:eastAsia="en-ZA"/>
        </w:rPr>
        <w:footnoteReference w:id="33"/>
      </w:r>
      <w:r w:rsidR="00782AE8" w:rsidRPr="00782AE8">
        <w:rPr>
          <w:rFonts w:ascii="Times New Roman" w:eastAsia="Times New Roman" w:hAnsi="Times New Roman" w:cs="Times New Roman"/>
          <w:sz w:val="24"/>
          <w:szCs w:val="24"/>
          <w:lang w:eastAsia="en-ZA"/>
        </w:rPr>
        <w:t>.</w:t>
      </w:r>
      <w:r w:rsidR="005951EC">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 xml:space="preserve">The procedural requirements governing access to ATK are set out in the implementing ABS Decree. The Decree stipulates that access to </w:t>
      </w:r>
      <w:r>
        <w:rPr>
          <w:rFonts w:ascii="Times New Roman" w:eastAsia="Times New Roman" w:hAnsi="Times New Roman" w:cs="Times New Roman"/>
          <w:sz w:val="24"/>
          <w:szCs w:val="24"/>
          <w:lang w:eastAsia="en-ZA"/>
        </w:rPr>
        <w:t>ATK</w:t>
      </w:r>
      <w:r w:rsidR="00782AE8" w:rsidRPr="00782AE8">
        <w:rPr>
          <w:rFonts w:ascii="Times New Roman" w:eastAsia="Times New Roman" w:hAnsi="Times New Roman" w:cs="Times New Roman"/>
          <w:sz w:val="24"/>
          <w:szCs w:val="24"/>
          <w:lang w:eastAsia="en-ZA"/>
        </w:rPr>
        <w:t xml:space="preserve"> is subject to a formal request addressed to the concerned IPLC through the Competent National Authority (CNA), following the opinion or assent of the National ABS Committee</w:t>
      </w:r>
      <w:r w:rsidR="000F1434" w:rsidRPr="00793859">
        <w:rPr>
          <w:rStyle w:val="FootnoteReference"/>
          <w:rFonts w:ascii="Times New Roman" w:hAnsi="Times New Roman" w:cs="Times New Roman"/>
          <w:sz w:val="24"/>
          <w:szCs w:val="24"/>
          <w:lang w:val="en-GB"/>
        </w:rPr>
        <w:footnoteReference w:id="34"/>
      </w:r>
      <w:r w:rsidR="00782AE8" w:rsidRPr="00782AE8">
        <w:rPr>
          <w:rFonts w:ascii="Times New Roman" w:eastAsia="Times New Roman" w:hAnsi="Times New Roman" w:cs="Times New Roman"/>
          <w:sz w:val="24"/>
          <w:szCs w:val="24"/>
          <w:lang w:eastAsia="en-ZA"/>
        </w:rPr>
        <w:t>. Accordingly, access to ATK is not solely a matter between the applicant and the knowledge holders; it is also subject to administrative oversight by the relevant national authorities.</w:t>
      </w:r>
      <w:r w:rsidR="000F1434" w:rsidRPr="00793859">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Nevertheless, ATK constitutes an intangible form of property and is therefore particularly vulnerable to unauthorised access, misappropriation</w:t>
      </w:r>
      <w:r w:rsidR="003B6634">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commonly described as biopiracy. To address these risks, Cameroon has implemented the requirements of the Nagoya Protocol by imposing an obligation on IPLCs possessing ATK to develop and submit a Community Biocultural Protocol (CBP) to the Competent National Authority</w:t>
      </w:r>
      <w:r w:rsidR="000F1434" w:rsidRPr="00793859">
        <w:rPr>
          <w:rStyle w:val="FootnoteReference"/>
          <w:rFonts w:ascii="Times New Roman" w:hAnsi="Times New Roman" w:cs="Times New Roman"/>
          <w:sz w:val="24"/>
          <w:szCs w:val="24"/>
          <w:lang w:val="en-GB"/>
        </w:rPr>
        <w:footnoteReference w:id="35"/>
      </w:r>
      <w:r w:rsidR="00782AE8" w:rsidRPr="00782AE8">
        <w:rPr>
          <w:rFonts w:ascii="Times New Roman" w:eastAsia="Times New Roman" w:hAnsi="Times New Roman" w:cs="Times New Roman"/>
          <w:sz w:val="24"/>
          <w:szCs w:val="24"/>
          <w:lang w:eastAsia="en-ZA"/>
        </w:rPr>
        <w:t>.</w:t>
      </w:r>
      <w:r w:rsidR="000F1434" w:rsidRPr="00793859">
        <w:rPr>
          <w:rFonts w:ascii="Times New Roman" w:eastAsia="Times New Roman" w:hAnsi="Times New Roman" w:cs="Times New Roman"/>
          <w:sz w:val="24"/>
          <w:szCs w:val="24"/>
          <w:lang w:eastAsia="en-ZA"/>
        </w:rPr>
        <w:t xml:space="preserve"> </w:t>
      </w:r>
      <w:r w:rsidR="00782AE8" w:rsidRPr="00782AE8">
        <w:rPr>
          <w:rFonts w:ascii="Times New Roman" w:eastAsia="Times New Roman" w:hAnsi="Times New Roman" w:cs="Times New Roman"/>
          <w:sz w:val="24"/>
          <w:szCs w:val="24"/>
          <w:lang w:eastAsia="en-ZA"/>
        </w:rPr>
        <w:t xml:space="preserve">A </w:t>
      </w:r>
      <w:r w:rsidR="002243A9">
        <w:rPr>
          <w:rFonts w:ascii="Times New Roman" w:eastAsia="Times New Roman" w:hAnsi="Times New Roman" w:cs="Times New Roman"/>
          <w:sz w:val="24"/>
          <w:szCs w:val="24"/>
          <w:lang w:eastAsia="en-ZA"/>
        </w:rPr>
        <w:t>CBP</w:t>
      </w:r>
      <w:r w:rsidR="00782AE8" w:rsidRPr="00782AE8">
        <w:rPr>
          <w:rFonts w:ascii="Times New Roman" w:eastAsia="Times New Roman" w:hAnsi="Times New Roman" w:cs="Times New Roman"/>
          <w:sz w:val="24"/>
          <w:szCs w:val="24"/>
          <w:lang w:eastAsia="en-ZA"/>
        </w:rPr>
        <w:t xml:space="preserve"> is a participatory governance instrument through which IPLCs articulate their values, customary norms, decision-making procedures, priorities, and expectations regarding access to their resources and knowledge. It identifies the rights and responsibilities of communities under customary law, domestic law, and international law, thereby providing a normative framework for engagement with external actors seeking access to </w:t>
      </w:r>
      <w:r>
        <w:rPr>
          <w:rFonts w:ascii="Times New Roman" w:eastAsia="Times New Roman" w:hAnsi="Times New Roman" w:cs="Times New Roman"/>
          <w:sz w:val="24"/>
          <w:szCs w:val="24"/>
          <w:lang w:eastAsia="en-ZA"/>
        </w:rPr>
        <w:t xml:space="preserve">GR </w:t>
      </w:r>
      <w:r w:rsidR="00782AE8" w:rsidRPr="00782AE8">
        <w:rPr>
          <w:rFonts w:ascii="Times New Roman" w:eastAsia="Times New Roman" w:hAnsi="Times New Roman" w:cs="Times New Roman"/>
          <w:sz w:val="24"/>
          <w:szCs w:val="24"/>
          <w:lang w:eastAsia="en-ZA"/>
        </w:rPr>
        <w:t xml:space="preserve">and </w:t>
      </w:r>
      <w:r>
        <w:rPr>
          <w:rFonts w:ascii="Times New Roman" w:eastAsia="Times New Roman" w:hAnsi="Times New Roman" w:cs="Times New Roman"/>
          <w:sz w:val="24"/>
          <w:szCs w:val="24"/>
          <w:lang w:eastAsia="en-ZA"/>
        </w:rPr>
        <w:t>ATK</w:t>
      </w:r>
      <w:r w:rsidR="000F1434" w:rsidRPr="00793859">
        <w:rPr>
          <w:rStyle w:val="FootnoteReference"/>
          <w:rFonts w:ascii="Times New Roman" w:hAnsi="Times New Roman" w:cs="Times New Roman"/>
          <w:sz w:val="24"/>
          <w:szCs w:val="24"/>
          <w:lang w:val="en-GB"/>
        </w:rPr>
        <w:footnoteReference w:id="36"/>
      </w:r>
      <w:r w:rsidR="00782AE8" w:rsidRPr="00782AE8">
        <w:rPr>
          <w:rFonts w:ascii="Times New Roman" w:eastAsia="Times New Roman" w:hAnsi="Times New Roman" w:cs="Times New Roman"/>
          <w:sz w:val="24"/>
          <w:szCs w:val="24"/>
          <w:lang w:eastAsia="en-ZA"/>
        </w:rPr>
        <w:t>.</w:t>
      </w:r>
    </w:p>
    <w:p w14:paraId="5365C9D3" w14:textId="5B71FF49" w:rsidR="00782AE8" w:rsidRPr="00782AE8" w:rsidRDefault="00782AE8"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782AE8">
        <w:rPr>
          <w:rFonts w:ascii="Times New Roman" w:eastAsia="Times New Roman" w:hAnsi="Times New Roman" w:cs="Times New Roman"/>
          <w:sz w:val="24"/>
          <w:szCs w:val="24"/>
          <w:lang w:eastAsia="en-ZA"/>
        </w:rPr>
        <w:t>The widespread adoption of C</w:t>
      </w:r>
      <w:r w:rsidR="002243A9">
        <w:rPr>
          <w:rFonts w:ascii="Times New Roman" w:eastAsia="Times New Roman" w:hAnsi="Times New Roman" w:cs="Times New Roman"/>
          <w:sz w:val="24"/>
          <w:szCs w:val="24"/>
          <w:lang w:eastAsia="en-ZA"/>
        </w:rPr>
        <w:t>BP</w:t>
      </w:r>
      <w:r w:rsidRPr="00782AE8">
        <w:rPr>
          <w:rFonts w:ascii="Times New Roman" w:eastAsia="Times New Roman" w:hAnsi="Times New Roman" w:cs="Times New Roman"/>
          <w:sz w:val="24"/>
          <w:szCs w:val="24"/>
          <w:lang w:eastAsia="en-ZA"/>
        </w:rPr>
        <w:t xml:space="preserve"> would significantly strengthen the protection of IPLC</w:t>
      </w:r>
      <w:r w:rsidR="002243A9">
        <w:rPr>
          <w:rFonts w:ascii="Times New Roman" w:eastAsia="Times New Roman" w:hAnsi="Times New Roman" w:cs="Times New Roman"/>
          <w:sz w:val="24"/>
          <w:szCs w:val="24"/>
          <w:lang w:eastAsia="en-ZA"/>
        </w:rPr>
        <w:t>s</w:t>
      </w:r>
      <w:r w:rsidRPr="00782AE8">
        <w:rPr>
          <w:rFonts w:ascii="Times New Roman" w:eastAsia="Times New Roman" w:hAnsi="Times New Roman" w:cs="Times New Roman"/>
          <w:sz w:val="24"/>
          <w:szCs w:val="24"/>
          <w:lang w:eastAsia="en-ZA"/>
        </w:rPr>
        <w:t xml:space="preserve"> rights over </w:t>
      </w:r>
      <w:r w:rsidR="00793859">
        <w:rPr>
          <w:rFonts w:ascii="Times New Roman" w:eastAsia="Times New Roman" w:hAnsi="Times New Roman" w:cs="Times New Roman"/>
          <w:sz w:val="24"/>
          <w:szCs w:val="24"/>
          <w:lang w:eastAsia="en-ZA"/>
        </w:rPr>
        <w:t>ATK</w:t>
      </w:r>
      <w:r w:rsidRPr="00782AE8">
        <w:rPr>
          <w:rFonts w:ascii="Times New Roman" w:eastAsia="Times New Roman" w:hAnsi="Times New Roman" w:cs="Times New Roman"/>
          <w:sz w:val="24"/>
          <w:szCs w:val="24"/>
          <w:lang w:eastAsia="en-ZA"/>
        </w:rPr>
        <w:t xml:space="preserve"> and enhance legal certainty in access and benefit-sharing processes. More importantly, CBPs could contribute to ensuring that access to ATK is systematically linked to benefit-sharing arrangements. However, despite the importance of this mechanism, implementation remains limited in Cameroon. Out of approximately 250 </w:t>
      </w:r>
      <w:r w:rsidR="002243A9">
        <w:rPr>
          <w:rFonts w:ascii="Times New Roman" w:eastAsia="Times New Roman" w:hAnsi="Times New Roman" w:cs="Times New Roman"/>
          <w:sz w:val="24"/>
          <w:szCs w:val="24"/>
          <w:lang w:eastAsia="en-ZA"/>
        </w:rPr>
        <w:t>IPLCs</w:t>
      </w:r>
      <w:r w:rsidRPr="00782AE8">
        <w:rPr>
          <w:rFonts w:ascii="Times New Roman" w:eastAsia="Times New Roman" w:hAnsi="Times New Roman" w:cs="Times New Roman"/>
          <w:sz w:val="24"/>
          <w:szCs w:val="24"/>
          <w:lang w:eastAsia="en-ZA"/>
        </w:rPr>
        <w:t>, only two communities have reportedly developed C</w:t>
      </w:r>
      <w:r w:rsidR="002243A9">
        <w:rPr>
          <w:rFonts w:ascii="Times New Roman" w:eastAsia="Times New Roman" w:hAnsi="Times New Roman" w:cs="Times New Roman"/>
          <w:sz w:val="24"/>
          <w:szCs w:val="24"/>
          <w:lang w:eastAsia="en-ZA"/>
        </w:rPr>
        <w:t>BP</w:t>
      </w:r>
      <w:r w:rsidR="000F1434" w:rsidRPr="00793859">
        <w:rPr>
          <w:rStyle w:val="FootnoteReference"/>
          <w:rFonts w:ascii="Times New Roman" w:hAnsi="Times New Roman" w:cs="Times New Roman"/>
          <w:sz w:val="24"/>
          <w:szCs w:val="24"/>
          <w:lang w:val="en-GB"/>
        </w:rPr>
        <w:footnoteReference w:id="37"/>
      </w:r>
      <w:r w:rsidR="000F1434" w:rsidRPr="00793859">
        <w:rPr>
          <w:rFonts w:ascii="Times New Roman" w:hAnsi="Times New Roman" w:cs="Times New Roman"/>
          <w:sz w:val="24"/>
          <w:szCs w:val="24"/>
          <w:lang w:val="en-GB"/>
        </w:rPr>
        <w:t>.</w:t>
      </w:r>
      <w:r w:rsidR="000F1434" w:rsidRPr="00793859">
        <w:rPr>
          <w:rFonts w:ascii="Times New Roman" w:eastAsia="Times New Roman" w:hAnsi="Times New Roman" w:cs="Times New Roman"/>
          <w:sz w:val="24"/>
          <w:szCs w:val="24"/>
          <w:lang w:eastAsia="en-ZA"/>
        </w:rPr>
        <w:t xml:space="preserve"> </w:t>
      </w:r>
      <w:r w:rsidR="002243A9">
        <w:rPr>
          <w:rFonts w:ascii="Times New Roman" w:eastAsia="Times New Roman" w:hAnsi="Times New Roman" w:cs="Times New Roman"/>
          <w:sz w:val="24"/>
          <w:szCs w:val="24"/>
          <w:lang w:eastAsia="en-ZA"/>
        </w:rPr>
        <w:t>Looking at the diversity of</w:t>
      </w:r>
      <w:r w:rsidRPr="00782AE8">
        <w:rPr>
          <w:rFonts w:ascii="Times New Roman" w:eastAsia="Times New Roman" w:hAnsi="Times New Roman" w:cs="Times New Roman"/>
          <w:sz w:val="24"/>
          <w:szCs w:val="24"/>
          <w:lang w:eastAsia="en-ZA"/>
        </w:rPr>
        <w:t xml:space="preserve"> cultural practices, </w:t>
      </w:r>
      <w:r w:rsidRPr="00782AE8">
        <w:rPr>
          <w:rFonts w:ascii="Times New Roman" w:eastAsia="Times New Roman" w:hAnsi="Times New Roman" w:cs="Times New Roman"/>
          <w:sz w:val="24"/>
          <w:szCs w:val="24"/>
          <w:lang w:eastAsia="en-ZA"/>
        </w:rPr>
        <w:lastRenderedPageBreak/>
        <w:t xml:space="preserve">customary institutions, and traditional knowledge systems </w:t>
      </w:r>
      <w:r w:rsidR="002243A9">
        <w:rPr>
          <w:rFonts w:ascii="Times New Roman" w:eastAsia="Times New Roman" w:hAnsi="Times New Roman" w:cs="Times New Roman"/>
          <w:sz w:val="24"/>
          <w:szCs w:val="24"/>
          <w:lang w:eastAsia="en-ZA"/>
        </w:rPr>
        <w:t>t</w:t>
      </w:r>
      <w:r w:rsidRPr="00782AE8">
        <w:rPr>
          <w:rFonts w:ascii="Times New Roman" w:eastAsia="Times New Roman" w:hAnsi="Times New Roman" w:cs="Times New Roman"/>
          <w:sz w:val="24"/>
          <w:szCs w:val="24"/>
          <w:lang w:eastAsia="en-ZA"/>
        </w:rPr>
        <w:t>he absence of</w:t>
      </w:r>
      <w:r w:rsidR="002243A9">
        <w:rPr>
          <w:rFonts w:ascii="Times New Roman" w:eastAsia="Times New Roman" w:hAnsi="Times New Roman" w:cs="Times New Roman"/>
          <w:sz w:val="24"/>
          <w:szCs w:val="24"/>
          <w:lang w:eastAsia="en-ZA"/>
        </w:rPr>
        <w:t xml:space="preserve"> CBP</w:t>
      </w:r>
      <w:r w:rsidRPr="00782AE8">
        <w:rPr>
          <w:rFonts w:ascii="Times New Roman" w:eastAsia="Times New Roman" w:hAnsi="Times New Roman" w:cs="Times New Roman"/>
          <w:sz w:val="24"/>
          <w:szCs w:val="24"/>
          <w:lang w:eastAsia="en-ZA"/>
        </w:rPr>
        <w:t xml:space="preserve"> may therefore weaken the capacity of communities to safeguard their rights over specific forms of </w:t>
      </w:r>
      <w:r w:rsidR="00793859">
        <w:rPr>
          <w:rFonts w:ascii="Times New Roman" w:eastAsia="Times New Roman" w:hAnsi="Times New Roman" w:cs="Times New Roman"/>
          <w:sz w:val="24"/>
          <w:szCs w:val="24"/>
          <w:lang w:eastAsia="en-ZA"/>
        </w:rPr>
        <w:t>ATK</w:t>
      </w:r>
      <w:r w:rsidRPr="00782AE8">
        <w:rPr>
          <w:rFonts w:ascii="Times New Roman" w:eastAsia="Times New Roman" w:hAnsi="Times New Roman" w:cs="Times New Roman"/>
          <w:sz w:val="24"/>
          <w:szCs w:val="24"/>
          <w:lang w:eastAsia="en-ZA"/>
        </w:rPr>
        <w:t>.</w:t>
      </w:r>
    </w:p>
    <w:p w14:paraId="6B76C4A9" w14:textId="11A732A4" w:rsidR="00782AE8" w:rsidRPr="00782AE8" w:rsidRDefault="00782AE8"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782AE8">
        <w:rPr>
          <w:rFonts w:ascii="Times New Roman" w:eastAsia="Times New Roman" w:hAnsi="Times New Roman" w:cs="Times New Roman"/>
          <w:sz w:val="24"/>
          <w:szCs w:val="24"/>
          <w:lang w:eastAsia="en-ZA"/>
        </w:rPr>
        <w:t>It should nevertheless be recognised that C</w:t>
      </w:r>
      <w:r w:rsidR="002243A9">
        <w:rPr>
          <w:rFonts w:ascii="Times New Roman" w:eastAsia="Times New Roman" w:hAnsi="Times New Roman" w:cs="Times New Roman"/>
          <w:sz w:val="24"/>
          <w:szCs w:val="24"/>
          <w:lang w:eastAsia="en-ZA"/>
        </w:rPr>
        <w:t>BP</w:t>
      </w:r>
      <w:r w:rsidRPr="00782AE8">
        <w:rPr>
          <w:rFonts w:ascii="Times New Roman" w:eastAsia="Times New Roman" w:hAnsi="Times New Roman" w:cs="Times New Roman"/>
          <w:sz w:val="24"/>
          <w:szCs w:val="24"/>
          <w:lang w:eastAsia="en-ZA"/>
        </w:rPr>
        <w:t xml:space="preserve"> do not constitute the sole mechanism for protecting ATK. Additional forms of protection may be employed to establish the provenance of traditional knowledge and to identify the specific IPLC to which such knowledge belongs. In this regard, the literature generally distinguishes between defensive protection and positive or offensive protection.</w:t>
      </w:r>
      <w:r w:rsidR="000F1434" w:rsidRPr="00793859">
        <w:rPr>
          <w:rFonts w:ascii="Times New Roman" w:eastAsia="Times New Roman" w:hAnsi="Times New Roman" w:cs="Times New Roman"/>
          <w:sz w:val="24"/>
          <w:szCs w:val="24"/>
          <w:lang w:eastAsia="en-ZA"/>
        </w:rPr>
        <w:t xml:space="preserve"> </w:t>
      </w:r>
      <w:r w:rsidRPr="00782AE8">
        <w:rPr>
          <w:rFonts w:ascii="Times New Roman" w:eastAsia="Times New Roman" w:hAnsi="Times New Roman" w:cs="Times New Roman"/>
          <w:sz w:val="24"/>
          <w:szCs w:val="24"/>
          <w:lang w:eastAsia="en-ZA"/>
        </w:rPr>
        <w:t xml:space="preserve">Defensive protection seeks to prevent third parties from acquiring illegitimate intellectual property rights or other exclusive rights over traditional knowledge. By contrast, positive protection empowers IPLCs to manage, control, </w:t>
      </w:r>
      <w:r w:rsidR="003126AB">
        <w:rPr>
          <w:rFonts w:ascii="Times New Roman" w:eastAsia="Times New Roman" w:hAnsi="Times New Roman" w:cs="Times New Roman"/>
          <w:sz w:val="24"/>
          <w:szCs w:val="24"/>
          <w:lang w:eastAsia="en-ZA"/>
        </w:rPr>
        <w:t>use</w:t>
      </w:r>
      <w:r w:rsidRPr="00782AE8">
        <w:rPr>
          <w:rFonts w:ascii="Times New Roman" w:eastAsia="Times New Roman" w:hAnsi="Times New Roman" w:cs="Times New Roman"/>
          <w:sz w:val="24"/>
          <w:szCs w:val="24"/>
          <w:lang w:eastAsia="en-ZA"/>
        </w:rPr>
        <w:t>, and derive benefits from their traditional knowledge, including the ability to pursue legal remedies against unauthorised use.</w:t>
      </w:r>
      <w:r w:rsidR="000F1434" w:rsidRPr="00793859">
        <w:rPr>
          <w:rFonts w:ascii="Times New Roman" w:eastAsia="Times New Roman" w:hAnsi="Times New Roman" w:cs="Times New Roman"/>
          <w:sz w:val="24"/>
          <w:szCs w:val="24"/>
          <w:lang w:eastAsia="en-ZA"/>
        </w:rPr>
        <w:t xml:space="preserve"> </w:t>
      </w:r>
      <w:r w:rsidRPr="00782AE8">
        <w:rPr>
          <w:rFonts w:ascii="Times New Roman" w:eastAsia="Times New Roman" w:hAnsi="Times New Roman" w:cs="Times New Roman"/>
          <w:sz w:val="24"/>
          <w:szCs w:val="24"/>
          <w:lang w:eastAsia="en-ZA"/>
        </w:rPr>
        <w:t xml:space="preserve">Within this framework, the Cameroon ABS Law may be regarded as a form of positive protection, insofar as it expressly recognises IPLCs as the holders of rights over </w:t>
      </w:r>
      <w:r w:rsidR="00793859">
        <w:rPr>
          <w:rFonts w:ascii="Times New Roman" w:eastAsia="Times New Roman" w:hAnsi="Times New Roman" w:cs="Times New Roman"/>
          <w:sz w:val="24"/>
          <w:szCs w:val="24"/>
          <w:lang w:eastAsia="en-ZA"/>
        </w:rPr>
        <w:t>ATK</w:t>
      </w:r>
      <w:r w:rsidRPr="00782AE8">
        <w:rPr>
          <w:rFonts w:ascii="Times New Roman" w:eastAsia="Times New Roman" w:hAnsi="Times New Roman" w:cs="Times New Roman"/>
          <w:sz w:val="24"/>
          <w:szCs w:val="24"/>
          <w:lang w:eastAsia="en-ZA"/>
        </w:rPr>
        <w:t xml:space="preserve"> and grants them legal authority to regulate access thereto. Despite this recognition, important challenges remain, regarding the identification and attribution of specific forms of traditional knowledge to particular communities.</w:t>
      </w:r>
      <w:r w:rsidR="000F1434" w:rsidRPr="00793859">
        <w:rPr>
          <w:rFonts w:ascii="Times New Roman" w:eastAsia="Times New Roman" w:hAnsi="Times New Roman" w:cs="Times New Roman"/>
          <w:sz w:val="24"/>
          <w:szCs w:val="24"/>
          <w:lang w:eastAsia="en-ZA"/>
        </w:rPr>
        <w:t xml:space="preserve"> </w:t>
      </w:r>
      <w:r w:rsidRPr="00782AE8">
        <w:rPr>
          <w:rFonts w:ascii="Times New Roman" w:eastAsia="Times New Roman" w:hAnsi="Times New Roman" w:cs="Times New Roman"/>
          <w:sz w:val="24"/>
          <w:szCs w:val="24"/>
          <w:lang w:eastAsia="en-ZA"/>
        </w:rPr>
        <w:t xml:space="preserve">An illustrative example of defensive protection may be found in India, where a digital traditional knowledge database has been established to prevent the unauthorised appropriation and patenting of traditional knowledge by external actors. </w:t>
      </w:r>
    </w:p>
    <w:p w14:paraId="5B5CC745" w14:textId="712ED5F6" w:rsidR="00B47B64" w:rsidRPr="00793859" w:rsidRDefault="00782AE8"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782AE8">
        <w:rPr>
          <w:rFonts w:ascii="Times New Roman" w:eastAsia="Times New Roman" w:hAnsi="Times New Roman" w:cs="Times New Roman"/>
          <w:sz w:val="24"/>
          <w:szCs w:val="24"/>
          <w:lang w:eastAsia="en-ZA"/>
        </w:rPr>
        <w:t>In the Cameroonian context, C</w:t>
      </w:r>
      <w:r w:rsidR="002243A9">
        <w:rPr>
          <w:rFonts w:ascii="Times New Roman" w:eastAsia="Times New Roman" w:hAnsi="Times New Roman" w:cs="Times New Roman"/>
          <w:sz w:val="24"/>
          <w:szCs w:val="24"/>
          <w:lang w:eastAsia="en-ZA"/>
        </w:rPr>
        <w:t>BP</w:t>
      </w:r>
      <w:r w:rsidRPr="00782AE8">
        <w:rPr>
          <w:rFonts w:ascii="Times New Roman" w:eastAsia="Times New Roman" w:hAnsi="Times New Roman" w:cs="Times New Roman"/>
          <w:sz w:val="24"/>
          <w:szCs w:val="24"/>
          <w:lang w:eastAsia="en-ZA"/>
        </w:rPr>
        <w:t xml:space="preserve"> perform</w:t>
      </w:r>
      <w:r w:rsidR="002243A9">
        <w:rPr>
          <w:rFonts w:ascii="Times New Roman" w:eastAsia="Times New Roman" w:hAnsi="Times New Roman" w:cs="Times New Roman"/>
          <w:sz w:val="24"/>
          <w:szCs w:val="24"/>
          <w:lang w:eastAsia="en-ZA"/>
        </w:rPr>
        <w:t>s</w:t>
      </w:r>
      <w:r w:rsidRPr="00782AE8">
        <w:rPr>
          <w:rFonts w:ascii="Times New Roman" w:eastAsia="Times New Roman" w:hAnsi="Times New Roman" w:cs="Times New Roman"/>
          <w:sz w:val="24"/>
          <w:szCs w:val="24"/>
          <w:lang w:eastAsia="en-ZA"/>
        </w:rPr>
        <w:t xml:space="preserve"> certain functions comparable to those associated with defensive protection mechanisms, particularly with respect to documenting and identifying community-held knowledge. This demonstrates that defensive and positive protection mechanisms should operate in a complementary manner. Such protection is essential for guaranteeing that access to ATK occurs under legally recognised conditions and serves as a prerequisite for the fair and equitable sharing of benefits arising from its utilisation.</w:t>
      </w:r>
    </w:p>
    <w:p w14:paraId="3B8CC215" w14:textId="28ACA4D0" w:rsidR="00B47B64" w:rsidRPr="00793859" w:rsidRDefault="00B47B64" w:rsidP="00793859">
      <w:pPr>
        <w:pStyle w:val="Heading1"/>
        <w:spacing w:after="240" w:line="360" w:lineRule="auto"/>
        <w:jc w:val="both"/>
        <w:rPr>
          <w:rFonts w:ascii="Times New Roman" w:hAnsi="Times New Roman" w:cs="Times New Roman"/>
          <w:b/>
          <w:bCs/>
          <w:color w:val="auto"/>
          <w:sz w:val="24"/>
          <w:szCs w:val="24"/>
          <w:lang w:val="en-US"/>
        </w:rPr>
      </w:pPr>
      <w:r w:rsidRPr="00793859">
        <w:rPr>
          <w:rFonts w:ascii="Times New Roman" w:hAnsi="Times New Roman" w:cs="Times New Roman"/>
          <w:b/>
          <w:bCs/>
          <w:color w:val="auto"/>
          <w:sz w:val="24"/>
          <w:szCs w:val="24"/>
          <w:lang w:val="en-US"/>
        </w:rPr>
        <w:t xml:space="preserve">4. Benefit Sharing Mechanisms under Cameroonian Law </w:t>
      </w:r>
    </w:p>
    <w:p w14:paraId="6881EFEA" w14:textId="68B1B625" w:rsidR="00842652"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 xml:space="preserve">Benefit-sharing is generally understood as a mechanism of distributive justice through which providers of </w:t>
      </w:r>
      <w:r w:rsidR="00793859">
        <w:rPr>
          <w:rFonts w:ascii="Times New Roman" w:eastAsia="Times New Roman" w:hAnsi="Times New Roman" w:cs="Times New Roman"/>
          <w:sz w:val="24"/>
          <w:szCs w:val="24"/>
          <w:lang w:eastAsia="en-ZA"/>
        </w:rPr>
        <w:t>GR</w:t>
      </w:r>
      <w:r w:rsidRPr="005C4CAE">
        <w:rPr>
          <w:rFonts w:ascii="Times New Roman" w:eastAsia="Times New Roman" w:hAnsi="Times New Roman" w:cs="Times New Roman"/>
          <w:sz w:val="24"/>
          <w:szCs w:val="24"/>
          <w:lang w:eastAsia="en-ZA"/>
        </w:rPr>
        <w:t xml:space="preserve"> and </w:t>
      </w:r>
      <w:r w:rsidR="00793859">
        <w:rPr>
          <w:rFonts w:ascii="Times New Roman" w:eastAsia="Times New Roman" w:hAnsi="Times New Roman" w:cs="Times New Roman"/>
          <w:sz w:val="24"/>
          <w:szCs w:val="24"/>
          <w:lang w:eastAsia="en-ZA"/>
        </w:rPr>
        <w:t>ATK</w:t>
      </w:r>
      <w:r w:rsidRPr="005C4CAE">
        <w:rPr>
          <w:rFonts w:ascii="Times New Roman" w:eastAsia="Times New Roman" w:hAnsi="Times New Roman" w:cs="Times New Roman"/>
          <w:sz w:val="24"/>
          <w:szCs w:val="24"/>
          <w:lang w:eastAsia="en-ZA"/>
        </w:rPr>
        <w:t xml:space="preserve"> receive compensation or other forms of benefits arising from access to and utilisation of their resources and knowledge</w:t>
      </w:r>
      <w:r w:rsidR="00887186" w:rsidRPr="00793859">
        <w:rPr>
          <w:rStyle w:val="FootnoteReference"/>
          <w:rFonts w:ascii="Times New Roman" w:hAnsi="Times New Roman" w:cs="Times New Roman"/>
          <w:sz w:val="24"/>
          <w:szCs w:val="24"/>
          <w:lang w:val="en-GB"/>
        </w:rPr>
        <w:footnoteReference w:id="38"/>
      </w:r>
      <w:r w:rsidRPr="005C4CAE">
        <w:rPr>
          <w:rFonts w:ascii="Times New Roman" w:eastAsia="Times New Roman" w:hAnsi="Times New Roman" w:cs="Times New Roman"/>
          <w:sz w:val="24"/>
          <w:szCs w:val="24"/>
          <w:lang w:eastAsia="en-ZA"/>
        </w:rPr>
        <w:t>. It emerged</w:t>
      </w:r>
      <w:r w:rsidR="004C66BD">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as a response to concerns regarding the expansion of intellectual property rights</w:t>
      </w:r>
      <w:r w:rsidR="00753443">
        <w:rPr>
          <w:rFonts w:ascii="Times New Roman" w:eastAsia="Times New Roman" w:hAnsi="Times New Roman" w:cs="Times New Roman"/>
          <w:sz w:val="24"/>
          <w:szCs w:val="24"/>
          <w:lang w:eastAsia="en-ZA"/>
        </w:rPr>
        <w:t xml:space="preserve"> (IPR)</w:t>
      </w:r>
      <w:r w:rsidRPr="005C4CAE">
        <w:rPr>
          <w:rFonts w:ascii="Times New Roman" w:eastAsia="Times New Roman" w:hAnsi="Times New Roman" w:cs="Times New Roman"/>
          <w:sz w:val="24"/>
          <w:szCs w:val="24"/>
          <w:lang w:eastAsia="en-ZA"/>
        </w:rPr>
        <w:t xml:space="preserve">, particularly patents over life forms and innovations derived from </w:t>
      </w:r>
      <w:r w:rsidR="00887186" w:rsidRPr="00793859">
        <w:rPr>
          <w:rFonts w:ascii="Times New Roman" w:eastAsia="Times New Roman" w:hAnsi="Times New Roman" w:cs="Times New Roman"/>
          <w:sz w:val="24"/>
          <w:szCs w:val="24"/>
          <w:lang w:eastAsia="en-ZA"/>
        </w:rPr>
        <w:t>GR</w:t>
      </w:r>
      <w:r w:rsidRPr="005C4CAE">
        <w:rPr>
          <w:rFonts w:ascii="Times New Roman" w:eastAsia="Times New Roman" w:hAnsi="Times New Roman" w:cs="Times New Roman"/>
          <w:sz w:val="24"/>
          <w:szCs w:val="24"/>
          <w:lang w:eastAsia="en-ZA"/>
        </w:rPr>
        <w:t xml:space="preserve">, as well as the private appropriation and commercial </w:t>
      </w:r>
      <w:r w:rsidRPr="005C4CAE">
        <w:rPr>
          <w:rFonts w:ascii="Times New Roman" w:eastAsia="Times New Roman" w:hAnsi="Times New Roman" w:cs="Times New Roman"/>
          <w:sz w:val="24"/>
          <w:szCs w:val="24"/>
          <w:lang w:eastAsia="en-ZA"/>
        </w:rPr>
        <w:lastRenderedPageBreak/>
        <w:t xml:space="preserve">exploitation of </w:t>
      </w:r>
      <w:r w:rsidR="00887186" w:rsidRPr="00793859">
        <w:rPr>
          <w:rFonts w:ascii="Times New Roman" w:eastAsia="Times New Roman" w:hAnsi="Times New Roman" w:cs="Times New Roman"/>
          <w:sz w:val="24"/>
          <w:szCs w:val="24"/>
          <w:lang w:eastAsia="en-ZA"/>
        </w:rPr>
        <w:t xml:space="preserve">ATK </w:t>
      </w:r>
      <w:r w:rsidRPr="005C4CAE">
        <w:rPr>
          <w:rFonts w:ascii="Times New Roman" w:eastAsia="Times New Roman" w:hAnsi="Times New Roman" w:cs="Times New Roman"/>
          <w:sz w:val="24"/>
          <w:szCs w:val="24"/>
          <w:lang w:eastAsia="en-ZA"/>
        </w:rPr>
        <w:t>without adequate recognition or compensation for their holders</w:t>
      </w:r>
      <w:r w:rsidR="00887186" w:rsidRPr="00793859">
        <w:rPr>
          <w:rStyle w:val="FootnoteReference"/>
          <w:rFonts w:ascii="Times New Roman" w:hAnsi="Times New Roman" w:cs="Times New Roman"/>
          <w:sz w:val="24"/>
          <w:szCs w:val="24"/>
          <w:lang w:val="en-US"/>
        </w:rPr>
        <w:footnoteReference w:id="39"/>
      </w:r>
      <w:r w:rsidRPr="005C4CAE">
        <w:rPr>
          <w:rFonts w:ascii="Times New Roman" w:eastAsia="Times New Roman" w:hAnsi="Times New Roman" w:cs="Times New Roman"/>
          <w:sz w:val="24"/>
          <w:szCs w:val="24"/>
          <w:lang w:eastAsia="en-ZA"/>
        </w:rPr>
        <w:t xml:space="preserve">. Benefits may be monetary or non-monetary and are generally determined on a case-by-case basis through MAT. MAT constitute a contractual arrangement between the users and providers of </w:t>
      </w:r>
      <w:r w:rsidR="00793859">
        <w:rPr>
          <w:rFonts w:ascii="Times New Roman" w:eastAsia="Times New Roman" w:hAnsi="Times New Roman" w:cs="Times New Roman"/>
          <w:sz w:val="24"/>
          <w:szCs w:val="24"/>
          <w:lang w:eastAsia="en-ZA"/>
        </w:rPr>
        <w:t xml:space="preserve">GR </w:t>
      </w:r>
      <w:r w:rsidRPr="005C4CAE">
        <w:rPr>
          <w:rFonts w:ascii="Times New Roman" w:eastAsia="Times New Roman" w:hAnsi="Times New Roman" w:cs="Times New Roman"/>
          <w:sz w:val="24"/>
          <w:szCs w:val="24"/>
          <w:lang w:eastAsia="en-ZA"/>
        </w:rPr>
        <w:t xml:space="preserve">and </w:t>
      </w:r>
      <w:r w:rsidR="00793859">
        <w:rPr>
          <w:rFonts w:ascii="Times New Roman" w:eastAsia="Times New Roman" w:hAnsi="Times New Roman" w:cs="Times New Roman"/>
          <w:sz w:val="24"/>
          <w:szCs w:val="24"/>
          <w:lang w:eastAsia="en-ZA"/>
        </w:rPr>
        <w:t>ATK</w:t>
      </w:r>
      <w:r w:rsidR="00887186" w:rsidRPr="00793859">
        <w:rPr>
          <w:rStyle w:val="FootnoteReference"/>
          <w:rFonts w:ascii="Times New Roman" w:hAnsi="Times New Roman" w:cs="Times New Roman"/>
          <w:sz w:val="24"/>
          <w:szCs w:val="24"/>
          <w:lang w:val="en-US"/>
        </w:rPr>
        <w:footnoteReference w:id="40"/>
      </w:r>
      <w:r w:rsidRPr="005C4CAE">
        <w:rPr>
          <w:rFonts w:ascii="Times New Roman" w:eastAsia="Times New Roman" w:hAnsi="Times New Roman" w:cs="Times New Roman"/>
          <w:sz w:val="24"/>
          <w:szCs w:val="24"/>
          <w:lang w:eastAsia="en-ZA"/>
        </w:rPr>
        <w:t>.</w:t>
      </w:r>
      <w:r w:rsidR="00887186" w:rsidRPr="00793859">
        <w:rPr>
          <w:rFonts w:ascii="Times New Roman" w:eastAsia="Times New Roman" w:hAnsi="Times New Roman" w:cs="Times New Roman"/>
          <w:sz w:val="24"/>
          <w:szCs w:val="24"/>
          <w:lang w:eastAsia="en-ZA"/>
        </w:rPr>
        <w:t xml:space="preserve"> </w:t>
      </w:r>
      <w:r w:rsidR="00753443">
        <w:rPr>
          <w:rFonts w:ascii="Times New Roman" w:eastAsia="Times New Roman" w:hAnsi="Times New Roman" w:cs="Times New Roman"/>
          <w:sz w:val="24"/>
          <w:szCs w:val="24"/>
          <w:lang w:eastAsia="en-ZA"/>
        </w:rPr>
        <w:t>B</w:t>
      </w:r>
      <w:r w:rsidRPr="005C4CAE">
        <w:rPr>
          <w:rFonts w:ascii="Times New Roman" w:eastAsia="Times New Roman" w:hAnsi="Times New Roman" w:cs="Times New Roman"/>
          <w:sz w:val="24"/>
          <w:szCs w:val="24"/>
          <w:lang w:eastAsia="en-ZA"/>
        </w:rPr>
        <w:t xml:space="preserve">enefit-sharing </w:t>
      </w:r>
      <w:r w:rsidR="00753443">
        <w:rPr>
          <w:rFonts w:ascii="Times New Roman" w:eastAsia="Times New Roman" w:hAnsi="Times New Roman" w:cs="Times New Roman"/>
          <w:sz w:val="24"/>
          <w:szCs w:val="24"/>
          <w:lang w:eastAsia="en-ZA"/>
        </w:rPr>
        <w:t>may</w:t>
      </w:r>
      <w:r w:rsidRPr="005C4CAE">
        <w:rPr>
          <w:rFonts w:ascii="Times New Roman" w:eastAsia="Times New Roman" w:hAnsi="Times New Roman" w:cs="Times New Roman"/>
          <w:sz w:val="24"/>
          <w:szCs w:val="24"/>
          <w:lang w:eastAsia="en-ZA"/>
        </w:rPr>
        <w:t xml:space="preserve"> </w:t>
      </w:r>
      <w:r w:rsidR="00753443">
        <w:rPr>
          <w:rFonts w:ascii="Times New Roman" w:eastAsia="Times New Roman" w:hAnsi="Times New Roman" w:cs="Times New Roman"/>
          <w:sz w:val="24"/>
          <w:szCs w:val="24"/>
          <w:lang w:eastAsia="en-ZA"/>
        </w:rPr>
        <w:t>be</w:t>
      </w:r>
      <w:r w:rsidRPr="005C4CAE">
        <w:rPr>
          <w:rFonts w:ascii="Times New Roman" w:eastAsia="Times New Roman" w:hAnsi="Times New Roman" w:cs="Times New Roman"/>
          <w:sz w:val="24"/>
          <w:szCs w:val="24"/>
          <w:lang w:eastAsia="en-ZA"/>
        </w:rPr>
        <w:t xml:space="preserve"> implemented through a bilateral mechanism</w:t>
      </w:r>
      <w:r w:rsidR="00753443">
        <w:rPr>
          <w:rFonts w:ascii="Times New Roman" w:eastAsia="Times New Roman" w:hAnsi="Times New Roman" w:cs="Times New Roman"/>
          <w:sz w:val="24"/>
          <w:szCs w:val="24"/>
          <w:lang w:eastAsia="en-ZA"/>
        </w:rPr>
        <w:t xml:space="preserve"> or a </w:t>
      </w:r>
      <w:r w:rsidR="00753443" w:rsidRPr="005C4CAE">
        <w:rPr>
          <w:rFonts w:ascii="Times New Roman" w:eastAsia="Times New Roman" w:hAnsi="Times New Roman" w:cs="Times New Roman"/>
          <w:sz w:val="24"/>
          <w:szCs w:val="24"/>
          <w:lang w:eastAsia="en-ZA"/>
        </w:rPr>
        <w:t>Global Multilateral Benefit-Sharing Mechanism (GMBSM)</w:t>
      </w:r>
      <w:r w:rsidR="00753443" w:rsidRPr="00753443">
        <w:rPr>
          <w:rFonts w:ascii="Times New Roman" w:hAnsi="Times New Roman" w:cs="Times New Roman"/>
          <w:sz w:val="24"/>
          <w:szCs w:val="24"/>
          <w:vertAlign w:val="superscript"/>
          <w:lang w:val="en-US"/>
        </w:rPr>
        <w:t xml:space="preserve"> </w:t>
      </w:r>
      <w:r w:rsidR="00753443" w:rsidRPr="00793859">
        <w:rPr>
          <w:rFonts w:ascii="Times New Roman" w:hAnsi="Times New Roman" w:cs="Times New Roman"/>
          <w:sz w:val="24"/>
          <w:szCs w:val="24"/>
          <w:vertAlign w:val="superscript"/>
          <w:lang w:val="en-US"/>
        </w:rPr>
        <w:footnoteReference w:id="41"/>
      </w:r>
      <w:r w:rsidRPr="005C4CAE">
        <w:rPr>
          <w:rFonts w:ascii="Times New Roman" w:eastAsia="Times New Roman" w:hAnsi="Times New Roman" w:cs="Times New Roman"/>
          <w:sz w:val="24"/>
          <w:szCs w:val="24"/>
          <w:lang w:eastAsia="en-ZA"/>
        </w:rPr>
        <w:t xml:space="preserve">. What are the defining characteristics of bilateral and multilateral benefit-sharing mechanisms? To what extent do these mechanisms incorporate both monetary and non-monetary forms of benefits? How do they contribute to the conservation and sustainable use of biodiversity while advancing principles of equity and justice? These questions will be addressed by examining bilateral benefit-sharing mechanisms and the </w:t>
      </w:r>
      <w:r w:rsidR="004C66BD" w:rsidRPr="005C4CAE">
        <w:rPr>
          <w:rFonts w:ascii="Times New Roman" w:eastAsia="Times New Roman" w:hAnsi="Times New Roman" w:cs="Times New Roman"/>
          <w:sz w:val="24"/>
          <w:szCs w:val="24"/>
          <w:lang w:eastAsia="en-ZA"/>
        </w:rPr>
        <w:t>GMBSM</w:t>
      </w:r>
      <w:r w:rsidRPr="005C4CAE">
        <w:rPr>
          <w:rFonts w:ascii="Times New Roman" w:eastAsia="Times New Roman" w:hAnsi="Times New Roman" w:cs="Times New Roman"/>
          <w:sz w:val="24"/>
          <w:szCs w:val="24"/>
          <w:lang w:eastAsia="en-ZA"/>
        </w:rPr>
        <w:t xml:space="preserve">, and subsequently analysing the different categories of benefits recognised under the ABS </w:t>
      </w:r>
      <w:r w:rsidR="00842652">
        <w:rPr>
          <w:rFonts w:ascii="Times New Roman" w:eastAsia="Times New Roman" w:hAnsi="Times New Roman" w:cs="Times New Roman"/>
          <w:sz w:val="24"/>
          <w:szCs w:val="24"/>
          <w:lang w:eastAsia="en-ZA"/>
        </w:rPr>
        <w:t>framework.</w:t>
      </w:r>
    </w:p>
    <w:p w14:paraId="19FC583D" w14:textId="6D5C6AE3" w:rsidR="005C4CAE" w:rsidRPr="00793859" w:rsidRDefault="005C4CAE" w:rsidP="00793859">
      <w:pPr>
        <w:pStyle w:val="Heading2"/>
        <w:spacing w:after="240" w:line="360" w:lineRule="auto"/>
        <w:jc w:val="both"/>
        <w:rPr>
          <w:rFonts w:ascii="Times New Roman" w:eastAsia="Times New Roman" w:hAnsi="Times New Roman" w:cs="Times New Roman"/>
          <w:b/>
          <w:bCs/>
          <w:color w:val="auto"/>
          <w:sz w:val="24"/>
          <w:szCs w:val="24"/>
          <w:lang w:eastAsia="en-ZA"/>
        </w:rPr>
      </w:pPr>
      <w:r w:rsidRPr="00793859">
        <w:rPr>
          <w:rFonts w:ascii="Times New Roman" w:eastAsia="Times New Roman" w:hAnsi="Times New Roman" w:cs="Times New Roman"/>
          <w:b/>
          <w:bCs/>
          <w:color w:val="auto"/>
          <w:sz w:val="24"/>
          <w:szCs w:val="24"/>
          <w:lang w:eastAsia="en-ZA"/>
        </w:rPr>
        <w:t xml:space="preserve">4.1 </w:t>
      </w:r>
      <w:bookmarkStart w:id="12" w:name="_Hlk231721813"/>
      <w:r w:rsidRPr="00793859">
        <w:rPr>
          <w:rFonts w:ascii="Times New Roman" w:eastAsia="Times New Roman" w:hAnsi="Times New Roman" w:cs="Times New Roman"/>
          <w:b/>
          <w:bCs/>
          <w:color w:val="auto"/>
          <w:sz w:val="24"/>
          <w:szCs w:val="24"/>
          <w:lang w:eastAsia="en-ZA"/>
        </w:rPr>
        <w:t>Bilateral and multilateral benefit-sharing mechanisms</w:t>
      </w:r>
      <w:bookmarkEnd w:id="12"/>
    </w:p>
    <w:p w14:paraId="62AC964E" w14:textId="107E9EC8" w:rsidR="005C4CAE" w:rsidRPr="005C4CAE"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 xml:space="preserve">MAT </w:t>
      </w:r>
      <w:r w:rsidR="004C66BD">
        <w:rPr>
          <w:rFonts w:ascii="Times New Roman" w:eastAsia="Times New Roman" w:hAnsi="Times New Roman" w:cs="Times New Roman"/>
          <w:sz w:val="24"/>
          <w:szCs w:val="24"/>
          <w:lang w:eastAsia="en-ZA"/>
        </w:rPr>
        <w:t>is</w:t>
      </w:r>
      <w:r w:rsidRPr="005C4CAE">
        <w:rPr>
          <w:rFonts w:ascii="Times New Roman" w:eastAsia="Times New Roman" w:hAnsi="Times New Roman" w:cs="Times New Roman"/>
          <w:sz w:val="24"/>
          <w:szCs w:val="24"/>
          <w:lang w:eastAsia="en-ZA"/>
        </w:rPr>
        <w:t xml:space="preserve"> generally regarded as the cornerstone of the Access and Benefit-Sharing (ABS) regime. Recognised under legal instruments</w:t>
      </w:r>
      <w:r w:rsidR="00BB6626" w:rsidRPr="00793859">
        <w:rPr>
          <w:rStyle w:val="FootnoteReference"/>
          <w:rFonts w:ascii="Times New Roman" w:hAnsi="Times New Roman" w:cs="Times New Roman"/>
          <w:sz w:val="24"/>
          <w:szCs w:val="24"/>
          <w:lang w:val="en-US"/>
        </w:rPr>
        <w:footnoteReference w:id="42"/>
      </w:r>
      <w:r w:rsidRPr="005C4CAE">
        <w:rPr>
          <w:rFonts w:ascii="Times New Roman" w:eastAsia="Times New Roman" w:hAnsi="Times New Roman" w:cs="Times New Roman"/>
          <w:sz w:val="24"/>
          <w:szCs w:val="24"/>
          <w:lang w:eastAsia="en-ZA"/>
        </w:rPr>
        <w:t xml:space="preserve">, MAT possess legal significance insofar as they operationalise the obligations associated with access to and utilisation of </w:t>
      </w:r>
      <w:r w:rsidR="00793859">
        <w:rPr>
          <w:rFonts w:ascii="Times New Roman" w:eastAsia="Times New Roman" w:hAnsi="Times New Roman" w:cs="Times New Roman"/>
          <w:sz w:val="24"/>
          <w:szCs w:val="24"/>
          <w:lang w:eastAsia="en-ZA"/>
        </w:rPr>
        <w:t>GR</w:t>
      </w:r>
      <w:r w:rsidRPr="005C4CAE">
        <w:rPr>
          <w:rFonts w:ascii="Times New Roman" w:eastAsia="Times New Roman" w:hAnsi="Times New Roman" w:cs="Times New Roman"/>
          <w:sz w:val="24"/>
          <w:szCs w:val="24"/>
          <w:lang w:eastAsia="en-ZA"/>
        </w:rPr>
        <w:t xml:space="preserve"> and </w:t>
      </w:r>
      <w:r w:rsidR="00793859">
        <w:rPr>
          <w:rFonts w:ascii="Times New Roman" w:eastAsia="Times New Roman" w:hAnsi="Times New Roman" w:cs="Times New Roman"/>
          <w:sz w:val="24"/>
          <w:szCs w:val="24"/>
          <w:lang w:eastAsia="en-ZA"/>
        </w:rPr>
        <w:t>A</w:t>
      </w:r>
      <w:r w:rsidR="004C66BD">
        <w:rPr>
          <w:rFonts w:ascii="Times New Roman" w:eastAsia="Times New Roman" w:hAnsi="Times New Roman" w:cs="Times New Roman"/>
          <w:sz w:val="24"/>
          <w:szCs w:val="24"/>
          <w:lang w:eastAsia="en-ZA"/>
        </w:rPr>
        <w:t>TK</w:t>
      </w:r>
      <w:r w:rsidRPr="005C4CAE">
        <w:rPr>
          <w:rFonts w:ascii="Times New Roman" w:eastAsia="Times New Roman" w:hAnsi="Times New Roman" w:cs="Times New Roman"/>
          <w:sz w:val="24"/>
          <w:szCs w:val="24"/>
          <w:lang w:eastAsia="en-ZA"/>
        </w:rPr>
        <w:t>. Together with PIC, MAT constitute the principal legal mechanisms through which benefit-sharing arrangements are negotiated and implemented.</w:t>
      </w:r>
      <w:r w:rsidR="004C66BD">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The establishment of MAT gives rise to a bilateral benefit-sharing mechanism (BBS), which operates through a contractual relationship between a provider and a user of </w:t>
      </w:r>
      <w:r w:rsidR="00793859">
        <w:rPr>
          <w:rFonts w:ascii="Times New Roman" w:eastAsia="Times New Roman" w:hAnsi="Times New Roman" w:cs="Times New Roman"/>
          <w:sz w:val="24"/>
          <w:szCs w:val="24"/>
          <w:lang w:eastAsia="en-ZA"/>
        </w:rPr>
        <w:t>GR</w:t>
      </w:r>
      <w:r w:rsidR="004C66BD">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and/or </w:t>
      </w:r>
      <w:r w:rsidR="00793859">
        <w:rPr>
          <w:rFonts w:ascii="Times New Roman" w:eastAsia="Times New Roman" w:hAnsi="Times New Roman" w:cs="Times New Roman"/>
          <w:sz w:val="24"/>
          <w:szCs w:val="24"/>
          <w:lang w:eastAsia="en-ZA"/>
        </w:rPr>
        <w:t>ATK</w:t>
      </w:r>
      <w:r w:rsidRPr="005C4CAE">
        <w:rPr>
          <w:rFonts w:ascii="Times New Roman" w:eastAsia="Times New Roman" w:hAnsi="Times New Roman" w:cs="Times New Roman"/>
          <w:sz w:val="24"/>
          <w:szCs w:val="24"/>
          <w:lang w:eastAsia="en-ZA"/>
        </w:rPr>
        <w:t xml:space="preserve">. Such a mechanism is generally applicable where the providers of the resources or knowledge are identifiable and where the subject matter of access can be clearly attributed to a particular State, community, institution, or individual. In this context, MAT function as a form of contractual or material transfer arrangement specifying, inter alia, the objectives of access, dispute settlement procedures, benefit-sharing obligations, intellectual property rights, conditions governing third-party transfers, provisions concerning changes in the intended use of resources, and the modalities </w:t>
      </w:r>
      <w:r w:rsidRPr="005C4CAE">
        <w:rPr>
          <w:rFonts w:ascii="Times New Roman" w:eastAsia="Times New Roman" w:hAnsi="Times New Roman" w:cs="Times New Roman"/>
          <w:sz w:val="24"/>
          <w:szCs w:val="24"/>
          <w:lang w:eastAsia="en-ZA"/>
        </w:rPr>
        <w:lastRenderedPageBreak/>
        <w:t>for the distribution of benefits. They further establish the rights and obligations of the parties, including the nature, timing, allocation, and mechanisms of benefit-sharing.</w:t>
      </w:r>
    </w:p>
    <w:p w14:paraId="68B8F57D" w14:textId="51B040F3" w:rsidR="005C4CAE" w:rsidRPr="005C4CAE"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 xml:space="preserve">Notwithstanding the relative clarity of the bilateral approach, circumstances may arise in which the providers of </w:t>
      </w:r>
      <w:r w:rsidR="00793859">
        <w:rPr>
          <w:rFonts w:ascii="Times New Roman" w:eastAsia="Times New Roman" w:hAnsi="Times New Roman" w:cs="Times New Roman"/>
          <w:sz w:val="24"/>
          <w:szCs w:val="24"/>
          <w:lang w:eastAsia="en-ZA"/>
        </w:rPr>
        <w:t>GR</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or </w:t>
      </w:r>
      <w:r w:rsidR="00793859">
        <w:rPr>
          <w:rFonts w:ascii="Times New Roman" w:eastAsia="Times New Roman" w:hAnsi="Times New Roman" w:cs="Times New Roman"/>
          <w:sz w:val="24"/>
          <w:szCs w:val="24"/>
          <w:lang w:eastAsia="en-ZA"/>
        </w:rPr>
        <w:t>ATK</w:t>
      </w:r>
      <w:r w:rsidRPr="005C4CAE">
        <w:rPr>
          <w:rFonts w:ascii="Times New Roman" w:eastAsia="Times New Roman" w:hAnsi="Times New Roman" w:cs="Times New Roman"/>
          <w:sz w:val="24"/>
          <w:szCs w:val="24"/>
          <w:lang w:eastAsia="en-ZA"/>
        </w:rPr>
        <w:t xml:space="preserve"> cannot be readily identified, thereby rendering the negotiation of MAT impracticable. Such situations include transboundary resources and cases in whic</w:t>
      </w:r>
      <w:r w:rsidR="006D65C5">
        <w:rPr>
          <w:rFonts w:ascii="Times New Roman" w:eastAsia="Times New Roman" w:hAnsi="Times New Roman" w:cs="Times New Roman"/>
          <w:sz w:val="24"/>
          <w:szCs w:val="24"/>
          <w:lang w:eastAsia="en-ZA"/>
        </w:rPr>
        <w:t xml:space="preserve">h PIC </w:t>
      </w:r>
      <w:r w:rsidRPr="005C4CAE">
        <w:rPr>
          <w:rFonts w:ascii="Times New Roman" w:eastAsia="Times New Roman" w:hAnsi="Times New Roman" w:cs="Times New Roman"/>
          <w:sz w:val="24"/>
          <w:szCs w:val="24"/>
          <w:lang w:eastAsia="en-ZA"/>
        </w:rPr>
        <w:t>cannot be obtained</w:t>
      </w:r>
      <w:r w:rsidR="00BB6626" w:rsidRPr="00793859">
        <w:rPr>
          <w:rStyle w:val="FootnoteReference"/>
          <w:rFonts w:ascii="Times New Roman" w:eastAsia="Times New Roman" w:hAnsi="Times New Roman" w:cs="Times New Roman"/>
          <w:sz w:val="24"/>
          <w:szCs w:val="24"/>
          <w:lang w:eastAsia="en-ZA"/>
        </w:rPr>
        <w:footnoteReference w:id="43"/>
      </w:r>
      <w:r w:rsidRPr="005C4CAE">
        <w:rPr>
          <w:rFonts w:ascii="Times New Roman" w:eastAsia="Times New Roman" w:hAnsi="Times New Roman" w:cs="Times New Roman"/>
          <w:sz w:val="24"/>
          <w:szCs w:val="24"/>
          <w:lang w:eastAsia="en-ZA"/>
        </w:rPr>
        <w:t>.</w:t>
      </w:r>
      <w:r w:rsidR="00BB6626" w:rsidRPr="00793859">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Transboundary situations may arise where </w:t>
      </w:r>
      <w:r w:rsidR="00793859">
        <w:rPr>
          <w:rFonts w:ascii="Times New Roman" w:eastAsia="Times New Roman" w:hAnsi="Times New Roman" w:cs="Times New Roman"/>
          <w:sz w:val="24"/>
          <w:szCs w:val="24"/>
          <w:lang w:eastAsia="en-ZA"/>
        </w:rPr>
        <w:t>GR</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occur across the territories of several States or where biological resources move across national borders. Migratory species provide a useful illustration. Certain animal </w:t>
      </w:r>
      <w:r w:rsidR="00793859">
        <w:rPr>
          <w:rFonts w:ascii="Times New Roman" w:eastAsia="Times New Roman" w:hAnsi="Times New Roman" w:cs="Times New Roman"/>
          <w:sz w:val="24"/>
          <w:szCs w:val="24"/>
          <w:lang w:eastAsia="en-ZA"/>
        </w:rPr>
        <w:t>GR</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found within the Congo Basin ecosystem may migrate between the territories of Cameroon, Gabon, the Republic of the Congo, and other neighbouring States. In such circumstances, attributing the resources to a single provider State may be difficult, thereby necessitating cooperative mechanisms</w:t>
      </w:r>
      <w:r w:rsidR="006D65C5">
        <w:rPr>
          <w:rFonts w:ascii="Times New Roman" w:eastAsia="Times New Roman" w:hAnsi="Times New Roman" w:cs="Times New Roman"/>
          <w:sz w:val="24"/>
          <w:szCs w:val="24"/>
          <w:lang w:eastAsia="en-ZA"/>
        </w:rPr>
        <w:t>.</w:t>
      </w:r>
    </w:p>
    <w:p w14:paraId="28C4B5F6" w14:textId="77068234" w:rsidR="005C4CAE" w:rsidRPr="005C4CAE"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 xml:space="preserve">Similarly, challenges arise in relation to </w:t>
      </w:r>
      <w:r w:rsidR="00793859">
        <w:rPr>
          <w:rFonts w:ascii="Times New Roman" w:eastAsia="Times New Roman" w:hAnsi="Times New Roman" w:cs="Times New Roman"/>
          <w:sz w:val="24"/>
          <w:szCs w:val="24"/>
          <w:lang w:eastAsia="en-ZA"/>
        </w:rPr>
        <w:t>GR</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located beyond national jurisdiction, including marine </w:t>
      </w:r>
      <w:r w:rsidR="00793859">
        <w:rPr>
          <w:rFonts w:ascii="Times New Roman" w:eastAsia="Times New Roman" w:hAnsi="Times New Roman" w:cs="Times New Roman"/>
          <w:sz w:val="24"/>
          <w:szCs w:val="24"/>
          <w:lang w:eastAsia="en-ZA"/>
        </w:rPr>
        <w:t>G</w:t>
      </w:r>
      <w:r w:rsidR="003126AB">
        <w:rPr>
          <w:rFonts w:ascii="Times New Roman" w:eastAsia="Times New Roman" w:hAnsi="Times New Roman" w:cs="Times New Roman"/>
          <w:sz w:val="24"/>
          <w:szCs w:val="24"/>
          <w:lang w:eastAsia="en-ZA"/>
        </w:rPr>
        <w:t xml:space="preserve">enetic </w:t>
      </w:r>
      <w:r w:rsidR="00793859">
        <w:rPr>
          <w:rFonts w:ascii="Times New Roman" w:eastAsia="Times New Roman" w:hAnsi="Times New Roman" w:cs="Times New Roman"/>
          <w:sz w:val="24"/>
          <w:szCs w:val="24"/>
          <w:lang w:eastAsia="en-ZA"/>
        </w:rPr>
        <w:t>R</w:t>
      </w:r>
      <w:r w:rsidR="003126AB">
        <w:rPr>
          <w:rFonts w:ascii="Times New Roman" w:eastAsia="Times New Roman" w:hAnsi="Times New Roman" w:cs="Times New Roman"/>
          <w:sz w:val="24"/>
          <w:szCs w:val="24"/>
          <w:lang w:eastAsia="en-ZA"/>
        </w:rPr>
        <w:t xml:space="preserve">esources </w:t>
      </w:r>
      <w:r w:rsidRPr="005C4CAE">
        <w:rPr>
          <w:rFonts w:ascii="Times New Roman" w:eastAsia="Times New Roman" w:hAnsi="Times New Roman" w:cs="Times New Roman"/>
          <w:sz w:val="24"/>
          <w:szCs w:val="24"/>
          <w:lang w:eastAsia="en-ZA"/>
        </w:rPr>
        <w:t xml:space="preserve">(MGRs) found in the deep seabed and the High Seas. In such cases, it may be impossible to identify a specific State or </w:t>
      </w:r>
      <w:r w:rsidR="00793859">
        <w:rPr>
          <w:rFonts w:ascii="Times New Roman" w:eastAsia="Times New Roman" w:hAnsi="Times New Roman" w:cs="Times New Roman"/>
          <w:sz w:val="24"/>
          <w:szCs w:val="24"/>
          <w:lang w:eastAsia="en-ZA"/>
        </w:rPr>
        <w:t>IPLCs</w:t>
      </w:r>
      <w:r w:rsidRPr="005C4CAE">
        <w:rPr>
          <w:rFonts w:ascii="Times New Roman" w:eastAsia="Times New Roman" w:hAnsi="Times New Roman" w:cs="Times New Roman"/>
          <w:sz w:val="24"/>
          <w:szCs w:val="24"/>
          <w:lang w:eastAsia="en-ZA"/>
        </w:rPr>
        <w:t xml:space="preserve"> capable of granting P</w:t>
      </w:r>
      <w:r w:rsidR="006D65C5">
        <w:rPr>
          <w:rFonts w:ascii="Times New Roman" w:eastAsia="Times New Roman" w:hAnsi="Times New Roman" w:cs="Times New Roman"/>
          <w:sz w:val="24"/>
          <w:szCs w:val="24"/>
          <w:lang w:eastAsia="en-ZA"/>
        </w:rPr>
        <w:t>IC</w:t>
      </w:r>
      <w:r w:rsidRPr="005C4CAE">
        <w:rPr>
          <w:rFonts w:ascii="Times New Roman" w:eastAsia="Times New Roman" w:hAnsi="Times New Roman" w:cs="Times New Roman"/>
          <w:sz w:val="24"/>
          <w:szCs w:val="24"/>
          <w:lang w:eastAsia="en-ZA"/>
        </w:rPr>
        <w:t>. The adoption of the Agreement under the United Nations Convention on the Law of the Sea on the Conservation and Sustainable Use of Marine Biological Diversity of Areas Beyond National Jurisdiction</w:t>
      </w:r>
      <w:r w:rsidR="00A53071" w:rsidRPr="00793859">
        <w:rPr>
          <w:rFonts w:ascii="Times New Roman" w:eastAsia="Times New Roman" w:hAnsi="Times New Roman" w:cs="Times New Roman"/>
          <w:sz w:val="24"/>
          <w:szCs w:val="24"/>
          <w:lang w:eastAsia="en-ZA"/>
        </w:rPr>
        <w:t>,</w:t>
      </w:r>
      <w:r w:rsidRPr="005C4CAE">
        <w:rPr>
          <w:rFonts w:ascii="Times New Roman" w:eastAsia="Times New Roman" w:hAnsi="Times New Roman" w:cs="Times New Roman"/>
          <w:sz w:val="24"/>
          <w:szCs w:val="24"/>
          <w:lang w:eastAsia="en-ZA"/>
        </w:rPr>
        <w:t xml:space="preserve"> commonly referred to as the BBNJ Agreement or High Seas Biodiversity Treaty</w:t>
      </w:r>
      <w:r w:rsidR="00A53071" w:rsidRPr="00793859">
        <w:rPr>
          <w:rFonts w:ascii="Times New Roman" w:eastAsia="Times New Roman" w:hAnsi="Times New Roman" w:cs="Times New Roman"/>
          <w:sz w:val="24"/>
          <w:szCs w:val="24"/>
          <w:lang w:eastAsia="en-ZA"/>
        </w:rPr>
        <w:t>,</w:t>
      </w:r>
      <w:r w:rsidR="00BB6626" w:rsidRPr="00793859">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in 2023 provides an emerging framework for addressing benefit-sharing relating to </w:t>
      </w:r>
      <w:r w:rsidR="006D65C5">
        <w:rPr>
          <w:rFonts w:ascii="Times New Roman" w:eastAsia="Times New Roman" w:hAnsi="Times New Roman" w:cs="Times New Roman"/>
          <w:sz w:val="24"/>
          <w:szCs w:val="24"/>
          <w:lang w:eastAsia="en-ZA"/>
        </w:rPr>
        <w:t>MGR</w:t>
      </w:r>
      <w:r w:rsidR="00BB6626" w:rsidRPr="00793859">
        <w:rPr>
          <w:rStyle w:val="FootnoteReference"/>
          <w:rFonts w:ascii="Times New Roman" w:hAnsi="Times New Roman" w:cs="Times New Roman"/>
          <w:sz w:val="24"/>
          <w:szCs w:val="24"/>
        </w:rPr>
        <w:footnoteReference w:id="44"/>
      </w:r>
      <w:r w:rsidRPr="005C4CAE">
        <w:rPr>
          <w:rFonts w:ascii="Times New Roman" w:eastAsia="Times New Roman" w:hAnsi="Times New Roman" w:cs="Times New Roman"/>
          <w:sz w:val="24"/>
          <w:szCs w:val="24"/>
          <w:lang w:eastAsia="en-ZA"/>
        </w:rPr>
        <w:t>. In this context, the GMBSM envisaged under Article 10 of the Nagoya Protocol may constitute an appropriate mechanism for facilitating equitable benefit-sharing.</w:t>
      </w:r>
      <w:r w:rsidR="00A53071" w:rsidRPr="00793859">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A similar rationale applies to </w:t>
      </w:r>
      <w:r w:rsidR="00793859">
        <w:rPr>
          <w:rFonts w:ascii="Times New Roman" w:eastAsia="Times New Roman" w:hAnsi="Times New Roman" w:cs="Times New Roman"/>
          <w:sz w:val="24"/>
          <w:szCs w:val="24"/>
          <w:lang w:eastAsia="en-ZA"/>
        </w:rPr>
        <w:t>ATK</w:t>
      </w:r>
      <w:r w:rsidRPr="005C4CAE">
        <w:rPr>
          <w:rFonts w:ascii="Times New Roman" w:eastAsia="Times New Roman" w:hAnsi="Times New Roman" w:cs="Times New Roman"/>
          <w:sz w:val="24"/>
          <w:szCs w:val="24"/>
          <w:lang w:eastAsia="en-ZA"/>
        </w:rPr>
        <w:t>. Where the holders of ATK cannot be identified, or where knowledge has become widely disseminated and is regarded as generic or shared among multiple communities, the bilateral model may prove inadequate. In such circumstances, a multilateral approach may provide a more appropriate framework for benefit-sharing.</w:t>
      </w:r>
      <w:r w:rsidR="00842652">
        <w:rPr>
          <w:rFonts w:ascii="Times New Roman" w:eastAsia="Times New Roman" w:hAnsi="Times New Roman" w:cs="Times New Roman"/>
          <w:sz w:val="24"/>
          <w:szCs w:val="24"/>
          <w:lang w:eastAsia="en-ZA"/>
        </w:rPr>
        <w:t xml:space="preserve"> T</w:t>
      </w:r>
      <w:r w:rsidRPr="005C4CAE">
        <w:rPr>
          <w:rFonts w:ascii="Times New Roman" w:eastAsia="Times New Roman" w:hAnsi="Times New Roman" w:cs="Times New Roman"/>
          <w:sz w:val="24"/>
          <w:szCs w:val="24"/>
          <w:lang w:eastAsia="en-ZA"/>
        </w:rPr>
        <w:t xml:space="preserve">he GMBSM is understood to be triggered by the utilisation of </w:t>
      </w:r>
      <w:r w:rsidR="00793859">
        <w:rPr>
          <w:rFonts w:ascii="Times New Roman" w:eastAsia="Times New Roman" w:hAnsi="Times New Roman" w:cs="Times New Roman"/>
          <w:sz w:val="24"/>
          <w:szCs w:val="24"/>
          <w:lang w:eastAsia="en-ZA"/>
        </w:rPr>
        <w:t>GR</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and </w:t>
      </w:r>
      <w:r w:rsidR="00793859">
        <w:rPr>
          <w:rFonts w:ascii="Times New Roman" w:eastAsia="Times New Roman" w:hAnsi="Times New Roman" w:cs="Times New Roman"/>
          <w:sz w:val="24"/>
          <w:szCs w:val="24"/>
          <w:lang w:eastAsia="en-ZA"/>
        </w:rPr>
        <w:t>ATK</w:t>
      </w:r>
      <w:r w:rsidRPr="005C4CAE">
        <w:rPr>
          <w:rFonts w:ascii="Times New Roman" w:eastAsia="Times New Roman" w:hAnsi="Times New Roman" w:cs="Times New Roman"/>
          <w:sz w:val="24"/>
          <w:szCs w:val="24"/>
          <w:lang w:eastAsia="en-ZA"/>
        </w:rPr>
        <w:t xml:space="preserve"> in situations not adequately addressed through bilateral arrangements. Such utilisation may involve genetic material derived from the same species but exhibiting distinct characteristics due to ecological, geographical, or climatic </w:t>
      </w:r>
      <w:r w:rsidRPr="005C4CAE">
        <w:rPr>
          <w:rFonts w:ascii="Times New Roman" w:eastAsia="Times New Roman" w:hAnsi="Times New Roman" w:cs="Times New Roman"/>
          <w:sz w:val="24"/>
          <w:szCs w:val="24"/>
          <w:lang w:eastAsia="en-ZA"/>
        </w:rPr>
        <w:lastRenderedPageBreak/>
        <w:t xml:space="preserve">variations. For example, a plant species such as </w:t>
      </w:r>
      <w:r w:rsidRPr="005C4CAE">
        <w:rPr>
          <w:rFonts w:ascii="Times New Roman" w:eastAsia="Times New Roman" w:hAnsi="Times New Roman" w:cs="Times New Roman"/>
          <w:i/>
          <w:iCs/>
          <w:sz w:val="24"/>
          <w:szCs w:val="24"/>
          <w:lang w:eastAsia="en-ZA"/>
        </w:rPr>
        <w:t>Aloe</w:t>
      </w:r>
      <w:r w:rsidRPr="005C4CAE">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i/>
          <w:iCs/>
          <w:sz w:val="24"/>
          <w:szCs w:val="24"/>
          <w:lang w:eastAsia="en-ZA"/>
        </w:rPr>
        <w:t>vera</w:t>
      </w:r>
      <w:r w:rsidRPr="005C4CAE">
        <w:rPr>
          <w:rFonts w:ascii="Times New Roman" w:eastAsia="Times New Roman" w:hAnsi="Times New Roman" w:cs="Times New Roman"/>
          <w:sz w:val="24"/>
          <w:szCs w:val="24"/>
          <w:lang w:eastAsia="en-ZA"/>
        </w:rPr>
        <w:t xml:space="preserve"> may possess different biochemical properties depending on the environmental conditions under which it has evolved. </w:t>
      </w:r>
    </w:p>
    <w:p w14:paraId="30930BB1" w14:textId="571D171D" w:rsidR="006D65C5"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Numerous arguments have been advanced in favour of the establishment of a GMBSM. Proponents contend that such a mechanism would capture benefits that fall outside the bilateral system, reduce transaction and administrative costs associated with negotiating MAT, promote equity and broader participation, mitigate information asymmetries between users and providers, enhance legal certainty and transparency, support countries with limited ABS implementation capacity, strengthen incentives for biodiversity conservation, and generate additional financial resources for the conservation and sustainable use of biodiversity.</w:t>
      </w:r>
      <w:r w:rsidR="00CF2697" w:rsidRPr="00793859">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These perceived advantages have nevertheless attracted significant criticism. One of the principal concerns relates to State sovereignty over </w:t>
      </w:r>
      <w:r w:rsidR="006D65C5">
        <w:rPr>
          <w:rFonts w:ascii="Times New Roman" w:eastAsia="Times New Roman" w:hAnsi="Times New Roman" w:cs="Times New Roman"/>
          <w:sz w:val="24"/>
          <w:szCs w:val="24"/>
          <w:lang w:eastAsia="en-ZA"/>
        </w:rPr>
        <w:t>GR</w:t>
      </w:r>
      <w:r w:rsidRPr="005C4CAE">
        <w:rPr>
          <w:rFonts w:ascii="Times New Roman" w:eastAsia="Times New Roman" w:hAnsi="Times New Roman" w:cs="Times New Roman"/>
          <w:sz w:val="24"/>
          <w:szCs w:val="24"/>
          <w:lang w:eastAsia="en-ZA"/>
        </w:rPr>
        <w:t xml:space="preserve">. Critics argue that a comprehensive multilateral mechanism could weaken or dilute sovereign rights by reallocating benefits that would otherwise accrue directly to provider States or </w:t>
      </w:r>
      <w:r w:rsidR="006D65C5">
        <w:rPr>
          <w:rFonts w:ascii="Times New Roman" w:eastAsia="Times New Roman" w:hAnsi="Times New Roman" w:cs="Times New Roman"/>
          <w:sz w:val="24"/>
          <w:szCs w:val="24"/>
          <w:lang w:eastAsia="en-ZA"/>
        </w:rPr>
        <w:t>IPLCs</w:t>
      </w:r>
      <w:r w:rsidRPr="005C4CAE">
        <w:rPr>
          <w:rFonts w:ascii="Times New Roman" w:eastAsia="Times New Roman" w:hAnsi="Times New Roman" w:cs="Times New Roman"/>
          <w:sz w:val="24"/>
          <w:szCs w:val="24"/>
          <w:lang w:eastAsia="en-ZA"/>
        </w:rPr>
        <w:t xml:space="preserve">. Consequently, </w:t>
      </w:r>
      <w:r w:rsidR="00A53071" w:rsidRPr="00793859">
        <w:rPr>
          <w:rFonts w:ascii="Times New Roman" w:eastAsia="Times New Roman" w:hAnsi="Times New Roman" w:cs="Times New Roman"/>
          <w:sz w:val="24"/>
          <w:szCs w:val="24"/>
          <w:lang w:eastAsia="en-ZA"/>
        </w:rPr>
        <w:t>sovereignty concerns</w:t>
      </w:r>
      <w:r w:rsidRPr="005C4CAE">
        <w:rPr>
          <w:rFonts w:ascii="Times New Roman" w:eastAsia="Times New Roman" w:hAnsi="Times New Roman" w:cs="Times New Roman"/>
          <w:sz w:val="24"/>
          <w:szCs w:val="24"/>
          <w:lang w:eastAsia="en-ZA"/>
        </w:rPr>
        <w:t xml:space="preserve"> may partially explain why the GMBSM envisaged under Article 10 of the Nagoya Protocol has not yet been operationalised to the same extent as bilateral ABS arrangements.</w:t>
      </w:r>
      <w:r w:rsidR="006D65C5">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Additional concerns relate to distributive justice and equity. Benefits channelled through a multilateral mechanism may not necessarily reach the specific</w:t>
      </w:r>
      <w:r w:rsidR="00E56A72">
        <w:rPr>
          <w:rFonts w:ascii="Times New Roman" w:eastAsia="Times New Roman" w:hAnsi="Times New Roman" w:cs="Times New Roman"/>
          <w:sz w:val="24"/>
          <w:szCs w:val="24"/>
          <w:lang w:eastAsia="en-ZA"/>
        </w:rPr>
        <w:t xml:space="preserve"> States or IPLCs </w:t>
      </w:r>
      <w:r w:rsidRPr="005C4CAE">
        <w:rPr>
          <w:rFonts w:ascii="Times New Roman" w:eastAsia="Times New Roman" w:hAnsi="Times New Roman" w:cs="Times New Roman"/>
          <w:sz w:val="24"/>
          <w:szCs w:val="24"/>
          <w:lang w:eastAsia="en-ZA"/>
        </w:rPr>
        <w:t>from which resources or knowledge originate. Provider countries may receive a reduced share of benefits due to redistribution among multiple beneficiaries, while also incurring administrative and governance costs.</w:t>
      </w:r>
    </w:p>
    <w:p w14:paraId="1F590268" w14:textId="77777777" w:rsidR="00E56A72" w:rsidRDefault="005C4CAE" w:rsidP="00793859">
      <w:pPr>
        <w:spacing w:before="100" w:beforeAutospacing="1" w:after="100" w:afterAutospacing="1" w:line="360" w:lineRule="auto"/>
        <w:jc w:val="both"/>
        <w:rPr>
          <w:rFonts w:ascii="Times New Roman" w:eastAsia="Times New Roman" w:hAnsi="Times New Roman" w:cs="Times New Roman"/>
          <w:sz w:val="24"/>
          <w:szCs w:val="24"/>
          <w:lang w:eastAsia="en-ZA"/>
        </w:rPr>
      </w:pPr>
      <w:r w:rsidRPr="005C4CAE">
        <w:rPr>
          <w:rFonts w:ascii="Times New Roman" w:eastAsia="Times New Roman" w:hAnsi="Times New Roman" w:cs="Times New Roman"/>
          <w:sz w:val="24"/>
          <w:szCs w:val="24"/>
          <w:lang w:eastAsia="en-ZA"/>
        </w:rPr>
        <w:t>A further challenge concerns the status of Digital Sequence Information (DSI), a term generally used to describe genetic sequence data and related information stored and exchanged through digital platforms. DSI is of considerable importance for pharmaceutical, agricultural, cosmetic, and biotechnology industries. However, its legal status within the ABS framework remains highly contested</w:t>
      </w:r>
      <w:r w:rsidR="00A53071" w:rsidRPr="00793859">
        <w:rPr>
          <w:rStyle w:val="FootnoteReference"/>
          <w:rFonts w:ascii="Times New Roman" w:eastAsia="Times New Roman" w:hAnsi="Times New Roman" w:cs="Times New Roman"/>
          <w:sz w:val="24"/>
          <w:szCs w:val="24"/>
          <w:lang w:eastAsia="en-ZA"/>
        </w:rPr>
        <w:footnoteReference w:id="45"/>
      </w:r>
      <w:r w:rsidRPr="005C4CAE">
        <w:rPr>
          <w:rFonts w:ascii="Times New Roman" w:eastAsia="Times New Roman" w:hAnsi="Times New Roman" w:cs="Times New Roman"/>
          <w:sz w:val="24"/>
          <w:szCs w:val="24"/>
          <w:lang w:eastAsia="en-ZA"/>
        </w:rPr>
        <w:t>. Some scholars argue that DSI constitutes a form of genetic resource and should therefore be subject to benefit-sharing obligations. Others maintain that DSI should remain openly accessible as part of the global scientific commons and should not be subjected to ABS requirements.</w:t>
      </w:r>
      <w:r w:rsidR="00E56A72">
        <w:rPr>
          <w:rFonts w:ascii="Times New Roman" w:eastAsia="Times New Roman" w:hAnsi="Times New Roman" w:cs="Times New Roman"/>
          <w:sz w:val="24"/>
          <w:szCs w:val="24"/>
          <w:lang w:eastAsia="en-ZA"/>
        </w:rPr>
        <w:t xml:space="preserve"> </w:t>
      </w:r>
      <w:r w:rsidRPr="005C4CAE">
        <w:rPr>
          <w:rFonts w:ascii="Times New Roman" w:eastAsia="Times New Roman" w:hAnsi="Times New Roman" w:cs="Times New Roman"/>
          <w:sz w:val="24"/>
          <w:szCs w:val="24"/>
          <w:lang w:eastAsia="en-ZA"/>
        </w:rPr>
        <w:t xml:space="preserve">The divergent positions regarding DSI reveal a significant normative gap within the Nagoya Protocol. While the Protocol introduced the concept of a </w:t>
      </w:r>
      <w:r w:rsidR="00E56A72" w:rsidRPr="005C4CAE">
        <w:rPr>
          <w:rFonts w:ascii="Times New Roman" w:eastAsia="Times New Roman" w:hAnsi="Times New Roman" w:cs="Times New Roman"/>
          <w:sz w:val="24"/>
          <w:szCs w:val="24"/>
          <w:lang w:eastAsia="en-ZA"/>
        </w:rPr>
        <w:t>GMBSM</w:t>
      </w:r>
      <w:r w:rsidRPr="005C4CAE">
        <w:rPr>
          <w:rFonts w:ascii="Times New Roman" w:eastAsia="Times New Roman" w:hAnsi="Times New Roman" w:cs="Times New Roman"/>
          <w:sz w:val="24"/>
          <w:szCs w:val="24"/>
          <w:lang w:eastAsia="en-ZA"/>
        </w:rPr>
        <w:t xml:space="preserve">, it did </w:t>
      </w:r>
      <w:r w:rsidRPr="005C4CAE">
        <w:rPr>
          <w:rFonts w:ascii="Times New Roman" w:eastAsia="Times New Roman" w:hAnsi="Times New Roman" w:cs="Times New Roman"/>
          <w:sz w:val="24"/>
          <w:szCs w:val="24"/>
          <w:lang w:eastAsia="en-ZA"/>
        </w:rPr>
        <w:lastRenderedPageBreak/>
        <w:t xml:space="preserve">not provide detailed guidance regarding its operationalisation or the categories of resources and information that should fall within its scope. </w:t>
      </w:r>
    </w:p>
    <w:p w14:paraId="52DE4948" w14:textId="4213016E" w:rsidR="005C4CAE" w:rsidRPr="00793859" w:rsidRDefault="005C4CAE" w:rsidP="00793859">
      <w:pPr>
        <w:pStyle w:val="Heading2"/>
        <w:spacing w:line="360" w:lineRule="auto"/>
        <w:jc w:val="both"/>
        <w:rPr>
          <w:rFonts w:ascii="Times New Roman" w:eastAsia="Times New Roman" w:hAnsi="Times New Roman" w:cs="Times New Roman"/>
          <w:b/>
          <w:bCs/>
          <w:color w:val="auto"/>
          <w:sz w:val="24"/>
          <w:szCs w:val="24"/>
          <w:lang w:eastAsia="en-ZA"/>
        </w:rPr>
      </w:pPr>
      <w:r w:rsidRPr="00793859">
        <w:rPr>
          <w:rFonts w:ascii="Times New Roman" w:eastAsia="Times New Roman" w:hAnsi="Times New Roman" w:cs="Times New Roman"/>
          <w:b/>
          <w:bCs/>
          <w:color w:val="auto"/>
          <w:sz w:val="24"/>
          <w:szCs w:val="24"/>
          <w:lang w:eastAsia="en-ZA"/>
        </w:rPr>
        <w:t>4.2 Monetary and non- monetary benefit sharing </w:t>
      </w:r>
    </w:p>
    <w:p w14:paraId="54C9E9F1" w14:textId="77777777" w:rsidR="00E56A72" w:rsidRPr="00036A09" w:rsidRDefault="00E56A72" w:rsidP="00E56A72">
      <w:pPr>
        <w:spacing w:before="240" w:line="360" w:lineRule="auto"/>
        <w:ind w:firstLine="424"/>
        <w:jc w:val="both"/>
        <w:rPr>
          <w:rFonts w:ascii="Times New Roman" w:hAnsi="Times New Roman" w:cs="Times New Roman"/>
          <w:sz w:val="24"/>
          <w:szCs w:val="24"/>
        </w:rPr>
      </w:pPr>
      <w:bookmarkStart w:id="13" w:name="_Hlk231722080"/>
      <w:r w:rsidRPr="002B6150">
        <w:rPr>
          <w:rFonts w:ascii="Times New Roman" w:hAnsi="Times New Roman" w:cs="Times New Roman"/>
          <w:sz w:val="24"/>
          <w:szCs w:val="24"/>
        </w:rPr>
        <w:t>GR and ATK are valuable resource</w:t>
      </w:r>
      <w:r>
        <w:rPr>
          <w:rFonts w:ascii="Times New Roman" w:hAnsi="Times New Roman" w:cs="Times New Roman"/>
          <w:sz w:val="24"/>
          <w:szCs w:val="24"/>
        </w:rPr>
        <w:t>s</w:t>
      </w:r>
      <w:r w:rsidRPr="002B6150">
        <w:rPr>
          <w:rFonts w:ascii="Times New Roman" w:hAnsi="Times New Roman" w:cs="Times New Roman"/>
          <w:sz w:val="24"/>
          <w:szCs w:val="24"/>
        </w:rPr>
        <w:t xml:space="preserve"> and knowledge. According to scholars, for either monetary or non-monetary benefits to be shared, it is important to establish the </w:t>
      </w:r>
      <w:r w:rsidRPr="002B6150">
        <w:rPr>
          <w:rFonts w:ascii="Times New Roman" w:hAnsi="Times New Roman" w:cs="Times New Roman"/>
          <w:i/>
          <w:sz w:val="24"/>
          <w:szCs w:val="24"/>
        </w:rPr>
        <w:t>use</w:t>
      </w:r>
      <w:r w:rsidRPr="002B6150">
        <w:rPr>
          <w:rFonts w:ascii="Times New Roman" w:hAnsi="Times New Roman" w:cs="Times New Roman"/>
          <w:sz w:val="24"/>
          <w:szCs w:val="24"/>
        </w:rPr>
        <w:t xml:space="preserve"> and </w:t>
      </w:r>
      <w:r w:rsidRPr="002B6150">
        <w:rPr>
          <w:rFonts w:ascii="Times New Roman" w:hAnsi="Times New Roman" w:cs="Times New Roman"/>
          <w:i/>
          <w:sz w:val="24"/>
          <w:szCs w:val="24"/>
        </w:rPr>
        <w:t>exchange</w:t>
      </w:r>
      <w:r w:rsidRPr="002B6150">
        <w:rPr>
          <w:rFonts w:ascii="Times New Roman" w:hAnsi="Times New Roman" w:cs="Times New Roman"/>
          <w:sz w:val="24"/>
          <w:szCs w:val="24"/>
        </w:rPr>
        <w:t xml:space="preserve"> </w:t>
      </w:r>
      <w:r w:rsidRPr="002B6150">
        <w:rPr>
          <w:rFonts w:ascii="Times New Roman" w:hAnsi="Times New Roman" w:cs="Times New Roman"/>
          <w:i/>
          <w:sz w:val="24"/>
          <w:szCs w:val="24"/>
        </w:rPr>
        <w:t>values</w:t>
      </w:r>
      <w:r w:rsidRPr="002B6150">
        <w:rPr>
          <w:rFonts w:ascii="Times New Roman" w:hAnsi="Times New Roman" w:cs="Times New Roman"/>
          <w:sz w:val="24"/>
          <w:szCs w:val="24"/>
        </w:rPr>
        <w:t xml:space="preserve"> of GR and ATK especially for GR</w:t>
      </w:r>
      <w:r w:rsidRPr="002B6150">
        <w:rPr>
          <w:rFonts w:ascii="Times New Roman" w:hAnsi="Times New Roman" w:cs="Times New Roman"/>
          <w:sz w:val="24"/>
          <w:szCs w:val="24"/>
          <w:vertAlign w:val="superscript"/>
        </w:rPr>
        <w:footnoteReference w:id="46"/>
      </w:r>
      <w:r w:rsidRPr="002B6150">
        <w:rPr>
          <w:rFonts w:ascii="Times New Roman" w:hAnsi="Times New Roman" w:cs="Times New Roman"/>
          <w:sz w:val="24"/>
          <w:szCs w:val="24"/>
        </w:rPr>
        <w:t xml:space="preserve">. All GR have </w:t>
      </w:r>
      <w:r w:rsidRPr="002B6150">
        <w:rPr>
          <w:rFonts w:ascii="Times New Roman" w:hAnsi="Times New Roman" w:cs="Times New Roman"/>
          <w:i/>
          <w:sz w:val="24"/>
          <w:szCs w:val="24"/>
        </w:rPr>
        <w:t>use</w:t>
      </w:r>
      <w:r w:rsidRPr="002B6150">
        <w:rPr>
          <w:rFonts w:ascii="Times New Roman" w:hAnsi="Times New Roman" w:cs="Times New Roman"/>
          <w:sz w:val="24"/>
          <w:szCs w:val="24"/>
        </w:rPr>
        <w:t xml:space="preserve"> value. They acquire an </w:t>
      </w:r>
      <w:r w:rsidRPr="002B6150">
        <w:rPr>
          <w:rFonts w:ascii="Times New Roman" w:hAnsi="Times New Roman" w:cs="Times New Roman"/>
          <w:i/>
          <w:sz w:val="24"/>
          <w:szCs w:val="24"/>
        </w:rPr>
        <w:t>exchange</w:t>
      </w:r>
      <w:r w:rsidRPr="002B6150">
        <w:rPr>
          <w:rFonts w:ascii="Times New Roman" w:hAnsi="Times New Roman" w:cs="Times New Roman"/>
          <w:sz w:val="24"/>
          <w:szCs w:val="24"/>
        </w:rPr>
        <w:t xml:space="preserve"> value when there is a possibility to trade them for other exchange values.  Exchange value can either be monetary or non- monetary and it can be expressed in terms of price. Whereas use value of GR can only be expressed in non-monetary manner. The use value therefore depends only on the properties of the resources and how the user will use it as well as the need to balance </w:t>
      </w:r>
      <w:r w:rsidRPr="002B6150">
        <w:rPr>
          <w:rFonts w:ascii="Times New Roman" w:hAnsi="Times New Roman" w:cs="Times New Roman"/>
          <w:i/>
          <w:sz w:val="24"/>
          <w:szCs w:val="24"/>
        </w:rPr>
        <w:t>present</w:t>
      </w:r>
      <w:r w:rsidRPr="002B6150">
        <w:rPr>
          <w:rFonts w:ascii="Times New Roman" w:hAnsi="Times New Roman" w:cs="Times New Roman"/>
          <w:sz w:val="24"/>
          <w:szCs w:val="24"/>
        </w:rPr>
        <w:t xml:space="preserve"> and </w:t>
      </w:r>
      <w:r w:rsidRPr="002B6150">
        <w:rPr>
          <w:rFonts w:ascii="Times New Roman" w:hAnsi="Times New Roman" w:cs="Times New Roman"/>
          <w:i/>
          <w:sz w:val="24"/>
          <w:szCs w:val="24"/>
        </w:rPr>
        <w:t>future</w:t>
      </w:r>
      <w:r w:rsidRPr="002B6150">
        <w:rPr>
          <w:rFonts w:ascii="Times New Roman" w:hAnsi="Times New Roman" w:cs="Times New Roman"/>
          <w:sz w:val="24"/>
          <w:szCs w:val="24"/>
        </w:rPr>
        <w:t xml:space="preserve"> benefits</w:t>
      </w:r>
      <w:r w:rsidRPr="002B6150">
        <w:rPr>
          <w:rFonts w:ascii="Times New Roman" w:hAnsi="Times New Roman" w:cs="Times New Roman"/>
          <w:sz w:val="24"/>
          <w:szCs w:val="24"/>
          <w:vertAlign w:val="superscript"/>
        </w:rPr>
        <w:footnoteReference w:id="47"/>
      </w:r>
      <w:r w:rsidRPr="002B6150">
        <w:rPr>
          <w:rFonts w:ascii="Times New Roman" w:hAnsi="Times New Roman" w:cs="Times New Roman"/>
          <w:sz w:val="24"/>
          <w:szCs w:val="24"/>
        </w:rPr>
        <w:t xml:space="preserve">. Unfortunately, there is always a confusion about these values and this confusion has an effect on how the types of benefits will be shared. </w:t>
      </w:r>
    </w:p>
    <w:p w14:paraId="6120B351" w14:textId="054D6C1C" w:rsidR="00E56A72" w:rsidRPr="002B6150" w:rsidRDefault="00E56A72" w:rsidP="0006405B">
      <w:pPr>
        <w:spacing w:line="360" w:lineRule="auto"/>
        <w:jc w:val="both"/>
        <w:rPr>
          <w:rFonts w:ascii="Times New Roman" w:hAnsi="Times New Roman" w:cs="Times New Roman"/>
          <w:bCs/>
          <w:sz w:val="24"/>
          <w:szCs w:val="24"/>
          <w:lang w:val="en-US"/>
        </w:rPr>
      </w:pPr>
      <w:r w:rsidRPr="002B6150">
        <w:rPr>
          <w:rFonts w:ascii="Times New Roman" w:hAnsi="Times New Roman" w:cs="Times New Roman"/>
          <w:bCs/>
          <w:sz w:val="24"/>
          <w:szCs w:val="24"/>
          <w:lang w:val="en-US"/>
        </w:rPr>
        <w:t xml:space="preserve">When parties negotiate the MAT for the </w:t>
      </w:r>
      <w:r>
        <w:rPr>
          <w:rFonts w:ascii="Times New Roman" w:hAnsi="Times New Roman" w:cs="Times New Roman"/>
          <w:bCs/>
          <w:sz w:val="24"/>
          <w:szCs w:val="24"/>
          <w:lang w:val="en-US"/>
        </w:rPr>
        <w:t>access and use</w:t>
      </w:r>
      <w:r w:rsidRPr="002B6150">
        <w:rPr>
          <w:rFonts w:ascii="Times New Roman" w:hAnsi="Times New Roman" w:cs="Times New Roman"/>
          <w:bCs/>
          <w:sz w:val="24"/>
          <w:szCs w:val="24"/>
          <w:lang w:val="en-US"/>
        </w:rPr>
        <w:t xml:space="preserve"> of GR and ATK, they must be clear on the types of benefits that must be shared to ensure proper </w:t>
      </w:r>
      <w:r>
        <w:rPr>
          <w:rFonts w:ascii="Times New Roman" w:hAnsi="Times New Roman" w:cs="Times New Roman"/>
          <w:bCs/>
          <w:sz w:val="24"/>
          <w:szCs w:val="24"/>
          <w:lang w:val="en-US"/>
        </w:rPr>
        <w:t>implementation</w:t>
      </w:r>
      <w:r w:rsidRPr="002B6150">
        <w:rPr>
          <w:rFonts w:ascii="Times New Roman" w:hAnsi="Times New Roman" w:cs="Times New Roman"/>
          <w:bCs/>
          <w:sz w:val="24"/>
          <w:szCs w:val="24"/>
          <w:lang w:val="en-US"/>
        </w:rPr>
        <w:t xml:space="preserve">. Such benefits must be mentioned in the MAT for each party to be aware of their rights and obligations during the existence of the contract.  All </w:t>
      </w:r>
      <w:r>
        <w:rPr>
          <w:rFonts w:ascii="Times New Roman" w:hAnsi="Times New Roman" w:cs="Times New Roman"/>
          <w:bCs/>
          <w:sz w:val="24"/>
          <w:szCs w:val="24"/>
          <w:lang w:val="en-US"/>
        </w:rPr>
        <w:t>b</w:t>
      </w:r>
      <w:r w:rsidRPr="002B6150">
        <w:rPr>
          <w:rFonts w:ascii="Times New Roman" w:hAnsi="Times New Roman" w:cs="Times New Roman"/>
          <w:bCs/>
          <w:sz w:val="24"/>
          <w:szCs w:val="24"/>
          <w:lang w:val="en-US"/>
        </w:rPr>
        <w:t>enefits do not grant to parties to the contract, same rights and obligations, this is why, benefits have been classified into two types namely: monetary benefit and non-monetary benefits. These types of benefits, listed in the annex of the NP are non-exhaustive. Why types of benefits grant distinct rights to the parties involved in the contract? Are the benefits shared for the exploitation of GR similar for the exploitation of the ATK</w:t>
      </w:r>
      <w:r>
        <w:rPr>
          <w:rFonts w:ascii="Times New Roman" w:hAnsi="Times New Roman" w:cs="Times New Roman"/>
          <w:bCs/>
          <w:sz w:val="24"/>
          <w:szCs w:val="24"/>
          <w:lang w:val="en-US"/>
        </w:rPr>
        <w:t>?</w:t>
      </w:r>
    </w:p>
    <w:p w14:paraId="3E8C126D" w14:textId="100E2367" w:rsidR="00E56A72" w:rsidRDefault="00E56A72" w:rsidP="0006405B">
      <w:pPr>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Benefits arising from the use of GR and ATK are intended to be shared fairly and equitably. Monetary benefits are </w:t>
      </w:r>
      <w:r w:rsidRPr="002B6150">
        <w:rPr>
          <w:rFonts w:ascii="Times New Roman" w:hAnsi="Times New Roman" w:cs="Times New Roman"/>
          <w:sz w:val="24"/>
          <w:szCs w:val="24"/>
          <w:lang w:val="en-US"/>
        </w:rPr>
        <w:t xml:space="preserve">considered as financial gains from the </w:t>
      </w:r>
      <w:r>
        <w:rPr>
          <w:rFonts w:ascii="Times New Roman" w:hAnsi="Times New Roman" w:cs="Times New Roman"/>
          <w:sz w:val="24"/>
          <w:szCs w:val="24"/>
          <w:lang w:val="en-US"/>
        </w:rPr>
        <w:t>use</w:t>
      </w:r>
      <w:r w:rsidRPr="002B6150">
        <w:rPr>
          <w:rFonts w:ascii="Times New Roman" w:hAnsi="Times New Roman" w:cs="Times New Roman"/>
          <w:sz w:val="24"/>
          <w:szCs w:val="24"/>
          <w:lang w:val="en-US"/>
        </w:rPr>
        <w:t xml:space="preserve"> of GR and ATK</w:t>
      </w:r>
      <w:r>
        <w:rPr>
          <w:rFonts w:ascii="Times New Roman" w:hAnsi="Times New Roman" w:cs="Times New Roman"/>
          <w:sz w:val="24"/>
          <w:szCs w:val="24"/>
          <w:lang w:val="en-US"/>
        </w:rPr>
        <w:t xml:space="preserve">. In Cameroon, depending on the types of monetary benefits, </w:t>
      </w:r>
      <w:r w:rsidRPr="002B6150">
        <w:rPr>
          <w:rFonts w:ascii="Times New Roman" w:hAnsi="Times New Roman" w:cs="Times New Roman"/>
          <w:sz w:val="24"/>
          <w:szCs w:val="24"/>
        </w:rPr>
        <w:t xml:space="preserve">payment is made to the </w:t>
      </w:r>
      <w:r w:rsidRPr="0092620A">
        <w:rPr>
          <w:rFonts w:ascii="Times New Roman" w:hAnsi="Times New Roman" w:cs="Times New Roman"/>
          <w:sz w:val="24"/>
          <w:szCs w:val="24"/>
        </w:rPr>
        <w:t>National Environment and Sustainable Development Fund</w:t>
      </w:r>
      <w:r w:rsidRPr="002B6150">
        <w:rPr>
          <w:rFonts w:ascii="Times New Roman" w:hAnsi="Times New Roman" w:cs="Times New Roman"/>
          <w:sz w:val="24"/>
          <w:szCs w:val="24"/>
        </w:rPr>
        <w:t xml:space="preserve"> for the benefit of society</w:t>
      </w:r>
      <w:r>
        <w:rPr>
          <w:rFonts w:ascii="Times New Roman" w:hAnsi="Times New Roman" w:cs="Times New Roman"/>
          <w:sz w:val="24"/>
          <w:szCs w:val="24"/>
        </w:rPr>
        <w:t xml:space="preserve"> and in the special fund of the IPLCs created for that purpose with the aim of contributing to the development of the IPLCs</w:t>
      </w:r>
      <w:r>
        <w:rPr>
          <w:rStyle w:val="FootnoteReference"/>
          <w:rFonts w:ascii="Times New Roman" w:hAnsi="Times New Roman" w:cs="Times New Roman"/>
          <w:sz w:val="24"/>
          <w:szCs w:val="24"/>
        </w:rPr>
        <w:footnoteReference w:id="48"/>
      </w:r>
      <w:r w:rsidRPr="002B6150">
        <w:rPr>
          <w:rFonts w:ascii="Times New Roman" w:hAnsi="Times New Roman" w:cs="Times New Roman"/>
          <w:sz w:val="24"/>
          <w:szCs w:val="24"/>
        </w:rPr>
        <w:t xml:space="preserve">. But little information is available on how it is managed.  </w:t>
      </w:r>
      <w:r>
        <w:rPr>
          <w:rFonts w:ascii="Times New Roman" w:hAnsi="Times New Roman" w:cs="Times New Roman"/>
          <w:sz w:val="24"/>
          <w:szCs w:val="24"/>
          <w:lang w:val="en-US"/>
        </w:rPr>
        <w:t xml:space="preserve"> </w:t>
      </w:r>
      <w:r w:rsidRPr="002B6150">
        <w:rPr>
          <w:rFonts w:ascii="Times New Roman" w:hAnsi="Times New Roman" w:cs="Times New Roman"/>
          <w:sz w:val="24"/>
          <w:szCs w:val="24"/>
        </w:rPr>
        <w:t xml:space="preserve">On the other hand, </w:t>
      </w:r>
      <w:r w:rsidRPr="002B6150">
        <w:rPr>
          <w:rFonts w:ascii="Times New Roman" w:hAnsi="Times New Roman" w:cs="Times New Roman"/>
          <w:sz w:val="24"/>
          <w:szCs w:val="24"/>
          <w:lang w:val="en-US"/>
        </w:rPr>
        <w:t xml:space="preserve">non-monetary appears as non - financial gains </w:t>
      </w:r>
      <w:r>
        <w:rPr>
          <w:rFonts w:ascii="Times New Roman" w:hAnsi="Times New Roman" w:cs="Times New Roman"/>
          <w:sz w:val="24"/>
          <w:szCs w:val="24"/>
          <w:lang w:val="en-US"/>
        </w:rPr>
        <w:t>i</w:t>
      </w:r>
      <w:r w:rsidRPr="002B6150">
        <w:rPr>
          <w:rFonts w:ascii="Times New Roman" w:hAnsi="Times New Roman" w:cs="Times New Roman"/>
          <w:sz w:val="24"/>
          <w:szCs w:val="24"/>
          <w:lang w:val="en-US"/>
        </w:rPr>
        <w:t>nclud</w:t>
      </w:r>
      <w:r>
        <w:rPr>
          <w:rFonts w:ascii="Times New Roman" w:hAnsi="Times New Roman" w:cs="Times New Roman"/>
          <w:sz w:val="24"/>
          <w:szCs w:val="24"/>
          <w:lang w:val="en-US"/>
        </w:rPr>
        <w:t>ing</w:t>
      </w:r>
      <w:r w:rsidRPr="002B6150">
        <w:rPr>
          <w:rFonts w:ascii="Times New Roman" w:hAnsi="Times New Roman" w:cs="Times New Roman"/>
          <w:sz w:val="24"/>
          <w:szCs w:val="24"/>
          <w:lang w:val="en-US"/>
        </w:rPr>
        <w:t xml:space="preserve"> capacity building, strengthening of collaboration, cooperation as well as enhancement of diplomatic relationship, participation in product </w:t>
      </w:r>
      <w:r w:rsidRPr="002B6150">
        <w:rPr>
          <w:rFonts w:ascii="Times New Roman" w:hAnsi="Times New Roman" w:cs="Times New Roman"/>
          <w:sz w:val="24"/>
          <w:szCs w:val="24"/>
          <w:lang w:val="en-US"/>
        </w:rPr>
        <w:lastRenderedPageBreak/>
        <w:t>development, sharing of research results, transfer of technology under fair and most favorable terms, and social recognition</w:t>
      </w:r>
      <w:r w:rsidRPr="002B6150">
        <w:rPr>
          <w:rFonts w:ascii="Times New Roman" w:hAnsi="Times New Roman" w:cs="Times New Roman"/>
          <w:sz w:val="24"/>
          <w:szCs w:val="24"/>
          <w:vertAlign w:val="superscript"/>
          <w:lang w:val="en-US"/>
        </w:rPr>
        <w:footnoteReference w:id="49"/>
      </w:r>
      <w:r w:rsidRPr="002B6150">
        <w:rPr>
          <w:rFonts w:ascii="Times New Roman" w:hAnsi="Times New Roman" w:cs="Times New Roman"/>
          <w:sz w:val="24"/>
          <w:szCs w:val="24"/>
          <w:lang w:val="en-US"/>
        </w:rPr>
        <w:t xml:space="preserve">. </w:t>
      </w:r>
      <w:r>
        <w:rPr>
          <w:rFonts w:ascii="Times New Roman" w:hAnsi="Times New Roman" w:cs="Times New Roman"/>
          <w:sz w:val="24"/>
          <w:szCs w:val="24"/>
          <w:lang w:val="en-US"/>
        </w:rPr>
        <w:t>Furthermore, t</w:t>
      </w:r>
      <w:r w:rsidRPr="002B6150">
        <w:rPr>
          <w:rFonts w:ascii="Times New Roman" w:hAnsi="Times New Roman" w:cs="Times New Roman"/>
          <w:sz w:val="24"/>
          <w:szCs w:val="24"/>
          <w:lang w:val="en-US"/>
        </w:rPr>
        <w:t xml:space="preserve">here are benefits which are both monetary and nonmonetary; that is </w:t>
      </w:r>
      <w:r w:rsidRPr="002B6150">
        <w:rPr>
          <w:rFonts w:ascii="Times New Roman" w:hAnsi="Times New Roman" w:cs="Times New Roman"/>
          <w:sz w:val="24"/>
          <w:szCs w:val="24"/>
        </w:rPr>
        <w:t>joint ownership of relevant</w:t>
      </w:r>
      <w:r w:rsidR="003126AB">
        <w:rPr>
          <w:rFonts w:ascii="Times New Roman" w:hAnsi="Times New Roman" w:cs="Times New Roman"/>
          <w:sz w:val="24"/>
          <w:szCs w:val="24"/>
        </w:rPr>
        <w:t xml:space="preserve"> </w:t>
      </w:r>
      <w:r>
        <w:rPr>
          <w:rFonts w:ascii="Times New Roman" w:hAnsi="Times New Roman" w:cs="Times New Roman"/>
          <w:sz w:val="24"/>
          <w:szCs w:val="24"/>
        </w:rPr>
        <w:t>IPR</w:t>
      </w:r>
      <w:r w:rsidRPr="002B6150">
        <w:rPr>
          <w:rFonts w:ascii="Times New Roman" w:hAnsi="Times New Roman" w:cs="Times New Roman"/>
          <w:sz w:val="24"/>
          <w:szCs w:val="24"/>
        </w:rPr>
        <w:t>. This can be justified by the fact, having IP</w:t>
      </w:r>
      <w:r>
        <w:rPr>
          <w:rFonts w:ascii="Times New Roman" w:hAnsi="Times New Roman" w:cs="Times New Roman"/>
          <w:sz w:val="24"/>
          <w:szCs w:val="24"/>
        </w:rPr>
        <w:t xml:space="preserve">R </w:t>
      </w:r>
      <w:r w:rsidRPr="002B6150">
        <w:rPr>
          <w:rFonts w:ascii="Times New Roman" w:hAnsi="Times New Roman" w:cs="Times New Roman"/>
          <w:sz w:val="24"/>
          <w:szCs w:val="24"/>
        </w:rPr>
        <w:t>over a product or invention implies that, the owner of the product has exclusive right to commercialise the product or invention and make profit. So, the profit accrues there is a need for a joint ownership, the recognition of the owners. Although the implementation of this benefit is not regular, it is advisable that provider should be included as joint owner in the IP</w:t>
      </w:r>
      <w:r>
        <w:rPr>
          <w:rFonts w:ascii="Times New Roman" w:hAnsi="Times New Roman" w:cs="Times New Roman"/>
          <w:sz w:val="24"/>
          <w:szCs w:val="24"/>
        </w:rPr>
        <w:t>R</w:t>
      </w:r>
      <w:r w:rsidRPr="002B6150">
        <w:rPr>
          <w:rFonts w:ascii="Times New Roman" w:hAnsi="Times New Roman" w:cs="Times New Roman"/>
          <w:sz w:val="24"/>
          <w:szCs w:val="24"/>
        </w:rPr>
        <w:t xml:space="preserve">. Although there is no priority over the types of benefits, scholars in field of ABS opine that, IPLCs should request non-monetary benefits rather than monetary benefits because it will stay in the long term. In an attempt not to reject to this assertion, it is crucial to mention that for IPLCs to carry development projects, monetary benefits are needed. </w:t>
      </w:r>
      <w:r w:rsidR="003126AB">
        <w:rPr>
          <w:rFonts w:ascii="Times New Roman" w:hAnsi="Times New Roman" w:cs="Times New Roman"/>
          <w:sz w:val="24"/>
          <w:szCs w:val="24"/>
        </w:rPr>
        <w:t>Hence</w:t>
      </w:r>
      <w:r w:rsidRPr="002B6150">
        <w:rPr>
          <w:rFonts w:ascii="Times New Roman" w:hAnsi="Times New Roman" w:cs="Times New Roman"/>
          <w:sz w:val="24"/>
          <w:szCs w:val="24"/>
        </w:rPr>
        <w:t>, monetary and nonmonetary benefits are both relevant in ABS contract</w:t>
      </w:r>
      <w:r w:rsidR="003126AB">
        <w:rPr>
          <w:rFonts w:ascii="Times New Roman" w:hAnsi="Times New Roman" w:cs="Times New Roman"/>
          <w:sz w:val="24"/>
          <w:szCs w:val="24"/>
        </w:rPr>
        <w:t xml:space="preserve">s </w:t>
      </w:r>
      <w:r w:rsidRPr="002B6150">
        <w:rPr>
          <w:rFonts w:ascii="Times New Roman" w:hAnsi="Times New Roman" w:cs="Times New Roman"/>
          <w:sz w:val="24"/>
          <w:szCs w:val="24"/>
        </w:rPr>
        <w:t xml:space="preserve">looking at the values of GR and ATK. </w:t>
      </w:r>
    </w:p>
    <w:p w14:paraId="1EABBDEF" w14:textId="77777777" w:rsidR="00E56A72" w:rsidRPr="002B6150" w:rsidRDefault="00E56A72" w:rsidP="00E56A72">
      <w:pPr>
        <w:spacing w:after="0" w:line="360" w:lineRule="auto"/>
        <w:ind w:firstLine="424"/>
        <w:jc w:val="both"/>
        <w:rPr>
          <w:rFonts w:ascii="Times New Roman" w:eastAsia="Times New Roman" w:hAnsi="Times New Roman" w:cs="Times New Roman"/>
          <w:sz w:val="24"/>
          <w:szCs w:val="24"/>
          <w:lang w:eastAsia="en-ZA"/>
        </w:rPr>
      </w:pPr>
      <w:r w:rsidRPr="002B6150">
        <w:rPr>
          <w:rFonts w:ascii="Times New Roman" w:hAnsi="Times New Roman" w:cs="Times New Roman"/>
          <w:sz w:val="24"/>
          <w:szCs w:val="24"/>
        </w:rPr>
        <w:t>To conclude, for the implementation of ABS to be effective, benefits must be shared fairly and equitably. There are two categories of benefits recognized by legal frameworks, and in sharing benefits, parties need to negotiate and agree on the benefit to be shared, in spite of the fact that all parties do not have the same rights over an ABS contract.</w:t>
      </w:r>
    </w:p>
    <w:bookmarkEnd w:id="13"/>
    <w:p w14:paraId="10295610" w14:textId="2A57CD37" w:rsidR="00D82F07" w:rsidRPr="00842652" w:rsidRDefault="005C4CAE" w:rsidP="00842652">
      <w:pPr>
        <w:pStyle w:val="Heading1"/>
        <w:spacing w:after="240" w:line="240" w:lineRule="auto"/>
        <w:jc w:val="center"/>
        <w:rPr>
          <w:rFonts w:ascii="Times New Roman" w:eastAsia="Times New Roman" w:hAnsi="Times New Roman" w:cs="Times New Roman"/>
          <w:b/>
          <w:bCs/>
          <w:color w:val="auto"/>
          <w:sz w:val="24"/>
          <w:szCs w:val="24"/>
          <w:lang w:eastAsia="en-ZA"/>
        </w:rPr>
      </w:pPr>
      <w:r w:rsidRPr="00793859">
        <w:rPr>
          <w:rFonts w:ascii="Times New Roman" w:eastAsia="Times New Roman" w:hAnsi="Times New Roman" w:cs="Times New Roman"/>
          <w:b/>
          <w:bCs/>
          <w:color w:val="auto"/>
          <w:sz w:val="24"/>
          <w:szCs w:val="24"/>
          <w:lang w:eastAsia="en-ZA"/>
        </w:rPr>
        <w:t>5. Challenges in the Implementation of Access and Benefit Sharing under Cameroonian Law</w:t>
      </w:r>
    </w:p>
    <w:p w14:paraId="53CD3DCF" w14:textId="7D82ED25" w:rsidR="00B3435C" w:rsidRDefault="00753443" w:rsidP="00842652">
      <w:pPr>
        <w:pStyle w:val="NormalWeb"/>
        <w:spacing w:line="360" w:lineRule="auto"/>
        <w:jc w:val="both"/>
      </w:pPr>
      <w:r>
        <w:t>D</w:t>
      </w:r>
      <w:r w:rsidR="00B3435C">
        <w:t xml:space="preserve">espite notable legislative progress through the enactment of the Cameroon ABS Law and its </w:t>
      </w:r>
      <w:r>
        <w:t>enabling instrument</w:t>
      </w:r>
      <w:r w:rsidR="00B3435C">
        <w:t>, a number of institutional, technical, and legal constraints continue to impede the effective realisation of ABS objectives. These challenges are particularly evident in</w:t>
      </w:r>
      <w:r>
        <w:t xml:space="preserve"> relation</w:t>
      </w:r>
      <w:r w:rsidR="00B3435C">
        <w:t xml:space="preserve"> to inadequate financial and technological capacity, insufficient protection of ATK, and limited human capacity coupled with centralised governance structures.</w:t>
      </w:r>
    </w:p>
    <w:p w14:paraId="03C907E4" w14:textId="1516BE6A" w:rsidR="00B3435C" w:rsidRDefault="00B3435C" w:rsidP="00842652">
      <w:pPr>
        <w:pStyle w:val="Heading3"/>
        <w:spacing w:line="360" w:lineRule="auto"/>
        <w:jc w:val="both"/>
      </w:pPr>
      <w:r>
        <w:t>5.1 Insufficient Financial and Technological Capacity</w:t>
      </w:r>
    </w:p>
    <w:p w14:paraId="09079365" w14:textId="39F2F553" w:rsidR="00B3435C" w:rsidRDefault="00B3435C" w:rsidP="00842652">
      <w:pPr>
        <w:pStyle w:val="NormalWeb"/>
        <w:spacing w:line="360" w:lineRule="auto"/>
        <w:jc w:val="both"/>
      </w:pPr>
      <w:r>
        <w:t xml:space="preserve">The effective implementation of ABS requires adequate financial resources, technological and institutional support mechanisms. However, persistent funding constraints continue to undermine the governance of GR and ATK in Cameroon. Public institutions entrusted with biodiversity conservation and ABS implementation frequently operate with limited financial resources, while national budgetary priorities are often directed towards competing sectors </w:t>
      </w:r>
      <w:r>
        <w:lastRenderedPageBreak/>
        <w:t xml:space="preserve">such as health, education, infrastructure, and security. As a result, the institutions responsible for monitoring access activities, enforcing compliance measures, documenting </w:t>
      </w:r>
      <w:r w:rsidR="00842652">
        <w:t>GR</w:t>
      </w:r>
      <w:r>
        <w:t>, and facilitating community participation encounter significant operational difficulties.</w:t>
      </w:r>
      <w:r w:rsidR="00842652">
        <w:t xml:space="preserve"> </w:t>
      </w:r>
      <w:r>
        <w:t xml:space="preserve">Technological limitations further exacerbate these challenges. The implementation of modern ABS systems increasingly relies on scientific and technological tools capable of identifying, documenting, monitoring, and valorising genetic resources and associated traditional knowledge. Effective governance requires biodiversity inventories, digital databases, monitoring systems, and documentation mechanisms capable of tracing the origin and utilisation of </w:t>
      </w:r>
      <w:r w:rsidR="00842652">
        <w:t>GR</w:t>
      </w:r>
      <w:r>
        <w:t>. Yet, many developing countries, including Cameroon, continue to face technological deficits that restrict their ability to effectively implement the obligations arising under the CBD and the Nagoya Protocol.</w:t>
      </w:r>
      <w:r w:rsidR="00A6073C">
        <w:t xml:space="preserve"> </w:t>
      </w:r>
      <w:r>
        <w:t>The lack of financial and technological resources also affects the development of</w:t>
      </w:r>
      <w:r w:rsidR="00842652">
        <w:t xml:space="preserve"> </w:t>
      </w:r>
      <w:r>
        <w:t xml:space="preserve">CBPs, which constitute an important mechanism through which IPLCs articulate their customary norms, governance structures, and procedures relating to access to genetic resources and associated traditional knowledge. </w:t>
      </w:r>
    </w:p>
    <w:p w14:paraId="02AE3621" w14:textId="5BEA7A51" w:rsidR="00B3435C" w:rsidRDefault="00A6073C" w:rsidP="00842652">
      <w:pPr>
        <w:pStyle w:val="Heading3"/>
        <w:spacing w:line="360" w:lineRule="auto"/>
        <w:jc w:val="both"/>
      </w:pPr>
      <w:r>
        <w:t>5</w:t>
      </w:r>
      <w:r w:rsidR="00B3435C">
        <w:t>.2 Inadequate Protection and Identification of Associated Traditional Knowledge</w:t>
      </w:r>
    </w:p>
    <w:p w14:paraId="100570EB" w14:textId="7482B322" w:rsidR="00B3435C" w:rsidRDefault="00B3435C" w:rsidP="00842652">
      <w:pPr>
        <w:pStyle w:val="NormalWeb"/>
        <w:spacing w:line="360" w:lineRule="auto"/>
        <w:jc w:val="both"/>
      </w:pPr>
      <w:r>
        <w:t>A</w:t>
      </w:r>
      <w:r w:rsidR="00A6073C">
        <w:t xml:space="preserve">nother </w:t>
      </w:r>
      <w:r>
        <w:t xml:space="preserve">challenge concerns the protection, identification, and recognition of </w:t>
      </w:r>
      <w:r w:rsidR="00A6073C">
        <w:t>ATK</w:t>
      </w:r>
      <w:r>
        <w:t>. While the Cameroon ABS Law recognises IPLCs as the legitimate holders of rights over ATK, significant legal and practical difficulties persist in identifying, documenting, and protecting such knowledge. These characteristics make it particularly vulnerable to unauthorised access, misappropriation, and exploitation.</w:t>
      </w:r>
      <w:r w:rsidR="00A6073C">
        <w:t xml:space="preserve"> </w:t>
      </w:r>
      <w:r>
        <w:t>The challenge is compounded by the limited number of C</w:t>
      </w:r>
      <w:r w:rsidR="00A6073C">
        <w:t>BP</w:t>
      </w:r>
      <w:r>
        <w:t xml:space="preserve">s established by IPLCs in Cameroon. CBPs are intended to provide a framework through which communities identify their traditional knowledge, define procedures for granting access, and clarify customary rules governing the use of such knowledge. However, the limited operationalisation of these instruments creates uncertainty regarding the ownership, provenance, and custodianship of ATK. </w:t>
      </w:r>
    </w:p>
    <w:p w14:paraId="3BC9A962" w14:textId="39A25FAD" w:rsidR="00B3435C" w:rsidRDefault="00B3435C" w:rsidP="00842652">
      <w:pPr>
        <w:pStyle w:val="NormalWeb"/>
        <w:spacing w:line="360" w:lineRule="auto"/>
        <w:jc w:val="both"/>
      </w:pPr>
      <w:r>
        <w:t xml:space="preserve">Furthermore, conventional </w:t>
      </w:r>
      <w:r w:rsidR="00A6073C">
        <w:t>IPRs</w:t>
      </w:r>
      <w:r>
        <w:t xml:space="preserve"> regimes provide only limited protection for ATK. Existing intellectual property frameworks are generally designed to protect individual and novel creations, whereas traditional knowledge is collective, cumulative, and transmitted across generations. Consequently, these mechanisms are often ill-suited to address the unique characteristics of ATK. This regulatory gap exposes communities to risks of biopiracy and unauthorised commercial utilisation of their knowledge without recognition or benefit-sharing. </w:t>
      </w:r>
    </w:p>
    <w:p w14:paraId="4273EF6A" w14:textId="02E4407C" w:rsidR="00B3435C" w:rsidRDefault="00A6073C" w:rsidP="00842652">
      <w:pPr>
        <w:pStyle w:val="Heading3"/>
        <w:spacing w:line="360" w:lineRule="auto"/>
        <w:jc w:val="both"/>
      </w:pPr>
      <w:r>
        <w:lastRenderedPageBreak/>
        <w:t>5</w:t>
      </w:r>
      <w:r w:rsidR="00B3435C">
        <w:t>.3 Limited Human Capacity and Centralised ABS Governance</w:t>
      </w:r>
    </w:p>
    <w:p w14:paraId="4EC6912D" w14:textId="1ECFCDC4" w:rsidR="00B3435C" w:rsidRDefault="00A6073C" w:rsidP="00842652">
      <w:pPr>
        <w:pStyle w:val="NormalWeb"/>
        <w:spacing w:line="360" w:lineRule="auto"/>
        <w:jc w:val="both"/>
      </w:pPr>
      <w:r>
        <w:t>Th</w:t>
      </w:r>
      <w:r w:rsidR="00B3435C">
        <w:t xml:space="preserve">e implementation of ABS in Cameroon </w:t>
      </w:r>
      <w:r>
        <w:t>may be</w:t>
      </w:r>
      <w:r w:rsidR="00B3435C">
        <w:t xml:space="preserve"> hindered by limited human capacity and highly centralised governance structures. The governance of GR and ATK requires expertise across multiple disciplines, including international environmental law, intellectual property law, biotechnology, and traditional knowledge systems. The shortage of adequately trained personnel restricts the ability of institutions to effectively regulate access, monitor compliance, negotiate benefit-sharing arrangements, and support IPLCs in asserting their rights.</w:t>
      </w:r>
      <w:r>
        <w:t xml:space="preserve"> </w:t>
      </w:r>
      <w:r w:rsidR="00B3435C">
        <w:t>This capacity deficit also affects awareness and participation in ABS processes. According to Cameroon’s first national report submitted to the Secretariat of the Nagoya Protocol, approximately 90 per cent of IPLCs possess limited awareness of ABS mechanisms. This situation is largely attributable to inadequate dissemination of information, particularly in local languages and through culturally appropriate communication channels</w:t>
      </w:r>
      <w:r>
        <w:t xml:space="preserve"> and this</w:t>
      </w:r>
      <w:r w:rsidR="00B3435C">
        <w:t xml:space="preserve"> weakens the ability of communities to exercise their rights relating to PIC, MAT, and benefit-sharing</w:t>
      </w:r>
      <w:r w:rsidR="00753443" w:rsidRPr="002B6150">
        <w:rPr>
          <w:vertAlign w:val="superscript"/>
        </w:rPr>
        <w:footnoteReference w:id="50"/>
      </w:r>
      <w:r>
        <w:t>.</w:t>
      </w:r>
    </w:p>
    <w:p w14:paraId="10EC52A9" w14:textId="694170F9" w:rsidR="00B84EDA" w:rsidRPr="00B84EDA" w:rsidRDefault="00B3435C" w:rsidP="00842652">
      <w:pPr>
        <w:pStyle w:val="NormalWeb"/>
        <w:spacing w:line="360" w:lineRule="auto"/>
        <w:jc w:val="both"/>
      </w:pPr>
      <w:r>
        <w:t xml:space="preserve">The challenge is further aggravated by the centralised nature of Cameroon’s ABS institutional framework. Under the Nagoya Protocol, Parties are required to establish a National Focal Point and a Competent National Authority (CNA) to facilitate access procedures and coordinate implementation. In Cameroon, both institutions are located in Yaoundé. While such centralisation may facilitate administrative coordination, it creates significant barriers for IPLCs residing in remote and rural areas where most </w:t>
      </w:r>
      <w:r w:rsidR="00A6073C">
        <w:t>GR and ATK</w:t>
      </w:r>
      <w:r>
        <w:t xml:space="preserve"> are found. Physical distance, administrative complexity, and limited institutional outreach reduce accessibility to ABS procedures and decision-making processes.</w:t>
      </w:r>
      <w:r w:rsidR="00A6073C">
        <w:t xml:space="preserve"> </w:t>
      </w:r>
      <w:r>
        <w:t>Although information relating to GR and ATK is available through the ABS Clearing-House, digital accessibility alone cannot adequately address existing structural inequalities. Consequently, strengthening ABS implementation in Cameroon requires not only enhanced technical expertise but also more decentralised, inclusive, and community-oriented governance mechanisms capable of ensuring effective participation, accessibility, and accountability.</w:t>
      </w:r>
    </w:p>
    <w:p w14:paraId="6786808D" w14:textId="2A527CA0" w:rsidR="00B84EDA" w:rsidRPr="00A750FF" w:rsidRDefault="00B84EDA" w:rsidP="00842652">
      <w:pPr>
        <w:pStyle w:val="Heading1"/>
        <w:spacing w:line="36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6</w:t>
      </w:r>
      <w:r w:rsidRPr="00A750FF">
        <w:rPr>
          <w:rFonts w:ascii="Times New Roman" w:hAnsi="Times New Roman" w:cs="Times New Roman"/>
          <w:b/>
          <w:bCs/>
          <w:color w:val="auto"/>
          <w:sz w:val="28"/>
          <w:szCs w:val="28"/>
          <w:lang w:val="en-US"/>
        </w:rPr>
        <w:t xml:space="preserve">. Conclusion and Recommendation  </w:t>
      </w:r>
    </w:p>
    <w:p w14:paraId="60E7D69A" w14:textId="564E72DA" w:rsidR="004E0F14" w:rsidRDefault="004E0F14" w:rsidP="00842652">
      <w:pPr>
        <w:pStyle w:val="NormalWeb"/>
        <w:spacing w:line="360" w:lineRule="auto"/>
        <w:jc w:val="both"/>
      </w:pPr>
      <w:r>
        <w:t xml:space="preserve">This study examined the legal framework governing ABS for GR and ATK in Cameroon. The analysis demonstrates that Cameroon has made significant legislative progress in implementing the objectives of the Convention on Biological Diversity and the Nagoya Protocol through the adoption of Law No. 2021/014 and its implementing Decree. The study reveals that, although GR and ATK are often interconnected, access to GR does not necessarily imply access to </w:t>
      </w:r>
      <w:r w:rsidR="00D82F07">
        <w:t>ATK</w:t>
      </w:r>
      <w:r>
        <w:t xml:space="preserve">. This distinction is reflected in the dual ownership structure established under Cameroonian law, whereby the State exercises sovereign rights over </w:t>
      </w:r>
      <w:r w:rsidR="00D82F07">
        <w:t>GR</w:t>
      </w:r>
      <w:r>
        <w:t xml:space="preserve"> while </w:t>
      </w:r>
      <w:r w:rsidR="00D82F07">
        <w:t>ATK</w:t>
      </w:r>
      <w:r>
        <w:t xml:space="preserve"> belongs to IPLCs.</w:t>
      </w:r>
    </w:p>
    <w:p w14:paraId="3920BD65" w14:textId="35830950" w:rsidR="004E0F14" w:rsidRDefault="004E0F14" w:rsidP="00842652">
      <w:pPr>
        <w:pStyle w:val="NormalWeb"/>
        <w:spacing w:line="360" w:lineRule="auto"/>
        <w:jc w:val="both"/>
      </w:pPr>
      <w:r>
        <w:t xml:space="preserve">Notwithstanding these advances, the study identifies persistent challenges regarding the protection and governance of ATK. While the law recognises IPLCs as the holders of rights over </w:t>
      </w:r>
      <w:r w:rsidR="00D82F07">
        <w:t>ATK</w:t>
      </w:r>
      <w:r>
        <w:t>, significant practical difficulties remain in identifying, documenting, and protecting such knowledge. The limited developmen</w:t>
      </w:r>
      <w:r w:rsidR="003126AB">
        <w:t>t of CBPs</w:t>
      </w:r>
      <w:r>
        <w:t>, the absence of a comprehensive legal framework specifically dedicated to ATK protection, and the continued risks of misappropriation and unauthorised utilisation weaken the capacity of IPLCs to exercise effective control over their knowledge and to secure fair and equitable benefits arising from its utilisation. As a result, the legal recognition of ownership over ATK does not always translate into effective participation in ABS processes or meaningful benefit-sharing outcomes.</w:t>
      </w:r>
    </w:p>
    <w:p w14:paraId="4F4E7A4E" w14:textId="0F63AD3C" w:rsidR="00B84EDA" w:rsidRDefault="004E0F14" w:rsidP="001633FA">
      <w:pPr>
        <w:pStyle w:val="NormalWeb"/>
        <w:spacing w:line="360" w:lineRule="auto"/>
        <w:jc w:val="both"/>
      </w:pPr>
      <w:r>
        <w:t xml:space="preserve">In light of these findings, this study recommends the </w:t>
      </w:r>
      <w:r w:rsidR="00D82F07">
        <w:t>establishment</w:t>
      </w:r>
      <w:r>
        <w:t xml:space="preserve"> of</w:t>
      </w:r>
      <w:r w:rsidR="00D82F07">
        <w:t xml:space="preserve"> a comprehensive</w:t>
      </w:r>
      <w:r w:rsidRPr="00D82F07">
        <w:rPr>
          <w:i/>
          <w:iCs/>
        </w:rPr>
        <w:t xml:space="preserve"> sui generis</w:t>
      </w:r>
      <w:r>
        <w:t xml:space="preserve"> legal framework for the protection of </w:t>
      </w:r>
      <w:r w:rsidR="00D82F07">
        <w:t>ATK</w:t>
      </w:r>
      <w:r>
        <w:t xml:space="preserve"> in Cameroon. Such a framework should establish clear rules for the identification, recognition, documentation, and protection of ATK, while safeguarding the customary laws, practices, and decision-making processes of IPLCs. It should further require that access to ATK be subject to the effective participation of the concerned communities and provide mechanisms for ensuring that benefits arising from the utilisation of such knowledge are shared fairly and equitably with its holders. The </w:t>
      </w:r>
      <w:r w:rsidR="00D82F07">
        <w:t>adoption</w:t>
      </w:r>
      <w:r>
        <w:t xml:space="preserve"> of a dedicated legal regime for ATK would strengthen legal certainty, reduce the risks of misappropriation and biopiracy, reinforce the rights of IPLCs, </w:t>
      </w:r>
      <w:r w:rsidR="003126AB">
        <w:t>and</w:t>
      </w:r>
      <w:r>
        <w:t xml:space="preserve"> the effectiveness of Cameroon’s ABS framework in achieving its objectives</w:t>
      </w:r>
      <w:r w:rsidR="003126AB">
        <w:t>.</w:t>
      </w:r>
    </w:p>
    <w:p w14:paraId="56451121" w14:textId="7DF9822D" w:rsidR="0006405B" w:rsidRPr="001633FA" w:rsidRDefault="0006405B" w:rsidP="001633FA">
      <w:pPr>
        <w:pStyle w:val="Heading1"/>
        <w:rPr>
          <w:rFonts w:ascii="Times New Roman" w:hAnsi="Times New Roman" w:cs="Times New Roman"/>
          <w:b/>
          <w:bCs/>
          <w:color w:val="000000" w:themeColor="text1"/>
          <w:sz w:val="24"/>
          <w:szCs w:val="24"/>
          <w:lang w:val="en-US"/>
        </w:rPr>
      </w:pPr>
      <w:r w:rsidRPr="002B3D22">
        <w:rPr>
          <w:rFonts w:ascii="Times New Roman" w:hAnsi="Times New Roman" w:cs="Times New Roman"/>
          <w:b/>
          <w:bCs/>
          <w:color w:val="000000" w:themeColor="text1"/>
          <w:sz w:val="24"/>
          <w:szCs w:val="24"/>
          <w:lang w:val="en-US"/>
        </w:rPr>
        <w:t>BIBLIOGRAPHY</w:t>
      </w:r>
    </w:p>
    <w:p w14:paraId="32AEFBD3" w14:textId="77777777" w:rsidR="0006405B" w:rsidRPr="00D32F3B" w:rsidRDefault="0006405B" w:rsidP="0006405B">
      <w:pPr>
        <w:pStyle w:val="FootnoteText"/>
        <w:spacing w:line="276" w:lineRule="auto"/>
        <w:ind w:left="708" w:hanging="708"/>
        <w:jc w:val="both"/>
        <w:rPr>
          <w:rFonts w:ascii="Times New Roman" w:hAnsi="Times New Roman" w:cs="Times New Roman"/>
          <w:sz w:val="24"/>
          <w:szCs w:val="24"/>
          <w:lang w:val="en-US"/>
        </w:rPr>
      </w:pPr>
      <w:bookmarkStart w:id="14" w:name="_Hlk158284133"/>
      <w:r w:rsidRPr="00D32F3B">
        <w:rPr>
          <w:rFonts w:ascii="Times New Roman" w:hAnsi="Times New Roman" w:cs="Times New Roman"/>
          <w:sz w:val="24"/>
          <w:szCs w:val="24"/>
          <w:lang w:val="en-US"/>
        </w:rPr>
        <w:t>Aguilar, G. (2001) « Access to Genetic Resources and Protection of Traditional Knowledge in the Territories of Indigenous People”, ELSEVIER, Environmental Science and Policy.vol4, Issues 4-5 P 241- 256.</w:t>
      </w:r>
    </w:p>
    <w:p w14:paraId="7DFFA983" w14:textId="77777777" w:rsidR="0006405B" w:rsidRDefault="0006405B" w:rsidP="0006405B">
      <w:pPr>
        <w:pStyle w:val="FootnoteText"/>
        <w:spacing w:line="276" w:lineRule="auto"/>
        <w:ind w:left="720" w:hanging="720"/>
        <w:jc w:val="both"/>
        <w:rPr>
          <w:rFonts w:ascii="Times New Roman" w:hAnsi="Times New Roman" w:cs="Times New Roman"/>
          <w:sz w:val="24"/>
          <w:szCs w:val="24"/>
        </w:rPr>
      </w:pPr>
      <w:r w:rsidRPr="00D32F3B">
        <w:rPr>
          <w:rFonts w:ascii="Times New Roman" w:hAnsi="Times New Roman" w:cs="Times New Roman"/>
          <w:sz w:val="24"/>
          <w:szCs w:val="24"/>
        </w:rPr>
        <w:lastRenderedPageBreak/>
        <w:t xml:space="preserve">Alamgir, A. (2017). Drugs: Their Natural, Synthetic and Biosynthetic Sources. </w:t>
      </w:r>
      <w:r w:rsidRPr="00D32F3B">
        <w:rPr>
          <w:rFonts w:ascii="Times New Roman" w:hAnsi="Times New Roman" w:cs="Times New Roman"/>
          <w:i/>
          <w:sz w:val="24"/>
          <w:szCs w:val="24"/>
        </w:rPr>
        <w:t>Therapeutic Use of Medicinal Plants and their Extracts</w:t>
      </w:r>
      <w:r w:rsidRPr="00D32F3B">
        <w:rPr>
          <w:rFonts w:ascii="Times New Roman" w:hAnsi="Times New Roman" w:cs="Times New Roman"/>
          <w:sz w:val="24"/>
          <w:szCs w:val="24"/>
        </w:rPr>
        <w:t xml:space="preserve">. Vol. 1. Pp. 105-123. </w:t>
      </w:r>
    </w:p>
    <w:p w14:paraId="5416FAF4" w14:textId="77777777" w:rsidR="0006405B" w:rsidRPr="00F44AB7" w:rsidRDefault="0006405B" w:rsidP="0006405B">
      <w:pPr>
        <w:spacing w:line="276" w:lineRule="auto"/>
        <w:ind w:left="708" w:hanging="708"/>
        <w:jc w:val="both"/>
        <w:rPr>
          <w:rFonts w:ascii="Times New Roman" w:hAnsi="Times New Roman" w:cs="Times New Roman"/>
          <w:sz w:val="24"/>
          <w:szCs w:val="24"/>
        </w:rPr>
      </w:pPr>
      <w:r w:rsidRPr="00D32F3B">
        <w:rPr>
          <w:rFonts w:ascii="Times New Roman" w:hAnsi="Times New Roman" w:cs="Times New Roman"/>
          <w:sz w:val="24"/>
          <w:szCs w:val="24"/>
          <w:lang w:val="en-GB"/>
        </w:rPr>
        <w:t xml:space="preserve">Bagley M. (2022), « Just » Sharing: The Virtues of Digital Sequence Information Benefit-Sharing for the Common good. </w:t>
      </w:r>
      <w:r w:rsidRPr="00D32F3B">
        <w:rPr>
          <w:rFonts w:ascii="Times New Roman" w:hAnsi="Times New Roman" w:cs="Times New Roman"/>
          <w:i/>
          <w:sz w:val="24"/>
          <w:szCs w:val="24"/>
        </w:rPr>
        <w:t xml:space="preserve">63 </w:t>
      </w:r>
      <w:proofErr w:type="spellStart"/>
      <w:r w:rsidRPr="00D32F3B">
        <w:rPr>
          <w:rFonts w:ascii="Times New Roman" w:hAnsi="Times New Roman" w:cs="Times New Roman"/>
          <w:i/>
          <w:sz w:val="24"/>
          <w:szCs w:val="24"/>
        </w:rPr>
        <w:t>Havard</w:t>
      </w:r>
      <w:proofErr w:type="spellEnd"/>
      <w:r w:rsidRPr="00D32F3B">
        <w:rPr>
          <w:rFonts w:ascii="Times New Roman" w:hAnsi="Times New Roman" w:cs="Times New Roman"/>
          <w:i/>
          <w:sz w:val="24"/>
          <w:szCs w:val="24"/>
        </w:rPr>
        <w:t xml:space="preserve"> International Law Journal. </w:t>
      </w:r>
      <w:r w:rsidRPr="00D32F3B">
        <w:rPr>
          <w:rFonts w:ascii="Times New Roman" w:hAnsi="Times New Roman" w:cs="Times New Roman"/>
          <w:sz w:val="24"/>
          <w:szCs w:val="24"/>
        </w:rPr>
        <w:t>P.54.</w:t>
      </w:r>
    </w:p>
    <w:p w14:paraId="10A63FEE" w14:textId="77777777" w:rsidR="0006405B" w:rsidRPr="00F44AB7" w:rsidRDefault="0006405B" w:rsidP="0006405B">
      <w:pPr>
        <w:spacing w:line="240" w:lineRule="auto"/>
        <w:ind w:left="708" w:hanging="708"/>
        <w:jc w:val="both"/>
        <w:rPr>
          <w:rFonts w:ascii="Times New Roman" w:hAnsi="Times New Roman" w:cs="Times New Roman"/>
          <w:sz w:val="24"/>
          <w:szCs w:val="24"/>
          <w:lang w:val="en-US"/>
        </w:rPr>
      </w:pPr>
      <w:r w:rsidRPr="00D32F3B">
        <w:rPr>
          <w:rFonts w:ascii="Times New Roman" w:hAnsi="Times New Roman" w:cs="Times New Roman"/>
          <w:sz w:val="24"/>
          <w:szCs w:val="24"/>
          <w:lang w:val="en-US"/>
        </w:rPr>
        <w:t xml:space="preserve">Bentham, J. (Ed.1789). </w:t>
      </w:r>
      <w:r w:rsidRPr="00D32F3B">
        <w:rPr>
          <w:rFonts w:ascii="Times New Roman" w:hAnsi="Times New Roman" w:cs="Times New Roman"/>
          <w:i/>
          <w:sz w:val="24"/>
          <w:szCs w:val="24"/>
          <w:lang w:val="en-US"/>
        </w:rPr>
        <w:t>An introduction to the principles of morals and legislation:</w:t>
      </w:r>
      <w:r w:rsidRPr="00D32F3B">
        <w:rPr>
          <w:rFonts w:ascii="Times New Roman" w:hAnsi="Times New Roman" w:cs="Times New Roman"/>
          <w:sz w:val="24"/>
          <w:szCs w:val="24"/>
          <w:lang w:val="en-US"/>
        </w:rPr>
        <w:t xml:space="preserve"> Printed in the year 1780. Hachette livre, 2012. p.378</w:t>
      </w:r>
    </w:p>
    <w:p w14:paraId="54EF4668" w14:textId="77777777" w:rsidR="0006405B" w:rsidRPr="00C94794" w:rsidRDefault="0006405B" w:rsidP="0006405B">
      <w:pPr>
        <w:pStyle w:val="NormalWeb"/>
        <w:spacing w:before="0" w:beforeAutospacing="0" w:after="0" w:afterAutospacing="0"/>
        <w:ind w:left="720" w:hanging="720"/>
        <w:jc w:val="both"/>
      </w:pPr>
      <w:proofErr w:type="spellStart"/>
      <w:r w:rsidRPr="00C94794">
        <w:rPr>
          <w:color w:val="000000"/>
        </w:rPr>
        <w:t>Bubela</w:t>
      </w:r>
      <w:proofErr w:type="spellEnd"/>
      <w:r w:rsidRPr="00C94794">
        <w:rPr>
          <w:color w:val="000000"/>
        </w:rPr>
        <w:t xml:space="preserve"> T, Gold ER (2012) </w:t>
      </w:r>
      <w:r w:rsidRPr="00C94794">
        <w:rPr>
          <w:i/>
          <w:iCs/>
          <w:color w:val="000000"/>
        </w:rPr>
        <w:t>Genetic resources and traditional knowledge: case studies and conflicting interests.</w:t>
      </w:r>
      <w:r w:rsidRPr="00C94794">
        <w:rPr>
          <w:color w:val="000000"/>
        </w:rPr>
        <w:t xml:space="preserve"> Edward Elgar, Cheltenham. p.2</w:t>
      </w:r>
    </w:p>
    <w:p w14:paraId="7A6CDF6A" w14:textId="77777777" w:rsidR="0006405B" w:rsidRPr="00C94794" w:rsidRDefault="0006405B" w:rsidP="0006405B">
      <w:pPr>
        <w:spacing w:line="276" w:lineRule="auto"/>
        <w:ind w:left="720" w:hanging="720"/>
        <w:jc w:val="both"/>
        <w:rPr>
          <w:rFonts w:ascii="Times New Roman" w:hAnsi="Times New Roman" w:cs="Times New Roman"/>
          <w:sz w:val="24"/>
          <w:szCs w:val="24"/>
          <w:lang w:val="en-US"/>
        </w:rPr>
      </w:pPr>
      <w:r w:rsidRPr="00C94794">
        <w:rPr>
          <w:rFonts w:ascii="Times New Roman" w:hAnsi="Times New Roman" w:cs="Times New Roman"/>
          <w:sz w:val="24"/>
          <w:szCs w:val="24"/>
          <w:lang w:val="en-US"/>
        </w:rPr>
        <w:t xml:space="preserve">Byström, M., </w:t>
      </w:r>
      <w:proofErr w:type="spellStart"/>
      <w:r w:rsidRPr="00C94794">
        <w:rPr>
          <w:rFonts w:ascii="Times New Roman" w:hAnsi="Times New Roman" w:cs="Times New Roman"/>
          <w:sz w:val="24"/>
          <w:szCs w:val="24"/>
          <w:lang w:val="en-US"/>
        </w:rPr>
        <w:t>Einarsson</w:t>
      </w:r>
      <w:proofErr w:type="spellEnd"/>
      <w:r w:rsidRPr="00C94794">
        <w:rPr>
          <w:rFonts w:ascii="Times New Roman" w:hAnsi="Times New Roman" w:cs="Times New Roman"/>
          <w:sz w:val="24"/>
          <w:szCs w:val="24"/>
          <w:lang w:val="en-US"/>
        </w:rPr>
        <w:t xml:space="preserve">, P. and </w:t>
      </w:r>
      <w:proofErr w:type="spellStart"/>
      <w:r w:rsidRPr="00C94794">
        <w:rPr>
          <w:rFonts w:ascii="Times New Roman" w:hAnsi="Times New Roman" w:cs="Times New Roman"/>
          <w:sz w:val="24"/>
          <w:szCs w:val="24"/>
          <w:lang w:val="en-US"/>
        </w:rPr>
        <w:t>Nycander</w:t>
      </w:r>
      <w:proofErr w:type="spellEnd"/>
      <w:r w:rsidRPr="00C94794">
        <w:rPr>
          <w:rFonts w:ascii="Times New Roman" w:hAnsi="Times New Roman" w:cs="Times New Roman"/>
          <w:sz w:val="24"/>
          <w:szCs w:val="24"/>
          <w:lang w:val="en-US"/>
        </w:rPr>
        <w:t xml:space="preserve"> G. (1999). Fair and Equitable: Sharing the Benefits from the Use of Genetic Resources and Traditional Knowledge. </w:t>
      </w:r>
      <w:r w:rsidRPr="00C94794">
        <w:rPr>
          <w:rFonts w:ascii="Times New Roman" w:hAnsi="Times New Roman" w:cs="Times New Roman"/>
          <w:i/>
          <w:sz w:val="24"/>
          <w:szCs w:val="24"/>
          <w:lang w:val="en-US"/>
        </w:rPr>
        <w:t xml:space="preserve">Swedish Scientific Council on Biodiversity. </w:t>
      </w:r>
      <w:r w:rsidRPr="00C94794">
        <w:rPr>
          <w:rFonts w:ascii="Times New Roman" w:hAnsi="Times New Roman" w:cs="Times New Roman"/>
          <w:sz w:val="24"/>
          <w:szCs w:val="24"/>
          <w:lang w:val="en-US"/>
        </w:rPr>
        <w:t>P. 90</w:t>
      </w:r>
      <w:bookmarkEnd w:id="14"/>
    </w:p>
    <w:p w14:paraId="3DC3EB55" w14:textId="77777777" w:rsidR="0006405B" w:rsidRDefault="0006405B" w:rsidP="0006405B">
      <w:pPr>
        <w:pStyle w:val="NormalWeb"/>
        <w:spacing w:before="0" w:beforeAutospacing="0" w:after="0" w:afterAutospacing="0"/>
        <w:ind w:left="720" w:hanging="720"/>
        <w:jc w:val="both"/>
        <w:rPr>
          <w:color w:val="000000"/>
        </w:rPr>
      </w:pPr>
      <w:proofErr w:type="spellStart"/>
      <w:r w:rsidRPr="00C94794">
        <w:rPr>
          <w:color w:val="000000"/>
        </w:rPr>
        <w:t>Collot</w:t>
      </w:r>
      <w:proofErr w:type="spellEnd"/>
      <w:r w:rsidRPr="00C94794">
        <w:rPr>
          <w:color w:val="000000"/>
        </w:rPr>
        <w:t xml:space="preserve">, P.A (2007), The Protection of Traditional Knowledge, from the International Intellectual Property Law to a </w:t>
      </w:r>
      <w:r w:rsidRPr="00C94794">
        <w:rPr>
          <w:i/>
          <w:iCs/>
          <w:color w:val="000000"/>
        </w:rPr>
        <w:t>Sui Generis</w:t>
      </w:r>
      <w:r w:rsidRPr="00C94794">
        <w:rPr>
          <w:color w:val="000000"/>
        </w:rPr>
        <w:t xml:space="preserve"> Protection. </w:t>
      </w:r>
      <w:r w:rsidRPr="00C94794">
        <w:rPr>
          <w:i/>
          <w:iCs/>
          <w:color w:val="000000"/>
        </w:rPr>
        <w:t xml:space="preserve">Revue Internationale </w:t>
      </w:r>
      <w:proofErr w:type="spellStart"/>
      <w:r w:rsidRPr="00C94794">
        <w:rPr>
          <w:i/>
          <w:iCs/>
          <w:color w:val="000000"/>
        </w:rPr>
        <w:t>Interdisciplinaire</w:t>
      </w:r>
      <w:proofErr w:type="spellEnd"/>
      <w:r w:rsidRPr="00C94794">
        <w:rPr>
          <w:color w:val="000000"/>
        </w:rPr>
        <w:t xml:space="preserve">. Pp.181-209. </w:t>
      </w:r>
    </w:p>
    <w:p w14:paraId="2027DF3E" w14:textId="77777777" w:rsidR="0006405B" w:rsidRPr="00C94794" w:rsidRDefault="0006405B" w:rsidP="0006405B">
      <w:pPr>
        <w:pStyle w:val="NormalWeb"/>
        <w:spacing w:before="0" w:beforeAutospacing="0" w:after="0" w:afterAutospacing="0"/>
        <w:ind w:left="720" w:hanging="720"/>
        <w:jc w:val="both"/>
        <w:rPr>
          <w:color w:val="000000"/>
        </w:rPr>
      </w:pPr>
      <w:r w:rsidRPr="00E81CB9">
        <w:rPr>
          <w:color w:val="000000"/>
        </w:rPr>
        <w:t xml:space="preserve">Cullet, P. (2009). Environmental Justice in the Use, Knowledge and Exploitation of Genetic Resources. In Jones </w:t>
      </w:r>
      <w:proofErr w:type="spellStart"/>
      <w:r w:rsidRPr="00E81CB9">
        <w:rPr>
          <w:color w:val="000000"/>
        </w:rPr>
        <w:t>Ebbesson</w:t>
      </w:r>
      <w:proofErr w:type="spellEnd"/>
      <w:r w:rsidRPr="00E81CB9">
        <w:rPr>
          <w:color w:val="000000"/>
        </w:rPr>
        <w:t xml:space="preserve"> and Phoebe </w:t>
      </w:r>
      <w:proofErr w:type="spellStart"/>
      <w:r w:rsidRPr="00E81CB9">
        <w:rPr>
          <w:color w:val="000000"/>
        </w:rPr>
        <w:t>Okowa</w:t>
      </w:r>
      <w:proofErr w:type="spellEnd"/>
      <w:r w:rsidRPr="00E81CB9">
        <w:rPr>
          <w:color w:val="000000"/>
        </w:rPr>
        <w:t xml:space="preserve"> eds, Environmental Law and Justice in Context. Cambridge University Press. </w:t>
      </w:r>
      <w:r>
        <w:rPr>
          <w:color w:val="000000"/>
        </w:rPr>
        <w:t>P</w:t>
      </w:r>
      <w:r w:rsidRPr="00E81CB9">
        <w:rPr>
          <w:color w:val="000000"/>
        </w:rPr>
        <w:t>p. 371-389</w:t>
      </w:r>
    </w:p>
    <w:p w14:paraId="34AC0C50" w14:textId="77777777" w:rsidR="0006405B" w:rsidRPr="00C94794" w:rsidRDefault="0006405B" w:rsidP="0006405B">
      <w:pPr>
        <w:pStyle w:val="NormalWeb"/>
        <w:spacing w:before="0" w:beforeAutospacing="0" w:after="0" w:afterAutospacing="0"/>
        <w:ind w:left="720" w:hanging="720"/>
        <w:jc w:val="both"/>
      </w:pPr>
      <w:r w:rsidRPr="00C94794">
        <w:rPr>
          <w:color w:val="000000"/>
        </w:rPr>
        <w:t>Developing countries have a path to creating their own pharmaceutical industries</w:t>
      </w:r>
      <w:hyperlink r:id="rId8" w:anchor="::text=In%20the%20COVID%20age%2C%20governments,are%20also%20generally%20very%20big" w:history="1">
        <w:r w:rsidRPr="00C94794">
          <w:rPr>
            <w:rStyle w:val="Hyperlink"/>
          </w:rPr>
          <w:t xml:space="preserve"> https://blogs.worldbank.org/en/psd/developing-countries-have-path-creating-their-own-pharmaceutical-industries#::text=In%20the%20COVID%20age%2C%20governments,are%20also%20generally%20very%20big</w:t>
        </w:r>
      </w:hyperlink>
      <w:r w:rsidRPr="00C94794">
        <w:rPr>
          <w:color w:val="000000"/>
        </w:rPr>
        <w:t>  Access on 13 April 2025</w:t>
      </w:r>
    </w:p>
    <w:p w14:paraId="47613B25" w14:textId="77777777" w:rsidR="0006405B" w:rsidRPr="00C94794" w:rsidRDefault="0006405B" w:rsidP="0006405B">
      <w:pPr>
        <w:pStyle w:val="NormalWeb"/>
        <w:spacing w:before="0" w:beforeAutospacing="0" w:after="0" w:afterAutospacing="0"/>
        <w:ind w:left="720" w:hanging="720"/>
        <w:jc w:val="both"/>
      </w:pPr>
    </w:p>
    <w:p w14:paraId="7826CB5C" w14:textId="77777777" w:rsidR="0006405B" w:rsidRPr="00C94794" w:rsidRDefault="0006405B" w:rsidP="0006405B">
      <w:pPr>
        <w:pStyle w:val="NormalWeb"/>
        <w:spacing w:before="0" w:beforeAutospacing="0" w:after="0" w:afterAutospacing="0"/>
        <w:ind w:left="720" w:hanging="720"/>
        <w:jc w:val="both"/>
      </w:pPr>
      <w:proofErr w:type="spellStart"/>
      <w:r w:rsidRPr="00C94794">
        <w:rPr>
          <w:color w:val="000000"/>
        </w:rPr>
        <w:t>Finetti</w:t>
      </w:r>
      <w:proofErr w:type="spellEnd"/>
      <w:r w:rsidRPr="00C94794">
        <w:rPr>
          <w:color w:val="000000"/>
        </w:rPr>
        <w:t xml:space="preserve">, C. (2011), Traditional Knowledge and the Patent System: Two Worlds Apart? 33(1) World Patent Info. 58-66.; </w:t>
      </w:r>
      <w:proofErr w:type="spellStart"/>
      <w:r w:rsidRPr="00C94794">
        <w:rPr>
          <w:color w:val="000000"/>
        </w:rPr>
        <w:t>Ke</w:t>
      </w:r>
      <w:proofErr w:type="spellEnd"/>
      <w:r w:rsidRPr="00C94794">
        <w:rPr>
          <w:color w:val="000000"/>
        </w:rPr>
        <w:t xml:space="preserve"> and Chen (2020), Interrelationship between Genetic Resources and Traditional Knowledge: An Example from Earthworm Fibrinolytic Enzyme. </w:t>
      </w:r>
      <w:r w:rsidRPr="00C94794">
        <w:rPr>
          <w:i/>
          <w:iCs/>
          <w:color w:val="000000"/>
        </w:rPr>
        <w:t>39 Biotechnology Law Report 440 Number 6.</w:t>
      </w:r>
      <w:r w:rsidRPr="00C94794">
        <w:rPr>
          <w:color w:val="000000"/>
        </w:rPr>
        <w:t xml:space="preserve"> P.442.; </w:t>
      </w:r>
    </w:p>
    <w:p w14:paraId="03548F39" w14:textId="77777777" w:rsidR="0006405B" w:rsidRPr="00C94794" w:rsidRDefault="0006405B" w:rsidP="0006405B">
      <w:pPr>
        <w:pStyle w:val="NormalWeb"/>
        <w:spacing w:before="0" w:beforeAutospacing="0" w:after="0" w:afterAutospacing="0"/>
        <w:ind w:left="720" w:hanging="720"/>
        <w:jc w:val="both"/>
      </w:pPr>
      <w:r w:rsidRPr="00C94794">
        <w:rPr>
          <w:color w:val="000000"/>
        </w:rPr>
        <w:t>IPBES (2019). Summary for Policymakers of the Global Assessment Report on Biodiversity and Ecosystem Services of the Intergovernmental Science – Policy Platform on Biodiversity and Ecosystem Services. IPBES secretariat, Bonn, Germany. P 59</w:t>
      </w:r>
    </w:p>
    <w:p w14:paraId="5E07287D" w14:textId="77777777" w:rsidR="0006405B" w:rsidRDefault="0006405B" w:rsidP="0006405B">
      <w:pPr>
        <w:pStyle w:val="NormalWeb"/>
        <w:spacing w:before="0" w:beforeAutospacing="0" w:after="0" w:afterAutospacing="0"/>
        <w:ind w:left="720" w:hanging="720"/>
        <w:jc w:val="both"/>
        <w:rPr>
          <w:color w:val="000000"/>
        </w:rPr>
      </w:pPr>
      <w:proofErr w:type="spellStart"/>
      <w:r w:rsidRPr="00C94794">
        <w:rPr>
          <w:color w:val="000000"/>
        </w:rPr>
        <w:t>Ke</w:t>
      </w:r>
      <w:proofErr w:type="spellEnd"/>
      <w:r w:rsidRPr="00C94794">
        <w:rPr>
          <w:color w:val="000000"/>
        </w:rPr>
        <w:t xml:space="preserve"> and Chen (2020), Interrelationship between Genetic Resources and Traditional </w:t>
      </w:r>
      <w:proofErr w:type="spellStart"/>
      <w:r w:rsidRPr="00C94794">
        <w:rPr>
          <w:color w:val="000000"/>
        </w:rPr>
        <w:t>Knowlegde</w:t>
      </w:r>
      <w:proofErr w:type="spellEnd"/>
      <w:r w:rsidRPr="00C94794">
        <w:rPr>
          <w:color w:val="000000"/>
        </w:rPr>
        <w:t xml:space="preserve">: An Example from Earthworm Fibrinolytic Enzyme. </w:t>
      </w:r>
      <w:r w:rsidRPr="00C94794">
        <w:rPr>
          <w:i/>
          <w:iCs/>
          <w:color w:val="000000"/>
        </w:rPr>
        <w:t xml:space="preserve">39 Biotechnology Law Report 440 Number 6. </w:t>
      </w:r>
      <w:r w:rsidRPr="00C94794">
        <w:rPr>
          <w:color w:val="000000"/>
        </w:rPr>
        <w:t>p.442</w:t>
      </w:r>
    </w:p>
    <w:p w14:paraId="53A938C0" w14:textId="77777777" w:rsidR="0006405B" w:rsidRPr="00C94794" w:rsidRDefault="0006405B" w:rsidP="0006405B">
      <w:pPr>
        <w:pStyle w:val="NormalWeb"/>
        <w:spacing w:before="0" w:beforeAutospacing="0" w:after="0" w:afterAutospacing="0"/>
        <w:ind w:left="720" w:hanging="720"/>
        <w:jc w:val="both"/>
      </w:pPr>
      <w:r w:rsidRPr="004F6000">
        <w:t xml:space="preserve">Medaglia, J. Perron-welch, F. and Phillips, F. (2014). Overview of National and Regional Measures on CCESS and Benefit Sharing: Challenges and Opportunities in Implementing the Nagoya Protocol (3rd ed.) CISDL Biodiversity and Biosafety Law Research Programme.  </w:t>
      </w:r>
      <w:r>
        <w:t>p</w:t>
      </w:r>
      <w:r w:rsidRPr="004F6000">
        <w:t>.89.</w:t>
      </w:r>
    </w:p>
    <w:p w14:paraId="1DF2F977" w14:textId="77777777" w:rsidR="0006405B" w:rsidRDefault="0006405B" w:rsidP="0006405B">
      <w:pPr>
        <w:autoSpaceDE w:val="0"/>
        <w:autoSpaceDN w:val="0"/>
        <w:adjustRightInd w:val="0"/>
        <w:spacing w:line="360" w:lineRule="auto"/>
        <w:jc w:val="both"/>
        <w:rPr>
          <w:rFonts w:ascii="Times New Roman" w:hAnsi="Times New Roman" w:cs="Times New Roman"/>
          <w:color w:val="000000"/>
          <w:sz w:val="24"/>
          <w:szCs w:val="24"/>
        </w:rPr>
      </w:pPr>
      <w:r w:rsidRPr="00C94794">
        <w:rPr>
          <w:rFonts w:ascii="Times New Roman" w:hAnsi="Times New Roman" w:cs="Times New Roman"/>
          <w:color w:val="000000"/>
          <w:sz w:val="24"/>
          <w:szCs w:val="24"/>
        </w:rPr>
        <w:t>National Biodiversity Strategic Action Plan 2025-2030 (2025)</w:t>
      </w:r>
    </w:p>
    <w:p w14:paraId="0D590A4C" w14:textId="77777777" w:rsidR="0006405B" w:rsidRPr="00410A9F" w:rsidRDefault="0006405B" w:rsidP="0006405B">
      <w:pPr>
        <w:autoSpaceDE w:val="0"/>
        <w:autoSpaceDN w:val="0"/>
        <w:adjustRightInd w:val="0"/>
        <w:spacing w:line="360" w:lineRule="auto"/>
        <w:jc w:val="both"/>
        <w:rPr>
          <w:rFonts w:ascii="Times New Roman" w:hAnsi="Times New Roman" w:cs="Times New Roman"/>
          <w:color w:val="000000"/>
          <w:sz w:val="24"/>
          <w:szCs w:val="24"/>
        </w:rPr>
      </w:pPr>
      <w:r w:rsidRPr="00D32F3B">
        <w:rPr>
          <w:rFonts w:ascii="Times New Roman" w:hAnsi="Times New Roman" w:cs="Times New Roman"/>
          <w:sz w:val="24"/>
          <w:szCs w:val="24"/>
          <w:lang w:val="en-US"/>
        </w:rPr>
        <w:t>Rawls, J. (1971), “</w:t>
      </w:r>
      <w:r w:rsidRPr="00D32F3B">
        <w:rPr>
          <w:rFonts w:ascii="Times New Roman" w:hAnsi="Times New Roman" w:cs="Times New Roman"/>
          <w:i/>
          <w:sz w:val="24"/>
          <w:szCs w:val="24"/>
          <w:lang w:val="en-US"/>
        </w:rPr>
        <w:t>A Theory of Justice</w:t>
      </w:r>
      <w:r w:rsidRPr="00D32F3B">
        <w:rPr>
          <w:rFonts w:ascii="Times New Roman" w:hAnsi="Times New Roman" w:cs="Times New Roman"/>
          <w:sz w:val="24"/>
          <w:szCs w:val="24"/>
          <w:lang w:val="en-US"/>
        </w:rPr>
        <w:t>”. (</w:t>
      </w:r>
      <w:proofErr w:type="spellStart"/>
      <w:r w:rsidRPr="00D32F3B">
        <w:rPr>
          <w:rFonts w:ascii="Times New Roman" w:hAnsi="Times New Roman" w:cs="Times New Roman"/>
          <w:sz w:val="24"/>
          <w:szCs w:val="24"/>
          <w:lang w:val="en-US"/>
        </w:rPr>
        <w:t>Rev.Ed</w:t>
      </w:r>
      <w:proofErr w:type="spellEnd"/>
      <w:r w:rsidRPr="00D32F3B">
        <w:rPr>
          <w:rFonts w:ascii="Times New Roman" w:hAnsi="Times New Roman" w:cs="Times New Roman"/>
          <w:sz w:val="24"/>
          <w:szCs w:val="24"/>
          <w:lang w:val="en-US"/>
        </w:rPr>
        <w:t>.). Harvard University Press. p. 538</w:t>
      </w:r>
    </w:p>
    <w:p w14:paraId="2BECC4B3" w14:textId="77777777" w:rsidR="0006405B" w:rsidRPr="00C94794" w:rsidRDefault="0006405B" w:rsidP="0006405B">
      <w:pPr>
        <w:pStyle w:val="NormalWeb"/>
        <w:spacing w:before="0" w:beforeAutospacing="0" w:after="0" w:afterAutospacing="0"/>
        <w:ind w:left="720" w:hanging="720"/>
        <w:jc w:val="both"/>
        <w:rPr>
          <w:color w:val="000000"/>
        </w:rPr>
      </w:pPr>
      <w:r w:rsidRPr="00C94794">
        <w:rPr>
          <w:color w:val="000000"/>
        </w:rPr>
        <w:t xml:space="preserve">Salmond, J. (1924). </w:t>
      </w:r>
      <w:r w:rsidRPr="00C94794">
        <w:rPr>
          <w:i/>
          <w:iCs/>
          <w:color w:val="000000"/>
        </w:rPr>
        <w:t>Jurisprudence</w:t>
      </w:r>
      <w:r w:rsidRPr="00C94794">
        <w:rPr>
          <w:color w:val="000000"/>
        </w:rPr>
        <w:t xml:space="preserve"> (9</w:t>
      </w:r>
      <w:r w:rsidRPr="00C94794">
        <w:rPr>
          <w:color w:val="000000"/>
          <w:vertAlign w:val="superscript"/>
        </w:rPr>
        <w:t>th</w:t>
      </w:r>
      <w:r w:rsidRPr="00C94794">
        <w:rPr>
          <w:color w:val="000000"/>
        </w:rPr>
        <w:t xml:space="preserve"> ed. Parker, L.) London: Stevens and Haynes. Pp 274-275</w:t>
      </w:r>
    </w:p>
    <w:p w14:paraId="3542DE9F" w14:textId="77777777" w:rsidR="0006405B" w:rsidRPr="00C94794" w:rsidRDefault="0006405B" w:rsidP="0006405B">
      <w:pPr>
        <w:pStyle w:val="NormalWeb"/>
        <w:spacing w:before="0" w:beforeAutospacing="0" w:after="0" w:afterAutospacing="0"/>
        <w:ind w:left="720" w:hanging="720"/>
        <w:jc w:val="both"/>
      </w:pPr>
      <w:r w:rsidRPr="00C94794">
        <w:rPr>
          <w:color w:val="000000"/>
        </w:rPr>
        <w:t>Submission of the first national report on the implementation of the Nagoya Protocol on Access and Benefit-Sharing</w:t>
      </w:r>
      <w:hyperlink r:id="rId9" w:history="1">
        <w:r w:rsidRPr="00C94794">
          <w:rPr>
            <w:rStyle w:val="Hyperlink"/>
          </w:rPr>
          <w:t xml:space="preserve"> </w:t>
        </w:r>
        <w:r w:rsidRPr="00C94794">
          <w:rPr>
            <w:rStyle w:val="Hyperlink"/>
            <w:color w:val="1155CC"/>
          </w:rPr>
          <w:t>https://absch.cbd.int/en/?_gl=1*1da3mxi*_ga*MzgyOTc5NzA2LjE3NzYwODU2M</w:t>
        </w:r>
        <w:r w:rsidRPr="00C94794">
          <w:rPr>
            <w:rStyle w:val="Hyperlink"/>
            <w:color w:val="1155CC"/>
          </w:rPr>
          <w:lastRenderedPageBreak/>
          <w:t>DQ.*_ga_7S1TPRE7F5*czE3NzYxMDI0MzMkbzIkZzEkdDE3NzYxMDI1ODMkajEyJGwwJGgw</w:t>
        </w:r>
      </w:hyperlink>
      <w:r w:rsidRPr="00C94794">
        <w:rPr>
          <w:color w:val="000000"/>
        </w:rPr>
        <w:t xml:space="preserve"> access on 10 April 2026</w:t>
      </w:r>
    </w:p>
    <w:p w14:paraId="61633A33" w14:textId="77777777" w:rsidR="0006405B" w:rsidRPr="00C94794" w:rsidRDefault="0006405B" w:rsidP="0006405B">
      <w:pPr>
        <w:pStyle w:val="NormalWeb"/>
        <w:spacing w:before="0" w:beforeAutospacing="0" w:after="0" w:afterAutospacing="0"/>
        <w:ind w:left="720" w:hanging="720"/>
        <w:jc w:val="both"/>
      </w:pPr>
      <w:r w:rsidRPr="00C94794">
        <w:rPr>
          <w:color w:val="000000"/>
        </w:rPr>
        <w:t>Ten actions to boost low and middle-income countries’ productive capacity for medicines,</w:t>
      </w:r>
      <w:hyperlink r:id="rId10" w:anchor="::text=Lack%20of%20capital%2C%20technology%20and,pharmaceutical%20projects%20considered%20highly%20risky" w:history="1">
        <w:r w:rsidRPr="00C94794">
          <w:rPr>
            <w:rStyle w:val="Hyperlink"/>
          </w:rPr>
          <w:t xml:space="preserve"> </w:t>
        </w:r>
        <w:r w:rsidRPr="00C94794">
          <w:rPr>
            <w:rStyle w:val="Hyperlink"/>
            <w:color w:val="1155CC"/>
          </w:rPr>
          <w:t>https://unctad.org/news/ten-actions-boost-low-and-middle-income-countries-productive-capacity-medicines#::text=Lack%20of%20capital%2C%20technology%20and,pharmaceutical%20projects%20considered%20highly%20risky</w:t>
        </w:r>
      </w:hyperlink>
      <w:r w:rsidRPr="00C94794">
        <w:rPr>
          <w:color w:val="000000"/>
        </w:rPr>
        <w:t xml:space="preserve"> . Access on 23 April 2024</w:t>
      </w:r>
    </w:p>
    <w:p w14:paraId="36BC9876" w14:textId="77777777" w:rsidR="0006405B" w:rsidRPr="00C94794" w:rsidRDefault="0006405B" w:rsidP="0006405B">
      <w:pPr>
        <w:pStyle w:val="NormalWeb"/>
        <w:spacing w:before="0" w:beforeAutospacing="0" w:after="0" w:afterAutospacing="0"/>
        <w:ind w:left="720" w:hanging="720"/>
        <w:jc w:val="both"/>
      </w:pPr>
      <w:r w:rsidRPr="00C94794">
        <w:rPr>
          <w:color w:val="000000"/>
        </w:rPr>
        <w:t>UNCTAD. (2017). Bio trade and Access and Benefit Sharing: From Concept to Practice. A Handbook for Policymakers and Regulators. United Nations New York and Geneva.</w:t>
      </w:r>
    </w:p>
    <w:p w14:paraId="5F61622E" w14:textId="26FB53F5" w:rsidR="005C4CAE" w:rsidRPr="00782AE8" w:rsidRDefault="0006405B" w:rsidP="00B84EDA">
      <w:pPr>
        <w:pStyle w:val="NormalWeb"/>
        <w:spacing w:before="0" w:beforeAutospacing="0" w:after="0" w:afterAutospacing="0"/>
        <w:ind w:left="720" w:hanging="720"/>
        <w:jc w:val="both"/>
      </w:pPr>
      <w:r w:rsidRPr="00C94794">
        <w:rPr>
          <w:color w:val="000000"/>
        </w:rPr>
        <w:t>Zheng, X. (2019), Key legal challenges and opportunities in the implementation of the Nagoya Protocol: the case of China. Review of European, Comparative and International Environmental Law. Vol 28, Is 2 Pp. 175-184. From</w:t>
      </w:r>
      <w:hyperlink r:id="rId11" w:history="1">
        <w:r w:rsidRPr="00C94794">
          <w:rPr>
            <w:rStyle w:val="Hyperlink"/>
          </w:rPr>
          <w:t xml:space="preserve"> </w:t>
        </w:r>
        <w:r w:rsidRPr="00C94794">
          <w:rPr>
            <w:rStyle w:val="Hyperlink"/>
            <w:color w:val="1155CC"/>
          </w:rPr>
          <w:t>https://doi.org/10.1111/reel.12282</w:t>
        </w:r>
      </w:hyperlink>
      <w:r w:rsidRPr="00C94794">
        <w:rPr>
          <w:color w:val="000000"/>
        </w:rPr>
        <w:t xml:space="preserve"> accessed on the 20 July 2022 at 7pm</w:t>
      </w:r>
    </w:p>
    <w:p w14:paraId="292BA561" w14:textId="6175AD91" w:rsidR="001803D9" w:rsidRPr="00793859" w:rsidRDefault="001803D9" w:rsidP="00793859">
      <w:pPr>
        <w:spacing w:line="360" w:lineRule="auto"/>
        <w:jc w:val="both"/>
        <w:rPr>
          <w:rFonts w:ascii="Times New Roman" w:hAnsi="Times New Roman" w:cs="Times New Roman"/>
          <w:sz w:val="24"/>
          <w:szCs w:val="24"/>
          <w:lang w:eastAsia="en-ZA"/>
        </w:rPr>
      </w:pPr>
    </w:p>
    <w:sectPr w:rsidR="001803D9" w:rsidRPr="0079385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D39D" w14:textId="77777777" w:rsidR="00DE5D0B" w:rsidRDefault="00DE5D0B" w:rsidP="008879FF">
      <w:pPr>
        <w:spacing w:after="0" w:line="240" w:lineRule="auto"/>
      </w:pPr>
      <w:r>
        <w:separator/>
      </w:r>
    </w:p>
  </w:endnote>
  <w:endnote w:type="continuationSeparator" w:id="0">
    <w:p w14:paraId="6D82C8BE" w14:textId="77777777" w:rsidR="00DE5D0B" w:rsidRDefault="00DE5D0B" w:rsidP="0088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12313-Identity-H">
    <w:altName w:val="Cambria"/>
    <w:panose1 w:val="00000000000000000000"/>
    <w:charset w:val="00"/>
    <w:family w:val="roman"/>
    <w:notTrueType/>
    <w:pitch w:val="default"/>
  </w:font>
  <w:font w:name="*Arial-12311-Identity-H">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4348" w14:textId="77777777" w:rsidR="00DE5D0B" w:rsidRDefault="00DE5D0B" w:rsidP="008879FF">
      <w:pPr>
        <w:spacing w:after="0" w:line="240" w:lineRule="auto"/>
      </w:pPr>
      <w:r>
        <w:separator/>
      </w:r>
    </w:p>
  </w:footnote>
  <w:footnote w:type="continuationSeparator" w:id="0">
    <w:p w14:paraId="736F08EB" w14:textId="77777777" w:rsidR="00DE5D0B" w:rsidRDefault="00DE5D0B" w:rsidP="008879FF">
      <w:pPr>
        <w:spacing w:after="0" w:line="240" w:lineRule="auto"/>
      </w:pPr>
      <w:r>
        <w:continuationSeparator/>
      </w:r>
    </w:p>
  </w:footnote>
  <w:footnote w:id="1">
    <w:p w14:paraId="60FAC8C0" w14:textId="77777777" w:rsidR="008879FF" w:rsidRPr="008465D6" w:rsidRDefault="008879FF" w:rsidP="008879FF">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w:t>
      </w:r>
      <w:r>
        <w:rPr>
          <w:rFonts w:ascii="Times New Roman" w:hAnsi="Times New Roman" w:cs="Times New Roman"/>
          <w:lang w:val="en-US"/>
        </w:rPr>
        <w:t>.</w:t>
      </w:r>
      <w:r w:rsidRPr="008465D6">
        <w:rPr>
          <w:rFonts w:ascii="Times New Roman" w:hAnsi="Times New Roman" w:cs="Times New Roman"/>
          <w:lang w:val="en-US"/>
        </w:rPr>
        <w:t>1 of the Nagoya protocol</w:t>
      </w:r>
    </w:p>
  </w:footnote>
  <w:footnote w:id="2">
    <w:p w14:paraId="3845BA76" w14:textId="77777777" w:rsidR="008879FF" w:rsidRPr="008465D6" w:rsidRDefault="008879FF" w:rsidP="008879FF">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 xml:space="preserve">National Biodiversity Strategic Action Plan 2025-2030 (2025). </w:t>
      </w:r>
    </w:p>
  </w:footnote>
  <w:footnote w:id="3">
    <w:p w14:paraId="7C59AC01" w14:textId="77777777" w:rsidR="007C643A" w:rsidRPr="008465D6" w:rsidRDefault="007C643A" w:rsidP="007C643A">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Art 8 (j) and 15 (2) of the CBD; See also art. 6 (1) and art (7) of the Nagoya protocol. </w:t>
      </w:r>
    </w:p>
  </w:footnote>
  <w:footnote w:id="4">
    <w:p w14:paraId="766DBB26" w14:textId="77777777" w:rsidR="00C05A47" w:rsidRPr="008465D6" w:rsidRDefault="00C05A47" w:rsidP="00C05A47">
      <w:pPr>
        <w:pStyle w:val="FootnoteText"/>
        <w:jc w:val="both"/>
        <w:rPr>
          <w:rFonts w:ascii="Times New Roman" w:hAnsi="Times New Roman" w:cs="Times New Roman"/>
          <w:lang w:val="en-GB"/>
        </w:rPr>
      </w:pPr>
      <w:r w:rsidRPr="008465D6">
        <w:rPr>
          <w:rStyle w:val="FootnoteReference"/>
          <w:rFonts w:ascii="Times New Roman" w:hAnsi="Times New Roman" w:cs="Times New Roman"/>
        </w:rPr>
        <w:footnoteRef/>
      </w:r>
      <w:r w:rsidRPr="008465D6">
        <w:rPr>
          <w:rFonts w:ascii="Times New Roman" w:hAnsi="Times New Roman" w:cs="Times New Roman"/>
          <w:lang w:val="en-GB"/>
        </w:rPr>
        <w:t xml:space="preserve"> </w:t>
      </w:r>
      <w:r w:rsidRPr="008465D6">
        <w:rPr>
          <w:rFonts w:ascii="Times New Roman" w:hAnsi="Times New Roman" w:cs="Times New Roman"/>
          <w:lang w:val="en-US"/>
        </w:rPr>
        <w:t>These definitions are duplicated word verbatim in Cameroonian law. So, clarifying this concept will ease understanding within the Cameroon context.</w:t>
      </w:r>
    </w:p>
  </w:footnote>
  <w:footnote w:id="5">
    <w:p w14:paraId="75DEB88D" w14:textId="77777777" w:rsidR="00C05A47" w:rsidRPr="008465D6" w:rsidRDefault="00C05A47" w:rsidP="00C05A47">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lang w:val="en-US"/>
        </w:rPr>
        <w:t xml:space="preserve"> </w:t>
      </w:r>
      <w:r w:rsidRPr="008465D6">
        <w:rPr>
          <w:rFonts w:ascii="Times New Roman" w:hAnsi="Times New Roman" w:cs="Times New Roman"/>
          <w:lang w:val="en-GB"/>
        </w:rPr>
        <w:t xml:space="preserve">Zheng, X. (2019), Key legal challenges and opportunities in the implementation of the Nagoya Protocol: the case of China. Review of European, Comparative and International Environmental Law. Vol 28, Is 2 Pp. 175-184. From </w:t>
      </w:r>
      <w:hyperlink r:id="rId1" w:history="1">
        <w:r w:rsidRPr="008465D6">
          <w:rPr>
            <w:rStyle w:val="Hyperlink"/>
            <w:rFonts w:ascii="Times New Roman" w:hAnsi="Times New Roman" w:cs="Times New Roman"/>
            <w:lang w:val="en-GB"/>
          </w:rPr>
          <w:t>https://doi.org/10.1111/reel.12282</w:t>
        </w:r>
      </w:hyperlink>
      <w:r w:rsidRPr="008465D6">
        <w:rPr>
          <w:rFonts w:ascii="Times New Roman" w:hAnsi="Times New Roman" w:cs="Times New Roman"/>
          <w:lang w:val="en-GB"/>
        </w:rPr>
        <w:t xml:space="preserve"> accessed on the 20 July 2022 at 7pm</w:t>
      </w:r>
    </w:p>
  </w:footnote>
  <w:footnote w:id="6">
    <w:p w14:paraId="1730A1CD" w14:textId="77777777" w:rsidR="00C05A47" w:rsidRPr="008465D6" w:rsidRDefault="00C05A47" w:rsidP="00C05A47">
      <w:pPr>
        <w:pStyle w:val="FootnoteText"/>
        <w:jc w:val="both"/>
        <w:rPr>
          <w:rFonts w:ascii="Times New Roman" w:hAnsi="Times New Roman" w:cs="Times New Roman"/>
          <w:lang w:val="en-GB"/>
        </w:rPr>
      </w:pPr>
      <w:r w:rsidRPr="008465D6">
        <w:rPr>
          <w:rStyle w:val="FootnoteReference"/>
          <w:rFonts w:ascii="Times New Roman" w:hAnsi="Times New Roman" w:cs="Times New Roman"/>
        </w:rPr>
        <w:footnoteRef/>
      </w:r>
      <w:r w:rsidRPr="008465D6">
        <w:rPr>
          <w:rFonts w:ascii="Times New Roman" w:hAnsi="Times New Roman" w:cs="Times New Roman"/>
          <w:lang w:val="en-US"/>
        </w:rPr>
        <w:t xml:space="preserve"> </w:t>
      </w:r>
      <w:r w:rsidRPr="008465D6">
        <w:rPr>
          <w:rFonts w:ascii="Times New Roman" w:hAnsi="Times New Roman" w:cs="Times New Roman"/>
          <w:lang w:val="en-GB"/>
        </w:rPr>
        <w:t xml:space="preserve">Zheng, X. (2019), p.176 </w:t>
      </w:r>
      <w:r w:rsidRPr="008465D6">
        <w:rPr>
          <w:rFonts w:ascii="Times New Roman" w:hAnsi="Times New Roman" w:cs="Times New Roman"/>
          <w:i/>
          <w:iCs/>
          <w:lang w:val="en-GB"/>
        </w:rPr>
        <w:t>Ibid</w:t>
      </w:r>
      <w:r w:rsidRPr="008465D6">
        <w:rPr>
          <w:rFonts w:ascii="Times New Roman" w:hAnsi="Times New Roman" w:cs="Times New Roman"/>
          <w:lang w:val="en-GB"/>
        </w:rPr>
        <w:t>.</w:t>
      </w:r>
    </w:p>
  </w:footnote>
  <w:footnote w:id="7">
    <w:p w14:paraId="64091358" w14:textId="0D51F1A3" w:rsidR="000242EC" w:rsidRPr="000242EC" w:rsidRDefault="000242EC">
      <w:pPr>
        <w:pStyle w:val="FootnoteText"/>
      </w:pPr>
      <w:r>
        <w:rPr>
          <w:rStyle w:val="FootnoteReference"/>
        </w:rPr>
        <w:footnoteRef/>
      </w:r>
      <w:r>
        <w:t xml:space="preserve"> From a linguistic perspective, the constituent terms of the concept offer some clarification. According to the Cambridge Dictionary (3rd ed.), “associated” denotes a connection or relationship; “traditional” refers to customs, practices, and ways of life transmitted across generations; and “knowledge” signifies understanding, awareness, or familiarity acquired through experience and practice.</w:t>
      </w:r>
    </w:p>
  </w:footnote>
  <w:footnote w:id="8">
    <w:p w14:paraId="4649775E" w14:textId="3C9781CF" w:rsidR="00C05A47" w:rsidRPr="008465D6" w:rsidRDefault="00C05A47" w:rsidP="00C05A47">
      <w:pPr>
        <w:pStyle w:val="FootnoteText"/>
        <w:jc w:val="both"/>
        <w:rPr>
          <w:rFonts w:ascii="Times New Roman" w:hAnsi="Times New Roman" w:cs="Times New Roman"/>
          <w:lang w:val="en-GB"/>
        </w:rPr>
      </w:pPr>
      <w:r w:rsidRPr="008465D6">
        <w:rPr>
          <w:rStyle w:val="FootnoteReference"/>
          <w:rFonts w:ascii="Times New Roman" w:hAnsi="Times New Roman" w:cs="Times New Roman"/>
        </w:rPr>
        <w:footnoteRef/>
      </w:r>
      <w:r w:rsidRPr="008465D6">
        <w:rPr>
          <w:rFonts w:ascii="Times New Roman" w:hAnsi="Times New Roman" w:cs="Times New Roman"/>
          <w:lang w:val="en-GB"/>
        </w:rPr>
        <w:t xml:space="preserve"> </w:t>
      </w:r>
      <w:proofErr w:type="spellStart"/>
      <w:r w:rsidRPr="008465D6">
        <w:rPr>
          <w:rFonts w:ascii="Times New Roman" w:hAnsi="Times New Roman" w:cs="Times New Roman"/>
          <w:lang w:val="en-GB"/>
        </w:rPr>
        <w:t>Ke</w:t>
      </w:r>
      <w:proofErr w:type="spellEnd"/>
      <w:r w:rsidRPr="008465D6">
        <w:rPr>
          <w:rFonts w:ascii="Times New Roman" w:hAnsi="Times New Roman" w:cs="Times New Roman"/>
          <w:lang w:val="en-GB"/>
        </w:rPr>
        <w:t xml:space="preserve"> and Chen (2020), Interrelationship between </w:t>
      </w:r>
      <w:r w:rsidR="00793859">
        <w:rPr>
          <w:rFonts w:ascii="Times New Roman" w:hAnsi="Times New Roman" w:cs="Times New Roman"/>
          <w:lang w:val="en-GB"/>
        </w:rPr>
        <w:t>GR</w:t>
      </w:r>
      <w:r w:rsidR="00456AC8">
        <w:rPr>
          <w:rFonts w:ascii="Times New Roman" w:hAnsi="Times New Roman" w:cs="Times New Roman"/>
          <w:lang w:val="en-GB"/>
        </w:rPr>
        <w:t xml:space="preserve"> </w:t>
      </w:r>
      <w:r w:rsidRPr="008465D6">
        <w:rPr>
          <w:rFonts w:ascii="Times New Roman" w:hAnsi="Times New Roman" w:cs="Times New Roman"/>
          <w:lang w:val="en-GB"/>
        </w:rPr>
        <w:t xml:space="preserve">and Traditional </w:t>
      </w:r>
      <w:proofErr w:type="spellStart"/>
      <w:r w:rsidRPr="008465D6">
        <w:rPr>
          <w:rFonts w:ascii="Times New Roman" w:hAnsi="Times New Roman" w:cs="Times New Roman"/>
          <w:lang w:val="en-GB"/>
        </w:rPr>
        <w:t>Knowlegde</w:t>
      </w:r>
      <w:proofErr w:type="spellEnd"/>
      <w:r w:rsidRPr="008465D6">
        <w:rPr>
          <w:rFonts w:ascii="Times New Roman" w:hAnsi="Times New Roman" w:cs="Times New Roman"/>
          <w:lang w:val="en-GB"/>
        </w:rPr>
        <w:t xml:space="preserve">: An Example from Earthworm Fibrinolytic Enzyme. </w:t>
      </w:r>
      <w:r w:rsidRPr="008465D6">
        <w:rPr>
          <w:rFonts w:ascii="Times New Roman" w:hAnsi="Times New Roman" w:cs="Times New Roman"/>
          <w:i/>
          <w:lang w:val="en-GB"/>
        </w:rPr>
        <w:t>39 Biotechnology Law Report 440 Number 6.</w:t>
      </w:r>
      <w:r w:rsidRPr="008465D6">
        <w:rPr>
          <w:rFonts w:ascii="Times New Roman" w:hAnsi="Times New Roman" w:cs="Times New Roman"/>
          <w:lang w:val="en-GB"/>
        </w:rPr>
        <w:t>P. 440-451</w:t>
      </w:r>
    </w:p>
  </w:footnote>
  <w:footnote w:id="9">
    <w:p w14:paraId="13880785" w14:textId="77777777" w:rsidR="00C05A47" w:rsidRPr="008465D6" w:rsidRDefault="00C05A47" w:rsidP="00C05A47">
      <w:pPr>
        <w:pStyle w:val="FootnoteText"/>
        <w:jc w:val="both"/>
        <w:rPr>
          <w:rFonts w:ascii="Times New Roman" w:hAnsi="Times New Roman" w:cs="Times New Roman"/>
          <w:lang w:val="en-GB"/>
        </w:rPr>
      </w:pPr>
      <w:r w:rsidRPr="008465D6">
        <w:rPr>
          <w:rStyle w:val="FootnoteReference"/>
          <w:rFonts w:ascii="Times New Roman" w:hAnsi="Times New Roman" w:cs="Times New Roman"/>
        </w:rPr>
        <w:footnoteRef/>
      </w:r>
      <w:r w:rsidRPr="008465D6">
        <w:rPr>
          <w:rFonts w:ascii="Times New Roman" w:hAnsi="Times New Roman" w:cs="Times New Roman"/>
          <w:lang w:val="en-GB"/>
        </w:rPr>
        <w:t xml:space="preserve"> </w:t>
      </w:r>
      <w:proofErr w:type="spellStart"/>
      <w:r w:rsidRPr="008465D6">
        <w:rPr>
          <w:rFonts w:ascii="Times New Roman" w:hAnsi="Times New Roman" w:cs="Times New Roman"/>
          <w:lang w:val="en-GB"/>
        </w:rPr>
        <w:t>Collot</w:t>
      </w:r>
      <w:proofErr w:type="spellEnd"/>
      <w:r w:rsidRPr="008465D6">
        <w:rPr>
          <w:rFonts w:ascii="Times New Roman" w:hAnsi="Times New Roman" w:cs="Times New Roman"/>
          <w:lang w:val="en-GB"/>
        </w:rPr>
        <w:t xml:space="preserve">, P.A (2007), The Protection of Traditional Knowledge, from the International Intellectual Property Law to a </w:t>
      </w:r>
      <w:r w:rsidRPr="008465D6">
        <w:rPr>
          <w:rFonts w:ascii="Times New Roman" w:hAnsi="Times New Roman" w:cs="Times New Roman"/>
          <w:i/>
          <w:lang w:val="en-GB"/>
        </w:rPr>
        <w:t>Sui Generis</w:t>
      </w:r>
      <w:r w:rsidRPr="008465D6">
        <w:rPr>
          <w:rFonts w:ascii="Times New Roman" w:hAnsi="Times New Roman" w:cs="Times New Roman"/>
          <w:lang w:val="en-GB"/>
        </w:rPr>
        <w:t xml:space="preserve"> Protection. </w:t>
      </w:r>
      <w:r w:rsidRPr="008465D6">
        <w:rPr>
          <w:rFonts w:ascii="Times New Roman" w:hAnsi="Times New Roman" w:cs="Times New Roman"/>
          <w:i/>
          <w:lang w:val="en-GB"/>
        </w:rPr>
        <w:t xml:space="preserve">Revue Internationale </w:t>
      </w:r>
      <w:proofErr w:type="spellStart"/>
      <w:r w:rsidRPr="008465D6">
        <w:rPr>
          <w:rFonts w:ascii="Times New Roman" w:hAnsi="Times New Roman" w:cs="Times New Roman"/>
          <w:i/>
          <w:lang w:val="en-GB"/>
        </w:rPr>
        <w:t>Interdisciplinaire</w:t>
      </w:r>
      <w:proofErr w:type="spellEnd"/>
      <w:r w:rsidRPr="008465D6">
        <w:rPr>
          <w:rFonts w:ascii="Times New Roman" w:hAnsi="Times New Roman" w:cs="Times New Roman"/>
          <w:lang w:val="en-GB"/>
        </w:rPr>
        <w:t xml:space="preserve">. Pp.181-209. Results from the investigations of WIPO in 1998 to 1999 revealed that, each continent and culture attached a different meaning to the concepts of TK. TK is considered by the World Health Organisation to be precious resources </w:t>
      </w:r>
    </w:p>
  </w:footnote>
  <w:footnote w:id="10">
    <w:p w14:paraId="20DA96BB" w14:textId="77777777" w:rsidR="00C05A47" w:rsidRPr="008465D6" w:rsidRDefault="00C05A47" w:rsidP="00C05A47">
      <w:pPr>
        <w:pStyle w:val="FootnoteText"/>
        <w:jc w:val="both"/>
        <w:rPr>
          <w:rFonts w:ascii="Times New Roman" w:hAnsi="Times New Roman" w:cs="Times New Roman"/>
          <w:lang w:val="en-GB"/>
        </w:rPr>
      </w:pPr>
      <w:r w:rsidRPr="008465D6">
        <w:rPr>
          <w:rStyle w:val="FootnoteReference"/>
          <w:rFonts w:ascii="Times New Roman" w:hAnsi="Times New Roman" w:cs="Times New Roman"/>
        </w:rPr>
        <w:footnoteRef/>
      </w:r>
      <w:r w:rsidRPr="008465D6">
        <w:rPr>
          <w:rFonts w:ascii="Times New Roman" w:hAnsi="Times New Roman" w:cs="Times New Roman"/>
          <w:lang w:val="en-GB"/>
        </w:rPr>
        <w:t xml:space="preserve"> </w:t>
      </w:r>
      <w:proofErr w:type="spellStart"/>
      <w:r w:rsidRPr="008465D6">
        <w:rPr>
          <w:rFonts w:ascii="Times New Roman" w:hAnsi="Times New Roman" w:cs="Times New Roman"/>
          <w:lang w:val="en-GB"/>
        </w:rPr>
        <w:t>Collot</w:t>
      </w:r>
      <w:proofErr w:type="spellEnd"/>
      <w:r w:rsidRPr="008465D6">
        <w:rPr>
          <w:rFonts w:ascii="Times New Roman" w:hAnsi="Times New Roman" w:cs="Times New Roman"/>
          <w:lang w:val="en-GB"/>
        </w:rPr>
        <w:t xml:space="preserve">, P.A (2007), The Protection of Traditional Knowledge, from the International Intellectual Property Law to a </w:t>
      </w:r>
      <w:r w:rsidRPr="008465D6">
        <w:rPr>
          <w:rFonts w:ascii="Times New Roman" w:hAnsi="Times New Roman" w:cs="Times New Roman"/>
          <w:i/>
          <w:lang w:val="en-GB"/>
        </w:rPr>
        <w:t>Sui Generis</w:t>
      </w:r>
      <w:r w:rsidRPr="008465D6">
        <w:rPr>
          <w:rFonts w:ascii="Times New Roman" w:hAnsi="Times New Roman" w:cs="Times New Roman"/>
          <w:lang w:val="en-GB"/>
        </w:rPr>
        <w:t xml:space="preserve"> Protection. </w:t>
      </w:r>
      <w:r w:rsidRPr="008465D6">
        <w:rPr>
          <w:rFonts w:ascii="Times New Roman" w:hAnsi="Times New Roman" w:cs="Times New Roman"/>
          <w:i/>
          <w:lang w:val="en-GB"/>
        </w:rPr>
        <w:t xml:space="preserve">Revue Internationale </w:t>
      </w:r>
      <w:proofErr w:type="spellStart"/>
      <w:r w:rsidRPr="008465D6">
        <w:rPr>
          <w:rFonts w:ascii="Times New Roman" w:hAnsi="Times New Roman" w:cs="Times New Roman"/>
          <w:i/>
          <w:lang w:val="en-GB"/>
        </w:rPr>
        <w:t>Interdisciplinaire</w:t>
      </w:r>
      <w:proofErr w:type="spellEnd"/>
      <w:r w:rsidRPr="008465D6">
        <w:rPr>
          <w:rFonts w:ascii="Times New Roman" w:hAnsi="Times New Roman" w:cs="Times New Roman"/>
          <w:lang w:val="en-GB"/>
        </w:rPr>
        <w:t xml:space="preserve">. Pp.181-209. Results from the investigations of WIPO in 1998 to 1999 revealed that, each continent and culture attached a different meaning to the concepts of TK. TK is considered by the World Health Organisation to be precious resources </w:t>
      </w:r>
    </w:p>
  </w:footnote>
  <w:footnote w:id="11">
    <w:p w14:paraId="01DC0617" w14:textId="084371D3" w:rsidR="000242EC" w:rsidRPr="000242EC" w:rsidRDefault="000242EC">
      <w:pPr>
        <w:pStyle w:val="FootnoteText"/>
      </w:pPr>
      <w:r>
        <w:rPr>
          <w:rStyle w:val="FootnoteReference"/>
        </w:rPr>
        <w:footnoteRef/>
      </w:r>
      <w:r>
        <w:t xml:space="preserve"> Art 7 of the Cameroon ABS Law </w:t>
      </w:r>
    </w:p>
  </w:footnote>
  <w:footnote w:id="12">
    <w:p w14:paraId="23AC7BFF" w14:textId="77777777" w:rsidR="00F00703" w:rsidRPr="008465D6" w:rsidRDefault="00F00703" w:rsidP="00F00703">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This represents </w:t>
      </w:r>
      <w:r w:rsidRPr="008465D6">
        <w:rPr>
          <w:rFonts w:ascii="Times New Roman" w:hAnsi="Times New Roman" w:cs="Times New Roman"/>
          <w:lang w:val="en-US"/>
        </w:rPr>
        <w:t>approximately 129,206,330,000 francs CFA.</w:t>
      </w:r>
    </w:p>
  </w:footnote>
  <w:footnote w:id="13">
    <w:p w14:paraId="285C7041" w14:textId="77777777" w:rsidR="00F00703" w:rsidRPr="008465D6" w:rsidRDefault="00F00703" w:rsidP="00F00703">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This is approximately 176,190,450,000 francs CFA.</w:t>
      </w:r>
    </w:p>
  </w:footnote>
  <w:footnote w:id="14">
    <w:p w14:paraId="2D76AF3C" w14:textId="77777777" w:rsidR="00F00703" w:rsidRPr="008465D6" w:rsidRDefault="00F00703" w:rsidP="00F00703">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This is </w:t>
      </w:r>
      <w:r w:rsidRPr="008465D6">
        <w:rPr>
          <w:rFonts w:ascii="Times New Roman" w:hAnsi="Times New Roman" w:cs="Times New Roman"/>
          <w:lang w:val="en-US"/>
        </w:rPr>
        <w:t>close to 182,063,465,000 francs CFA.</w:t>
      </w:r>
    </w:p>
  </w:footnote>
  <w:footnote w:id="15">
    <w:p w14:paraId="51E54A0D" w14:textId="77777777" w:rsidR="00F00703" w:rsidRPr="008465D6" w:rsidRDefault="00F00703" w:rsidP="00F00703">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This is </w:t>
      </w:r>
      <w:r w:rsidRPr="008465D6">
        <w:rPr>
          <w:rFonts w:ascii="Times New Roman" w:hAnsi="Times New Roman" w:cs="Times New Roman"/>
          <w:lang w:val="en-US"/>
        </w:rPr>
        <w:t>approximately 375,758,720,000,000 francs CFA.</w:t>
      </w:r>
    </w:p>
  </w:footnote>
  <w:footnote w:id="16">
    <w:p w14:paraId="74623B90" w14:textId="77777777" w:rsidR="003967FE" w:rsidRPr="00987F62" w:rsidRDefault="003967FE" w:rsidP="003967FE">
      <w:pPr>
        <w:pStyle w:val="FootnoteText"/>
        <w:spacing w:before="240"/>
        <w:rPr>
          <w:rFonts w:ascii="Times New Roman" w:hAnsi="Times New Roman" w:cs="Times New Roman"/>
          <w:lang w:val="en-US"/>
        </w:rPr>
      </w:pPr>
      <w:r w:rsidRPr="00987F62">
        <w:rPr>
          <w:rStyle w:val="FootnoteReference"/>
          <w:rFonts w:ascii="Times New Roman" w:hAnsi="Times New Roman" w:cs="Times New Roman"/>
        </w:rPr>
        <w:footnoteRef/>
      </w:r>
      <w:r w:rsidRPr="00987F62">
        <w:rPr>
          <w:rFonts w:ascii="Times New Roman" w:hAnsi="Times New Roman" w:cs="Times New Roman"/>
        </w:rPr>
        <w:t xml:space="preserve"> </w:t>
      </w:r>
      <w:bookmarkStart w:id="10" w:name="_Hlk230248484"/>
      <w:r w:rsidRPr="00987F62">
        <w:rPr>
          <w:rFonts w:ascii="Times New Roman" w:hAnsi="Times New Roman" w:cs="Times New Roman"/>
        </w:rPr>
        <w:t>Medaglia, J. Perron-welch, F. and Phillips, F. (2014). Overview of National and Regional Measures on CCESS and Benefit Sharing: Challenges and Opportunities in Implementing the Nagoya Protocol (3</w:t>
      </w:r>
      <w:r w:rsidRPr="00987F62">
        <w:rPr>
          <w:rFonts w:ascii="Times New Roman" w:hAnsi="Times New Roman" w:cs="Times New Roman"/>
          <w:vertAlign w:val="superscript"/>
        </w:rPr>
        <w:t>rd</w:t>
      </w:r>
      <w:r w:rsidRPr="00987F62">
        <w:rPr>
          <w:rFonts w:ascii="Times New Roman" w:hAnsi="Times New Roman" w:cs="Times New Roman"/>
        </w:rPr>
        <w:t xml:space="preserve"> ed.) CISDL Biodiversity and Biosafety Law Research Programme.  P.89.</w:t>
      </w:r>
      <w:bookmarkEnd w:id="10"/>
    </w:p>
  </w:footnote>
  <w:footnote w:id="17">
    <w:p w14:paraId="1F23CE53" w14:textId="77777777" w:rsidR="003967FE" w:rsidRPr="008465D6" w:rsidRDefault="003967FE" w:rsidP="003967FE">
      <w:pPr>
        <w:pStyle w:val="FootnoteText"/>
        <w:jc w:val="both"/>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Article 7</w:t>
      </w:r>
      <w:r w:rsidRPr="00A6349F">
        <w:t xml:space="preserve"> </w:t>
      </w:r>
      <w:r w:rsidRPr="00A6349F">
        <w:rPr>
          <w:rFonts w:ascii="Times New Roman" w:hAnsi="Times New Roman" w:cs="Times New Roman"/>
        </w:rPr>
        <w:t>Cameroon ABS La</w:t>
      </w:r>
      <w:r>
        <w:rPr>
          <w:rFonts w:ascii="Times New Roman" w:hAnsi="Times New Roman" w:cs="Times New Roman"/>
        </w:rPr>
        <w:t>w</w:t>
      </w:r>
      <w:r w:rsidRPr="008465D6">
        <w:rPr>
          <w:rFonts w:ascii="Times New Roman" w:hAnsi="Times New Roman" w:cs="Times New Roman"/>
        </w:rPr>
        <w:t>.</w:t>
      </w:r>
    </w:p>
  </w:footnote>
  <w:footnote w:id="18">
    <w:p w14:paraId="687B3E0C" w14:textId="6084D34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 xml:space="preserve">Art 37 of the Bonn Guidelines on Access to </w:t>
      </w:r>
      <w:r w:rsidR="00793859">
        <w:rPr>
          <w:rFonts w:ascii="Times New Roman" w:hAnsi="Times New Roman" w:cs="Times New Roman"/>
          <w:lang w:val="en-US"/>
        </w:rPr>
        <w:t>GR</w:t>
      </w:r>
      <w:r w:rsidR="0006594F">
        <w:rPr>
          <w:rFonts w:ascii="Times New Roman" w:hAnsi="Times New Roman" w:cs="Times New Roman"/>
          <w:lang w:val="en-US"/>
        </w:rPr>
        <w:t xml:space="preserve"> </w:t>
      </w:r>
      <w:r w:rsidRPr="008465D6">
        <w:rPr>
          <w:rFonts w:ascii="Times New Roman" w:hAnsi="Times New Roman" w:cs="Times New Roman"/>
          <w:lang w:val="en-US"/>
        </w:rPr>
        <w:t>and Fair and Equitable Sharing of the Benefits Arising out of their Utilization, 2002.</w:t>
      </w:r>
    </w:p>
  </w:footnote>
  <w:footnote w:id="19">
    <w:p w14:paraId="06C8CFBE"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5 of the Cameroon ABS Law</w:t>
      </w:r>
    </w:p>
  </w:footnote>
  <w:footnote w:id="20">
    <w:p w14:paraId="056DA2A4" w14:textId="77777777" w:rsidR="00EA014E" w:rsidRPr="008465D6" w:rsidRDefault="00EA014E" w:rsidP="00EA014E">
      <w:pPr>
        <w:pStyle w:val="FootnoteText"/>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Art. 6 </w:t>
      </w:r>
      <w:r w:rsidRPr="008465D6">
        <w:rPr>
          <w:rFonts w:ascii="Times New Roman" w:hAnsi="Times New Roman" w:cs="Times New Roman"/>
          <w:lang w:val="en-US"/>
        </w:rPr>
        <w:t>of the Cameroon ABS Law</w:t>
      </w:r>
    </w:p>
  </w:footnote>
  <w:footnote w:id="21">
    <w:p w14:paraId="7C694911" w14:textId="06B5633B" w:rsidR="00AD01FC" w:rsidRPr="008465D6" w:rsidRDefault="00AD01FC" w:rsidP="00AD01FC">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Pr>
          <w:rFonts w:ascii="Times New Roman" w:hAnsi="Times New Roman" w:cs="Times New Roman"/>
          <w:lang w:val="en-US"/>
        </w:rPr>
        <w:t>C</w:t>
      </w:r>
      <w:r w:rsidRPr="008465D6">
        <w:rPr>
          <w:rFonts w:ascii="Times New Roman" w:hAnsi="Times New Roman" w:cs="Times New Roman"/>
          <w:lang w:val="en-US"/>
        </w:rPr>
        <w:t xml:space="preserve">hapter </w:t>
      </w:r>
      <w:r>
        <w:rPr>
          <w:rFonts w:ascii="Times New Roman" w:hAnsi="Times New Roman" w:cs="Times New Roman"/>
          <w:lang w:val="en-US"/>
        </w:rPr>
        <w:t>II</w:t>
      </w:r>
      <w:r w:rsidRPr="008465D6">
        <w:rPr>
          <w:rFonts w:ascii="Times New Roman" w:hAnsi="Times New Roman" w:cs="Times New Roman"/>
          <w:lang w:val="en-US"/>
        </w:rPr>
        <w:t xml:space="preserve"> on the general conditions of access. under section i: access to </w:t>
      </w:r>
      <w:r>
        <w:rPr>
          <w:rFonts w:ascii="Times New Roman" w:hAnsi="Times New Roman" w:cs="Times New Roman"/>
          <w:lang w:val="en-US"/>
        </w:rPr>
        <w:t xml:space="preserve">GR </w:t>
      </w:r>
      <w:r w:rsidRPr="008465D6">
        <w:rPr>
          <w:rFonts w:ascii="Times New Roman" w:hAnsi="Times New Roman" w:cs="Times New Roman"/>
          <w:lang w:val="en-US"/>
        </w:rPr>
        <w:t xml:space="preserve">and their derivatives and section 2 section ii access to </w:t>
      </w:r>
      <w:r>
        <w:rPr>
          <w:rFonts w:ascii="Times New Roman" w:hAnsi="Times New Roman" w:cs="Times New Roman"/>
          <w:lang w:val="en-US"/>
        </w:rPr>
        <w:t>ATK</w:t>
      </w:r>
    </w:p>
  </w:footnote>
  <w:footnote w:id="22">
    <w:p w14:paraId="65E8DE40"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Article 11(1) Law No.94/01 20 January 1994 laying down regulations for forestry, wildlife and fisheries</w:t>
      </w:r>
    </w:p>
  </w:footnote>
  <w:footnote w:id="23">
    <w:p w14:paraId="605EEE0C"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64(1) Law No.96/12 of August 5 1996 laying down the framework law for environmental management amended in 2022</w:t>
      </w:r>
    </w:p>
  </w:footnote>
  <w:footnote w:id="24">
    <w:p w14:paraId="6EC3C8A5"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65 (2) Law No.96/12 of August 5 1996 laying down the framework law for environmental management amended in 2022</w:t>
      </w:r>
    </w:p>
  </w:footnote>
  <w:footnote w:id="25">
    <w:p w14:paraId="15C21587"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4 (1) of the Decree</w:t>
      </w:r>
    </w:p>
  </w:footnote>
  <w:footnote w:id="26">
    <w:p w14:paraId="473E646C" w14:textId="66D81030" w:rsidR="003B6634" w:rsidRPr="008465D6" w:rsidRDefault="003B6634" w:rsidP="003B6634">
      <w:pPr>
        <w:pStyle w:val="FootnoteText"/>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Any application for ABS Permits for the export of samples for commercial purposes shall be supported by a receipt of payment of study fees to the National Environment and Sustainable Development Fund amounting to CFAF two hundred thousand (200 000) for natural persons and CFAF five hundred thousand (500 000) for legal entities. And Applications subject to the declaration regime shall be exempt from the study fees. Art. 24 and art. 36 of the ABS Decree </w:t>
      </w:r>
    </w:p>
  </w:footnote>
  <w:footnote w:id="27">
    <w:p w14:paraId="2556618D"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6(1) of the Decree</w:t>
      </w:r>
    </w:p>
  </w:footnote>
  <w:footnote w:id="28">
    <w:p w14:paraId="7C1DC4B4" w14:textId="77777777" w:rsidR="00EA014E" w:rsidRPr="008465D6" w:rsidRDefault="00EA014E" w:rsidP="00EA014E">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 xml:space="preserve">Art 17 of the ABS </w:t>
      </w:r>
      <w:r>
        <w:rPr>
          <w:rFonts w:ascii="Times New Roman" w:hAnsi="Times New Roman" w:cs="Times New Roman"/>
          <w:lang w:val="en-US"/>
        </w:rPr>
        <w:t>D</w:t>
      </w:r>
      <w:r w:rsidRPr="008465D6">
        <w:rPr>
          <w:rFonts w:ascii="Times New Roman" w:hAnsi="Times New Roman" w:cs="Times New Roman"/>
          <w:lang w:val="en-US"/>
        </w:rPr>
        <w:t>ecree.</w:t>
      </w:r>
    </w:p>
  </w:footnote>
  <w:footnote w:id="29">
    <w:p w14:paraId="61859400"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 xml:space="preserve">Art 26 (1) of the ABS </w:t>
      </w:r>
      <w:r>
        <w:rPr>
          <w:rFonts w:ascii="Times New Roman" w:hAnsi="Times New Roman" w:cs="Times New Roman"/>
          <w:lang w:val="en-US"/>
        </w:rPr>
        <w:t>D</w:t>
      </w:r>
      <w:r w:rsidRPr="008465D6">
        <w:rPr>
          <w:rFonts w:ascii="Times New Roman" w:hAnsi="Times New Roman" w:cs="Times New Roman"/>
          <w:lang w:val="en-US"/>
        </w:rPr>
        <w:t>ecree</w:t>
      </w:r>
    </w:p>
  </w:footnote>
  <w:footnote w:id="30">
    <w:p w14:paraId="03CFD01D"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 xml:space="preserve">Art 26 (6) of the ABS </w:t>
      </w:r>
      <w:r>
        <w:rPr>
          <w:rFonts w:ascii="Times New Roman" w:hAnsi="Times New Roman" w:cs="Times New Roman"/>
          <w:lang w:val="en-US"/>
        </w:rPr>
        <w:t>D</w:t>
      </w:r>
      <w:r w:rsidRPr="008465D6">
        <w:rPr>
          <w:rFonts w:ascii="Times New Roman" w:hAnsi="Times New Roman" w:cs="Times New Roman"/>
          <w:lang w:val="en-US"/>
        </w:rPr>
        <w:t>ecree</w:t>
      </w:r>
    </w:p>
  </w:footnote>
  <w:footnote w:id="31">
    <w:p w14:paraId="3D6D0ADF" w14:textId="7ED93D94" w:rsidR="000F1434" w:rsidRPr="008465D6" w:rsidRDefault="000F1434" w:rsidP="000F1434">
      <w:pPr>
        <w:pStyle w:val="FootnoteText"/>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Preamble of the Nagoya protocol</w:t>
      </w:r>
      <w:r w:rsidR="00753443">
        <w:rPr>
          <w:rFonts w:ascii="Times New Roman" w:hAnsi="Times New Roman" w:cs="Times New Roman"/>
          <w:lang w:val="en-US"/>
        </w:rPr>
        <w:t>.</w:t>
      </w:r>
    </w:p>
  </w:footnote>
  <w:footnote w:id="32">
    <w:p w14:paraId="76B2763C"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6 of the Cameroon ABS Law</w:t>
      </w:r>
    </w:p>
  </w:footnote>
  <w:footnote w:id="33">
    <w:p w14:paraId="4F85B360" w14:textId="77777777" w:rsidR="000F1434" w:rsidRPr="008465D6" w:rsidRDefault="000F1434" w:rsidP="000F1434">
      <w:pPr>
        <w:spacing w:after="0" w:line="240" w:lineRule="auto"/>
        <w:rPr>
          <w:rFonts w:ascii="Times New Roman" w:eastAsia="Times New Roman" w:hAnsi="Times New Roman" w:cs="Times New Roman"/>
          <w:color w:val="242021"/>
          <w:sz w:val="20"/>
          <w:szCs w:val="20"/>
          <w:lang w:eastAsia="en-ZA"/>
        </w:rPr>
      </w:pPr>
      <w:r w:rsidRPr="008465D6">
        <w:rPr>
          <w:rStyle w:val="FootnoteReference"/>
          <w:rFonts w:ascii="Times New Roman" w:hAnsi="Times New Roman" w:cs="Times New Roman"/>
          <w:sz w:val="20"/>
          <w:szCs w:val="20"/>
        </w:rPr>
        <w:footnoteRef/>
      </w:r>
      <w:r w:rsidRPr="008465D6">
        <w:rPr>
          <w:rFonts w:ascii="Times New Roman" w:hAnsi="Times New Roman" w:cs="Times New Roman"/>
          <w:sz w:val="20"/>
          <w:szCs w:val="20"/>
        </w:rPr>
        <w:t xml:space="preserve"> </w:t>
      </w:r>
      <w:r w:rsidRPr="008465D6">
        <w:rPr>
          <w:rFonts w:ascii="Times New Roman" w:hAnsi="Times New Roman" w:cs="Times New Roman"/>
          <w:sz w:val="20"/>
          <w:szCs w:val="20"/>
          <w:lang w:val="en-US"/>
        </w:rPr>
        <w:t xml:space="preserve">Preamble of the Nagoya protocol, </w:t>
      </w:r>
      <w:r w:rsidRPr="00CE76D4">
        <w:rPr>
          <w:rFonts w:ascii="Times New Roman" w:eastAsia="Times New Roman" w:hAnsi="Times New Roman" w:cs="Times New Roman"/>
          <w:i/>
          <w:iCs/>
          <w:color w:val="242021"/>
          <w:sz w:val="20"/>
          <w:szCs w:val="20"/>
          <w:lang w:eastAsia="en-ZA"/>
        </w:rPr>
        <w:t xml:space="preserve">Mindful </w:t>
      </w:r>
      <w:r w:rsidRPr="00CE76D4">
        <w:rPr>
          <w:rFonts w:ascii="Times New Roman" w:eastAsia="Times New Roman" w:hAnsi="Times New Roman" w:cs="Times New Roman"/>
          <w:color w:val="242021"/>
          <w:sz w:val="20"/>
          <w:szCs w:val="20"/>
          <w:lang w:eastAsia="en-ZA"/>
        </w:rPr>
        <w:t>that it is the right of indigenous and local communities to identify the</w:t>
      </w:r>
      <w:r w:rsidRPr="008465D6">
        <w:rPr>
          <w:rFonts w:ascii="Times New Roman" w:eastAsia="Times New Roman" w:hAnsi="Times New Roman" w:cs="Times New Roman"/>
          <w:color w:val="242021"/>
          <w:sz w:val="20"/>
          <w:szCs w:val="20"/>
          <w:lang w:eastAsia="en-ZA"/>
        </w:rPr>
        <w:t xml:space="preserve"> </w:t>
      </w:r>
      <w:r w:rsidRPr="00CE76D4">
        <w:rPr>
          <w:rFonts w:ascii="Times New Roman" w:eastAsia="Times New Roman" w:hAnsi="Times New Roman" w:cs="Times New Roman"/>
          <w:color w:val="242021"/>
          <w:sz w:val="20"/>
          <w:szCs w:val="20"/>
          <w:lang w:eastAsia="en-ZA"/>
        </w:rPr>
        <w:t>rightful holders of their traditional knowledge associated with genetic resources,</w:t>
      </w:r>
      <w:r w:rsidRPr="008465D6">
        <w:rPr>
          <w:rFonts w:ascii="Times New Roman" w:eastAsia="Times New Roman" w:hAnsi="Times New Roman" w:cs="Times New Roman"/>
          <w:color w:val="242021"/>
          <w:sz w:val="20"/>
          <w:szCs w:val="20"/>
          <w:lang w:eastAsia="en-ZA"/>
        </w:rPr>
        <w:t xml:space="preserve"> within their communities</w:t>
      </w:r>
    </w:p>
  </w:footnote>
  <w:footnote w:id="34">
    <w:p w14:paraId="7F3A30E8"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11 of the ABS Decree</w:t>
      </w:r>
    </w:p>
  </w:footnote>
  <w:footnote w:id="35">
    <w:p w14:paraId="1BDD8375"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See art. 12 (3) (a) of the Nagoya Protocol; art. 20 of the Cameroon ABS Law; see article 10 of the ABS Decree.</w:t>
      </w:r>
    </w:p>
  </w:footnote>
  <w:footnote w:id="36">
    <w:p w14:paraId="65743CA8" w14:textId="77777777" w:rsidR="000F1434" w:rsidRPr="008465D6" w:rsidRDefault="000F1434" w:rsidP="000F1434">
      <w:pPr>
        <w:pStyle w:val="FootnoteText"/>
        <w:jc w:val="both"/>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Art 7 of the ABS Law </w:t>
      </w:r>
    </w:p>
  </w:footnote>
  <w:footnote w:id="37">
    <w:p w14:paraId="5525A95F" w14:textId="77777777" w:rsidR="000F1434" w:rsidRPr="008465D6" w:rsidRDefault="000F1434" w:rsidP="000F1434">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GB"/>
        </w:rPr>
        <w:t xml:space="preserve">CBP for the IPLCs of </w:t>
      </w:r>
      <w:proofErr w:type="spellStart"/>
      <w:r w:rsidRPr="008465D6">
        <w:rPr>
          <w:rFonts w:ascii="Times New Roman" w:hAnsi="Times New Roman" w:cs="Times New Roman"/>
          <w:lang w:val="en-GB"/>
        </w:rPr>
        <w:t>Mintoum</w:t>
      </w:r>
      <w:proofErr w:type="spellEnd"/>
      <w:r w:rsidRPr="008465D6">
        <w:rPr>
          <w:rFonts w:ascii="Times New Roman" w:hAnsi="Times New Roman" w:cs="Times New Roman"/>
          <w:lang w:val="en-GB"/>
        </w:rPr>
        <w:t xml:space="preserve"> village in 2022</w:t>
      </w:r>
    </w:p>
  </w:footnote>
  <w:footnote w:id="38">
    <w:p w14:paraId="3E93D20F" w14:textId="77777777" w:rsidR="00887186" w:rsidRPr="00211B88" w:rsidRDefault="00887186" w:rsidP="00887186">
      <w:pPr>
        <w:pStyle w:val="FootnoteText"/>
        <w:jc w:val="both"/>
        <w:rPr>
          <w:rFonts w:ascii="Times New Roman" w:hAnsi="Times New Roman" w:cs="Times New Roman"/>
          <w:lang w:val="en-GB"/>
        </w:rPr>
      </w:pPr>
      <w:r w:rsidRPr="00211B88">
        <w:rPr>
          <w:rStyle w:val="FootnoteReference"/>
          <w:rFonts w:ascii="Times New Roman" w:hAnsi="Times New Roman" w:cs="Times New Roman"/>
        </w:rPr>
        <w:footnoteRef/>
      </w:r>
      <w:r w:rsidRPr="00211B88">
        <w:rPr>
          <w:rFonts w:ascii="Times New Roman" w:hAnsi="Times New Roman" w:cs="Times New Roman"/>
          <w:lang w:val="en-GB"/>
        </w:rPr>
        <w:t xml:space="preserve"> Nozick, R. (1973). Distributive Justice. Philosophy and Public affairs. Autumn. Wiley. Pp.45-126.</w:t>
      </w:r>
    </w:p>
  </w:footnote>
  <w:footnote w:id="39">
    <w:p w14:paraId="044168BC" w14:textId="77777777" w:rsidR="00887186" w:rsidRPr="00E81CB9" w:rsidRDefault="00887186" w:rsidP="00887186">
      <w:pPr>
        <w:pStyle w:val="FootnoteText"/>
        <w:rPr>
          <w:rFonts w:ascii="Times New Roman" w:hAnsi="Times New Roman" w:cs="Times New Roman"/>
        </w:rPr>
      </w:pPr>
      <w:r>
        <w:rPr>
          <w:rStyle w:val="FootnoteReference"/>
        </w:rPr>
        <w:footnoteRef/>
      </w:r>
      <w:r>
        <w:t xml:space="preserve"> </w:t>
      </w:r>
      <w:bookmarkStart w:id="11" w:name="_Hlk230252203"/>
      <w:r w:rsidRPr="00E81CB9">
        <w:rPr>
          <w:rFonts w:ascii="Times New Roman" w:hAnsi="Times New Roman" w:cs="Times New Roman"/>
        </w:rPr>
        <w:t xml:space="preserve">Cullet, P. (2009). Environmental Justice in the Use, Knowledge and Exploitation of Genetic Resources. In Jones </w:t>
      </w:r>
      <w:proofErr w:type="spellStart"/>
      <w:r w:rsidRPr="00E81CB9">
        <w:rPr>
          <w:rFonts w:ascii="Times New Roman" w:hAnsi="Times New Roman" w:cs="Times New Roman"/>
        </w:rPr>
        <w:t>Ebbesson</w:t>
      </w:r>
      <w:proofErr w:type="spellEnd"/>
      <w:r w:rsidRPr="00E81CB9">
        <w:rPr>
          <w:rFonts w:ascii="Times New Roman" w:hAnsi="Times New Roman" w:cs="Times New Roman"/>
        </w:rPr>
        <w:t xml:space="preserve"> and Phoebe </w:t>
      </w:r>
      <w:proofErr w:type="spellStart"/>
      <w:r w:rsidRPr="00E81CB9">
        <w:rPr>
          <w:rFonts w:ascii="Times New Roman" w:hAnsi="Times New Roman" w:cs="Times New Roman"/>
        </w:rPr>
        <w:t>Okowa</w:t>
      </w:r>
      <w:proofErr w:type="spellEnd"/>
      <w:r w:rsidRPr="00E81CB9">
        <w:rPr>
          <w:rFonts w:ascii="Times New Roman" w:hAnsi="Times New Roman" w:cs="Times New Roman"/>
        </w:rPr>
        <w:t xml:space="preserve"> eds, </w:t>
      </w:r>
      <w:r w:rsidRPr="00E81CB9">
        <w:rPr>
          <w:rFonts w:ascii="Times New Roman" w:hAnsi="Times New Roman" w:cs="Times New Roman"/>
          <w:i/>
          <w:iCs/>
        </w:rPr>
        <w:t>Environmental Law and Justice in Context</w:t>
      </w:r>
      <w:r w:rsidRPr="00E81CB9">
        <w:rPr>
          <w:rFonts w:ascii="Times New Roman" w:hAnsi="Times New Roman" w:cs="Times New Roman"/>
        </w:rPr>
        <w:t xml:space="preserve">. Cambridge University Press. </w:t>
      </w:r>
      <w:r>
        <w:rPr>
          <w:rFonts w:ascii="Times New Roman" w:hAnsi="Times New Roman" w:cs="Times New Roman"/>
        </w:rPr>
        <w:t>p</w:t>
      </w:r>
      <w:r w:rsidRPr="00E81CB9">
        <w:rPr>
          <w:rFonts w:ascii="Times New Roman" w:hAnsi="Times New Roman" w:cs="Times New Roman"/>
        </w:rPr>
        <w:t>. 378</w:t>
      </w:r>
      <w:bookmarkEnd w:id="11"/>
    </w:p>
  </w:footnote>
  <w:footnote w:id="40">
    <w:p w14:paraId="638F4463" w14:textId="77777777" w:rsidR="00887186" w:rsidRPr="008465D6" w:rsidRDefault="00887186" w:rsidP="00887186">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7 of the Cameroon ABS Law</w:t>
      </w:r>
    </w:p>
  </w:footnote>
  <w:footnote w:id="41">
    <w:p w14:paraId="4F9E45FE" w14:textId="77777777" w:rsidR="00753443" w:rsidRPr="008465D6" w:rsidRDefault="00753443" w:rsidP="00753443">
      <w:pPr>
        <w:pStyle w:val="FootnoteText"/>
        <w:jc w:val="both"/>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During the second Intergovernmental Committee for the Nagoya Protocol (ICNP-2) in 2012, recommendation was made to discuss about GMBSM during the COP-11. During this COP consultations were made and experts were convened to hold meetings on this issue. This discussion was held online in 2013. It was then recognised that the mechanism should not undermine State Sovereignty, the mechanism is not intended to replace bilateral protocol but to supplement it.  </w:t>
      </w:r>
    </w:p>
  </w:footnote>
  <w:footnote w:id="42">
    <w:p w14:paraId="649EA774" w14:textId="77777777" w:rsidR="00BB6626" w:rsidRPr="008465D6" w:rsidRDefault="00BB6626" w:rsidP="00BB6626">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See article 15 (4) of the CBD; Art. 5 (2) and (5) of the Nagoya Protocol; art 10 and 11 of Cameroon ABS Law.</w:t>
      </w:r>
    </w:p>
  </w:footnote>
  <w:footnote w:id="43">
    <w:p w14:paraId="29FAD7FF" w14:textId="77777777" w:rsidR="00BB6626" w:rsidRPr="008465D6" w:rsidRDefault="00BB6626" w:rsidP="00BB6626">
      <w:pPr>
        <w:pStyle w:val="FootnoteText"/>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Art 10 o the Nagoya Protocol</w:t>
      </w:r>
    </w:p>
  </w:footnote>
  <w:footnote w:id="44">
    <w:p w14:paraId="0D471BC6" w14:textId="77777777" w:rsidR="00BB6626" w:rsidRPr="008465D6" w:rsidRDefault="00BB6626" w:rsidP="00BB6626">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This treaty is an </w:t>
      </w:r>
      <w:r w:rsidRPr="008465D6">
        <w:rPr>
          <w:rFonts w:ascii="Times New Roman" w:hAnsi="Times New Roman" w:cs="Times New Roman"/>
          <w:lang w:val="en-US"/>
        </w:rPr>
        <w:t xml:space="preserve">agreement under the United Nations Convention on the Law of the Sea on the Conservation and Sustainable Use of Marine Biological Diversity of areas beyond national jurisdiction. It states in </w:t>
      </w:r>
      <w:r w:rsidRPr="008465D6">
        <w:rPr>
          <w:rFonts w:ascii="Times New Roman" w:hAnsi="Times New Roman" w:cs="Times New Roman"/>
          <w:color w:val="000000" w:themeColor="text1"/>
        </w:rPr>
        <w:t xml:space="preserve">Art 9 (a) </w:t>
      </w:r>
      <w:r w:rsidRPr="008465D6">
        <w:rPr>
          <w:rFonts w:ascii="Times New Roman" w:hAnsi="Times New Roman" w:cs="Times New Roman"/>
          <w:lang w:val="en-US"/>
        </w:rPr>
        <w:t xml:space="preserve">that </w:t>
      </w:r>
      <w:r w:rsidRPr="008465D6">
        <w:rPr>
          <w:rFonts w:ascii="Times New Roman" w:hAnsi="Times New Roman" w:cs="Times New Roman"/>
        </w:rPr>
        <w:t>benefits arising from activities with respect to MGR resources and DSI on MGR of areas beyond national jurisdiction should be shared fairly and equitably for the conservation and sustainable use of marine biological diversity of areas beyond national jurisdiction</w:t>
      </w:r>
    </w:p>
  </w:footnote>
  <w:footnote w:id="45">
    <w:p w14:paraId="45741AFF" w14:textId="63B9C811" w:rsidR="00A53071" w:rsidRPr="00A53071" w:rsidRDefault="00A53071">
      <w:pPr>
        <w:pStyle w:val="FootnoteText"/>
      </w:pPr>
      <w:r>
        <w:rPr>
          <w:rStyle w:val="FootnoteReference"/>
        </w:rPr>
        <w:footnoteRef/>
      </w:r>
      <w:r>
        <w:t xml:space="preserve"> B</w:t>
      </w:r>
      <w:r w:rsidRPr="00A53071">
        <w:rPr>
          <w:rFonts w:ascii="TimesNewRomanPSMT" w:hAnsi="TimesNewRomanPSMT"/>
          <w:color w:val="000000"/>
          <w:sz w:val="24"/>
          <w:szCs w:val="24"/>
        </w:rPr>
        <w:t>agley M. (2022), « Just » Sharing: The Virtues of Digital Sequence Information Benefit</w:t>
      </w:r>
      <w:r>
        <w:rPr>
          <w:rFonts w:ascii="TimesNewRomanPSMT" w:hAnsi="TimesNewRomanPSMT"/>
          <w:color w:val="000000"/>
          <w:sz w:val="24"/>
          <w:szCs w:val="24"/>
        </w:rPr>
        <w:t xml:space="preserve"> </w:t>
      </w:r>
      <w:r w:rsidRPr="00A53071">
        <w:rPr>
          <w:rFonts w:ascii="TimesNewRomanPSMT" w:hAnsi="TimesNewRomanPSMT"/>
          <w:color w:val="000000"/>
          <w:sz w:val="24"/>
          <w:szCs w:val="24"/>
        </w:rPr>
        <w:t xml:space="preserve">Sharing for the Common good. </w:t>
      </w:r>
      <w:r w:rsidRPr="00A53071">
        <w:rPr>
          <w:rFonts w:ascii="TimesNewRomanPS-ItalicMT" w:hAnsi="TimesNewRomanPS-ItalicMT"/>
          <w:i/>
          <w:iCs/>
          <w:color w:val="000000"/>
          <w:sz w:val="24"/>
          <w:szCs w:val="24"/>
        </w:rPr>
        <w:t xml:space="preserve">63 </w:t>
      </w:r>
      <w:proofErr w:type="spellStart"/>
      <w:r w:rsidRPr="00A53071">
        <w:rPr>
          <w:rFonts w:ascii="TimesNewRomanPS-ItalicMT" w:hAnsi="TimesNewRomanPS-ItalicMT"/>
          <w:i/>
          <w:iCs/>
          <w:color w:val="000000"/>
          <w:sz w:val="24"/>
          <w:szCs w:val="24"/>
        </w:rPr>
        <w:t>Havard</w:t>
      </w:r>
      <w:proofErr w:type="spellEnd"/>
      <w:r w:rsidRPr="00A53071">
        <w:rPr>
          <w:rFonts w:ascii="TimesNewRomanPS-ItalicMT" w:hAnsi="TimesNewRomanPS-ItalicMT"/>
          <w:i/>
          <w:iCs/>
          <w:color w:val="000000"/>
          <w:sz w:val="24"/>
          <w:szCs w:val="24"/>
        </w:rPr>
        <w:t xml:space="preserve"> International Law Journal. </w:t>
      </w:r>
      <w:r w:rsidRPr="00A53071">
        <w:rPr>
          <w:rFonts w:ascii="TimesNewRomanPSMT" w:hAnsi="TimesNewRomanPSMT"/>
          <w:color w:val="000000"/>
          <w:sz w:val="24"/>
          <w:szCs w:val="24"/>
        </w:rPr>
        <w:t>P.54</w:t>
      </w:r>
    </w:p>
  </w:footnote>
  <w:footnote w:id="46">
    <w:p w14:paraId="15A1A741" w14:textId="77777777" w:rsidR="00E56A72" w:rsidRPr="008465D6" w:rsidRDefault="00E56A72" w:rsidP="00E56A72">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proofErr w:type="spellStart"/>
      <w:r w:rsidRPr="008465D6">
        <w:rPr>
          <w:rFonts w:ascii="Times New Roman" w:hAnsi="Times New Roman" w:cs="Times New Roman"/>
          <w:lang w:val="en-US"/>
        </w:rPr>
        <w:t>Bystrom</w:t>
      </w:r>
      <w:proofErr w:type="spellEnd"/>
      <w:r w:rsidRPr="008465D6">
        <w:rPr>
          <w:rFonts w:ascii="Times New Roman" w:hAnsi="Times New Roman" w:cs="Times New Roman"/>
          <w:lang w:val="en-US"/>
        </w:rPr>
        <w:t xml:space="preserve">, M., </w:t>
      </w:r>
      <w:proofErr w:type="spellStart"/>
      <w:r w:rsidRPr="008465D6">
        <w:rPr>
          <w:rFonts w:ascii="Times New Roman" w:hAnsi="Times New Roman" w:cs="Times New Roman"/>
          <w:lang w:val="en-US"/>
        </w:rPr>
        <w:t>Einarsson</w:t>
      </w:r>
      <w:proofErr w:type="spellEnd"/>
      <w:r w:rsidRPr="008465D6">
        <w:rPr>
          <w:rFonts w:ascii="Times New Roman" w:hAnsi="Times New Roman" w:cs="Times New Roman"/>
          <w:lang w:val="en-US"/>
        </w:rPr>
        <w:t xml:space="preserve">, P. and </w:t>
      </w:r>
      <w:proofErr w:type="spellStart"/>
      <w:r w:rsidRPr="008465D6">
        <w:rPr>
          <w:rFonts w:ascii="Times New Roman" w:hAnsi="Times New Roman" w:cs="Times New Roman"/>
          <w:lang w:val="en-US"/>
        </w:rPr>
        <w:t>Nycander</w:t>
      </w:r>
      <w:proofErr w:type="spellEnd"/>
      <w:r w:rsidRPr="008465D6">
        <w:rPr>
          <w:rFonts w:ascii="Times New Roman" w:hAnsi="Times New Roman" w:cs="Times New Roman"/>
          <w:lang w:val="en-US"/>
        </w:rPr>
        <w:t xml:space="preserve"> G. (1999). Fair and Equitable: Sharing the Benefits from the Use of Genetic Resources and Traditional Knowledge. </w:t>
      </w:r>
      <w:r w:rsidRPr="008465D6">
        <w:rPr>
          <w:rFonts w:ascii="Times New Roman" w:hAnsi="Times New Roman" w:cs="Times New Roman"/>
          <w:i/>
          <w:lang w:val="en-US"/>
        </w:rPr>
        <w:t xml:space="preserve">Swedish Scientific Council on Biodiversity. </w:t>
      </w:r>
      <w:r w:rsidRPr="008465D6">
        <w:rPr>
          <w:rFonts w:ascii="Times New Roman" w:hAnsi="Times New Roman" w:cs="Times New Roman"/>
          <w:lang w:val="en-US"/>
        </w:rPr>
        <w:t>P. 90</w:t>
      </w:r>
    </w:p>
  </w:footnote>
  <w:footnote w:id="47">
    <w:p w14:paraId="759A26F3" w14:textId="77777777" w:rsidR="00E56A72" w:rsidRPr="008465D6" w:rsidRDefault="00E56A72" w:rsidP="00E56A72">
      <w:pPr>
        <w:pStyle w:val="FootnoteText"/>
        <w:jc w:val="both"/>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val="en-US"/>
        </w:rPr>
        <w:t>ibid</w:t>
      </w:r>
      <w:r w:rsidRPr="008465D6">
        <w:rPr>
          <w:rFonts w:ascii="Times New Roman" w:hAnsi="Times New Roman" w:cs="Times New Roman"/>
          <w:i/>
          <w:lang w:val="en-US"/>
        </w:rPr>
        <w:t xml:space="preserve">. </w:t>
      </w:r>
      <w:r w:rsidRPr="008465D6">
        <w:rPr>
          <w:rFonts w:ascii="Times New Roman" w:hAnsi="Times New Roman" w:cs="Times New Roman"/>
          <w:lang w:val="en-US"/>
        </w:rPr>
        <w:t>P.16</w:t>
      </w:r>
    </w:p>
  </w:footnote>
  <w:footnote w:id="48">
    <w:p w14:paraId="35D53D47" w14:textId="77777777" w:rsidR="00E56A72" w:rsidRPr="0092620A" w:rsidRDefault="00E56A72" w:rsidP="00E56A72">
      <w:pPr>
        <w:pStyle w:val="FootnoteText"/>
        <w:rPr>
          <w:lang w:val="en-US"/>
        </w:rPr>
      </w:pPr>
      <w:r>
        <w:rPr>
          <w:rStyle w:val="FootnoteReference"/>
        </w:rPr>
        <w:footnoteRef/>
      </w:r>
      <w:r>
        <w:t xml:space="preserve"> </w:t>
      </w:r>
      <w:r>
        <w:rPr>
          <w:lang w:val="en-US"/>
        </w:rPr>
        <w:t>Art. 34 of the ABS Decree</w:t>
      </w:r>
    </w:p>
  </w:footnote>
  <w:footnote w:id="49">
    <w:p w14:paraId="509C9027" w14:textId="77777777" w:rsidR="00E56A72" w:rsidRPr="008465D6" w:rsidRDefault="00E56A72" w:rsidP="00E56A72">
      <w:pPr>
        <w:pStyle w:val="FootnoteText"/>
        <w:jc w:val="both"/>
        <w:rPr>
          <w:rFonts w:ascii="Times New Roman" w:hAnsi="Times New Roman" w:cs="Times New Roman"/>
        </w:rPr>
      </w:pPr>
      <w:r w:rsidRPr="008465D6">
        <w:rPr>
          <w:rStyle w:val="FootnoteReference"/>
          <w:rFonts w:ascii="Times New Roman" w:hAnsi="Times New Roman" w:cs="Times New Roman"/>
        </w:rPr>
        <w:footnoteRef/>
      </w:r>
      <w:r w:rsidRPr="008465D6">
        <w:rPr>
          <w:rFonts w:ascii="Times New Roman" w:hAnsi="Times New Roman" w:cs="Times New Roman"/>
        </w:rPr>
        <w:t xml:space="preserve"> Annex of the NP. An example of social recognition is the recognition of the Khoi and San Communities as traditional knowledge holders of rooibos which is a plant of south Africa used globally in teas and cosmetics.</w:t>
      </w:r>
    </w:p>
  </w:footnote>
  <w:footnote w:id="50">
    <w:p w14:paraId="251590ED" w14:textId="77777777" w:rsidR="00753443" w:rsidRPr="008465D6" w:rsidRDefault="00753443" w:rsidP="00753443">
      <w:pPr>
        <w:pStyle w:val="FootnoteText"/>
        <w:jc w:val="both"/>
        <w:rPr>
          <w:rFonts w:ascii="Times New Roman" w:hAnsi="Times New Roman" w:cs="Times New Roman"/>
          <w:lang w:val="en-US"/>
        </w:rPr>
      </w:pPr>
      <w:r w:rsidRPr="008465D6">
        <w:rPr>
          <w:rStyle w:val="FootnoteReference"/>
          <w:rFonts w:ascii="Times New Roman" w:hAnsi="Times New Roman" w:cs="Times New Roman"/>
        </w:rPr>
        <w:footnoteRef/>
      </w:r>
      <w:r w:rsidRPr="008465D6">
        <w:rPr>
          <w:rFonts w:ascii="Times New Roman" w:hAnsi="Times New Roman" w:cs="Times New Roman"/>
        </w:rPr>
        <w:t xml:space="preserve"> </w:t>
      </w:r>
      <w:r w:rsidRPr="008465D6">
        <w:rPr>
          <w:rFonts w:ascii="Times New Roman" w:hAnsi="Times New Roman" w:cs="Times New Roman"/>
          <w:lang w:eastAsia="en-ZA"/>
        </w:rPr>
        <w:t xml:space="preserve">Submission of the first national report on the implementation of the Nagoya Protocol on Access and Benefit-Sharing </w:t>
      </w:r>
      <w:hyperlink r:id="rId2" w:history="1">
        <w:r w:rsidRPr="008465D6">
          <w:rPr>
            <w:rFonts w:ascii="Times New Roman" w:hAnsi="Times New Roman" w:cs="Times New Roman"/>
            <w:color w:val="1155CC"/>
            <w:u w:val="single"/>
            <w:lang w:eastAsia="en-ZA"/>
          </w:rPr>
          <w:t>https://absch.cbd.int/en/?_gl=1*1da3mxi*_ga*MzgyOTc5NzA2LjE3NzYwODU2MDQ.*_ga_7S1TPRE7F5*czE3NzYxMDI0MzMkbzIkZzEkdDE3NzYxMDI1ODMkajEyJGwwJGgw</w:t>
        </w:r>
      </w:hyperlink>
      <w:r w:rsidRPr="008465D6">
        <w:rPr>
          <w:rFonts w:ascii="Times New Roman" w:hAnsi="Times New Roman" w:cs="Times New Roman"/>
          <w:lang w:eastAsia="en-ZA"/>
        </w:rPr>
        <w:t xml:space="preserve"> access on 10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314177"/>
      <w:docPartObj>
        <w:docPartGallery w:val="Page Numbers (Top of Page)"/>
        <w:docPartUnique/>
      </w:docPartObj>
    </w:sdtPr>
    <w:sdtEndPr>
      <w:rPr>
        <w:noProof/>
      </w:rPr>
    </w:sdtEndPr>
    <w:sdtContent>
      <w:p w14:paraId="72AB6BDA" w14:textId="2E353698" w:rsidR="00C05A47" w:rsidRDefault="00C05A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6792A5" w14:textId="77777777" w:rsidR="00C05A47" w:rsidRDefault="00C05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696"/>
    <w:multiLevelType w:val="multilevel"/>
    <w:tmpl w:val="AE10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213B01"/>
    <w:multiLevelType w:val="multilevel"/>
    <w:tmpl w:val="CFC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C6C61"/>
    <w:multiLevelType w:val="multilevel"/>
    <w:tmpl w:val="11AC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5F"/>
    <w:rsid w:val="000242EC"/>
    <w:rsid w:val="0006405B"/>
    <w:rsid w:val="0006594F"/>
    <w:rsid w:val="000F1434"/>
    <w:rsid w:val="00155F9E"/>
    <w:rsid w:val="001633FA"/>
    <w:rsid w:val="001803D9"/>
    <w:rsid w:val="002243A9"/>
    <w:rsid w:val="0029273C"/>
    <w:rsid w:val="003126AB"/>
    <w:rsid w:val="003967FE"/>
    <w:rsid w:val="003B6634"/>
    <w:rsid w:val="003C335F"/>
    <w:rsid w:val="00456AC8"/>
    <w:rsid w:val="004C66BD"/>
    <w:rsid w:val="004E0F14"/>
    <w:rsid w:val="0054546A"/>
    <w:rsid w:val="00564332"/>
    <w:rsid w:val="005951EC"/>
    <w:rsid w:val="005C4CAE"/>
    <w:rsid w:val="006D65C5"/>
    <w:rsid w:val="00753443"/>
    <w:rsid w:val="00782AE8"/>
    <w:rsid w:val="00793859"/>
    <w:rsid w:val="007C643A"/>
    <w:rsid w:val="00842652"/>
    <w:rsid w:val="00887186"/>
    <w:rsid w:val="008879FF"/>
    <w:rsid w:val="00A028C0"/>
    <w:rsid w:val="00A53071"/>
    <w:rsid w:val="00A6073C"/>
    <w:rsid w:val="00AD01FC"/>
    <w:rsid w:val="00B3435C"/>
    <w:rsid w:val="00B47B64"/>
    <w:rsid w:val="00B62E8E"/>
    <w:rsid w:val="00B84EDA"/>
    <w:rsid w:val="00BB6626"/>
    <w:rsid w:val="00C05A47"/>
    <w:rsid w:val="00C1286E"/>
    <w:rsid w:val="00C22007"/>
    <w:rsid w:val="00C9420E"/>
    <w:rsid w:val="00CF2697"/>
    <w:rsid w:val="00D572E1"/>
    <w:rsid w:val="00D82F07"/>
    <w:rsid w:val="00D85436"/>
    <w:rsid w:val="00DD69E5"/>
    <w:rsid w:val="00DE5D0B"/>
    <w:rsid w:val="00E21B59"/>
    <w:rsid w:val="00E453E5"/>
    <w:rsid w:val="00E56A72"/>
    <w:rsid w:val="00EA014E"/>
    <w:rsid w:val="00F00703"/>
    <w:rsid w:val="00F451B4"/>
    <w:rsid w:val="00F45DF6"/>
    <w:rsid w:val="00F954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9D11"/>
  <w15:chartTrackingRefBased/>
  <w15:docId w15:val="{2ED1F950-C9DB-4EC0-ABC7-C2218774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AE"/>
  </w:style>
  <w:style w:type="paragraph" w:styleId="Heading1">
    <w:name w:val="heading 1"/>
    <w:basedOn w:val="Normal"/>
    <w:next w:val="Normal"/>
    <w:link w:val="Heading1Char"/>
    <w:uiPriority w:val="9"/>
    <w:qFormat/>
    <w:rsid w:val="003C3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03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03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35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8879FF"/>
    <w:pPr>
      <w:spacing w:after="0" w:line="240" w:lineRule="auto"/>
    </w:pPr>
    <w:rPr>
      <w:sz w:val="20"/>
      <w:szCs w:val="20"/>
    </w:rPr>
  </w:style>
  <w:style w:type="character" w:customStyle="1" w:styleId="FootnoteTextChar">
    <w:name w:val="Footnote Text Char"/>
    <w:basedOn w:val="DefaultParagraphFont"/>
    <w:link w:val="FootnoteText"/>
    <w:uiPriority w:val="99"/>
    <w:rsid w:val="008879FF"/>
    <w:rPr>
      <w:sz w:val="20"/>
      <w:szCs w:val="20"/>
    </w:rPr>
  </w:style>
  <w:style w:type="character" w:styleId="FootnoteReference">
    <w:name w:val="footnote reference"/>
    <w:basedOn w:val="DefaultParagraphFont"/>
    <w:uiPriority w:val="99"/>
    <w:semiHidden/>
    <w:unhideWhenUsed/>
    <w:rsid w:val="008879FF"/>
    <w:rPr>
      <w:vertAlign w:val="superscript"/>
    </w:rPr>
  </w:style>
  <w:style w:type="character" w:styleId="Hyperlink">
    <w:name w:val="Hyperlink"/>
    <w:basedOn w:val="DefaultParagraphFont"/>
    <w:uiPriority w:val="99"/>
    <w:unhideWhenUsed/>
    <w:rsid w:val="00F45DF6"/>
    <w:rPr>
      <w:color w:val="0563C1" w:themeColor="hyperlink"/>
      <w:u w:val="single"/>
    </w:rPr>
  </w:style>
  <w:style w:type="paragraph" w:customStyle="1" w:styleId="isselectedend">
    <w:name w:val="isselectedend"/>
    <w:basedOn w:val="Normal"/>
    <w:rsid w:val="00E21B5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E21B5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fontstyle01">
    <w:name w:val="fontstyle01"/>
    <w:basedOn w:val="DefaultParagraphFont"/>
    <w:rsid w:val="000242EC"/>
    <w:rPr>
      <w:rFonts w:ascii="*Arial-Bold-12313-Identity-H" w:hAnsi="*Arial-Bold-12313-Identity-H" w:hint="default"/>
      <w:b/>
      <w:bCs/>
      <w:i w:val="0"/>
      <w:iCs w:val="0"/>
      <w:color w:val="000000"/>
      <w:sz w:val="28"/>
      <w:szCs w:val="28"/>
    </w:rPr>
  </w:style>
  <w:style w:type="character" w:customStyle="1" w:styleId="fontstyle21">
    <w:name w:val="fontstyle21"/>
    <w:basedOn w:val="DefaultParagraphFont"/>
    <w:rsid w:val="000242EC"/>
    <w:rPr>
      <w:rFonts w:ascii="*Arial-12311-Identity-H" w:hAnsi="*Arial-12311-Identity-H" w:hint="default"/>
      <w:b w:val="0"/>
      <w:bCs w:val="0"/>
      <w:i w:val="0"/>
      <w:iCs w:val="0"/>
      <w:color w:val="000000"/>
      <w:sz w:val="26"/>
      <w:szCs w:val="26"/>
    </w:rPr>
  </w:style>
  <w:style w:type="paragraph" w:styleId="Header">
    <w:name w:val="header"/>
    <w:basedOn w:val="Normal"/>
    <w:link w:val="HeaderChar"/>
    <w:uiPriority w:val="99"/>
    <w:unhideWhenUsed/>
    <w:rsid w:val="00C05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A47"/>
  </w:style>
  <w:style w:type="paragraph" w:styleId="Footer">
    <w:name w:val="footer"/>
    <w:basedOn w:val="Normal"/>
    <w:link w:val="FooterChar"/>
    <w:uiPriority w:val="99"/>
    <w:unhideWhenUsed/>
    <w:rsid w:val="00C05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A47"/>
  </w:style>
  <w:style w:type="character" w:customStyle="1" w:styleId="Heading2Char">
    <w:name w:val="Heading 2 Char"/>
    <w:basedOn w:val="DefaultParagraphFont"/>
    <w:link w:val="Heading2"/>
    <w:uiPriority w:val="9"/>
    <w:rsid w:val="001803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803D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80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2982">
      <w:bodyDiv w:val="1"/>
      <w:marLeft w:val="0"/>
      <w:marRight w:val="0"/>
      <w:marTop w:val="0"/>
      <w:marBottom w:val="0"/>
      <w:divBdr>
        <w:top w:val="none" w:sz="0" w:space="0" w:color="auto"/>
        <w:left w:val="none" w:sz="0" w:space="0" w:color="auto"/>
        <w:bottom w:val="none" w:sz="0" w:space="0" w:color="auto"/>
        <w:right w:val="none" w:sz="0" w:space="0" w:color="auto"/>
      </w:divBdr>
    </w:div>
    <w:div w:id="158690282">
      <w:bodyDiv w:val="1"/>
      <w:marLeft w:val="0"/>
      <w:marRight w:val="0"/>
      <w:marTop w:val="0"/>
      <w:marBottom w:val="0"/>
      <w:divBdr>
        <w:top w:val="none" w:sz="0" w:space="0" w:color="auto"/>
        <w:left w:val="none" w:sz="0" w:space="0" w:color="auto"/>
        <w:bottom w:val="none" w:sz="0" w:space="0" w:color="auto"/>
        <w:right w:val="none" w:sz="0" w:space="0" w:color="auto"/>
      </w:divBdr>
    </w:div>
    <w:div w:id="337273428">
      <w:bodyDiv w:val="1"/>
      <w:marLeft w:val="0"/>
      <w:marRight w:val="0"/>
      <w:marTop w:val="0"/>
      <w:marBottom w:val="0"/>
      <w:divBdr>
        <w:top w:val="none" w:sz="0" w:space="0" w:color="auto"/>
        <w:left w:val="none" w:sz="0" w:space="0" w:color="auto"/>
        <w:bottom w:val="none" w:sz="0" w:space="0" w:color="auto"/>
        <w:right w:val="none" w:sz="0" w:space="0" w:color="auto"/>
      </w:divBdr>
    </w:div>
    <w:div w:id="384531542">
      <w:bodyDiv w:val="1"/>
      <w:marLeft w:val="0"/>
      <w:marRight w:val="0"/>
      <w:marTop w:val="0"/>
      <w:marBottom w:val="0"/>
      <w:divBdr>
        <w:top w:val="none" w:sz="0" w:space="0" w:color="auto"/>
        <w:left w:val="none" w:sz="0" w:space="0" w:color="auto"/>
        <w:bottom w:val="none" w:sz="0" w:space="0" w:color="auto"/>
        <w:right w:val="none" w:sz="0" w:space="0" w:color="auto"/>
      </w:divBdr>
    </w:div>
    <w:div w:id="426777221">
      <w:bodyDiv w:val="1"/>
      <w:marLeft w:val="0"/>
      <w:marRight w:val="0"/>
      <w:marTop w:val="0"/>
      <w:marBottom w:val="0"/>
      <w:divBdr>
        <w:top w:val="none" w:sz="0" w:space="0" w:color="auto"/>
        <w:left w:val="none" w:sz="0" w:space="0" w:color="auto"/>
        <w:bottom w:val="none" w:sz="0" w:space="0" w:color="auto"/>
        <w:right w:val="none" w:sz="0" w:space="0" w:color="auto"/>
      </w:divBdr>
    </w:div>
    <w:div w:id="499472449">
      <w:bodyDiv w:val="1"/>
      <w:marLeft w:val="0"/>
      <w:marRight w:val="0"/>
      <w:marTop w:val="0"/>
      <w:marBottom w:val="0"/>
      <w:divBdr>
        <w:top w:val="none" w:sz="0" w:space="0" w:color="auto"/>
        <w:left w:val="none" w:sz="0" w:space="0" w:color="auto"/>
        <w:bottom w:val="none" w:sz="0" w:space="0" w:color="auto"/>
        <w:right w:val="none" w:sz="0" w:space="0" w:color="auto"/>
      </w:divBdr>
    </w:div>
    <w:div w:id="548801660">
      <w:bodyDiv w:val="1"/>
      <w:marLeft w:val="0"/>
      <w:marRight w:val="0"/>
      <w:marTop w:val="0"/>
      <w:marBottom w:val="0"/>
      <w:divBdr>
        <w:top w:val="none" w:sz="0" w:space="0" w:color="auto"/>
        <w:left w:val="none" w:sz="0" w:space="0" w:color="auto"/>
        <w:bottom w:val="none" w:sz="0" w:space="0" w:color="auto"/>
        <w:right w:val="none" w:sz="0" w:space="0" w:color="auto"/>
      </w:divBdr>
    </w:div>
    <w:div w:id="615404003">
      <w:bodyDiv w:val="1"/>
      <w:marLeft w:val="0"/>
      <w:marRight w:val="0"/>
      <w:marTop w:val="0"/>
      <w:marBottom w:val="0"/>
      <w:divBdr>
        <w:top w:val="none" w:sz="0" w:space="0" w:color="auto"/>
        <w:left w:val="none" w:sz="0" w:space="0" w:color="auto"/>
        <w:bottom w:val="none" w:sz="0" w:space="0" w:color="auto"/>
        <w:right w:val="none" w:sz="0" w:space="0" w:color="auto"/>
      </w:divBdr>
    </w:div>
    <w:div w:id="806582922">
      <w:bodyDiv w:val="1"/>
      <w:marLeft w:val="0"/>
      <w:marRight w:val="0"/>
      <w:marTop w:val="0"/>
      <w:marBottom w:val="0"/>
      <w:divBdr>
        <w:top w:val="none" w:sz="0" w:space="0" w:color="auto"/>
        <w:left w:val="none" w:sz="0" w:space="0" w:color="auto"/>
        <w:bottom w:val="none" w:sz="0" w:space="0" w:color="auto"/>
        <w:right w:val="none" w:sz="0" w:space="0" w:color="auto"/>
      </w:divBdr>
    </w:div>
    <w:div w:id="808743302">
      <w:bodyDiv w:val="1"/>
      <w:marLeft w:val="0"/>
      <w:marRight w:val="0"/>
      <w:marTop w:val="0"/>
      <w:marBottom w:val="0"/>
      <w:divBdr>
        <w:top w:val="none" w:sz="0" w:space="0" w:color="auto"/>
        <w:left w:val="none" w:sz="0" w:space="0" w:color="auto"/>
        <w:bottom w:val="none" w:sz="0" w:space="0" w:color="auto"/>
        <w:right w:val="none" w:sz="0" w:space="0" w:color="auto"/>
      </w:divBdr>
    </w:div>
    <w:div w:id="833035637">
      <w:bodyDiv w:val="1"/>
      <w:marLeft w:val="0"/>
      <w:marRight w:val="0"/>
      <w:marTop w:val="0"/>
      <w:marBottom w:val="0"/>
      <w:divBdr>
        <w:top w:val="none" w:sz="0" w:space="0" w:color="auto"/>
        <w:left w:val="none" w:sz="0" w:space="0" w:color="auto"/>
        <w:bottom w:val="none" w:sz="0" w:space="0" w:color="auto"/>
        <w:right w:val="none" w:sz="0" w:space="0" w:color="auto"/>
      </w:divBdr>
    </w:div>
    <w:div w:id="1163279364">
      <w:bodyDiv w:val="1"/>
      <w:marLeft w:val="0"/>
      <w:marRight w:val="0"/>
      <w:marTop w:val="0"/>
      <w:marBottom w:val="0"/>
      <w:divBdr>
        <w:top w:val="none" w:sz="0" w:space="0" w:color="auto"/>
        <w:left w:val="none" w:sz="0" w:space="0" w:color="auto"/>
        <w:bottom w:val="none" w:sz="0" w:space="0" w:color="auto"/>
        <w:right w:val="none" w:sz="0" w:space="0" w:color="auto"/>
      </w:divBdr>
    </w:div>
    <w:div w:id="1228804779">
      <w:bodyDiv w:val="1"/>
      <w:marLeft w:val="0"/>
      <w:marRight w:val="0"/>
      <w:marTop w:val="0"/>
      <w:marBottom w:val="0"/>
      <w:divBdr>
        <w:top w:val="none" w:sz="0" w:space="0" w:color="auto"/>
        <w:left w:val="none" w:sz="0" w:space="0" w:color="auto"/>
        <w:bottom w:val="none" w:sz="0" w:space="0" w:color="auto"/>
        <w:right w:val="none" w:sz="0" w:space="0" w:color="auto"/>
      </w:divBdr>
    </w:div>
    <w:div w:id="1259367920">
      <w:bodyDiv w:val="1"/>
      <w:marLeft w:val="0"/>
      <w:marRight w:val="0"/>
      <w:marTop w:val="0"/>
      <w:marBottom w:val="0"/>
      <w:divBdr>
        <w:top w:val="none" w:sz="0" w:space="0" w:color="auto"/>
        <w:left w:val="none" w:sz="0" w:space="0" w:color="auto"/>
        <w:bottom w:val="none" w:sz="0" w:space="0" w:color="auto"/>
        <w:right w:val="none" w:sz="0" w:space="0" w:color="auto"/>
      </w:divBdr>
    </w:div>
    <w:div w:id="13780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blogs.worldbank.org/en/psd/developing-countries-have-path-creating-their-own-pharmaceutical-industr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reel.12282" TargetMode="External"/><Relationship Id="rId5" Type="http://schemas.openxmlformats.org/officeDocument/2006/relationships/webSettings" Target="webSettings.xml"/><Relationship Id="rId10" Type="http://schemas.openxmlformats.org/officeDocument/2006/relationships/hyperlink" Target="https://unctad.org/news/ten-actions-boost-low-and-middle-income-countries-productive-capacity-medicines" TargetMode="External"/><Relationship Id="rId4" Type="http://schemas.openxmlformats.org/officeDocument/2006/relationships/settings" Target="settings.xml"/><Relationship Id="rId9" Type="http://schemas.openxmlformats.org/officeDocument/2006/relationships/hyperlink" Target="https://absch.cbd.int/en/?_gl=1*1da3mxi*_ga*MzgyOTc5NzA2LjE3NzYwODU2MDQ.*_ga_7S1TPRE7F5*czE3NzYxMDI0MzMkbzIkZzEkdDE3NzYxMDI1ODMkajEyJGwwJG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bsch.cbd.int/en/?_gl=1*1da3mxi*_ga*MzgyOTc5NzA2LjE3NzYwODU2MDQ.*_ga_7S1TPRE7F5*czE3NzYxMDI0MzMkbzIkZzEkdDE3NzYxMDI1ODMkajEyJGwwJGgw" TargetMode="External"/><Relationship Id="rId1" Type="http://schemas.openxmlformats.org/officeDocument/2006/relationships/hyperlink" Target="https://doi.org/10.1111/reel.12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C627-710F-4044-B027-F715C1EB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 Ngassing Darcise Dolores</dc:creator>
  <cp:keywords/>
  <dc:description/>
  <cp:lastModifiedBy>Mache Ngassing Darcise Dolores</cp:lastModifiedBy>
  <cp:revision>2</cp:revision>
  <dcterms:created xsi:type="dcterms:W3CDTF">2026-06-07T14:26:00Z</dcterms:created>
  <dcterms:modified xsi:type="dcterms:W3CDTF">2026-06-07T14:26:00Z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14b6a7a4-b2cb-4bb8-976d-db2857185497</vt:lpwstr>
  </property>
</Properties>
</file>