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2293" w14:textId="77777777" w:rsidR="00D51155" w:rsidRPr="00B2510F" w:rsidRDefault="00000000" w:rsidP="006E0932">
      <w:pPr>
        <w:pStyle w:val="Title"/>
        <w:rPr>
          <w:rFonts w:ascii="Times New Roman" w:hAnsi="Times New Roman" w:cs="Times New Roman"/>
          <w:color w:val="000000" w:themeColor="text1"/>
          <w:sz w:val="32"/>
          <w:szCs w:val="32"/>
        </w:rPr>
      </w:pPr>
      <w:bookmarkStart w:id="0" w:name="_Toc230543064"/>
      <w:bookmarkStart w:id="1" w:name="X9b32ad198817fe783d3e98ffec1932aa7696aba"/>
      <w:r w:rsidRPr="00B2510F">
        <w:rPr>
          <w:rFonts w:ascii="Times New Roman" w:hAnsi="Times New Roman" w:cs="Times New Roman"/>
          <w:color w:val="000000" w:themeColor="text1"/>
          <w:sz w:val="32"/>
          <w:szCs w:val="32"/>
        </w:rPr>
        <w:t>Retained Surgical Items as Emergent Systems Failure: An Integrated Multi-Theory Prevention Framework for Perioperative Settings</w:t>
      </w:r>
      <w:bookmarkEnd w:id="0"/>
    </w:p>
    <w:p w14:paraId="35F15E29" w14:textId="29A417CE" w:rsidR="00D51155"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
      </w:r>
      <w:r w:rsidR="006E0932" w:rsidRPr="00B2510F">
        <w:rPr>
          <w:rFonts w:ascii="Times New Roman" w:hAnsi="Times New Roman" w:cs="Times New Roman"/>
          <w:b/>
          <w:bCs/>
          <w:color w:val="000000" w:themeColor="text1"/>
        </w:rPr>
        <w:t/>
      </w:r>
      <w:r w:rsidRPr="00B2510F">
        <w:rPr>
          <w:rFonts w:ascii="Times New Roman" w:hAnsi="Times New Roman" w:cs="Times New Roman"/>
          <w:color w:val="000000" w:themeColor="text1"/>
        </w:rPr>
        <w:t xml:space="preserve"/>
      </w:r>
      <w:r w:rsidR="00B53BF2">
        <w:rPr>
          <w:rFonts w:ascii="Times New Roman" w:hAnsi="Times New Roman" w:cs="Times New Roman"/>
          <w:color w:val="000000" w:themeColor="text1"/>
        </w:rPr>
        <w:t xml:space="preserve"/>
      </w:r>
      <w:hyperlink r:id="rId7" w:history="1">
        <w:r w:rsidR="00B53BF2" w:rsidRPr="00BF119B">
          <w:rPr>
            <w:rStyle w:val="Hyperlink"/>
            <w:rFonts w:ascii="Times New Roman" w:hAnsi="Times New Roman" w:cs="Times New Roman"/>
          </w:rPr>
          <w:t/>
        </w:r>
      </w:hyperlink>
    </w:p>
    <w:p w14:paraId="0CEBAA02" w14:textId="3CC6E24F" w:rsidR="00B53BF2" w:rsidRDefault="00B53BF2" w:rsidP="00B53BF2">
      <w:pPr>
        <w:pStyle w:val="BodyText"/>
        <w:rPr>
          <w:rFonts w:ascii="Times New Roman" w:hAnsi="Times New Roman" w:cs="Times New Roman"/>
        </w:rPr>
      </w:pPr>
      <w:r w:rsidRPr="00B53BF2">
        <w:rPr>
          <w:rFonts w:ascii="Times New Roman" w:hAnsi="Times New Roman" w:cs="Times New Roman"/>
        </w:rPr>
        <w:t xml:space="preserve"/>
      </w:r>
      <w:r w:rsidRPr="00B53BF2">
        <w:rPr>
          <w:rFonts w:ascii="Times New Roman" w:hAnsi="Times New Roman" w:cs="Times New Roman"/>
        </w:rPr>
        <w:t/>
      </w:r>
      <w:r>
        <w:rPr>
          <w:rFonts w:ascii="Times New Roman" w:hAnsi="Times New Roman" w:cs="Times New Roman"/>
        </w:rPr>
        <w:t xml:space="preserve"/>
      </w:r>
    </w:p>
    <w:p w14:paraId="082B9C2C" w14:textId="4366A936" w:rsidR="00B53BF2" w:rsidRDefault="00B53BF2" w:rsidP="00B53BF2">
      <w:pPr>
        <w:pStyle w:val="BodyText"/>
        <w:rPr>
          <w:rFonts w:ascii="Times New Roman" w:hAnsi="Times New Roman" w:cs="Times New Roman"/>
        </w:rPr>
      </w:pPr>
      <w:hyperlink r:id="rId8" w:history="1">
        <w:r w:rsidRPr="00BF119B">
          <w:rPr>
            <w:rStyle w:val="Hyperlink"/>
            <w:rFonts w:ascii="Times New Roman" w:hAnsi="Times New Roman" w:cs="Times New Roman"/>
          </w:rPr>
          <w:t/>
        </w:r>
      </w:hyperlink>
    </w:p>
    <w:p w14:paraId="6E67979A" w14:textId="77777777" w:rsidR="00D51155" w:rsidRPr="00C5081A"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2" w:name="_Toc230543065"/>
      <w:bookmarkStart w:id="3" w:name="abstract"/>
      <w:r w:rsidRPr="00C5081A">
        <w:rPr>
          <w:rFonts w:ascii="Times New Roman" w:hAnsi="Times New Roman" w:cs="Times New Roman"/>
          <w:b/>
          <w:bCs/>
          <w:color w:val="000000" w:themeColor="text1"/>
          <w:sz w:val="24"/>
          <w:szCs w:val="24"/>
        </w:rPr>
        <w:t>Abstract</w:t>
      </w:r>
      <w:bookmarkEnd w:id="2"/>
    </w:p>
    <w:p w14:paraId="172FD24E" w14:textId="52BD517E"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Background.</w:t>
      </w:r>
      <w:r w:rsidRPr="00B2510F">
        <w:rPr>
          <w:rFonts w:ascii="Times New Roman" w:hAnsi="Times New Roman" w:cs="Times New Roman"/>
          <w:color w:val="000000" w:themeColor="text1"/>
        </w:rPr>
        <w:t xml:space="preserve"> Retained surgical items (RSIs) are classified as Never Events, yet they persist despite the WHO Surgical Safety Checklist, AORN counting standards, and commercial radio-frequency identification (RFID) systems. The Joint Commission logged 119 RSI sentinel events in 2024, with 43% causing severe harm</w:t>
      </w:r>
      <w:r w:rsidR="006E0932"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a pattern more consistent with system pathology than individual lapse.</w:t>
      </w:r>
    </w:p>
    <w:p w14:paraId="20A3A86B" w14:textId="77777777"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Objective.</w:t>
      </w:r>
      <w:r w:rsidRPr="00B2510F">
        <w:rPr>
          <w:rFonts w:ascii="Times New Roman" w:hAnsi="Times New Roman" w:cs="Times New Roman"/>
          <w:color w:val="000000" w:themeColor="text1"/>
        </w:rPr>
        <w:t xml:space="preserve"> To develop the Integrated RSI Prevention Architecture (IRPA): a conceptual framework explaining RSI occurrence as the emergent product of simultaneous failure across cultural, human-factor, technological, and governance domains.</w:t>
      </w:r>
    </w:p>
    <w:p w14:paraId="4180DF8C" w14:textId="4745F9E0"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Methods.</w:t>
      </w:r>
      <w:r w:rsidRPr="00B2510F">
        <w:rPr>
          <w:rFonts w:ascii="Times New Roman" w:hAnsi="Times New Roman" w:cs="Times New Roman"/>
          <w:color w:val="000000" w:themeColor="text1"/>
        </w:rPr>
        <w:t xml:space="preserve"> A structured conceptual synthesis followed Jaakkola's four-stage approach. Six databases were searched for the period 2000–2026, with seminal pre-2000 work retained; 41 sources </w:t>
      </w:r>
      <w:r w:rsidR="006E0932" w:rsidRPr="00B2510F">
        <w:rPr>
          <w:rFonts w:ascii="Times New Roman" w:hAnsi="Times New Roman" w:cs="Times New Roman"/>
          <w:color w:val="000000" w:themeColor="text1"/>
        </w:rPr>
        <w:t>were included in</w:t>
      </w:r>
      <w:r w:rsidRPr="00B2510F">
        <w:rPr>
          <w:rFonts w:ascii="Times New Roman" w:hAnsi="Times New Roman" w:cs="Times New Roman"/>
          <w:color w:val="000000" w:themeColor="text1"/>
        </w:rPr>
        <w:t xml:space="preserve"> the final synthesis. Multi-theory complementarity drew on the Swiss Cheese Model, psychological safety, High Reliability Organisation (HRO) principles, Crew Resource Management (CRM), Normalisation Process Theory (NPT), and sociotechnical systems theory.</w:t>
      </w:r>
    </w:p>
    <w:p w14:paraId="080CCD10" w14:textId="399C6934"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Findings.</w:t>
      </w:r>
      <w:r w:rsidRPr="00B2510F">
        <w:rPr>
          <w:rFonts w:ascii="Times New Roman" w:hAnsi="Times New Roman" w:cs="Times New Roman"/>
          <w:color w:val="000000" w:themeColor="text1"/>
        </w:rPr>
        <w:t xml:space="preserve"> Five interlocking failure domains were identified: multi-barrier degradation, hierarchical suppression of speaking-up, checklist ritualisation, uneven RFID deployment, and accreditation regimes that audit documents rather than behaviour. Ten falsifiable propositions and fifteen empirical gaps were derived. The architecture is </w:t>
      </w:r>
      <w:r w:rsidR="006E0932" w:rsidRPr="00B2510F">
        <w:rPr>
          <w:rFonts w:ascii="Times New Roman" w:hAnsi="Times New Roman" w:cs="Times New Roman"/>
          <w:color w:val="000000" w:themeColor="text1"/>
        </w:rPr>
        <w:t xml:space="preserve">explicitly extended to low- and middle-income country (LMIC) perioperative contexts, where evidence is the </w:t>
      </w:r>
      <w:r w:rsidRPr="00B2510F">
        <w:rPr>
          <w:rFonts w:ascii="Times New Roman" w:hAnsi="Times New Roman" w:cs="Times New Roman"/>
          <w:color w:val="000000" w:themeColor="text1"/>
        </w:rPr>
        <w:t>sparsest.</w:t>
      </w:r>
    </w:p>
    <w:p w14:paraId="6E239210" w14:textId="2BADBE26"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Conclusions.</w:t>
      </w:r>
      <w:r w:rsidRPr="00B2510F">
        <w:rPr>
          <w:rFonts w:ascii="Times New Roman" w:hAnsi="Times New Roman" w:cs="Times New Roman"/>
          <w:color w:val="000000" w:themeColor="text1"/>
        </w:rPr>
        <w:t xml:space="preserve"> RSI prevention requires concurrent investment in psychological safety, just culture, HRO leadership, and integrated technology bound together by accreditation that verifies </w:t>
      </w:r>
      <w:r w:rsidRPr="00B2510F">
        <w:rPr>
          <w:rFonts w:ascii="Times New Roman" w:hAnsi="Times New Roman" w:cs="Times New Roman"/>
          <w:color w:val="000000" w:themeColor="text1"/>
        </w:rPr>
        <w:lastRenderedPageBreak/>
        <w:t>behaviour, not paperwork. IRPA offers actionable governance recommendations for hospital boards and NABH/JCI assessors.</w:t>
      </w:r>
    </w:p>
    <w:p w14:paraId="65A752F1" w14:textId="77777777"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Keywords:</w:t>
      </w:r>
      <w:r w:rsidRPr="00B2510F">
        <w:rPr>
          <w:rFonts w:ascii="Times New Roman" w:hAnsi="Times New Roman" w:cs="Times New Roman"/>
          <w:color w:val="000000" w:themeColor="text1"/>
        </w:rPr>
        <w:t xml:space="preserve"> retained surgical item; never event; psychological safety; Swiss Cheese Model; human factors; surgical safety culture; high reliability organisation; RFID; LMIC</w:t>
      </w:r>
    </w:p>
    <w:p w14:paraId="4844D64F" w14:textId="77777777" w:rsidR="00D51155" w:rsidRPr="00B2510F"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4" w:name="_Toc230543066"/>
      <w:bookmarkStart w:id="5" w:name="Xe3d0fc0bea9a42ce7605565d0964033d7f6ee47"/>
      <w:bookmarkEnd w:id="3"/>
      <w:r w:rsidRPr="00B2510F">
        <w:rPr>
          <w:rFonts w:ascii="Times New Roman" w:hAnsi="Times New Roman" w:cs="Times New Roman"/>
          <w:b/>
          <w:bCs/>
          <w:color w:val="000000" w:themeColor="text1"/>
          <w:sz w:val="24"/>
          <w:szCs w:val="24"/>
        </w:rPr>
        <w:t>1. Introduction</w:t>
      </w:r>
      <w:bookmarkEnd w:id="4"/>
    </w:p>
    <w:p w14:paraId="13DE66E6" w14:textId="06A8032C"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Sponges, needles, instrument fragments, and guidewires left inside a patient at wound closure are among the few surgical adverse events that nearly </w:t>
      </w:r>
      <w:r w:rsidR="006E0932" w:rsidRPr="00B2510F">
        <w:rPr>
          <w:rFonts w:ascii="Times New Roman" w:hAnsi="Times New Roman" w:cs="Times New Roman"/>
          <w:color w:val="000000" w:themeColor="text1"/>
        </w:rPr>
        <w:t xml:space="preserve">every surgeon, nurse, administrator, and regulator </w:t>
      </w:r>
      <w:r w:rsidRPr="00B2510F">
        <w:rPr>
          <w:rFonts w:ascii="Times New Roman" w:hAnsi="Times New Roman" w:cs="Times New Roman"/>
          <w:color w:val="000000" w:themeColor="text1"/>
        </w:rPr>
        <w:t>would agree should never happen. They are listed as Never Events for precisely that reason. They keep happening anyway. The Joint Commission counted 119 RSI sentinel events in 2024, severe injury in nearly half (</w:t>
      </w:r>
      <w:hyperlink r:id="rId9">
        <w:r w:rsidR="00D51155" w:rsidRPr="00B2510F">
          <w:rPr>
            <w:rStyle w:val="Hyperlink"/>
            <w:rFonts w:ascii="Times New Roman" w:hAnsi="Times New Roman" w:cs="Times New Roman"/>
            <w:color w:val="000000" w:themeColor="text1"/>
          </w:rPr>
          <w:t>The Joint Commission, 2024</w:t>
        </w:r>
      </w:hyperlink>
      <w:r w:rsidRPr="00B2510F">
        <w:rPr>
          <w:rFonts w:ascii="Times New Roman" w:hAnsi="Times New Roman" w:cs="Times New Roman"/>
          <w:color w:val="000000" w:themeColor="text1"/>
        </w:rPr>
        <w:t xml:space="preserve">). The often-quoted population incidence of roughly one event per 10,000 procedures </w:t>
      </w:r>
      <w:r w:rsidR="006E0932" w:rsidRPr="00B2510F">
        <w:rPr>
          <w:rFonts w:ascii="Times New Roman" w:hAnsi="Times New Roman" w:cs="Times New Roman"/>
          <w:color w:val="000000" w:themeColor="text1"/>
        </w:rPr>
        <w:t>is based on voluntary reporting in high-income settings and is widely held to undercount the true</w:t>
      </w:r>
      <w:r w:rsidRPr="00B2510F">
        <w:rPr>
          <w:rFonts w:ascii="Times New Roman" w:hAnsi="Times New Roman" w:cs="Times New Roman"/>
          <w:color w:val="000000" w:themeColor="text1"/>
        </w:rPr>
        <w:t xml:space="preserve"> burden (</w:t>
      </w:r>
      <w:hyperlink r:id="rId10">
        <w:r w:rsidR="00D51155" w:rsidRPr="00B2510F">
          <w:rPr>
            <w:rStyle w:val="Hyperlink"/>
            <w:rFonts w:ascii="Times New Roman" w:hAnsi="Times New Roman" w:cs="Times New Roman"/>
            <w:color w:val="000000" w:themeColor="text1"/>
          </w:rPr>
          <w:t>de Vries et al., 2008</w:t>
        </w:r>
      </w:hyperlink>
      <w:r w:rsidRPr="00B2510F">
        <w:rPr>
          <w:rFonts w:ascii="Times New Roman" w:hAnsi="Times New Roman" w:cs="Times New Roman"/>
          <w:color w:val="000000" w:themeColor="text1"/>
        </w:rPr>
        <w:t>). Most affected patients return to theatre; diagnosis can lag by months or years (</w:t>
      </w:r>
      <w:hyperlink r:id="rId11">
        <w:r w:rsidR="00D51155" w:rsidRPr="00B2510F">
          <w:rPr>
            <w:rStyle w:val="Hyperlink"/>
            <w:rFonts w:ascii="Times New Roman" w:hAnsi="Times New Roman" w:cs="Times New Roman"/>
            <w:color w:val="000000" w:themeColor="text1"/>
          </w:rPr>
          <w:t>Stawicki et al., 2013</w:t>
        </w:r>
      </w:hyperlink>
      <w:r w:rsidRPr="00B2510F">
        <w:rPr>
          <w:rFonts w:ascii="Times New Roman" w:hAnsi="Times New Roman" w:cs="Times New Roman"/>
          <w:color w:val="000000" w:themeColor="text1"/>
        </w:rPr>
        <w:t>).</w:t>
      </w:r>
    </w:p>
    <w:p w14:paraId="561E42FF" w14:textId="616114AE"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Persistence at this scale, despite mandated counts and the WHO Surgical Safety Checklist (SSC), points away from a gap in guidelines. A 2025 review found that most events involved items already covered by an existing count protocol</w:t>
      </w:r>
      <w:r w:rsidR="006E0932" w:rsidRPr="00B2510F">
        <w:rPr>
          <w:rFonts w:ascii="Times New Roman" w:hAnsi="Times New Roman" w:cs="Times New Roman"/>
          <w:color w:val="000000" w:themeColor="text1"/>
        </w:rPr>
        <w:t>; the protocol was present,</w:t>
      </w:r>
      <w:r w:rsidRPr="00B2510F">
        <w:rPr>
          <w:rFonts w:ascii="Times New Roman" w:hAnsi="Times New Roman" w:cs="Times New Roman"/>
          <w:color w:val="000000" w:themeColor="text1"/>
        </w:rPr>
        <w:t xml:space="preserve"> but did not function. Yet institutional reflexes still gravitate toward sanctioning the individual at the sharp end, </w:t>
      </w:r>
      <w:r w:rsidR="006E0932" w:rsidRPr="00B2510F">
        <w:rPr>
          <w:rFonts w:ascii="Times New Roman" w:hAnsi="Times New Roman" w:cs="Times New Roman"/>
          <w:color w:val="000000" w:themeColor="text1"/>
        </w:rPr>
        <w:t>thereby leaving latent conditions intact and discouraging</w:t>
      </w:r>
      <w:r w:rsidRPr="00B2510F">
        <w:rPr>
          <w:rFonts w:ascii="Times New Roman" w:hAnsi="Times New Roman" w:cs="Times New Roman"/>
          <w:color w:val="000000" w:themeColor="text1"/>
        </w:rPr>
        <w:t xml:space="preserve"> disclosure (</w:t>
      </w:r>
      <w:hyperlink r:id="rId12">
        <w:r w:rsidR="00D51155" w:rsidRPr="00B2510F">
          <w:rPr>
            <w:rStyle w:val="Hyperlink"/>
            <w:rFonts w:ascii="Times New Roman" w:hAnsi="Times New Roman" w:cs="Times New Roman"/>
            <w:color w:val="000000" w:themeColor="text1"/>
          </w:rPr>
          <w:t>Reason, 1997</w:t>
        </w:r>
      </w:hyperlink>
      <w:r w:rsidRPr="00B2510F">
        <w:rPr>
          <w:rFonts w:ascii="Times New Roman" w:hAnsi="Times New Roman" w:cs="Times New Roman"/>
          <w:color w:val="000000" w:themeColor="text1"/>
        </w:rPr>
        <w:t xml:space="preserve">; </w:t>
      </w:r>
      <w:hyperlink r:id="rId13">
        <w:r w:rsidR="00D51155" w:rsidRPr="00B2510F">
          <w:rPr>
            <w:rStyle w:val="Hyperlink"/>
            <w:rFonts w:ascii="Times New Roman" w:hAnsi="Times New Roman" w:cs="Times New Roman"/>
            <w:color w:val="000000" w:themeColor="text1"/>
          </w:rPr>
          <w:t>Kohn et al., 2000</w:t>
        </w:r>
      </w:hyperlink>
      <w:r w:rsidRPr="00B2510F">
        <w:rPr>
          <w:rFonts w:ascii="Times New Roman" w:hAnsi="Times New Roman" w:cs="Times New Roman"/>
          <w:color w:val="000000" w:themeColor="text1"/>
        </w:rPr>
        <w:t>). Reason's Swiss Cheese Model gives the underlying logic: a single retained item requires alignment of holes across several supposedly independent layers in the same operative event.</w:t>
      </w:r>
    </w:p>
    <w:p w14:paraId="61FD0860" w14:textId="253E7F38"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Despite that conceptual clarity, the empirical literature on RSI remains domain-siloed. Counting compliance, RFID adoption, and team communication are typically studied in isolation (</w:t>
      </w:r>
      <w:hyperlink r:id="rId14">
        <w:r w:rsidR="00D51155" w:rsidRPr="00B2510F">
          <w:rPr>
            <w:rStyle w:val="Hyperlink"/>
            <w:rFonts w:ascii="Times New Roman" w:hAnsi="Times New Roman" w:cs="Times New Roman"/>
            <w:color w:val="000000" w:themeColor="text1"/>
          </w:rPr>
          <w:t>de Vries et al., 2010</w:t>
        </w:r>
      </w:hyperlink>
      <w:r w:rsidRPr="00B2510F">
        <w:rPr>
          <w:rFonts w:ascii="Times New Roman" w:hAnsi="Times New Roman" w:cs="Times New Roman"/>
          <w:color w:val="000000" w:themeColor="text1"/>
        </w:rPr>
        <w:t>). Psychological safety, authority gradient, checklist drift, and the governance link between accreditation and bedside behaviour rarely appear in the same model. LMIC perioperative settings</w:t>
      </w:r>
      <w:r w:rsidR="00FC2780" w:rsidRPr="00B2510F">
        <w:rPr>
          <w:rFonts w:ascii="Times New Roman" w:hAnsi="Times New Roman" w:cs="Times New Roman"/>
          <w:color w:val="000000" w:themeColor="text1"/>
        </w:rPr>
        <w:t>, which carry the majority of global surgical volume,</w:t>
      </w:r>
      <w:r w:rsidRPr="00B2510F">
        <w:rPr>
          <w:rFonts w:ascii="Times New Roman" w:hAnsi="Times New Roman" w:cs="Times New Roman"/>
          <w:color w:val="000000" w:themeColor="text1"/>
        </w:rPr>
        <w:t xml:space="preserve"> are almost absent from the empirical record.</w:t>
      </w:r>
    </w:p>
    <w:p w14:paraId="43373F9D" w14:textId="097B3A2B"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This paper builds the Integrated RSI Prevention Architecture (IRPA) to bridge those silos. IRPA treats </w:t>
      </w:r>
      <w:r w:rsidR="00FC2780" w:rsidRPr="00B2510F">
        <w:rPr>
          <w:rFonts w:ascii="Times New Roman" w:hAnsi="Times New Roman" w:cs="Times New Roman"/>
          <w:color w:val="000000" w:themeColor="text1"/>
        </w:rPr>
        <w:t>the occurrence of RSI as an emergent property that arises</w:t>
      </w:r>
      <w:r w:rsidRPr="00B2510F">
        <w:rPr>
          <w:rFonts w:ascii="Times New Roman" w:hAnsi="Times New Roman" w:cs="Times New Roman"/>
          <w:color w:val="000000" w:themeColor="text1"/>
        </w:rPr>
        <w:t xml:space="preserve"> when six prevention domains</w:t>
      </w:r>
      <w:r w:rsidR="00FC2780" w:rsidRPr="00B2510F">
        <w:rPr>
          <w:rFonts w:ascii="Times New Roman" w:hAnsi="Times New Roman" w:cs="Times New Roman"/>
          <w:color w:val="000000" w:themeColor="text1"/>
        </w:rPr>
        <w:t xml:space="preserve">, organisational culture, psychological safety, communication, human factors, technology, and </w:t>
      </w:r>
      <w:r w:rsidR="00FC2780" w:rsidRPr="00B2510F">
        <w:rPr>
          <w:rFonts w:ascii="Times New Roman" w:hAnsi="Times New Roman" w:cs="Times New Roman"/>
          <w:color w:val="000000" w:themeColor="text1"/>
        </w:rPr>
        <w:lastRenderedPageBreak/>
        <w:t>governance,</w:t>
      </w:r>
      <w:r w:rsidRPr="00B2510F">
        <w:rPr>
          <w:rFonts w:ascii="Times New Roman" w:hAnsi="Times New Roman" w:cs="Times New Roman"/>
          <w:color w:val="000000" w:themeColor="text1"/>
        </w:rPr>
        <w:t xml:space="preserve"> fail concurrently. The aims are threefold: to synthesise the theoretical and epidemiological foundations of RSI as systems failure; to analyse the cultural and human-factor mechanisms involved; and to translate the synthesis into ten falsifiable propositions, with explicit governance pathways for NABH/JCI-accredited and LMIC settings.</w:t>
      </w:r>
    </w:p>
    <w:p w14:paraId="6E82FA4E" w14:textId="77777777" w:rsidR="00D51155" w:rsidRPr="00C5081A"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6" w:name="_Toc230543067"/>
      <w:bookmarkStart w:id="7" w:name="X13a0e8c10c405dd53d0e570bcbfcb0c8de7ee9e"/>
      <w:bookmarkEnd w:id="5"/>
      <w:r w:rsidRPr="00C5081A">
        <w:rPr>
          <w:rFonts w:ascii="Times New Roman" w:hAnsi="Times New Roman" w:cs="Times New Roman"/>
          <w:b/>
          <w:bCs/>
          <w:color w:val="000000" w:themeColor="text1"/>
          <w:sz w:val="24"/>
          <w:szCs w:val="24"/>
        </w:rPr>
        <w:t>2. Methods</w:t>
      </w:r>
      <w:bookmarkEnd w:id="6"/>
    </w:p>
    <w:p w14:paraId="31C963F8" w14:textId="069DFC93"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The study is a structured conceptual synthesis</w:t>
      </w:r>
      <w:r w:rsidR="00FC2780"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a recognised method for theory construction when the underlying evidence is large, heterogeneous, and not amenable to a single-method systematic review (</w:t>
      </w:r>
      <w:hyperlink r:id="rId15">
        <w:r w:rsidR="00D51155" w:rsidRPr="00B2510F">
          <w:rPr>
            <w:rStyle w:val="Hyperlink"/>
            <w:rFonts w:ascii="Times New Roman" w:hAnsi="Times New Roman" w:cs="Times New Roman"/>
            <w:color w:val="000000" w:themeColor="text1"/>
          </w:rPr>
          <w:t>Jaakkola, 2020</w:t>
        </w:r>
      </w:hyperlink>
      <w:r w:rsidRPr="00B2510F">
        <w:rPr>
          <w:rFonts w:ascii="Times New Roman" w:hAnsi="Times New Roman" w:cs="Times New Roman"/>
          <w:color w:val="000000" w:themeColor="text1"/>
        </w:rPr>
        <w:t>).</w:t>
      </w:r>
    </w:p>
    <w:p w14:paraId="160CEEA6" w14:textId="7AB899E4"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Search.</w:t>
      </w:r>
      <w:r w:rsidRPr="00B2510F">
        <w:rPr>
          <w:rFonts w:ascii="Times New Roman" w:hAnsi="Times New Roman" w:cs="Times New Roman"/>
          <w:color w:val="000000" w:themeColor="text1"/>
        </w:rPr>
        <w:t xml:space="preserve"> Six databases (PubMed, Scopus, MEDLINE, Embase, CINAHL, Web of Science) were searched for January 2000 to March 2026, with seminal pre-2000 work retained (</w:t>
      </w:r>
      <w:hyperlink r:id="rId16">
        <w:r w:rsidR="00D51155" w:rsidRPr="00B2510F">
          <w:rPr>
            <w:rStyle w:val="Hyperlink"/>
            <w:rFonts w:ascii="Times New Roman" w:hAnsi="Times New Roman" w:cs="Times New Roman"/>
            <w:color w:val="000000" w:themeColor="text1"/>
          </w:rPr>
          <w:t>Reason, 1990</w:t>
        </w:r>
      </w:hyperlink>
      <w:r w:rsidRPr="00B2510F">
        <w:rPr>
          <w:rFonts w:ascii="Times New Roman" w:hAnsi="Times New Roman" w:cs="Times New Roman"/>
          <w:color w:val="000000" w:themeColor="text1"/>
        </w:rPr>
        <w:t xml:space="preserve">; </w:t>
      </w:r>
      <w:hyperlink r:id="rId17">
        <w:r w:rsidR="00D51155" w:rsidRPr="00B2510F">
          <w:rPr>
            <w:rStyle w:val="Hyperlink"/>
            <w:rFonts w:ascii="Times New Roman" w:hAnsi="Times New Roman" w:cs="Times New Roman"/>
            <w:color w:val="000000" w:themeColor="text1"/>
          </w:rPr>
          <w:t>Edmondson, 1999</w:t>
        </w:r>
      </w:hyperlink>
      <w:r w:rsidRPr="00B2510F">
        <w:rPr>
          <w:rFonts w:ascii="Times New Roman" w:hAnsi="Times New Roman" w:cs="Times New Roman"/>
          <w:color w:val="000000" w:themeColor="text1"/>
        </w:rPr>
        <w:t xml:space="preserve">; </w:t>
      </w:r>
      <w:hyperlink r:id="rId18">
        <w:r w:rsidR="00D51155" w:rsidRPr="00B2510F">
          <w:rPr>
            <w:rStyle w:val="Hyperlink"/>
            <w:rFonts w:ascii="Times New Roman" w:hAnsi="Times New Roman" w:cs="Times New Roman"/>
            <w:color w:val="000000" w:themeColor="text1"/>
          </w:rPr>
          <w:t>Weick et al., 1999</w:t>
        </w:r>
      </w:hyperlink>
      <w:r w:rsidRPr="00B2510F">
        <w:rPr>
          <w:rFonts w:ascii="Times New Roman" w:hAnsi="Times New Roman" w:cs="Times New Roman"/>
          <w:color w:val="000000" w:themeColor="text1"/>
        </w:rPr>
        <w:t xml:space="preserve">). Boolean strings combined </w:t>
      </w:r>
      <w:r w:rsidR="00FC2780" w:rsidRPr="00B2510F">
        <w:rPr>
          <w:rFonts w:ascii="Times New Roman" w:hAnsi="Times New Roman" w:cs="Times New Roman"/>
          <w:color w:val="000000" w:themeColor="text1"/>
        </w:rPr>
        <w:t>five-term</w:t>
      </w:r>
      <w:r w:rsidRPr="00B2510F">
        <w:rPr>
          <w:rFonts w:ascii="Times New Roman" w:hAnsi="Times New Roman" w:cs="Times New Roman"/>
          <w:color w:val="000000" w:themeColor="text1"/>
        </w:rPr>
        <w:t xml:space="preserve"> clusters covering RSI terminology, safety science, human factors, surgical technology, and governance. About 2,400 records </w:t>
      </w:r>
      <w:r w:rsidR="00FC2780" w:rsidRPr="00B2510F">
        <w:rPr>
          <w:rFonts w:ascii="Times New Roman" w:hAnsi="Times New Roman" w:cs="Times New Roman"/>
          <w:color w:val="000000" w:themeColor="text1"/>
        </w:rPr>
        <w:t xml:space="preserve">were </w:t>
      </w:r>
      <w:r w:rsidRPr="00B2510F">
        <w:rPr>
          <w:rFonts w:ascii="Times New Roman" w:hAnsi="Times New Roman" w:cs="Times New Roman"/>
          <w:color w:val="000000" w:themeColor="text1"/>
        </w:rPr>
        <w:t>narrowed to 187 full-text candidates and, after screening, a final synthesis set of 41 peer-reviewed sources.</w:t>
      </w:r>
    </w:p>
    <w:p w14:paraId="092C09B6" w14:textId="2DEA6282"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Eligibility.</w:t>
      </w:r>
      <w:r w:rsidRPr="00B2510F">
        <w:rPr>
          <w:rFonts w:ascii="Times New Roman" w:hAnsi="Times New Roman" w:cs="Times New Roman"/>
          <w:color w:val="000000" w:themeColor="text1"/>
        </w:rPr>
        <w:t xml:space="preserve"> Empirical studies, systematic reviews, conceptual papers, and authoritative grey literature from WHO, The Joint Commission, AHRQ, NHS England, and AORN were eligible. Case reports without analytical framing, conference abstracts without full publication, non-English sources without validated translation, and commercial market reports were excluded; peer-reviewed equivalents </w:t>
      </w:r>
      <w:r w:rsidR="00FC2780" w:rsidRPr="00B2510F">
        <w:rPr>
          <w:rFonts w:ascii="Times New Roman" w:hAnsi="Times New Roman" w:cs="Times New Roman"/>
          <w:color w:val="000000" w:themeColor="text1"/>
        </w:rPr>
        <w:t>were used in their place</w:t>
      </w:r>
      <w:r w:rsidRPr="00B2510F">
        <w:rPr>
          <w:rFonts w:ascii="Times New Roman" w:hAnsi="Times New Roman" w:cs="Times New Roman"/>
          <w:color w:val="000000" w:themeColor="text1"/>
        </w:rPr>
        <w:t xml:space="preserve"> during revision.</w:t>
      </w:r>
    </w:p>
    <w:p w14:paraId="797D2F74" w14:textId="6D727153" w:rsidR="00D51155" w:rsidRPr="00FA3205"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Analysis.</w:t>
      </w:r>
      <w:r w:rsidRPr="00B2510F">
        <w:rPr>
          <w:rFonts w:ascii="Times New Roman" w:hAnsi="Times New Roman" w:cs="Times New Roman"/>
          <w:color w:val="000000" w:themeColor="text1"/>
        </w:rPr>
        <w:t xml:space="preserve"> Jaakkola's four-stage logic was applied. </w:t>
      </w:r>
      <w:r w:rsidRPr="00FA3205">
        <w:rPr>
          <w:rFonts w:ascii="Times New Roman" w:hAnsi="Times New Roman" w:cs="Times New Roman"/>
          <w:color w:val="000000" w:themeColor="text1"/>
        </w:rPr>
        <w:t xml:space="preserve">Describing the empirical terrain across five domains. Explaining used structured gap analysis to surface causal mechanisms. Integrating each theoretical tradition </w:t>
      </w:r>
      <w:r w:rsidR="00FC2780" w:rsidRPr="00FA3205">
        <w:rPr>
          <w:rFonts w:ascii="Times New Roman" w:hAnsi="Times New Roman" w:cs="Times New Roman"/>
          <w:color w:val="000000" w:themeColor="text1"/>
        </w:rPr>
        <w:t>into</w:t>
      </w:r>
      <w:r w:rsidRPr="00FA3205">
        <w:rPr>
          <w:rFonts w:ascii="Times New Roman" w:hAnsi="Times New Roman" w:cs="Times New Roman"/>
          <w:color w:val="000000" w:themeColor="text1"/>
        </w:rPr>
        <w:t xml:space="preserve"> the construct it best explains. Debating tested each emerging claim against counter-evidence</w:t>
      </w:r>
      <w:r w:rsidR="00FC2780" w:rsidRPr="00FA3205">
        <w:rPr>
          <w:rFonts w:ascii="Times New Roman" w:hAnsi="Times New Roman" w:cs="Times New Roman"/>
          <w:color w:val="000000" w:themeColor="text1"/>
        </w:rPr>
        <w:t>,</w:t>
      </w:r>
      <w:r w:rsidRPr="00FA3205">
        <w:rPr>
          <w:rFonts w:ascii="Times New Roman" w:hAnsi="Times New Roman" w:cs="Times New Roman"/>
          <w:color w:val="000000" w:themeColor="text1"/>
        </w:rPr>
        <w:t xml:space="preserve"> most importantly the Ontario SSC null result (</w:t>
      </w:r>
      <w:hyperlink r:id="rId19">
        <w:r w:rsidR="00D51155" w:rsidRPr="00FA3205">
          <w:rPr>
            <w:rStyle w:val="Hyperlink"/>
            <w:rFonts w:ascii="Times New Roman" w:hAnsi="Times New Roman" w:cs="Times New Roman"/>
            <w:color w:val="000000" w:themeColor="text1"/>
          </w:rPr>
          <w:t>Urbach et al., 2014</w:t>
        </w:r>
      </w:hyperlink>
      <w:r w:rsidRPr="00FA3205">
        <w:rPr>
          <w:rFonts w:ascii="Times New Roman" w:hAnsi="Times New Roman" w:cs="Times New Roman"/>
          <w:color w:val="000000" w:themeColor="text1"/>
        </w:rPr>
        <w:t xml:space="preserve">) and the Michigan Keystone </w:t>
      </w:r>
      <w:r w:rsidR="00FC2780" w:rsidRPr="00FA3205">
        <w:rPr>
          <w:rFonts w:ascii="Times New Roman" w:hAnsi="Times New Roman" w:cs="Times New Roman"/>
          <w:color w:val="000000" w:themeColor="text1"/>
        </w:rPr>
        <w:t xml:space="preserve">policy bundle success (Pronovost et al., 2006), so that </w:t>
      </w:r>
      <w:r w:rsidRPr="00FA3205">
        <w:rPr>
          <w:rFonts w:ascii="Times New Roman" w:hAnsi="Times New Roman" w:cs="Times New Roman"/>
          <w:color w:val="000000" w:themeColor="text1"/>
        </w:rPr>
        <w:t>propositions were disconfirmation-tested before being finalised.</w:t>
      </w:r>
    </w:p>
    <w:p w14:paraId="58395C4D" w14:textId="77777777" w:rsidR="00D51155" w:rsidRPr="00C5081A"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8" w:name="_Toc230543068"/>
      <w:bookmarkStart w:id="9" w:name="X259782c5faee2c72d314cbfc45397783d3812a2"/>
      <w:bookmarkEnd w:id="7"/>
      <w:r w:rsidRPr="00C5081A">
        <w:rPr>
          <w:rFonts w:ascii="Times New Roman" w:hAnsi="Times New Roman" w:cs="Times New Roman"/>
          <w:b/>
          <w:bCs/>
          <w:color w:val="000000" w:themeColor="text1"/>
          <w:sz w:val="24"/>
          <w:szCs w:val="24"/>
        </w:rPr>
        <w:t>3. Gap analysis</w:t>
      </w:r>
      <w:bookmarkEnd w:id="8"/>
    </w:p>
    <w:p w14:paraId="2B96EB9D" w14:textId="41661C45"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Two patterns dominate the existing literature. First, the dominant safety tools</w:t>
      </w:r>
      <w:r w:rsidR="00FC2780" w:rsidRPr="00B2510F">
        <w:rPr>
          <w:rFonts w:ascii="Times New Roman" w:hAnsi="Times New Roman" w:cs="Times New Roman"/>
          <w:color w:val="000000" w:themeColor="text1"/>
        </w:rPr>
        <w:t>, the Swiss Cheese Model in particular,</w:t>
      </w:r>
      <w:r w:rsidRPr="00B2510F">
        <w:rPr>
          <w:rFonts w:ascii="Times New Roman" w:hAnsi="Times New Roman" w:cs="Times New Roman"/>
          <w:color w:val="000000" w:themeColor="text1"/>
        </w:rPr>
        <w:t xml:space="preserve"> are applied retrospectively after an event rather than prospectively to predict </w:t>
      </w:r>
      <w:r w:rsidRPr="00B2510F">
        <w:rPr>
          <w:rFonts w:ascii="Times New Roman" w:hAnsi="Times New Roman" w:cs="Times New Roman"/>
          <w:color w:val="000000" w:themeColor="text1"/>
        </w:rPr>
        <w:lastRenderedPageBreak/>
        <w:t xml:space="preserve">barrier degradation. Second, almost no published </w:t>
      </w:r>
      <w:r w:rsidR="00FC2780" w:rsidRPr="00B2510F">
        <w:rPr>
          <w:rFonts w:ascii="Times New Roman" w:hAnsi="Times New Roman" w:cs="Times New Roman"/>
          <w:color w:val="000000" w:themeColor="text1"/>
        </w:rPr>
        <w:t>instruments link</w:t>
      </w:r>
      <w:r w:rsidRPr="00B2510F">
        <w:rPr>
          <w:rFonts w:ascii="Times New Roman" w:hAnsi="Times New Roman" w:cs="Times New Roman"/>
          <w:color w:val="000000" w:themeColor="text1"/>
        </w:rPr>
        <w:t xml:space="preserve"> accreditation status to the behavioural mechanisms (psychological safety, escalation behaviour, observed SSC execution) through which RSI rates would actually move. LMIC contexts are conspicuous mainly by their absence.</w:t>
      </w:r>
    </w:p>
    <w:p w14:paraId="57D9A041" w14:textId="438A07A8"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Table 1. Structured gap analysis.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50"/>
        <w:gridCol w:w="1970"/>
        <w:gridCol w:w="2360"/>
        <w:gridCol w:w="2178"/>
        <w:gridCol w:w="2192"/>
      </w:tblGrid>
      <w:tr w:rsidR="00D51155" w:rsidRPr="00B2510F" w14:paraId="772803F0" w14:textId="77777777" w:rsidTr="00FC2780">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52E5BC9F" w14:textId="179CFDBD" w:rsidR="00D51155" w:rsidRPr="00B2510F" w:rsidRDefault="00FA3205" w:rsidP="00856882">
            <w:pPr>
              <w:pStyle w:val="Compact"/>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S.no</w:t>
            </w:r>
          </w:p>
        </w:tc>
        <w:tc>
          <w:tcPr>
            <w:tcW w:w="0" w:type="auto"/>
            <w:tcBorders>
              <w:bottom w:val="none" w:sz="0" w:space="0" w:color="auto"/>
            </w:tcBorders>
          </w:tcPr>
          <w:p w14:paraId="528205E3"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Gap</w:t>
            </w:r>
          </w:p>
        </w:tc>
        <w:tc>
          <w:tcPr>
            <w:tcW w:w="0" w:type="auto"/>
            <w:tcBorders>
              <w:bottom w:val="none" w:sz="0" w:space="0" w:color="auto"/>
            </w:tcBorders>
          </w:tcPr>
          <w:p w14:paraId="6128C568"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Current evidence</w:t>
            </w:r>
          </w:p>
        </w:tc>
        <w:tc>
          <w:tcPr>
            <w:tcW w:w="0" w:type="auto"/>
            <w:tcBorders>
              <w:bottom w:val="none" w:sz="0" w:space="0" w:color="auto"/>
            </w:tcBorders>
          </w:tcPr>
          <w:p w14:paraId="742A0EDB"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Limitation</w:t>
            </w:r>
          </w:p>
        </w:tc>
        <w:tc>
          <w:tcPr>
            <w:tcW w:w="0" w:type="auto"/>
            <w:tcBorders>
              <w:bottom w:val="none" w:sz="0" w:space="0" w:color="auto"/>
            </w:tcBorders>
          </w:tcPr>
          <w:p w14:paraId="0C88CCDD"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IRPA contribution</w:t>
            </w:r>
          </w:p>
        </w:tc>
      </w:tr>
      <w:tr w:rsidR="00D51155" w:rsidRPr="00B2510F" w14:paraId="07768CC0" w14:textId="77777777" w:rsidTr="00FC2780">
        <w:tc>
          <w:tcPr>
            <w:tcW w:w="0" w:type="auto"/>
          </w:tcPr>
          <w:p w14:paraId="552BFD3B"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1</w:t>
            </w:r>
          </w:p>
        </w:tc>
        <w:tc>
          <w:tcPr>
            <w:tcW w:w="0" w:type="auto"/>
          </w:tcPr>
          <w:p w14:paraId="139EA1C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Epidemiological surveillance</w:t>
            </w:r>
          </w:p>
        </w:tc>
        <w:tc>
          <w:tcPr>
            <w:tcW w:w="0" w:type="auto"/>
          </w:tcPr>
          <w:p w14:paraId="47B0B42B"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RSI ≈ 1:10,000 (</w:t>
            </w:r>
            <w:hyperlink r:id="rId20">
              <w:r w:rsidR="00D51155" w:rsidRPr="00B2510F">
                <w:rPr>
                  <w:rStyle w:val="Hyperlink"/>
                  <w:rFonts w:ascii="Times New Roman" w:hAnsi="Times New Roman" w:cs="Times New Roman"/>
                  <w:color w:val="000000" w:themeColor="text1"/>
                </w:rPr>
                <w:t>Stawicki et al., 2013</w:t>
              </w:r>
            </w:hyperlink>
            <w:r w:rsidRPr="00B2510F">
              <w:rPr>
                <w:rFonts w:ascii="Times New Roman" w:hAnsi="Times New Roman" w:cs="Times New Roman"/>
                <w:color w:val="000000" w:themeColor="text1"/>
              </w:rPr>
              <w:t>)</w:t>
            </w:r>
          </w:p>
        </w:tc>
        <w:tc>
          <w:tcPr>
            <w:tcW w:w="0" w:type="auto"/>
          </w:tcPr>
          <w:p w14:paraId="60FCB8E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LMIC under-reporting; medicolegal suppression</w:t>
            </w:r>
          </w:p>
        </w:tc>
        <w:tc>
          <w:tcPr>
            <w:tcW w:w="0" w:type="auto"/>
          </w:tcPr>
          <w:p w14:paraId="5A4E433E"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Non-reporting reframed as latent system failure; GPSAP-aligned registry</w:t>
            </w:r>
          </w:p>
        </w:tc>
      </w:tr>
      <w:tr w:rsidR="00D51155" w:rsidRPr="00B2510F" w14:paraId="68BFC829" w14:textId="77777777" w:rsidTr="00FC2780">
        <w:tc>
          <w:tcPr>
            <w:tcW w:w="0" w:type="auto"/>
          </w:tcPr>
          <w:p w14:paraId="6A025273"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2</w:t>
            </w:r>
          </w:p>
        </w:tc>
        <w:tc>
          <w:tcPr>
            <w:tcW w:w="0" w:type="auto"/>
          </w:tcPr>
          <w:p w14:paraId="7622088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Prospective SCM use</w:t>
            </w:r>
          </w:p>
        </w:tc>
        <w:tc>
          <w:tcPr>
            <w:tcW w:w="0" w:type="auto"/>
          </w:tcPr>
          <w:p w14:paraId="12ADFB7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SCM used retrospectively (</w:t>
            </w:r>
            <w:hyperlink r:id="rId21">
              <w:r w:rsidR="00D51155" w:rsidRPr="00B2510F">
                <w:rPr>
                  <w:rStyle w:val="Hyperlink"/>
                  <w:rFonts w:ascii="Times New Roman" w:hAnsi="Times New Roman" w:cs="Times New Roman"/>
                  <w:color w:val="000000" w:themeColor="text1"/>
                </w:rPr>
                <w:t>Reason, 1997</w:t>
              </w:r>
            </w:hyperlink>
            <w:r w:rsidRPr="00B2510F">
              <w:rPr>
                <w:rFonts w:ascii="Times New Roman" w:hAnsi="Times New Roman" w:cs="Times New Roman"/>
                <w:color w:val="000000" w:themeColor="text1"/>
              </w:rPr>
              <w:t>)</w:t>
            </w:r>
          </w:p>
        </w:tc>
        <w:tc>
          <w:tcPr>
            <w:tcW w:w="0" w:type="auto"/>
          </w:tcPr>
          <w:p w14:paraId="37949E3B" w14:textId="14E210E6"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Predictive use </w:t>
            </w:r>
            <w:r w:rsidR="00FC2780" w:rsidRPr="00B2510F">
              <w:rPr>
                <w:rFonts w:ascii="Times New Roman" w:hAnsi="Times New Roman" w:cs="Times New Roman"/>
                <w:color w:val="000000" w:themeColor="text1"/>
              </w:rPr>
              <w:t>underdeveloped</w:t>
            </w:r>
          </w:p>
        </w:tc>
        <w:tc>
          <w:tcPr>
            <w:tcW w:w="0" w:type="auto"/>
          </w:tcPr>
          <w:p w14:paraId="5B87186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SCM barriers mapped to observable OR variables</w:t>
            </w:r>
          </w:p>
        </w:tc>
      </w:tr>
      <w:tr w:rsidR="00D51155" w:rsidRPr="00B2510F" w14:paraId="4B1ED1FF" w14:textId="77777777" w:rsidTr="00FC2780">
        <w:tc>
          <w:tcPr>
            <w:tcW w:w="0" w:type="auto"/>
          </w:tcPr>
          <w:p w14:paraId="206EB53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3</w:t>
            </w:r>
          </w:p>
        </w:tc>
        <w:tc>
          <w:tcPr>
            <w:tcW w:w="0" w:type="auto"/>
          </w:tcPr>
          <w:p w14:paraId="522A130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Checklist ritualisation</w:t>
            </w:r>
          </w:p>
        </w:tc>
        <w:tc>
          <w:tcPr>
            <w:tcW w:w="0" w:type="auto"/>
          </w:tcPr>
          <w:p w14:paraId="3328176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SSC effect (</w:t>
            </w:r>
            <w:hyperlink r:id="rId22">
              <w:r w:rsidR="00D51155" w:rsidRPr="00B2510F">
                <w:rPr>
                  <w:rStyle w:val="Hyperlink"/>
                  <w:rFonts w:ascii="Times New Roman" w:hAnsi="Times New Roman" w:cs="Times New Roman"/>
                  <w:color w:val="000000" w:themeColor="text1"/>
                </w:rPr>
                <w:t>Haynes et al., 2009</w:t>
              </w:r>
            </w:hyperlink>
            <w:r w:rsidRPr="00B2510F">
              <w:rPr>
                <w:rFonts w:ascii="Times New Roman" w:hAnsi="Times New Roman" w:cs="Times New Roman"/>
                <w:color w:val="000000" w:themeColor="text1"/>
              </w:rPr>
              <w:t>) vs Ontario null (</w:t>
            </w:r>
            <w:hyperlink r:id="rId23">
              <w:r w:rsidR="00D51155" w:rsidRPr="00B2510F">
                <w:rPr>
                  <w:rStyle w:val="Hyperlink"/>
                  <w:rFonts w:ascii="Times New Roman" w:hAnsi="Times New Roman" w:cs="Times New Roman"/>
                  <w:color w:val="000000" w:themeColor="text1"/>
                </w:rPr>
                <w:t>Urbach et al., 2014</w:t>
              </w:r>
            </w:hyperlink>
            <w:r w:rsidRPr="00B2510F">
              <w:rPr>
                <w:rFonts w:ascii="Times New Roman" w:hAnsi="Times New Roman" w:cs="Times New Roman"/>
                <w:color w:val="000000" w:themeColor="text1"/>
              </w:rPr>
              <w:t>)</w:t>
            </w:r>
          </w:p>
        </w:tc>
        <w:tc>
          <w:tcPr>
            <w:tcW w:w="0" w:type="auto"/>
          </w:tcPr>
          <w:p w14:paraId="2415D468"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No model of compliance-to-ritual drift</w:t>
            </w:r>
          </w:p>
        </w:tc>
        <w:tc>
          <w:tcPr>
            <w:tcW w:w="0" w:type="auto"/>
          </w:tcPr>
          <w:p w14:paraId="7482706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NPT-based ritualisation pathway (P3)</w:t>
            </w:r>
          </w:p>
        </w:tc>
      </w:tr>
      <w:tr w:rsidR="00D51155" w:rsidRPr="00B2510F" w14:paraId="242E9212" w14:textId="77777777" w:rsidTr="00FC2780">
        <w:tc>
          <w:tcPr>
            <w:tcW w:w="0" w:type="auto"/>
          </w:tcPr>
          <w:p w14:paraId="786AEE7D"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4</w:t>
            </w:r>
          </w:p>
        </w:tc>
        <w:tc>
          <w:tcPr>
            <w:tcW w:w="0" w:type="auto"/>
          </w:tcPr>
          <w:p w14:paraId="394C1CDC"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Psychological safety in OR</w:t>
            </w:r>
          </w:p>
        </w:tc>
        <w:tc>
          <w:tcPr>
            <w:tcW w:w="0" w:type="auto"/>
          </w:tcPr>
          <w:p w14:paraId="37FBE9AE"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Edmondson framework; meta-analytic support (</w:t>
            </w:r>
            <w:hyperlink r:id="rId24">
              <w:r w:rsidR="00D51155" w:rsidRPr="00B2510F">
                <w:rPr>
                  <w:rStyle w:val="Hyperlink"/>
                  <w:rFonts w:ascii="Times New Roman" w:hAnsi="Times New Roman" w:cs="Times New Roman"/>
                  <w:color w:val="000000" w:themeColor="text1"/>
                </w:rPr>
                <w:t>Frazier et al., 2017</w:t>
              </w:r>
            </w:hyperlink>
            <w:r w:rsidRPr="00B2510F">
              <w:rPr>
                <w:rFonts w:ascii="Times New Roman" w:hAnsi="Times New Roman" w:cs="Times New Roman"/>
                <w:color w:val="000000" w:themeColor="text1"/>
              </w:rPr>
              <w:t>)</w:t>
            </w:r>
          </w:p>
        </w:tc>
        <w:tc>
          <w:tcPr>
            <w:tcW w:w="0" w:type="auto"/>
          </w:tcPr>
          <w:p w14:paraId="5640962C"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No OR-specific RSI-linked instrument</w:t>
            </w:r>
          </w:p>
        </w:tc>
        <w:tc>
          <w:tcPr>
            <w:tcW w:w="0" w:type="auto"/>
          </w:tcPr>
          <w:p w14:paraId="06CDE749" w14:textId="426A4B9F"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P1 specifies </w:t>
            </w:r>
            <w:r w:rsidR="00FC2780" w:rsidRPr="00B2510F">
              <w:rPr>
                <w:rFonts w:ascii="Times New Roman" w:hAnsi="Times New Roman" w:cs="Times New Roman"/>
                <w:color w:val="000000" w:themeColor="text1"/>
              </w:rPr>
              <w:t xml:space="preserve">the </w:t>
            </w:r>
            <w:r w:rsidRPr="00B2510F">
              <w:rPr>
                <w:rFonts w:ascii="Times New Roman" w:hAnsi="Times New Roman" w:cs="Times New Roman"/>
                <w:color w:val="000000" w:themeColor="text1"/>
              </w:rPr>
              <w:t>operational link</w:t>
            </w:r>
          </w:p>
        </w:tc>
      </w:tr>
      <w:tr w:rsidR="00D51155" w:rsidRPr="00B2510F" w14:paraId="2BA25F5F" w14:textId="77777777" w:rsidTr="00FC2780">
        <w:tc>
          <w:tcPr>
            <w:tcW w:w="0" w:type="auto"/>
          </w:tcPr>
          <w:p w14:paraId="29A6790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5</w:t>
            </w:r>
          </w:p>
        </w:tc>
        <w:tc>
          <w:tcPr>
            <w:tcW w:w="0" w:type="auto"/>
          </w:tcPr>
          <w:p w14:paraId="727D0B9A"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Communication failure</w:t>
            </w:r>
          </w:p>
        </w:tc>
        <w:tc>
          <w:tcPr>
            <w:tcW w:w="0" w:type="auto"/>
          </w:tcPr>
          <w:p w14:paraId="423316E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Patterns identified (</w:t>
            </w:r>
            <w:hyperlink r:id="rId25">
              <w:r w:rsidR="00D51155" w:rsidRPr="00B2510F">
                <w:rPr>
                  <w:rStyle w:val="Hyperlink"/>
                  <w:rFonts w:ascii="Times New Roman" w:hAnsi="Times New Roman" w:cs="Times New Roman"/>
                  <w:color w:val="000000" w:themeColor="text1"/>
                </w:rPr>
                <w:t>Greenberg et al., 2007</w:t>
              </w:r>
            </w:hyperlink>
            <w:r w:rsidRPr="00B2510F">
              <w:rPr>
                <w:rFonts w:ascii="Times New Roman" w:hAnsi="Times New Roman" w:cs="Times New Roman"/>
                <w:color w:val="000000" w:themeColor="text1"/>
              </w:rPr>
              <w:t>)</w:t>
            </w:r>
          </w:p>
        </w:tc>
        <w:tc>
          <w:tcPr>
            <w:tcW w:w="0" w:type="auto"/>
          </w:tcPr>
          <w:p w14:paraId="3D02241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Not embedded in RSI architecture</w:t>
            </w:r>
          </w:p>
        </w:tc>
        <w:tc>
          <w:tcPr>
            <w:tcW w:w="0" w:type="auto"/>
          </w:tcPr>
          <w:p w14:paraId="162F321E"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Mapped to SCM barrier collapses</w:t>
            </w:r>
          </w:p>
        </w:tc>
      </w:tr>
      <w:tr w:rsidR="00D51155" w:rsidRPr="00B2510F" w14:paraId="12DA13CD" w14:textId="77777777" w:rsidTr="00FC2780">
        <w:tc>
          <w:tcPr>
            <w:tcW w:w="0" w:type="auto"/>
          </w:tcPr>
          <w:p w14:paraId="0F319B61"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6</w:t>
            </w:r>
          </w:p>
        </w:tc>
        <w:tc>
          <w:tcPr>
            <w:tcW w:w="0" w:type="auto"/>
          </w:tcPr>
          <w:p w14:paraId="7D227FDF"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HRO in LMICs</w:t>
            </w:r>
          </w:p>
        </w:tc>
        <w:tc>
          <w:tcPr>
            <w:tcW w:w="0" w:type="auto"/>
          </w:tcPr>
          <w:p w14:paraId="2F90919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HRO–safety link established (</w:t>
            </w:r>
            <w:hyperlink r:id="rId26">
              <w:r w:rsidR="00D51155" w:rsidRPr="00B2510F">
                <w:rPr>
                  <w:rStyle w:val="Hyperlink"/>
                  <w:rFonts w:ascii="Times New Roman" w:hAnsi="Times New Roman" w:cs="Times New Roman"/>
                  <w:color w:val="000000" w:themeColor="text1"/>
                </w:rPr>
                <w:t>Weick et al., 1999</w:t>
              </w:r>
            </w:hyperlink>
            <w:r w:rsidRPr="00B2510F">
              <w:rPr>
                <w:rFonts w:ascii="Times New Roman" w:hAnsi="Times New Roman" w:cs="Times New Roman"/>
                <w:color w:val="000000" w:themeColor="text1"/>
              </w:rPr>
              <w:t>)</w:t>
            </w:r>
          </w:p>
        </w:tc>
        <w:tc>
          <w:tcPr>
            <w:tcW w:w="0" w:type="auto"/>
          </w:tcPr>
          <w:p w14:paraId="582DFFD5" w14:textId="32548152"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High-income </w:t>
            </w:r>
            <w:r w:rsidR="00FC2780" w:rsidRPr="00B2510F">
              <w:rPr>
                <w:rFonts w:ascii="Times New Roman" w:hAnsi="Times New Roman" w:cs="Times New Roman"/>
                <w:color w:val="000000" w:themeColor="text1"/>
              </w:rPr>
              <w:t>evidence-based</w:t>
            </w:r>
          </w:p>
        </w:tc>
        <w:tc>
          <w:tcPr>
            <w:tcW w:w="0" w:type="auto"/>
          </w:tcPr>
          <w:p w14:paraId="77BC6E2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Adaptable HRO–RSI architecture</w:t>
            </w:r>
          </w:p>
        </w:tc>
      </w:tr>
      <w:tr w:rsidR="00D51155" w:rsidRPr="00B2510F" w14:paraId="56CAA1E8" w14:textId="77777777" w:rsidTr="00FC2780">
        <w:tc>
          <w:tcPr>
            <w:tcW w:w="0" w:type="auto"/>
          </w:tcPr>
          <w:p w14:paraId="53366647"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lastRenderedPageBreak/>
              <w:t>7</w:t>
            </w:r>
          </w:p>
        </w:tc>
        <w:tc>
          <w:tcPr>
            <w:tcW w:w="0" w:type="auto"/>
          </w:tcPr>
          <w:p w14:paraId="68FEA49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RFID in LMICs</w:t>
            </w:r>
          </w:p>
        </w:tc>
        <w:tc>
          <w:tcPr>
            <w:tcW w:w="0" w:type="auto"/>
          </w:tcPr>
          <w:p w14:paraId="0BFCCC7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~75% error reduction (</w:t>
            </w:r>
            <w:hyperlink r:id="rId27">
              <w:r w:rsidR="00D51155" w:rsidRPr="00B2510F">
                <w:rPr>
                  <w:rStyle w:val="Hyperlink"/>
                  <w:rFonts w:ascii="Times New Roman" w:hAnsi="Times New Roman" w:cs="Times New Roman"/>
                  <w:color w:val="000000" w:themeColor="text1"/>
                </w:rPr>
                <w:t>Carmack et al., 2023</w:t>
              </w:r>
            </w:hyperlink>
            <w:r w:rsidRPr="00B2510F">
              <w:rPr>
                <w:rFonts w:ascii="Times New Roman" w:hAnsi="Times New Roman" w:cs="Times New Roman"/>
                <w:color w:val="000000" w:themeColor="text1"/>
              </w:rPr>
              <w:t>)</w:t>
            </w:r>
          </w:p>
        </w:tc>
        <w:tc>
          <w:tcPr>
            <w:tcW w:w="0" w:type="auto"/>
          </w:tcPr>
          <w:p w14:paraId="7C3C86A8"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No LMIC-calibrated model</w:t>
            </w:r>
          </w:p>
        </w:tc>
        <w:tc>
          <w:tcPr>
            <w:tcW w:w="0" w:type="auto"/>
          </w:tcPr>
          <w:p w14:paraId="3906D949"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Staged adoption pathway</w:t>
            </w:r>
          </w:p>
        </w:tc>
      </w:tr>
      <w:tr w:rsidR="00D51155" w:rsidRPr="00B2510F" w14:paraId="3AA7BD5A" w14:textId="77777777" w:rsidTr="00FC2780">
        <w:tc>
          <w:tcPr>
            <w:tcW w:w="0" w:type="auto"/>
          </w:tcPr>
          <w:p w14:paraId="36B219B3"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8</w:t>
            </w:r>
          </w:p>
        </w:tc>
        <w:tc>
          <w:tcPr>
            <w:tcW w:w="0" w:type="auto"/>
          </w:tcPr>
          <w:p w14:paraId="6990A863"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Accreditation–governance</w:t>
            </w:r>
          </w:p>
        </w:tc>
        <w:tc>
          <w:tcPr>
            <w:tcW w:w="0" w:type="auto"/>
          </w:tcPr>
          <w:p w14:paraId="6D98DF4A"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RSI = Never Event</w:t>
            </w:r>
          </w:p>
        </w:tc>
        <w:tc>
          <w:tcPr>
            <w:tcW w:w="0" w:type="auto"/>
          </w:tcPr>
          <w:p w14:paraId="1CBB075B"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Documentary ≠ behavioural compliance</w:t>
            </w:r>
          </w:p>
        </w:tc>
        <w:tc>
          <w:tcPr>
            <w:tcW w:w="0" w:type="auto"/>
          </w:tcPr>
          <w:p w14:paraId="4E15F01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P9 links observed-practice audit to RSI</w:t>
            </w:r>
          </w:p>
        </w:tc>
      </w:tr>
      <w:tr w:rsidR="00D51155" w:rsidRPr="00B2510F" w14:paraId="19B60B3B" w14:textId="77777777" w:rsidTr="00FC2780">
        <w:tc>
          <w:tcPr>
            <w:tcW w:w="0" w:type="auto"/>
          </w:tcPr>
          <w:p w14:paraId="5018053A"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9</w:t>
            </w:r>
          </w:p>
        </w:tc>
        <w:tc>
          <w:tcPr>
            <w:tcW w:w="0" w:type="auto"/>
          </w:tcPr>
          <w:p w14:paraId="448D729D"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Risk stratification</w:t>
            </w:r>
          </w:p>
        </w:tc>
        <w:tc>
          <w:tcPr>
            <w:tcW w:w="0" w:type="auto"/>
          </w:tcPr>
          <w:p w14:paraId="0172C423"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Risk factors known (</w:t>
            </w:r>
            <w:hyperlink r:id="rId28">
              <w:r w:rsidR="00D51155" w:rsidRPr="00B2510F">
                <w:rPr>
                  <w:rStyle w:val="Hyperlink"/>
                  <w:rFonts w:ascii="Times New Roman" w:hAnsi="Times New Roman" w:cs="Times New Roman"/>
                  <w:color w:val="000000" w:themeColor="text1"/>
                </w:rPr>
                <w:t>Stawicki et al., 2013</w:t>
              </w:r>
            </w:hyperlink>
            <w:r w:rsidRPr="00B2510F">
              <w:rPr>
                <w:rFonts w:ascii="Times New Roman" w:hAnsi="Times New Roman" w:cs="Times New Roman"/>
                <w:color w:val="000000" w:themeColor="text1"/>
              </w:rPr>
              <w:t>)</w:t>
            </w:r>
          </w:p>
        </w:tc>
        <w:tc>
          <w:tcPr>
            <w:tcW w:w="0" w:type="auto"/>
          </w:tcPr>
          <w:p w14:paraId="2ADB10B0"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Not embedded preoperatively</w:t>
            </w:r>
          </w:p>
        </w:tc>
        <w:tc>
          <w:tcPr>
            <w:tcW w:w="0" w:type="auto"/>
          </w:tcPr>
          <w:p w14:paraId="311BFC97"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Theoretical base for risk-stratified protocols</w:t>
            </w:r>
          </w:p>
        </w:tc>
      </w:tr>
      <w:tr w:rsidR="00D51155" w:rsidRPr="00B2510F" w14:paraId="2CDB2AD6" w14:textId="77777777" w:rsidTr="00FC2780">
        <w:tc>
          <w:tcPr>
            <w:tcW w:w="0" w:type="auto"/>
          </w:tcPr>
          <w:p w14:paraId="77D9948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10</w:t>
            </w:r>
          </w:p>
        </w:tc>
        <w:tc>
          <w:tcPr>
            <w:tcW w:w="0" w:type="auto"/>
          </w:tcPr>
          <w:p w14:paraId="71233F04"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Near-miss taxonomy</w:t>
            </w:r>
          </w:p>
        </w:tc>
        <w:tc>
          <w:tcPr>
            <w:tcW w:w="0" w:type="auto"/>
          </w:tcPr>
          <w:p w14:paraId="70356161"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Reporting improves safety (</w:t>
            </w:r>
            <w:hyperlink r:id="rId29">
              <w:r w:rsidR="00D51155" w:rsidRPr="00B2510F">
                <w:rPr>
                  <w:rStyle w:val="Hyperlink"/>
                  <w:rFonts w:ascii="Times New Roman" w:hAnsi="Times New Roman" w:cs="Times New Roman"/>
                  <w:color w:val="000000" w:themeColor="text1"/>
                </w:rPr>
                <w:t>Reason, 1997</w:t>
              </w:r>
            </w:hyperlink>
            <w:r w:rsidRPr="00B2510F">
              <w:rPr>
                <w:rFonts w:ascii="Times New Roman" w:hAnsi="Times New Roman" w:cs="Times New Roman"/>
                <w:color w:val="000000" w:themeColor="text1"/>
              </w:rPr>
              <w:t>)</w:t>
            </w:r>
          </w:p>
        </w:tc>
        <w:tc>
          <w:tcPr>
            <w:tcW w:w="0" w:type="auto"/>
          </w:tcPr>
          <w:p w14:paraId="4AE5B9DA"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No RSI-specific taxonomy</w:t>
            </w:r>
          </w:p>
        </w:tc>
        <w:tc>
          <w:tcPr>
            <w:tcW w:w="0" w:type="auto"/>
          </w:tcPr>
          <w:p w14:paraId="6A17C48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P7 supplies the scaffold</w:t>
            </w:r>
          </w:p>
        </w:tc>
      </w:tr>
    </w:tbl>
    <w:p w14:paraId="0121C22B" w14:textId="77777777" w:rsidR="00D51155" w:rsidRPr="00C5081A"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10" w:name="_Toc230543069"/>
      <w:bookmarkStart w:id="11" w:name="X1003aea49f7604ce5da57a6c2e208da7303a075"/>
      <w:bookmarkEnd w:id="9"/>
      <w:r w:rsidRPr="00C5081A">
        <w:rPr>
          <w:rFonts w:ascii="Times New Roman" w:hAnsi="Times New Roman" w:cs="Times New Roman"/>
          <w:b/>
          <w:bCs/>
          <w:color w:val="000000" w:themeColor="text1"/>
          <w:sz w:val="24"/>
          <w:szCs w:val="24"/>
        </w:rPr>
        <w:t>4. Literature synthesis</w:t>
      </w:r>
      <w:bookmarkEnd w:id="10"/>
    </w:p>
    <w:p w14:paraId="072296B5" w14:textId="77777777" w:rsidR="00D51155" w:rsidRPr="00C5081A" w:rsidRDefault="00000000" w:rsidP="00856882">
      <w:pPr>
        <w:pStyle w:val="Heading3"/>
        <w:spacing w:line="360" w:lineRule="auto"/>
        <w:jc w:val="both"/>
        <w:rPr>
          <w:rFonts w:ascii="Times New Roman" w:hAnsi="Times New Roman" w:cs="Times New Roman"/>
          <w:b/>
          <w:bCs/>
          <w:color w:val="000000" w:themeColor="text1"/>
          <w:sz w:val="24"/>
          <w:szCs w:val="24"/>
        </w:rPr>
      </w:pPr>
      <w:bookmarkStart w:id="12" w:name="Xd22b0d51f34885ccf2c3a1c3e7c49e626bc4b5c"/>
      <w:r w:rsidRPr="00C5081A">
        <w:rPr>
          <w:rFonts w:ascii="Times New Roman" w:hAnsi="Times New Roman" w:cs="Times New Roman"/>
          <w:b/>
          <w:bCs/>
          <w:color w:val="000000" w:themeColor="text1"/>
          <w:sz w:val="24"/>
          <w:szCs w:val="24"/>
        </w:rPr>
        <w:t>4.1 Safety science and the operating room</w:t>
      </w:r>
    </w:p>
    <w:p w14:paraId="54FC623D" w14:textId="0AE43440"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The modern patient safety era opened with </w:t>
      </w:r>
      <w:r w:rsidRPr="00B2510F">
        <w:rPr>
          <w:rFonts w:ascii="Times New Roman" w:hAnsi="Times New Roman" w:cs="Times New Roman"/>
          <w:i/>
          <w:iCs/>
          <w:color w:val="000000" w:themeColor="text1"/>
        </w:rPr>
        <w:t>To Err is Human</w:t>
      </w:r>
      <w:r w:rsidRPr="00B2510F">
        <w:rPr>
          <w:rFonts w:ascii="Times New Roman" w:hAnsi="Times New Roman" w:cs="Times New Roman"/>
          <w:color w:val="000000" w:themeColor="text1"/>
        </w:rPr>
        <w:t xml:space="preserve"> (</w:t>
      </w:r>
      <w:hyperlink r:id="rId30">
        <w:r w:rsidR="00D51155" w:rsidRPr="00B2510F">
          <w:rPr>
            <w:rStyle w:val="Hyperlink"/>
            <w:rFonts w:ascii="Times New Roman" w:hAnsi="Times New Roman" w:cs="Times New Roman"/>
            <w:color w:val="000000" w:themeColor="text1"/>
          </w:rPr>
          <w:t>Kohn et al., 2000</w:t>
        </w:r>
      </w:hyperlink>
      <w:r w:rsidRPr="00B2510F">
        <w:rPr>
          <w:rFonts w:ascii="Times New Roman" w:hAnsi="Times New Roman" w:cs="Times New Roman"/>
          <w:color w:val="000000" w:themeColor="text1"/>
        </w:rPr>
        <w:t>) and Reason's recasting of error as a property of systems (</w:t>
      </w:r>
      <w:hyperlink r:id="rId31">
        <w:r w:rsidR="00D51155" w:rsidRPr="00B2510F">
          <w:rPr>
            <w:rStyle w:val="Hyperlink"/>
            <w:rFonts w:ascii="Times New Roman" w:hAnsi="Times New Roman" w:cs="Times New Roman"/>
            <w:color w:val="000000" w:themeColor="text1"/>
          </w:rPr>
          <w:t>Reason, 1990</w:t>
        </w:r>
      </w:hyperlink>
      <w:r w:rsidRPr="00B2510F">
        <w:rPr>
          <w:rFonts w:ascii="Times New Roman" w:hAnsi="Times New Roman" w:cs="Times New Roman"/>
          <w:color w:val="000000" w:themeColor="text1"/>
        </w:rPr>
        <w:t>). The WHO's Safe Surgery Saves Lives programme (2008) translated that logic into the operating room, and the Global Patient Safety Action Plan 2021–2030 extended it across seven strategic objectives (</w:t>
      </w:r>
      <w:hyperlink r:id="rId32">
        <w:r w:rsidR="00D51155" w:rsidRPr="00B2510F">
          <w:rPr>
            <w:rStyle w:val="Hyperlink"/>
            <w:rFonts w:ascii="Times New Roman" w:hAnsi="Times New Roman" w:cs="Times New Roman"/>
            <w:color w:val="000000" w:themeColor="text1"/>
          </w:rPr>
          <w:t>WHO, 2021</w:t>
        </w:r>
      </w:hyperlink>
      <w:r w:rsidRPr="00B2510F">
        <w:rPr>
          <w:rFonts w:ascii="Times New Roman" w:hAnsi="Times New Roman" w:cs="Times New Roman"/>
          <w:color w:val="000000" w:themeColor="text1"/>
        </w:rPr>
        <w:t>). Estimates of mortality attributable to medical error remain disputed, but the order of magnitude between roughly 200,000 and 400,000 preventable hospital deaths annually in the United States is consistent with surgical harm being a leading and partly modifiable contributor (</w:t>
      </w:r>
      <w:hyperlink r:id="rId33">
        <w:r w:rsidR="00D51155" w:rsidRPr="00B2510F">
          <w:rPr>
            <w:rStyle w:val="Hyperlink"/>
            <w:rFonts w:ascii="Times New Roman" w:hAnsi="Times New Roman" w:cs="Times New Roman"/>
            <w:color w:val="000000" w:themeColor="text1"/>
          </w:rPr>
          <w:t>James, 2013</w:t>
        </w:r>
      </w:hyperlink>
      <w:r w:rsidRPr="00B2510F">
        <w:rPr>
          <w:rFonts w:ascii="Times New Roman" w:hAnsi="Times New Roman" w:cs="Times New Roman"/>
          <w:color w:val="000000" w:themeColor="text1"/>
        </w:rPr>
        <w:t xml:space="preserve">; </w:t>
      </w:r>
      <w:hyperlink r:id="rId34">
        <w:r w:rsidR="00D51155" w:rsidRPr="00B2510F">
          <w:rPr>
            <w:rStyle w:val="Hyperlink"/>
            <w:rFonts w:ascii="Times New Roman" w:hAnsi="Times New Roman" w:cs="Times New Roman"/>
            <w:color w:val="000000" w:themeColor="text1"/>
          </w:rPr>
          <w:t>Makary &amp; Daniel, 2016</w:t>
        </w:r>
      </w:hyperlink>
      <w:r w:rsidRPr="00B2510F">
        <w:rPr>
          <w:rFonts w:ascii="Times New Roman" w:hAnsi="Times New Roman" w:cs="Times New Roman"/>
          <w:color w:val="000000" w:themeColor="text1"/>
        </w:rPr>
        <w:t xml:space="preserve">; </w:t>
      </w:r>
      <w:hyperlink r:id="rId35">
        <w:proofErr w:type="spellStart"/>
        <w:r w:rsidR="00D51155" w:rsidRPr="00B2510F">
          <w:rPr>
            <w:rStyle w:val="Hyperlink"/>
            <w:rFonts w:ascii="Times New Roman" w:hAnsi="Times New Roman" w:cs="Times New Roman"/>
            <w:color w:val="000000" w:themeColor="text1"/>
          </w:rPr>
          <w:t>Shojania</w:t>
        </w:r>
        <w:proofErr w:type="spellEnd"/>
        <w:r w:rsidR="00D51155" w:rsidRPr="00B2510F">
          <w:rPr>
            <w:rStyle w:val="Hyperlink"/>
            <w:rFonts w:ascii="Times New Roman" w:hAnsi="Times New Roman" w:cs="Times New Roman"/>
            <w:color w:val="000000" w:themeColor="text1"/>
          </w:rPr>
          <w:t xml:space="preserve"> &amp; Dixon-Woods, 2017</w:t>
        </w:r>
      </w:hyperlink>
      <w:r w:rsidRPr="00B2510F">
        <w:rPr>
          <w:rFonts w:ascii="Times New Roman" w:hAnsi="Times New Roman" w:cs="Times New Roman"/>
          <w:color w:val="000000" w:themeColor="text1"/>
        </w:rPr>
        <w:t>).</w:t>
      </w:r>
    </w:p>
    <w:p w14:paraId="7151A43F" w14:textId="77777777" w:rsidR="00D51155" w:rsidRPr="00C5081A" w:rsidRDefault="00000000" w:rsidP="00856882">
      <w:pPr>
        <w:pStyle w:val="Heading3"/>
        <w:spacing w:line="360" w:lineRule="auto"/>
        <w:jc w:val="both"/>
        <w:rPr>
          <w:rFonts w:ascii="Times New Roman" w:hAnsi="Times New Roman" w:cs="Times New Roman"/>
          <w:b/>
          <w:bCs/>
          <w:color w:val="000000" w:themeColor="text1"/>
          <w:sz w:val="24"/>
          <w:szCs w:val="24"/>
        </w:rPr>
      </w:pPr>
      <w:bookmarkStart w:id="13" w:name="X6163bb858380e73e2e5e7226d878199d336e878"/>
      <w:bookmarkEnd w:id="12"/>
      <w:r w:rsidRPr="00C5081A">
        <w:rPr>
          <w:rFonts w:ascii="Times New Roman" w:hAnsi="Times New Roman" w:cs="Times New Roman"/>
          <w:b/>
          <w:bCs/>
          <w:color w:val="000000" w:themeColor="text1"/>
          <w:sz w:val="24"/>
          <w:szCs w:val="24"/>
        </w:rPr>
        <w:t>4.2 RSI epidemiology and clinical burden</w:t>
      </w:r>
    </w:p>
    <w:p w14:paraId="64170490" w14:textId="76809B51"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Incidence is the figure most often quoted, but the downstream picture matters more: reoperation is common, length of stay </w:t>
      </w:r>
      <w:r w:rsidR="00FC2780" w:rsidRPr="00B2510F">
        <w:rPr>
          <w:rFonts w:ascii="Times New Roman" w:hAnsi="Times New Roman" w:cs="Times New Roman"/>
          <w:color w:val="000000" w:themeColor="text1"/>
        </w:rPr>
        <w:t>increases, and institutional cost per event runs into</w:t>
      </w:r>
      <w:r w:rsidRPr="00B2510F">
        <w:rPr>
          <w:rFonts w:ascii="Times New Roman" w:hAnsi="Times New Roman" w:cs="Times New Roman"/>
          <w:color w:val="000000" w:themeColor="text1"/>
        </w:rPr>
        <w:t xml:space="preserve"> the hundreds of thousands of US dollars. The high-risk profile is consistent across studies</w:t>
      </w:r>
      <w:r w:rsidR="00FC2780"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emergency surgery, unplanned procedural change, BMI &gt;35, multiple concurrent procedures, intraoperative team handover, and high-volume lists under time pressure (</w:t>
      </w:r>
      <w:hyperlink r:id="rId36">
        <w:r w:rsidR="00D51155" w:rsidRPr="00B2510F">
          <w:rPr>
            <w:rStyle w:val="Hyperlink"/>
            <w:rFonts w:ascii="Times New Roman" w:hAnsi="Times New Roman" w:cs="Times New Roman"/>
            <w:color w:val="000000" w:themeColor="text1"/>
          </w:rPr>
          <w:t>Stawicki et al., 2013</w:t>
        </w:r>
      </w:hyperlink>
      <w:r w:rsidRPr="00B2510F">
        <w:rPr>
          <w:rFonts w:ascii="Times New Roman" w:hAnsi="Times New Roman" w:cs="Times New Roman"/>
          <w:color w:val="000000" w:themeColor="text1"/>
        </w:rPr>
        <w:t xml:space="preserve">). Each factor is, in effect, a structural predictor of barrier degradation. One often-overlooked clinical detail anchors </w:t>
      </w:r>
      <w:r w:rsidRPr="00B2510F">
        <w:rPr>
          <w:rFonts w:ascii="Times New Roman" w:hAnsi="Times New Roman" w:cs="Times New Roman"/>
          <w:color w:val="000000" w:themeColor="text1"/>
        </w:rPr>
        <w:lastRenderedPageBreak/>
        <w:t>the case for redundancy: intraoperative radiographs miss roughly one in three retained sponges, so imaging cannot be treated as a sufficient final safeguard.</w:t>
      </w:r>
    </w:p>
    <w:p w14:paraId="6216F5EE" w14:textId="77777777" w:rsidR="00D51155" w:rsidRPr="00C5081A" w:rsidRDefault="00000000" w:rsidP="00856882">
      <w:pPr>
        <w:pStyle w:val="Heading3"/>
        <w:spacing w:line="360" w:lineRule="auto"/>
        <w:jc w:val="both"/>
        <w:rPr>
          <w:rFonts w:ascii="Times New Roman" w:hAnsi="Times New Roman" w:cs="Times New Roman"/>
          <w:b/>
          <w:bCs/>
          <w:color w:val="000000" w:themeColor="text1"/>
          <w:sz w:val="24"/>
          <w:szCs w:val="24"/>
        </w:rPr>
      </w:pPr>
      <w:bookmarkStart w:id="14" w:name="X506557f4eda740f9ea6f151a66e9a7bf80a1231"/>
      <w:bookmarkEnd w:id="13"/>
      <w:r w:rsidRPr="00C5081A">
        <w:rPr>
          <w:rFonts w:ascii="Times New Roman" w:hAnsi="Times New Roman" w:cs="Times New Roman"/>
          <w:b/>
          <w:bCs/>
          <w:color w:val="000000" w:themeColor="text1"/>
          <w:sz w:val="24"/>
          <w:szCs w:val="24"/>
        </w:rPr>
        <w:t>4.3 Human factors, hierarchy, and psychological safety</w:t>
      </w:r>
    </w:p>
    <w:p w14:paraId="25E5A1B3" w14:textId="7E45FE5F"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Operating theatres concentrate the conditions under which speaking up is hardest: </w:t>
      </w:r>
      <w:r w:rsidR="00FC2780" w:rsidRPr="00B2510F">
        <w:rPr>
          <w:rFonts w:ascii="Times New Roman" w:hAnsi="Times New Roman" w:cs="Times New Roman"/>
          <w:color w:val="000000" w:themeColor="text1"/>
        </w:rPr>
        <w:t>a steep authority gradient, time pressure, emotional load, and a tacit professional cost of</w:t>
      </w:r>
      <w:r w:rsidRPr="00B2510F">
        <w:rPr>
          <w:rFonts w:ascii="Times New Roman" w:hAnsi="Times New Roman" w:cs="Times New Roman"/>
          <w:color w:val="000000" w:themeColor="text1"/>
        </w:rPr>
        <w:t xml:space="preserve"> pausing the operative flow. Edmondson's definition of team psychological safety as the shared belief that interpersonal risk is tolerated maps directly onto whether a scrub nurse will halt closure for an unresolved count. The meta-analytic evidence is now robust, with leader inclusiveness and team tenure emerging as the key moderators (</w:t>
      </w:r>
      <w:hyperlink r:id="rId37">
        <w:r w:rsidR="00D51155" w:rsidRPr="00B2510F">
          <w:rPr>
            <w:rStyle w:val="Hyperlink"/>
            <w:rFonts w:ascii="Times New Roman" w:hAnsi="Times New Roman" w:cs="Times New Roman"/>
            <w:color w:val="000000" w:themeColor="text1"/>
          </w:rPr>
          <w:t>Frazier et al., 2017</w:t>
        </w:r>
      </w:hyperlink>
      <w:r w:rsidRPr="00B2510F">
        <w:rPr>
          <w:rFonts w:ascii="Times New Roman" w:hAnsi="Times New Roman" w:cs="Times New Roman"/>
          <w:color w:val="000000" w:themeColor="text1"/>
        </w:rPr>
        <w:t xml:space="preserve">; </w:t>
      </w:r>
      <w:hyperlink r:id="rId38">
        <w:r w:rsidR="00D51155" w:rsidRPr="00B2510F">
          <w:rPr>
            <w:rStyle w:val="Hyperlink"/>
            <w:rFonts w:ascii="Times New Roman" w:hAnsi="Times New Roman" w:cs="Times New Roman"/>
            <w:color w:val="000000" w:themeColor="text1"/>
          </w:rPr>
          <w:t>Newman et al., 2017</w:t>
        </w:r>
      </w:hyperlink>
      <w:r w:rsidRPr="00B2510F">
        <w:rPr>
          <w:rFonts w:ascii="Times New Roman" w:hAnsi="Times New Roman" w:cs="Times New Roman"/>
          <w:color w:val="000000" w:themeColor="text1"/>
        </w:rPr>
        <w:t>).</w:t>
      </w:r>
    </w:p>
    <w:p w14:paraId="75791BA1" w14:textId="77777777"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Failures of clarification, information transfer, and authority challenge are repeatedly identified upstream of surgical injury (</w:t>
      </w:r>
      <w:hyperlink r:id="rId39">
        <w:r w:rsidR="00D51155" w:rsidRPr="00B2510F">
          <w:rPr>
            <w:rStyle w:val="Hyperlink"/>
            <w:rFonts w:ascii="Times New Roman" w:hAnsi="Times New Roman" w:cs="Times New Roman"/>
            <w:color w:val="000000" w:themeColor="text1"/>
          </w:rPr>
          <w:t>Greenberg et al., 2007</w:t>
        </w:r>
      </w:hyperlink>
      <w:r w:rsidRPr="00B2510F">
        <w:rPr>
          <w:rFonts w:ascii="Times New Roman" w:hAnsi="Times New Roman" w:cs="Times New Roman"/>
          <w:color w:val="000000" w:themeColor="text1"/>
        </w:rPr>
        <w:t>). Crew Resource Management remains the strongest behavioural counterweight in the evidence base. Across 182 Veterans Affairs hospitals, CRM-based team training was associated with an 18% reduction in annual surgical mortality (</w:t>
      </w:r>
      <w:hyperlink r:id="rId40">
        <w:r w:rsidR="00D51155" w:rsidRPr="00B2510F">
          <w:rPr>
            <w:rStyle w:val="Hyperlink"/>
            <w:rFonts w:ascii="Times New Roman" w:hAnsi="Times New Roman" w:cs="Times New Roman"/>
            <w:color w:val="000000" w:themeColor="text1"/>
          </w:rPr>
          <w:t>Neily et al., 2010</w:t>
        </w:r>
      </w:hyperlink>
      <w:r w:rsidRPr="00B2510F">
        <w:rPr>
          <w:rFonts w:ascii="Times New Roman" w:hAnsi="Times New Roman" w:cs="Times New Roman"/>
          <w:color w:val="000000" w:themeColor="text1"/>
        </w:rPr>
        <w:t>), and structured team processes consistently predict performance (</w:t>
      </w:r>
      <w:hyperlink r:id="rId41">
        <w:r w:rsidR="00D51155" w:rsidRPr="00B2510F">
          <w:rPr>
            <w:rStyle w:val="Hyperlink"/>
            <w:rFonts w:ascii="Times New Roman" w:hAnsi="Times New Roman" w:cs="Times New Roman"/>
            <w:color w:val="000000" w:themeColor="text1"/>
          </w:rPr>
          <w:t>Schmutz &amp; Manser, 2013</w:t>
        </w:r>
      </w:hyperlink>
      <w:r w:rsidRPr="00B2510F">
        <w:rPr>
          <w:rFonts w:ascii="Times New Roman" w:hAnsi="Times New Roman" w:cs="Times New Roman"/>
          <w:color w:val="000000" w:themeColor="text1"/>
        </w:rPr>
        <w:t>).</w:t>
      </w:r>
    </w:p>
    <w:p w14:paraId="4225D3E4" w14:textId="77777777" w:rsidR="00D51155" w:rsidRPr="00C5081A" w:rsidRDefault="00000000" w:rsidP="00856882">
      <w:pPr>
        <w:pStyle w:val="Heading3"/>
        <w:spacing w:line="360" w:lineRule="auto"/>
        <w:jc w:val="both"/>
        <w:rPr>
          <w:rFonts w:ascii="Times New Roman" w:hAnsi="Times New Roman" w:cs="Times New Roman"/>
          <w:b/>
          <w:bCs/>
          <w:color w:val="000000" w:themeColor="text1"/>
          <w:sz w:val="24"/>
          <w:szCs w:val="24"/>
        </w:rPr>
      </w:pPr>
      <w:bookmarkStart w:id="15" w:name="Xd7608f84f947133526044f30f045e7b012da1de"/>
      <w:bookmarkEnd w:id="14"/>
      <w:r w:rsidRPr="00C5081A">
        <w:rPr>
          <w:rFonts w:ascii="Times New Roman" w:hAnsi="Times New Roman" w:cs="Times New Roman"/>
          <w:b/>
          <w:bCs/>
          <w:color w:val="000000" w:themeColor="text1"/>
          <w:sz w:val="24"/>
          <w:szCs w:val="24"/>
        </w:rPr>
        <w:t>4.4 The checklist paradox</w:t>
      </w:r>
    </w:p>
    <w:p w14:paraId="403EBAF4" w14:textId="068A5C56"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The Sign-Out phase of the WHO SSC requires explicit verbal confirmation of correct counts. Haynes et al.'s eight-country trial reported 36% fewer major complications and 47% lower in-hospital mortality with checklist use (</w:t>
      </w:r>
      <w:hyperlink r:id="rId42">
        <w:r w:rsidR="00D51155" w:rsidRPr="00B2510F">
          <w:rPr>
            <w:rStyle w:val="Hyperlink"/>
            <w:rFonts w:ascii="Times New Roman" w:hAnsi="Times New Roman" w:cs="Times New Roman"/>
            <w:color w:val="000000" w:themeColor="text1"/>
          </w:rPr>
          <w:t>Haynes et al., 2009</w:t>
        </w:r>
      </w:hyperlink>
      <w:r w:rsidRPr="00B2510F">
        <w:rPr>
          <w:rFonts w:ascii="Times New Roman" w:hAnsi="Times New Roman" w:cs="Times New Roman"/>
          <w:color w:val="000000" w:themeColor="text1"/>
        </w:rPr>
        <w:t>). Ontario's province-wide rollout across 101 hospitals produced no detectable postoperative improvement implementation, the authors argued, was not the same as cultural adoption (</w:t>
      </w:r>
      <w:hyperlink r:id="rId43">
        <w:r w:rsidR="00D51155" w:rsidRPr="00B2510F">
          <w:rPr>
            <w:rStyle w:val="Hyperlink"/>
            <w:rFonts w:ascii="Times New Roman" w:hAnsi="Times New Roman" w:cs="Times New Roman"/>
            <w:color w:val="000000" w:themeColor="text1"/>
          </w:rPr>
          <w:t>Urbach et al., 2014</w:t>
        </w:r>
      </w:hyperlink>
      <w:r w:rsidRPr="00B2510F">
        <w:rPr>
          <w:rFonts w:ascii="Times New Roman" w:hAnsi="Times New Roman" w:cs="Times New Roman"/>
          <w:color w:val="000000" w:themeColor="text1"/>
        </w:rPr>
        <w:t>). Michigan's Keystone Surgery evaluation reinforced that outcomes track fidelity, not paperwork (</w:t>
      </w:r>
      <w:hyperlink r:id="rId44">
        <w:r w:rsidR="00D51155" w:rsidRPr="00B2510F">
          <w:rPr>
            <w:rStyle w:val="Hyperlink"/>
            <w:rFonts w:ascii="Times New Roman" w:hAnsi="Times New Roman" w:cs="Times New Roman"/>
            <w:color w:val="000000" w:themeColor="text1"/>
          </w:rPr>
          <w:t>Reames et al., 2015</w:t>
        </w:r>
      </w:hyperlink>
      <w:r w:rsidRPr="00B2510F">
        <w:rPr>
          <w:rFonts w:ascii="Times New Roman" w:hAnsi="Times New Roman" w:cs="Times New Roman"/>
          <w:color w:val="000000" w:themeColor="text1"/>
        </w:rPr>
        <w:t>); and recent reimplementation data show that behavioural re-engagement, not document renewal, is what restores effect (</w:t>
      </w:r>
      <w:hyperlink r:id="rId45">
        <w:r w:rsidR="00D51155" w:rsidRPr="00B2510F">
          <w:rPr>
            <w:rStyle w:val="Hyperlink"/>
            <w:rFonts w:ascii="Times New Roman" w:hAnsi="Times New Roman" w:cs="Times New Roman"/>
            <w:color w:val="000000" w:themeColor="text1"/>
          </w:rPr>
          <w:t>Etheridge et al., 2024</w:t>
        </w:r>
      </w:hyperlink>
      <w:r w:rsidRPr="00B2510F">
        <w:rPr>
          <w:rFonts w:ascii="Times New Roman" w:hAnsi="Times New Roman" w:cs="Times New Roman"/>
          <w:color w:val="000000" w:themeColor="text1"/>
        </w:rPr>
        <w:t>).</w:t>
      </w:r>
    </w:p>
    <w:p w14:paraId="4196F669" w14:textId="0505021F"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Normalisation Process Theory supplies the mechanism (</w:t>
      </w:r>
      <w:hyperlink r:id="rId46">
        <w:r w:rsidR="00D51155" w:rsidRPr="00B2510F">
          <w:rPr>
            <w:rStyle w:val="Hyperlink"/>
            <w:rFonts w:ascii="Times New Roman" w:hAnsi="Times New Roman" w:cs="Times New Roman"/>
            <w:color w:val="000000" w:themeColor="text1"/>
          </w:rPr>
          <w:t>May &amp; Finch, 2009</w:t>
        </w:r>
      </w:hyperlink>
      <w:r w:rsidRPr="00B2510F">
        <w:rPr>
          <w:rFonts w:ascii="Times New Roman" w:hAnsi="Times New Roman" w:cs="Times New Roman"/>
          <w:color w:val="000000" w:themeColor="text1"/>
        </w:rPr>
        <w:t>). When cognitive participation collapses under hierarchical pressure or throughput targets, collective action degrades into documentary compliance</w:t>
      </w:r>
      <w:r w:rsidR="00FC2780"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and the Sign-Out becomes a form to be completed. IRPA labels this drift the ritualisation pathway and formalises it in P3.</w:t>
      </w:r>
    </w:p>
    <w:p w14:paraId="5777F6D4" w14:textId="77777777" w:rsidR="00D51155" w:rsidRPr="00C5081A" w:rsidRDefault="00000000" w:rsidP="00856882">
      <w:pPr>
        <w:pStyle w:val="Heading3"/>
        <w:spacing w:line="360" w:lineRule="auto"/>
        <w:jc w:val="both"/>
        <w:rPr>
          <w:rFonts w:ascii="Times New Roman" w:hAnsi="Times New Roman" w:cs="Times New Roman"/>
          <w:b/>
          <w:bCs/>
          <w:color w:val="000000" w:themeColor="text1"/>
          <w:sz w:val="24"/>
          <w:szCs w:val="24"/>
        </w:rPr>
      </w:pPr>
      <w:bookmarkStart w:id="16" w:name="X6f91a692f7f466a92c4b3a754c7e24d9f08ef1c"/>
      <w:bookmarkEnd w:id="15"/>
      <w:r w:rsidRPr="00C5081A">
        <w:rPr>
          <w:rFonts w:ascii="Times New Roman" w:hAnsi="Times New Roman" w:cs="Times New Roman"/>
          <w:b/>
          <w:bCs/>
          <w:color w:val="000000" w:themeColor="text1"/>
          <w:sz w:val="24"/>
          <w:szCs w:val="24"/>
        </w:rPr>
        <w:lastRenderedPageBreak/>
        <w:t>4.5 What RFID can and cannot do</w:t>
      </w:r>
    </w:p>
    <w:p w14:paraId="3045174E" w14:textId="6124A182"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RFID sponge-tracking places a passive chip in each item; a handheld wand detects retained tags before closure, and multicentre data show substantial reductions in counting error after full implementation (</w:t>
      </w:r>
      <w:hyperlink r:id="rId47">
        <w:r w:rsidR="00D51155" w:rsidRPr="00B2510F">
          <w:rPr>
            <w:rStyle w:val="Hyperlink"/>
            <w:rFonts w:ascii="Times New Roman" w:hAnsi="Times New Roman" w:cs="Times New Roman"/>
            <w:color w:val="000000" w:themeColor="text1"/>
          </w:rPr>
          <w:t>Carmack et al., 2023</w:t>
        </w:r>
      </w:hyperlink>
      <w:r w:rsidRPr="00B2510F">
        <w:rPr>
          <w:rFonts w:ascii="Times New Roman" w:hAnsi="Times New Roman" w:cs="Times New Roman"/>
          <w:color w:val="000000" w:themeColor="text1"/>
        </w:rPr>
        <w:t xml:space="preserve">). The crucial point easily lost in vendor literature is that RFID detects what is physically present, not what the team believes it counted. It is also not infallible: range limits, signal interference, elevated BMI, and suboptimal patient positioning all </w:t>
      </w:r>
      <w:r w:rsidR="00FC2780" w:rsidRPr="00B2510F">
        <w:rPr>
          <w:rFonts w:ascii="Times New Roman" w:hAnsi="Times New Roman" w:cs="Times New Roman"/>
          <w:color w:val="000000" w:themeColor="text1"/>
        </w:rPr>
        <w:t>can lead to</w:t>
      </w:r>
      <w:r w:rsidRPr="00B2510F">
        <w:rPr>
          <w:rFonts w:ascii="Times New Roman" w:hAnsi="Times New Roman" w:cs="Times New Roman"/>
          <w:color w:val="000000" w:themeColor="text1"/>
        </w:rPr>
        <w:t xml:space="preserve"> documented false negatives. Practical barriers (consumable tag cost, sterile-processing requirements, training time, workflow disruption in emergency cases) are particularly acute in LMIC settings. The point worth carrying forward is that the same comprehensive multimodal interventions that produce a 31.7% reduction in complications consistently outperform single-technology fixes (</w:t>
      </w:r>
      <w:hyperlink r:id="rId48">
        <w:r w:rsidR="00D51155" w:rsidRPr="00B2510F">
          <w:rPr>
            <w:rStyle w:val="Hyperlink"/>
            <w:rFonts w:ascii="Times New Roman" w:hAnsi="Times New Roman" w:cs="Times New Roman"/>
            <w:color w:val="000000" w:themeColor="text1"/>
          </w:rPr>
          <w:t>de Vries et al., 2010</w:t>
        </w:r>
      </w:hyperlink>
      <w:r w:rsidRPr="00B2510F">
        <w:rPr>
          <w:rFonts w:ascii="Times New Roman" w:hAnsi="Times New Roman" w:cs="Times New Roman"/>
          <w:color w:val="000000" w:themeColor="text1"/>
        </w:rPr>
        <w:t>).</w:t>
      </w:r>
    </w:p>
    <w:p w14:paraId="2829C73B" w14:textId="77777777" w:rsidR="00D51155" w:rsidRPr="00FA3205"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17" w:name="_Toc230543070"/>
      <w:bookmarkStart w:id="18" w:name="X3efec7eef8af77528ac9669896beaa30ac6632e"/>
      <w:bookmarkEnd w:id="11"/>
      <w:bookmarkEnd w:id="16"/>
      <w:r w:rsidRPr="00B2510F">
        <w:rPr>
          <w:rFonts w:ascii="Times New Roman" w:hAnsi="Times New Roman" w:cs="Times New Roman"/>
          <w:color w:val="000000" w:themeColor="text1"/>
          <w:sz w:val="24"/>
          <w:szCs w:val="24"/>
        </w:rPr>
        <w:t xml:space="preserve">5. </w:t>
      </w:r>
      <w:r w:rsidRPr="00FA3205">
        <w:rPr>
          <w:rFonts w:ascii="Times New Roman" w:hAnsi="Times New Roman" w:cs="Times New Roman"/>
          <w:b/>
          <w:bCs/>
          <w:color w:val="000000" w:themeColor="text1"/>
          <w:sz w:val="24"/>
          <w:szCs w:val="24"/>
        </w:rPr>
        <w:t>Theoretical foundation</w:t>
      </w:r>
      <w:bookmarkEnd w:id="17"/>
    </w:p>
    <w:p w14:paraId="65CCDB74" w14:textId="77777777"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IRPA integrates nine complementary traditions. Table 2 summarises the role of each; Appendix B contains the extended commentary and addresses inter-theoretical tensions.</w:t>
      </w:r>
    </w:p>
    <w:p w14:paraId="7F0BD3BE" w14:textId="41C0C877"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Table 2. Theory</w:t>
      </w:r>
      <w:r w:rsidR="00FA3205">
        <w:rPr>
          <w:rFonts w:ascii="Times New Roman" w:hAnsi="Times New Roman" w:cs="Times New Roman"/>
          <w:b/>
          <w:bCs/>
          <w:color w:val="000000" w:themeColor="text1"/>
        </w:rPr>
        <w:t xml:space="preserve"> </w:t>
      </w:r>
      <w:r w:rsidRPr="00B2510F">
        <w:rPr>
          <w:rFonts w:ascii="Times New Roman" w:hAnsi="Times New Roman" w:cs="Times New Roman"/>
          <w:b/>
          <w:bCs/>
          <w:color w:val="000000" w:themeColor="text1"/>
        </w:rPr>
        <w:t>construct mapping for IRPA.</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22"/>
        <w:gridCol w:w="2918"/>
        <w:gridCol w:w="2174"/>
        <w:gridCol w:w="1736"/>
      </w:tblGrid>
      <w:tr w:rsidR="00D51155" w:rsidRPr="00B2510F" w14:paraId="6FFA17A1" w14:textId="77777777" w:rsidTr="00FC2780">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03C721BA"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Theory</w:t>
            </w:r>
          </w:p>
        </w:tc>
        <w:tc>
          <w:tcPr>
            <w:tcW w:w="0" w:type="auto"/>
            <w:tcBorders>
              <w:bottom w:val="none" w:sz="0" w:space="0" w:color="auto"/>
            </w:tcBorders>
          </w:tcPr>
          <w:p w14:paraId="0965A03C"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Core construct</w:t>
            </w:r>
          </w:p>
        </w:tc>
        <w:tc>
          <w:tcPr>
            <w:tcW w:w="0" w:type="auto"/>
            <w:tcBorders>
              <w:bottom w:val="none" w:sz="0" w:space="0" w:color="auto"/>
            </w:tcBorders>
          </w:tcPr>
          <w:p w14:paraId="1AC0D219"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IRPA domain</w:t>
            </w:r>
          </w:p>
        </w:tc>
        <w:tc>
          <w:tcPr>
            <w:tcW w:w="0" w:type="auto"/>
            <w:tcBorders>
              <w:bottom w:val="none" w:sz="0" w:space="0" w:color="auto"/>
            </w:tcBorders>
          </w:tcPr>
          <w:p w14:paraId="7248DAAD"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Level</w:t>
            </w:r>
          </w:p>
        </w:tc>
      </w:tr>
      <w:tr w:rsidR="00D51155" w:rsidRPr="00B2510F" w14:paraId="224EB082" w14:textId="77777777" w:rsidTr="00FC2780">
        <w:tc>
          <w:tcPr>
            <w:tcW w:w="0" w:type="auto"/>
          </w:tcPr>
          <w:p w14:paraId="6869743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Swiss Cheese Model (</w:t>
            </w:r>
            <w:hyperlink r:id="rId49">
              <w:r w:rsidR="00D51155" w:rsidRPr="00B2510F">
                <w:rPr>
                  <w:rStyle w:val="Hyperlink"/>
                  <w:rFonts w:ascii="Times New Roman" w:hAnsi="Times New Roman" w:cs="Times New Roman"/>
                  <w:color w:val="000000" w:themeColor="text1"/>
                </w:rPr>
                <w:t>Reason, 1990</w:t>
              </w:r>
            </w:hyperlink>
            <w:r w:rsidRPr="00B2510F">
              <w:rPr>
                <w:rFonts w:ascii="Times New Roman" w:hAnsi="Times New Roman" w:cs="Times New Roman"/>
                <w:color w:val="000000" w:themeColor="text1"/>
              </w:rPr>
              <w:t xml:space="preserve">; </w:t>
            </w:r>
            <w:hyperlink r:id="rId50">
              <w:r w:rsidR="00D51155" w:rsidRPr="00B2510F">
                <w:rPr>
                  <w:rStyle w:val="Hyperlink"/>
                  <w:rFonts w:ascii="Times New Roman" w:hAnsi="Times New Roman" w:cs="Times New Roman"/>
                  <w:color w:val="000000" w:themeColor="text1"/>
                </w:rPr>
                <w:t>1997</w:t>
              </w:r>
            </w:hyperlink>
            <w:r w:rsidRPr="00B2510F">
              <w:rPr>
                <w:rFonts w:ascii="Times New Roman" w:hAnsi="Times New Roman" w:cs="Times New Roman"/>
                <w:color w:val="000000" w:themeColor="text1"/>
              </w:rPr>
              <w:t>)</w:t>
            </w:r>
          </w:p>
        </w:tc>
        <w:tc>
          <w:tcPr>
            <w:tcW w:w="0" w:type="auto"/>
          </w:tcPr>
          <w:p w14:paraId="309B93FB"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Multi-barrier simultaneous failure</w:t>
            </w:r>
          </w:p>
        </w:tc>
        <w:tc>
          <w:tcPr>
            <w:tcW w:w="0" w:type="auto"/>
          </w:tcPr>
          <w:p w14:paraId="5B88DAA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Structural safety layer</w:t>
            </w:r>
          </w:p>
        </w:tc>
        <w:tc>
          <w:tcPr>
            <w:tcW w:w="0" w:type="auto"/>
          </w:tcPr>
          <w:p w14:paraId="2C3903AC"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System</w:t>
            </w:r>
          </w:p>
        </w:tc>
      </w:tr>
      <w:tr w:rsidR="00D51155" w:rsidRPr="00B2510F" w14:paraId="5FECD85B" w14:textId="77777777" w:rsidTr="00FC2780">
        <w:tc>
          <w:tcPr>
            <w:tcW w:w="0" w:type="auto"/>
          </w:tcPr>
          <w:p w14:paraId="3FD62898"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Psychological Safety (</w:t>
            </w:r>
            <w:hyperlink r:id="rId51">
              <w:r w:rsidR="00D51155" w:rsidRPr="00B2510F">
                <w:rPr>
                  <w:rStyle w:val="Hyperlink"/>
                  <w:rFonts w:ascii="Times New Roman" w:hAnsi="Times New Roman" w:cs="Times New Roman"/>
                  <w:color w:val="000000" w:themeColor="text1"/>
                </w:rPr>
                <w:t>Edmondson, 1999</w:t>
              </w:r>
            </w:hyperlink>
            <w:r w:rsidRPr="00B2510F">
              <w:rPr>
                <w:rFonts w:ascii="Times New Roman" w:hAnsi="Times New Roman" w:cs="Times New Roman"/>
                <w:color w:val="000000" w:themeColor="text1"/>
              </w:rPr>
              <w:t>)</w:t>
            </w:r>
          </w:p>
        </w:tc>
        <w:tc>
          <w:tcPr>
            <w:tcW w:w="0" w:type="auto"/>
          </w:tcPr>
          <w:p w14:paraId="15E01FFF"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Interpersonal risk tolerance</w:t>
            </w:r>
          </w:p>
        </w:tc>
        <w:tc>
          <w:tcPr>
            <w:tcW w:w="0" w:type="auto"/>
          </w:tcPr>
          <w:p w14:paraId="523825C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Culture</w:t>
            </w:r>
          </w:p>
        </w:tc>
        <w:tc>
          <w:tcPr>
            <w:tcW w:w="0" w:type="auto"/>
          </w:tcPr>
          <w:p w14:paraId="4F0DCFE1"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Team</w:t>
            </w:r>
          </w:p>
        </w:tc>
      </w:tr>
      <w:tr w:rsidR="00D51155" w:rsidRPr="00B2510F" w14:paraId="65F7A152" w14:textId="77777777" w:rsidTr="00FC2780">
        <w:tc>
          <w:tcPr>
            <w:tcW w:w="0" w:type="auto"/>
          </w:tcPr>
          <w:p w14:paraId="1C35114C"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HRO (</w:t>
            </w:r>
            <w:hyperlink r:id="rId52">
              <w:r w:rsidR="00D51155" w:rsidRPr="00B2510F">
                <w:rPr>
                  <w:rStyle w:val="Hyperlink"/>
                  <w:rFonts w:ascii="Times New Roman" w:hAnsi="Times New Roman" w:cs="Times New Roman"/>
                  <w:color w:val="000000" w:themeColor="text1"/>
                </w:rPr>
                <w:t>Weick et al., 1999</w:t>
              </w:r>
            </w:hyperlink>
            <w:r w:rsidRPr="00B2510F">
              <w:rPr>
                <w:rFonts w:ascii="Times New Roman" w:hAnsi="Times New Roman" w:cs="Times New Roman"/>
                <w:color w:val="000000" w:themeColor="text1"/>
              </w:rPr>
              <w:t>)</w:t>
            </w:r>
          </w:p>
        </w:tc>
        <w:tc>
          <w:tcPr>
            <w:tcW w:w="0" w:type="auto"/>
          </w:tcPr>
          <w:p w14:paraId="3AE55C3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Collective mindfulness; preoccupation with failure</w:t>
            </w:r>
          </w:p>
        </w:tc>
        <w:tc>
          <w:tcPr>
            <w:tcW w:w="0" w:type="auto"/>
          </w:tcPr>
          <w:p w14:paraId="0C0F680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Organisational architecture</w:t>
            </w:r>
          </w:p>
        </w:tc>
        <w:tc>
          <w:tcPr>
            <w:tcW w:w="0" w:type="auto"/>
          </w:tcPr>
          <w:p w14:paraId="461670F1"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Organisation</w:t>
            </w:r>
          </w:p>
        </w:tc>
      </w:tr>
      <w:tr w:rsidR="00D51155" w:rsidRPr="00B2510F" w14:paraId="642C314F" w14:textId="77777777" w:rsidTr="00FC2780">
        <w:tc>
          <w:tcPr>
            <w:tcW w:w="0" w:type="auto"/>
          </w:tcPr>
          <w:p w14:paraId="67F4A379"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Human Factors Engineering</w:t>
            </w:r>
          </w:p>
        </w:tc>
        <w:tc>
          <w:tcPr>
            <w:tcW w:w="0" w:type="auto"/>
          </w:tcPr>
          <w:p w14:paraId="2F304D3F"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Cognitive load; situational awareness</w:t>
            </w:r>
          </w:p>
        </w:tc>
        <w:tc>
          <w:tcPr>
            <w:tcW w:w="0" w:type="auto"/>
          </w:tcPr>
          <w:p w14:paraId="6B104020"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Human factor</w:t>
            </w:r>
          </w:p>
        </w:tc>
        <w:tc>
          <w:tcPr>
            <w:tcW w:w="0" w:type="auto"/>
          </w:tcPr>
          <w:p w14:paraId="69790E73"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Individual/team</w:t>
            </w:r>
          </w:p>
        </w:tc>
      </w:tr>
      <w:tr w:rsidR="00D51155" w:rsidRPr="00B2510F" w14:paraId="4C083B2B" w14:textId="77777777" w:rsidTr="00FC2780">
        <w:tc>
          <w:tcPr>
            <w:tcW w:w="0" w:type="auto"/>
          </w:tcPr>
          <w:p w14:paraId="0E6C943F"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CRM</w:t>
            </w:r>
          </w:p>
        </w:tc>
        <w:tc>
          <w:tcPr>
            <w:tcW w:w="0" w:type="auto"/>
          </w:tcPr>
          <w:p w14:paraId="767FE19E"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Structured communication; flattened authority</w:t>
            </w:r>
          </w:p>
        </w:tc>
        <w:tc>
          <w:tcPr>
            <w:tcW w:w="0" w:type="auto"/>
          </w:tcPr>
          <w:p w14:paraId="22FF5519"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Communication architecture</w:t>
            </w:r>
          </w:p>
        </w:tc>
        <w:tc>
          <w:tcPr>
            <w:tcW w:w="0" w:type="auto"/>
          </w:tcPr>
          <w:p w14:paraId="38706CBC"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Team</w:t>
            </w:r>
          </w:p>
        </w:tc>
      </w:tr>
      <w:tr w:rsidR="00D51155" w:rsidRPr="00B2510F" w14:paraId="5B36951B" w14:textId="77777777" w:rsidTr="00FC2780">
        <w:tc>
          <w:tcPr>
            <w:tcW w:w="0" w:type="auto"/>
          </w:tcPr>
          <w:p w14:paraId="72D2B669"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lastRenderedPageBreak/>
              <w:t>SEIPS (</w:t>
            </w:r>
            <w:proofErr w:type="spellStart"/>
            <w:r w:rsidRPr="00B2510F">
              <w:rPr>
                <w:rFonts w:ascii="Times New Roman" w:hAnsi="Times New Roman" w:cs="Times New Roman"/>
                <w:color w:val="000000" w:themeColor="text1"/>
              </w:rPr>
              <w:fldChar w:fldCharType="begin"/>
            </w:r>
            <w:r w:rsidRPr="00B2510F">
              <w:rPr>
                <w:rFonts w:ascii="Times New Roman" w:hAnsi="Times New Roman" w:cs="Times New Roman"/>
                <w:color w:val="000000" w:themeColor="text1"/>
              </w:rPr>
              <w:instrText>HYPERLINK "https://doi.org/10.1136/qshc.2005.015842" \h</w:instrText>
            </w:r>
            <w:r w:rsidRPr="00B2510F">
              <w:rPr>
                <w:rFonts w:ascii="Times New Roman" w:hAnsi="Times New Roman" w:cs="Times New Roman"/>
                <w:color w:val="000000" w:themeColor="text1"/>
              </w:rPr>
            </w:r>
            <w:r w:rsidRPr="00B2510F">
              <w:rPr>
                <w:rFonts w:ascii="Times New Roman" w:hAnsi="Times New Roman" w:cs="Times New Roman"/>
                <w:color w:val="000000" w:themeColor="text1"/>
              </w:rPr>
              <w:fldChar w:fldCharType="separate"/>
            </w:r>
            <w:r w:rsidRPr="00B2510F">
              <w:rPr>
                <w:rStyle w:val="Hyperlink"/>
                <w:rFonts w:ascii="Times New Roman" w:hAnsi="Times New Roman" w:cs="Times New Roman"/>
                <w:color w:val="000000" w:themeColor="text1"/>
              </w:rPr>
              <w:t>Carayon</w:t>
            </w:r>
            <w:proofErr w:type="spellEnd"/>
            <w:r w:rsidRPr="00B2510F">
              <w:rPr>
                <w:rStyle w:val="Hyperlink"/>
                <w:rFonts w:ascii="Times New Roman" w:hAnsi="Times New Roman" w:cs="Times New Roman"/>
                <w:color w:val="000000" w:themeColor="text1"/>
              </w:rPr>
              <w:t xml:space="preserve"> et al., 2006</w:t>
            </w:r>
            <w:r w:rsidRPr="00B2510F">
              <w:rPr>
                <w:rFonts w:ascii="Times New Roman" w:hAnsi="Times New Roman" w:cs="Times New Roman"/>
                <w:color w:val="000000" w:themeColor="text1"/>
              </w:rPr>
              <w:fldChar w:fldCharType="end"/>
            </w:r>
            <w:r w:rsidRPr="00B2510F">
              <w:rPr>
                <w:rFonts w:ascii="Times New Roman" w:hAnsi="Times New Roman" w:cs="Times New Roman"/>
                <w:color w:val="000000" w:themeColor="text1"/>
              </w:rPr>
              <w:t>)</w:t>
            </w:r>
          </w:p>
        </w:tc>
        <w:tc>
          <w:tcPr>
            <w:tcW w:w="0" w:type="auto"/>
          </w:tcPr>
          <w:p w14:paraId="18ACD98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Work-system × outcome interaction</w:t>
            </w:r>
          </w:p>
        </w:tc>
        <w:tc>
          <w:tcPr>
            <w:tcW w:w="0" w:type="auto"/>
          </w:tcPr>
          <w:p w14:paraId="3A21BB6D"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Systems architecture</w:t>
            </w:r>
          </w:p>
        </w:tc>
        <w:tc>
          <w:tcPr>
            <w:tcW w:w="0" w:type="auto"/>
          </w:tcPr>
          <w:p w14:paraId="3B2024F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System</w:t>
            </w:r>
          </w:p>
        </w:tc>
      </w:tr>
      <w:tr w:rsidR="00D51155" w:rsidRPr="00B2510F" w14:paraId="6EEE4E9E" w14:textId="77777777" w:rsidTr="00FC2780">
        <w:tc>
          <w:tcPr>
            <w:tcW w:w="0" w:type="auto"/>
          </w:tcPr>
          <w:p w14:paraId="58031F4C"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Systems Resilience</w:t>
            </w:r>
          </w:p>
        </w:tc>
        <w:tc>
          <w:tcPr>
            <w:tcW w:w="0" w:type="auto"/>
          </w:tcPr>
          <w:p w14:paraId="0AD4956F"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Adaptive capacity; near-miss learning</w:t>
            </w:r>
          </w:p>
        </w:tc>
        <w:tc>
          <w:tcPr>
            <w:tcW w:w="0" w:type="auto"/>
          </w:tcPr>
          <w:p w14:paraId="1875693E"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Resilience</w:t>
            </w:r>
          </w:p>
        </w:tc>
        <w:tc>
          <w:tcPr>
            <w:tcW w:w="0" w:type="auto"/>
          </w:tcPr>
          <w:p w14:paraId="6B531F8D"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Organisation</w:t>
            </w:r>
          </w:p>
        </w:tc>
      </w:tr>
      <w:tr w:rsidR="00D51155" w:rsidRPr="00B2510F" w14:paraId="47F33C58" w14:textId="77777777" w:rsidTr="00FC2780">
        <w:tc>
          <w:tcPr>
            <w:tcW w:w="0" w:type="auto"/>
          </w:tcPr>
          <w:p w14:paraId="474B00E7"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NPT (</w:t>
            </w:r>
            <w:hyperlink r:id="rId53">
              <w:r w:rsidR="00D51155" w:rsidRPr="00B2510F">
                <w:rPr>
                  <w:rStyle w:val="Hyperlink"/>
                  <w:rFonts w:ascii="Times New Roman" w:hAnsi="Times New Roman" w:cs="Times New Roman"/>
                  <w:color w:val="000000" w:themeColor="text1"/>
                </w:rPr>
                <w:t>May &amp; Finch, 2009</w:t>
              </w:r>
            </w:hyperlink>
            <w:r w:rsidRPr="00B2510F">
              <w:rPr>
                <w:rFonts w:ascii="Times New Roman" w:hAnsi="Times New Roman" w:cs="Times New Roman"/>
                <w:color w:val="000000" w:themeColor="text1"/>
              </w:rPr>
              <w:t>)</w:t>
            </w:r>
          </w:p>
        </w:tc>
        <w:tc>
          <w:tcPr>
            <w:tcW w:w="0" w:type="auto"/>
          </w:tcPr>
          <w:p w14:paraId="236E815A"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Cognitive participation; collective action</w:t>
            </w:r>
          </w:p>
        </w:tc>
        <w:tc>
          <w:tcPr>
            <w:tcW w:w="0" w:type="auto"/>
          </w:tcPr>
          <w:p w14:paraId="61650E98"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Cultural implementation</w:t>
            </w:r>
          </w:p>
        </w:tc>
        <w:tc>
          <w:tcPr>
            <w:tcW w:w="0" w:type="auto"/>
          </w:tcPr>
          <w:p w14:paraId="7CEDC03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Team/org</w:t>
            </w:r>
          </w:p>
        </w:tc>
      </w:tr>
      <w:tr w:rsidR="00D51155" w:rsidRPr="00B2510F" w14:paraId="3A74AB8E" w14:textId="77777777" w:rsidTr="00FC2780">
        <w:tc>
          <w:tcPr>
            <w:tcW w:w="0" w:type="auto"/>
          </w:tcPr>
          <w:p w14:paraId="595ED150"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Safety-II (</w:t>
            </w:r>
            <w:hyperlink r:id="rId54">
              <w:r w:rsidR="00D51155" w:rsidRPr="00B2510F">
                <w:rPr>
                  <w:rStyle w:val="Hyperlink"/>
                  <w:rFonts w:ascii="Times New Roman" w:hAnsi="Times New Roman" w:cs="Times New Roman"/>
                  <w:color w:val="000000" w:themeColor="text1"/>
                </w:rPr>
                <w:t>Hollnagel, 2018</w:t>
              </w:r>
            </w:hyperlink>
            <w:r w:rsidRPr="00B2510F">
              <w:rPr>
                <w:rFonts w:ascii="Times New Roman" w:hAnsi="Times New Roman" w:cs="Times New Roman"/>
                <w:color w:val="000000" w:themeColor="text1"/>
              </w:rPr>
              <w:t>)</w:t>
            </w:r>
          </w:p>
        </w:tc>
        <w:tc>
          <w:tcPr>
            <w:tcW w:w="0" w:type="auto"/>
          </w:tcPr>
          <w:p w14:paraId="2590BFA2" w14:textId="2CA4BCB3"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What goes right</w:t>
            </w:r>
            <w:r w:rsidR="00FA3205">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positive safety</w:t>
            </w:r>
          </w:p>
        </w:tc>
        <w:tc>
          <w:tcPr>
            <w:tcW w:w="0" w:type="auto"/>
          </w:tcPr>
          <w:p w14:paraId="3D146DF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Positive safety layer</w:t>
            </w:r>
          </w:p>
        </w:tc>
        <w:tc>
          <w:tcPr>
            <w:tcW w:w="0" w:type="auto"/>
          </w:tcPr>
          <w:p w14:paraId="53CB547A"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System</w:t>
            </w:r>
          </w:p>
        </w:tc>
      </w:tr>
    </w:tbl>
    <w:p w14:paraId="28E63B42" w14:textId="67485774"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Three tensions warrant acknowledgement. The Swiss Cheese Model is retrospective</w:t>
      </w:r>
      <w:r w:rsidR="00FC2780"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and HRO is prospective; IRPA reads them as complementary temporalities rather than rivals. Psychological safety sits at the team level and HRO at the organisational level; IRPA nests the former within the latter. Systems Resilience presumes organisational learning, yet RSI rates persist despite reporting infrastructures</w:t>
      </w:r>
      <w:r w:rsidR="00FC2780"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so </w:t>
      </w:r>
      <w:r w:rsidR="00FC2780" w:rsidRPr="00B2510F">
        <w:rPr>
          <w:rFonts w:ascii="Times New Roman" w:hAnsi="Times New Roman" w:cs="Times New Roman"/>
          <w:color w:val="000000" w:themeColor="text1"/>
        </w:rPr>
        <w:t>a just-versus-punitive culture is added as the moderator determining</w:t>
      </w:r>
      <w:r w:rsidRPr="00B2510F">
        <w:rPr>
          <w:rFonts w:ascii="Times New Roman" w:hAnsi="Times New Roman" w:cs="Times New Roman"/>
          <w:color w:val="000000" w:themeColor="text1"/>
        </w:rPr>
        <w:t xml:space="preserve"> whether resilience mechanisms are operationally accessible at all.</w:t>
      </w:r>
    </w:p>
    <w:p w14:paraId="698610FF" w14:textId="77777777" w:rsidR="00D51155" w:rsidRPr="00C5081A"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19" w:name="_Toc230543071"/>
      <w:bookmarkStart w:id="20" w:name="X1afe83fc28f6a196792fe18d6ce5c4498d6ae79"/>
      <w:bookmarkEnd w:id="18"/>
      <w:r w:rsidRPr="00C5081A">
        <w:rPr>
          <w:rFonts w:ascii="Times New Roman" w:hAnsi="Times New Roman" w:cs="Times New Roman"/>
          <w:b/>
          <w:bCs/>
          <w:color w:val="000000" w:themeColor="text1"/>
          <w:sz w:val="24"/>
          <w:szCs w:val="24"/>
        </w:rPr>
        <w:t>6. The Integrated RSI Prevention Architecture</w:t>
      </w:r>
      <w:bookmarkEnd w:id="19"/>
    </w:p>
    <w:p w14:paraId="574707BD" w14:textId="77777777" w:rsidR="00D51155" w:rsidRPr="00C5081A" w:rsidRDefault="00000000" w:rsidP="00856882">
      <w:pPr>
        <w:pStyle w:val="Heading3"/>
        <w:spacing w:line="360" w:lineRule="auto"/>
        <w:jc w:val="both"/>
        <w:rPr>
          <w:rFonts w:ascii="Times New Roman" w:hAnsi="Times New Roman" w:cs="Times New Roman"/>
          <w:b/>
          <w:bCs/>
          <w:color w:val="000000" w:themeColor="text1"/>
          <w:sz w:val="24"/>
          <w:szCs w:val="24"/>
        </w:rPr>
      </w:pPr>
      <w:bookmarkStart w:id="21" w:name="X623a6ae4c4cf85d244d1198e7586c3bd1047389"/>
      <w:r w:rsidRPr="00C5081A">
        <w:rPr>
          <w:rFonts w:ascii="Times New Roman" w:hAnsi="Times New Roman" w:cs="Times New Roman"/>
          <w:b/>
          <w:bCs/>
          <w:color w:val="000000" w:themeColor="text1"/>
          <w:sz w:val="24"/>
          <w:szCs w:val="24"/>
        </w:rPr>
        <w:t>6.1 Architecture</w:t>
      </w:r>
    </w:p>
    <w:p w14:paraId="5B00B639" w14:textId="5ACA4661"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IRPA frames the retained item as the emergent product of concurrent failure across six domains: organisational culture, psychological safety, authority gradient, communication architecture, technology integration, and governance. Five moderators shape the strength of those relationships</w:t>
      </w:r>
      <w:r w:rsidR="00FC2780"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fatigue and cognitive load, emergency case type, intraoperative handover, just-versus-punitive culture, and case complexity. Outcomes of interest are RSI occurrence (or aversion), near-miss detection rate, and team safety climate (Figure 1).</w:t>
      </w:r>
    </w:p>
    <w:p w14:paraId="455B9D5F" w14:textId="3389C484" w:rsidR="00D51155" w:rsidRDefault="00000000" w:rsidP="00856882">
      <w:pPr>
        <w:pStyle w:val="BodyText"/>
        <w:spacing w:line="360" w:lineRule="auto"/>
        <w:jc w:val="both"/>
        <w:rPr>
          <w:rFonts w:ascii="Times New Roman" w:hAnsi="Times New Roman" w:cs="Times New Roman"/>
          <w:i/>
          <w:iCs/>
          <w:color w:val="000000" w:themeColor="text1"/>
        </w:rPr>
      </w:pPr>
      <w:r w:rsidRPr="00B2510F">
        <w:rPr>
          <w:rFonts w:ascii="Times New Roman" w:hAnsi="Times New Roman" w:cs="Times New Roman"/>
          <w:i/>
          <w:iCs/>
          <w:color w:val="000000" w:themeColor="text1"/>
        </w:rPr>
        <w:t>Figure 1 Integrated RSI Prevention Architecture (IRPA).</w:t>
      </w:r>
    </w:p>
    <w:p w14:paraId="5D6FF804" w14:textId="2AC01EEC" w:rsidR="00C5081A" w:rsidRPr="00B2510F" w:rsidRDefault="00C5081A" w:rsidP="00856882">
      <w:pPr>
        <w:pStyle w:val="BodyText"/>
        <w:spacing w:line="360" w:lineRule="auto"/>
        <w:jc w:val="both"/>
        <w:rPr>
          <w:rFonts w:ascii="Times New Roman" w:hAnsi="Times New Roman" w:cs="Times New Roman"/>
          <w:color w:val="000000" w:themeColor="text1"/>
        </w:rPr>
      </w:pPr>
      <w:r w:rsidRPr="00C5081A">
        <w:rPr>
          <w:rFonts w:ascii="Times New Roman" w:hAnsi="Times New Roman" w:cs="Times New Roman"/>
          <w:color w:val="000000" w:themeColor="text1"/>
        </w:rPr>
        <w:lastRenderedPageBreak/>
        <w:drawing>
          <wp:inline distT="0" distB="0" distL="0" distR="0" wp14:anchorId="276F0380" wp14:editId="6CB43310">
            <wp:extent cx="6286500" cy="6652260"/>
            <wp:effectExtent l="0" t="0" r="0" b="0"/>
            <wp:docPr id="463193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93771" name=""/>
                    <pic:cNvPicPr/>
                  </pic:nvPicPr>
                  <pic:blipFill>
                    <a:blip r:embed="rId55"/>
                    <a:stretch>
                      <a:fillRect/>
                    </a:stretch>
                  </pic:blipFill>
                  <pic:spPr>
                    <a:xfrm>
                      <a:off x="0" y="0"/>
                      <a:ext cx="6286500" cy="6652260"/>
                    </a:xfrm>
                    <a:prstGeom prst="rect">
                      <a:avLst/>
                    </a:prstGeom>
                  </pic:spPr>
                </pic:pic>
              </a:graphicData>
            </a:graphic>
          </wp:inline>
        </w:drawing>
      </w:r>
    </w:p>
    <w:p w14:paraId="66B1183B" w14:textId="77777777" w:rsidR="00D51155" w:rsidRPr="00C5081A" w:rsidRDefault="00000000" w:rsidP="00856882">
      <w:pPr>
        <w:pStyle w:val="Heading3"/>
        <w:spacing w:line="360" w:lineRule="auto"/>
        <w:jc w:val="both"/>
        <w:rPr>
          <w:rFonts w:ascii="Times New Roman" w:hAnsi="Times New Roman" w:cs="Times New Roman"/>
          <w:b/>
          <w:bCs/>
          <w:color w:val="000000" w:themeColor="text1"/>
          <w:sz w:val="24"/>
          <w:szCs w:val="24"/>
        </w:rPr>
      </w:pPr>
      <w:bookmarkStart w:id="22" w:name="Xa51ca638e05e8371f2d5a915ba36dcf731e2c55"/>
      <w:bookmarkEnd w:id="21"/>
      <w:r w:rsidRPr="00C5081A">
        <w:rPr>
          <w:rFonts w:ascii="Times New Roman" w:hAnsi="Times New Roman" w:cs="Times New Roman"/>
          <w:b/>
          <w:bCs/>
          <w:color w:val="000000" w:themeColor="text1"/>
          <w:sz w:val="24"/>
          <w:szCs w:val="24"/>
        </w:rPr>
        <w:t>6.2 Propositions</w:t>
      </w:r>
    </w:p>
    <w:p w14:paraId="32FB7DA7" w14:textId="676558AC"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The framework yields ten falsifiable propositions. Six core propositions are presented in Table 3 and discussed below; the four extending propositions fatigue moderation (P4), RFID culture moderation (P5), briefings as amplifiers (P6), and LMIC sequencing (P10) appear with their disconfirmation conditions in Appendix C.</w:t>
      </w:r>
    </w:p>
    <w:p w14:paraId="751050EC" w14:textId="77777777"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lastRenderedPageBreak/>
        <w:t>Table 3. Core IRPA propositions.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1"/>
        <w:gridCol w:w="4608"/>
        <w:gridCol w:w="2471"/>
        <w:gridCol w:w="1800"/>
      </w:tblGrid>
      <w:tr w:rsidR="00D51155" w:rsidRPr="00B2510F" w14:paraId="2E9FAA4C" w14:textId="77777777" w:rsidTr="00FC2780">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0DFD6519"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ID</w:t>
            </w:r>
          </w:p>
        </w:tc>
        <w:tc>
          <w:tcPr>
            <w:tcW w:w="0" w:type="auto"/>
            <w:tcBorders>
              <w:bottom w:val="none" w:sz="0" w:space="0" w:color="auto"/>
            </w:tcBorders>
          </w:tcPr>
          <w:p w14:paraId="4D1C313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Proposition</w:t>
            </w:r>
          </w:p>
        </w:tc>
        <w:tc>
          <w:tcPr>
            <w:tcW w:w="0" w:type="auto"/>
            <w:tcBorders>
              <w:bottom w:val="none" w:sz="0" w:space="0" w:color="auto"/>
            </w:tcBorders>
          </w:tcPr>
          <w:p w14:paraId="4D981F1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Theoretical anchor</w:t>
            </w:r>
          </w:p>
        </w:tc>
        <w:tc>
          <w:tcPr>
            <w:tcW w:w="0" w:type="auto"/>
            <w:tcBorders>
              <w:bottom w:val="none" w:sz="0" w:space="0" w:color="auto"/>
            </w:tcBorders>
          </w:tcPr>
          <w:p w14:paraId="5FED5340"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Predicted relationship</w:t>
            </w:r>
          </w:p>
        </w:tc>
      </w:tr>
      <w:tr w:rsidR="00D51155" w:rsidRPr="00B2510F" w14:paraId="2A8028B7" w14:textId="77777777" w:rsidTr="00FC2780">
        <w:tc>
          <w:tcPr>
            <w:tcW w:w="0" w:type="auto"/>
          </w:tcPr>
          <w:p w14:paraId="3E54FC9A"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P1</w:t>
            </w:r>
          </w:p>
        </w:tc>
        <w:tc>
          <w:tcPr>
            <w:tcW w:w="0" w:type="auto"/>
          </w:tcPr>
          <w:p w14:paraId="5D6B755D"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Higher operating-theatre psychological safety is associated with more count vocalisations, lower SSC non-compliance, and lower institutional RSI incidence</w:t>
            </w:r>
          </w:p>
        </w:tc>
        <w:tc>
          <w:tcPr>
            <w:tcW w:w="0" w:type="auto"/>
          </w:tcPr>
          <w:p w14:paraId="7E824D51"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Edmondson (1999); Frazier et al. (2017)</w:t>
            </w:r>
          </w:p>
        </w:tc>
        <w:tc>
          <w:tcPr>
            <w:tcW w:w="0" w:type="auto"/>
          </w:tcPr>
          <w:p w14:paraId="67DD2924"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w:t>
            </w:r>
          </w:p>
        </w:tc>
      </w:tr>
      <w:tr w:rsidR="00D51155" w:rsidRPr="00B2510F" w14:paraId="7EA88392" w14:textId="77777777" w:rsidTr="00FC2780">
        <w:tc>
          <w:tcPr>
            <w:tcW w:w="0" w:type="auto"/>
          </w:tcPr>
          <w:p w14:paraId="11A6B7C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P2</w:t>
            </w:r>
          </w:p>
        </w:tc>
        <w:tc>
          <w:tcPr>
            <w:tcW w:w="0" w:type="auto"/>
          </w:tcPr>
          <w:p w14:paraId="43E4B863"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Theatres using structured CRM communication show fewer unresolved count discrepancies than non-CRM theatres</w:t>
            </w:r>
          </w:p>
        </w:tc>
        <w:tc>
          <w:tcPr>
            <w:tcW w:w="0" w:type="auto"/>
          </w:tcPr>
          <w:p w14:paraId="3882942B"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Neily et al. (2010); Schmutz &amp; Manser (2013)</w:t>
            </w:r>
          </w:p>
        </w:tc>
        <w:tc>
          <w:tcPr>
            <w:tcW w:w="0" w:type="auto"/>
          </w:tcPr>
          <w:p w14:paraId="047B062C"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w:t>
            </w:r>
          </w:p>
        </w:tc>
      </w:tr>
      <w:tr w:rsidR="00D51155" w:rsidRPr="00B2510F" w14:paraId="0DF4A7D3" w14:textId="77777777" w:rsidTr="00FC2780">
        <w:tc>
          <w:tcPr>
            <w:tcW w:w="0" w:type="auto"/>
          </w:tcPr>
          <w:p w14:paraId="21CC841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P3</w:t>
            </w:r>
          </w:p>
        </w:tc>
        <w:tc>
          <w:tcPr>
            <w:tcW w:w="0" w:type="auto"/>
          </w:tcPr>
          <w:p w14:paraId="3DF3DFD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SSCs administered without cognitive engagement produce no RSI reduction; collective-action collapse is the mediating mechanism</w:t>
            </w:r>
          </w:p>
        </w:tc>
        <w:tc>
          <w:tcPr>
            <w:tcW w:w="0" w:type="auto"/>
          </w:tcPr>
          <w:p w14:paraId="4FDEF626" w14:textId="61DD9B19"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May &amp; Finch (2009)</w:t>
            </w:r>
            <w:r w:rsidR="00FC2780"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Urbach et al. (2014); Etheridge et al. (2024)</w:t>
            </w:r>
          </w:p>
        </w:tc>
        <w:tc>
          <w:tcPr>
            <w:tcW w:w="0" w:type="auto"/>
          </w:tcPr>
          <w:p w14:paraId="3795EEBD" w14:textId="38C97424"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null until engagement </w:t>
            </w:r>
            <w:r w:rsidR="00FC2780" w:rsidRPr="00B2510F">
              <w:rPr>
                <w:rFonts w:ascii="Times New Roman" w:hAnsi="Times New Roman" w:cs="Times New Roman"/>
                <w:color w:val="000000" w:themeColor="text1"/>
              </w:rPr>
              <w:t xml:space="preserve">is </w:t>
            </w:r>
            <w:r w:rsidRPr="00B2510F">
              <w:rPr>
                <w:rFonts w:ascii="Times New Roman" w:hAnsi="Times New Roman" w:cs="Times New Roman"/>
                <w:color w:val="000000" w:themeColor="text1"/>
              </w:rPr>
              <w:t>restored</w:t>
            </w:r>
          </w:p>
        </w:tc>
      </w:tr>
      <w:tr w:rsidR="00D51155" w:rsidRPr="00B2510F" w14:paraId="7788F3DC" w14:textId="77777777" w:rsidTr="00FC2780">
        <w:tc>
          <w:tcPr>
            <w:tcW w:w="0" w:type="auto"/>
          </w:tcPr>
          <w:p w14:paraId="7DD6F0FC"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P7</w:t>
            </w:r>
          </w:p>
        </w:tc>
        <w:tc>
          <w:tcPr>
            <w:tcW w:w="0" w:type="auto"/>
          </w:tcPr>
          <w:p w14:paraId="39E8019D"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Institutions with a verified just culture (policy + survey) show higher near-miss RSI reporting and faster learning cycles</w:t>
            </w:r>
          </w:p>
        </w:tc>
        <w:tc>
          <w:tcPr>
            <w:tcW w:w="0" w:type="auto"/>
          </w:tcPr>
          <w:p w14:paraId="1492A680"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Reason (1997); Dekker (2016)</w:t>
            </w:r>
          </w:p>
        </w:tc>
        <w:tc>
          <w:tcPr>
            <w:tcW w:w="0" w:type="auto"/>
          </w:tcPr>
          <w:p w14:paraId="590A3465"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w:t>
            </w:r>
          </w:p>
        </w:tc>
      </w:tr>
      <w:tr w:rsidR="00D51155" w:rsidRPr="00B2510F" w14:paraId="277720C6" w14:textId="77777777" w:rsidTr="00FC2780">
        <w:tc>
          <w:tcPr>
            <w:tcW w:w="0" w:type="auto"/>
          </w:tcPr>
          <w:p w14:paraId="5C0031B6"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P8</w:t>
            </w:r>
          </w:p>
        </w:tc>
        <w:tc>
          <w:tcPr>
            <w:tcW w:w="0" w:type="auto"/>
          </w:tcPr>
          <w:p w14:paraId="0E7FF773"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RFID achieves maximum clinical effect in high-psychological-safety theatres because alerts are treated as binding signals</w:t>
            </w:r>
          </w:p>
        </w:tc>
        <w:tc>
          <w:tcPr>
            <w:tcW w:w="0" w:type="auto"/>
          </w:tcPr>
          <w:p w14:paraId="5E44B292"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Edmondson (1999); Carayon et al. (2006); Carmack et al. (2023)</w:t>
            </w:r>
          </w:p>
        </w:tc>
        <w:tc>
          <w:tcPr>
            <w:tcW w:w="0" w:type="auto"/>
          </w:tcPr>
          <w:p w14:paraId="0C8362EF"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interaction</w:t>
            </w:r>
          </w:p>
        </w:tc>
      </w:tr>
      <w:tr w:rsidR="00D51155" w:rsidRPr="00B2510F" w14:paraId="5B682E33" w14:textId="77777777" w:rsidTr="00FC2780">
        <w:tc>
          <w:tcPr>
            <w:tcW w:w="0" w:type="auto"/>
          </w:tcPr>
          <w:p w14:paraId="20311D61"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P9</w:t>
            </w:r>
          </w:p>
        </w:tc>
        <w:tc>
          <w:tcPr>
            <w:tcW w:w="0" w:type="auto"/>
          </w:tcPr>
          <w:p w14:paraId="1740D6BA"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Accreditation bodies that shift from documentary to behavioural and simulation-based audit show measurably lower RSI rates</w:t>
            </w:r>
          </w:p>
        </w:tc>
        <w:tc>
          <w:tcPr>
            <w:tcW w:w="0" w:type="auto"/>
          </w:tcPr>
          <w:p w14:paraId="2D7A51CC" w14:textId="4487E45F"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Urbach et al. (2014)</w:t>
            </w:r>
            <w:r w:rsidR="00FC2780"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Reason (1997)</w:t>
            </w:r>
          </w:p>
        </w:tc>
        <w:tc>
          <w:tcPr>
            <w:tcW w:w="0" w:type="auto"/>
          </w:tcPr>
          <w:p w14:paraId="48A0C9BD" w14:textId="77777777" w:rsidR="00D51155" w:rsidRPr="00B2510F" w:rsidRDefault="00000000" w:rsidP="00856882">
            <w:pPr>
              <w:pStyle w:val="Compac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w:t>
            </w:r>
          </w:p>
        </w:tc>
      </w:tr>
    </w:tbl>
    <w:p w14:paraId="46C152DD" w14:textId="77777777"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P1.</w:t>
      </w:r>
      <w:r w:rsidRPr="00B2510F">
        <w:rPr>
          <w:rFonts w:ascii="Times New Roman" w:hAnsi="Times New Roman" w:cs="Times New Roman"/>
          <w:color w:val="000000" w:themeColor="text1"/>
        </w:rPr>
        <w:t xml:space="preserve"> The last human barrier rests on a single act: a scrub or circulating nurse vocalising an unresolved count while closure is in motion. Whether that act happens depends less on the protocol's existence than on the psychological conditions in which it operates, with leader inclusiveness the primary lever (</w:t>
      </w:r>
      <w:hyperlink r:id="rId56">
        <w:r w:rsidR="00D51155" w:rsidRPr="00B2510F">
          <w:rPr>
            <w:rStyle w:val="Hyperlink"/>
            <w:rFonts w:ascii="Times New Roman" w:hAnsi="Times New Roman" w:cs="Times New Roman"/>
            <w:color w:val="000000" w:themeColor="text1"/>
          </w:rPr>
          <w:t>Edmondson, 1999</w:t>
        </w:r>
      </w:hyperlink>
      <w:r w:rsidRPr="00B2510F">
        <w:rPr>
          <w:rFonts w:ascii="Times New Roman" w:hAnsi="Times New Roman" w:cs="Times New Roman"/>
          <w:color w:val="000000" w:themeColor="text1"/>
        </w:rPr>
        <w:t xml:space="preserve">; </w:t>
      </w:r>
      <w:hyperlink r:id="rId57">
        <w:r w:rsidR="00D51155" w:rsidRPr="00B2510F">
          <w:rPr>
            <w:rStyle w:val="Hyperlink"/>
            <w:rFonts w:ascii="Times New Roman" w:hAnsi="Times New Roman" w:cs="Times New Roman"/>
            <w:color w:val="000000" w:themeColor="text1"/>
          </w:rPr>
          <w:t>Frazier et al., 2017</w:t>
        </w:r>
      </w:hyperlink>
      <w:r w:rsidRPr="00B2510F">
        <w:rPr>
          <w:rFonts w:ascii="Times New Roman" w:hAnsi="Times New Roman" w:cs="Times New Roman"/>
          <w:color w:val="000000" w:themeColor="text1"/>
        </w:rPr>
        <w:t xml:space="preserve">). </w:t>
      </w:r>
      <w:r w:rsidRPr="00B2510F">
        <w:rPr>
          <w:rFonts w:ascii="Times New Roman" w:hAnsi="Times New Roman" w:cs="Times New Roman"/>
          <w:i/>
          <w:iCs/>
          <w:color w:val="000000" w:themeColor="text1"/>
        </w:rPr>
        <w:t>Disconfirmation:</w:t>
      </w:r>
      <w:r w:rsidRPr="00B2510F">
        <w:rPr>
          <w:rFonts w:ascii="Times New Roman" w:hAnsi="Times New Roman" w:cs="Times New Roman"/>
          <w:color w:val="000000" w:themeColor="text1"/>
        </w:rPr>
        <w:t xml:space="preserve"> multi-site data show no association between validated psychological safety scores and either count vocalisation or SSC non-compliance.</w:t>
      </w:r>
    </w:p>
    <w:p w14:paraId="0194B730" w14:textId="07EB447A"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lastRenderedPageBreak/>
        <w:t>P2.</w:t>
      </w:r>
      <w:r w:rsidRPr="00B2510F">
        <w:rPr>
          <w:rFonts w:ascii="Times New Roman" w:hAnsi="Times New Roman" w:cs="Times New Roman"/>
          <w:color w:val="000000" w:themeColor="text1"/>
        </w:rPr>
        <w:t xml:space="preserve"> Psychological safety is necessary but not sufficient; a willing nurse still needs scripted, legitimised language and a clear escalation pathway, both of which CRM supplies (</w:t>
      </w:r>
      <w:hyperlink r:id="rId58">
        <w:r w:rsidR="00D51155" w:rsidRPr="00B2510F">
          <w:rPr>
            <w:rStyle w:val="Hyperlink"/>
            <w:rFonts w:ascii="Times New Roman" w:hAnsi="Times New Roman" w:cs="Times New Roman"/>
            <w:color w:val="000000" w:themeColor="text1"/>
          </w:rPr>
          <w:t>Neily et al., 2010</w:t>
        </w:r>
      </w:hyperlink>
      <w:r w:rsidRPr="00B2510F">
        <w:rPr>
          <w:rFonts w:ascii="Times New Roman" w:hAnsi="Times New Roman" w:cs="Times New Roman"/>
          <w:color w:val="000000" w:themeColor="text1"/>
        </w:rPr>
        <w:t xml:space="preserve">; </w:t>
      </w:r>
      <w:hyperlink r:id="rId59">
        <w:r w:rsidR="00D51155" w:rsidRPr="00B2510F">
          <w:rPr>
            <w:rStyle w:val="Hyperlink"/>
            <w:rFonts w:ascii="Times New Roman" w:hAnsi="Times New Roman" w:cs="Times New Roman"/>
            <w:color w:val="000000" w:themeColor="text1"/>
          </w:rPr>
          <w:t>Schmutz &amp; Manser, 2013</w:t>
        </w:r>
      </w:hyperlink>
      <w:r w:rsidRPr="00B2510F">
        <w:rPr>
          <w:rFonts w:ascii="Times New Roman" w:hAnsi="Times New Roman" w:cs="Times New Roman"/>
          <w:color w:val="000000" w:themeColor="text1"/>
        </w:rPr>
        <w:t xml:space="preserve">). CRM and TeamSTEPPS are treated as equivalent behavioural pathways pending </w:t>
      </w:r>
      <w:r w:rsidR="00FC2780" w:rsidRPr="00B2510F">
        <w:rPr>
          <w:rFonts w:ascii="Times New Roman" w:hAnsi="Times New Roman" w:cs="Times New Roman"/>
          <w:color w:val="000000" w:themeColor="text1"/>
        </w:rPr>
        <w:t>evidence from comparative trials</w:t>
      </w:r>
      <w:r w:rsidRPr="00B2510F">
        <w:rPr>
          <w:rFonts w:ascii="Times New Roman" w:hAnsi="Times New Roman" w:cs="Times New Roman"/>
          <w:color w:val="000000" w:themeColor="text1"/>
        </w:rPr>
        <w:t xml:space="preserve">. </w:t>
      </w:r>
      <w:r w:rsidRPr="00B2510F">
        <w:rPr>
          <w:rFonts w:ascii="Times New Roman" w:hAnsi="Times New Roman" w:cs="Times New Roman"/>
          <w:i/>
          <w:iCs/>
          <w:color w:val="000000" w:themeColor="text1"/>
        </w:rPr>
        <w:t>Disconfirmation:</w:t>
      </w:r>
      <w:r w:rsidRPr="00B2510F">
        <w:rPr>
          <w:rFonts w:ascii="Times New Roman" w:hAnsi="Times New Roman" w:cs="Times New Roman"/>
          <w:color w:val="000000" w:themeColor="text1"/>
        </w:rPr>
        <w:t xml:space="preserve"> matched CRM and non-CRM theatres show no difference in count-discrepancy escalation in a prospective controlled study.</w:t>
      </w:r>
    </w:p>
    <w:p w14:paraId="41446A2E" w14:textId="4AE2AE79"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P3.</w:t>
      </w:r>
      <w:r w:rsidRPr="00B2510F">
        <w:rPr>
          <w:rFonts w:ascii="Times New Roman" w:hAnsi="Times New Roman" w:cs="Times New Roman"/>
          <w:color w:val="000000" w:themeColor="text1"/>
        </w:rPr>
        <w:t xml:space="preserve"> The Ontario null result is the paradox NPT resolves. Where cognitive participation collapses, Sign-Out vocalisations occur without attentional engagement</w:t>
      </w:r>
      <w:r w:rsidR="00FC2780"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and the safety pause becomes paperwork (</w:t>
      </w:r>
      <w:hyperlink r:id="rId60">
        <w:r w:rsidR="00D51155" w:rsidRPr="00B2510F">
          <w:rPr>
            <w:rStyle w:val="Hyperlink"/>
            <w:rFonts w:ascii="Times New Roman" w:hAnsi="Times New Roman" w:cs="Times New Roman"/>
            <w:color w:val="000000" w:themeColor="text1"/>
          </w:rPr>
          <w:t>May &amp; Finch, 2009</w:t>
        </w:r>
      </w:hyperlink>
      <w:r w:rsidRPr="00B2510F">
        <w:rPr>
          <w:rFonts w:ascii="Times New Roman" w:hAnsi="Times New Roman" w:cs="Times New Roman"/>
          <w:color w:val="000000" w:themeColor="text1"/>
        </w:rPr>
        <w:t xml:space="preserve">; </w:t>
      </w:r>
      <w:hyperlink r:id="rId61">
        <w:r w:rsidR="00D51155" w:rsidRPr="00B2510F">
          <w:rPr>
            <w:rStyle w:val="Hyperlink"/>
            <w:rFonts w:ascii="Times New Roman" w:hAnsi="Times New Roman" w:cs="Times New Roman"/>
            <w:color w:val="000000" w:themeColor="text1"/>
          </w:rPr>
          <w:t>Etheridge et al., 2024</w:t>
        </w:r>
      </w:hyperlink>
      <w:r w:rsidRPr="00B2510F">
        <w:rPr>
          <w:rFonts w:ascii="Times New Roman" w:hAnsi="Times New Roman" w:cs="Times New Roman"/>
          <w:color w:val="000000" w:themeColor="text1"/>
        </w:rPr>
        <w:t xml:space="preserve">). </w:t>
      </w:r>
      <w:r w:rsidRPr="00B2510F">
        <w:rPr>
          <w:rFonts w:ascii="Times New Roman" w:hAnsi="Times New Roman" w:cs="Times New Roman"/>
          <w:i/>
          <w:iCs/>
          <w:color w:val="000000" w:themeColor="text1"/>
        </w:rPr>
        <w:t>Disconfirmation:</w:t>
      </w:r>
      <w:r w:rsidRPr="00B2510F">
        <w:rPr>
          <w:rFonts w:ascii="Times New Roman" w:hAnsi="Times New Roman" w:cs="Times New Roman"/>
          <w:color w:val="000000" w:themeColor="text1"/>
        </w:rPr>
        <w:t xml:space="preserve"> high-throughput theatres without leader SSC modelling nonetheless achieve &gt;90% compliance and RSI rates equivalent to behaviourally engaged theatres, indicating that compliance is achievable independent of cognitive participation.</w:t>
      </w:r>
    </w:p>
    <w:p w14:paraId="78AA33F6" w14:textId="5743E2EC"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P7.</w:t>
      </w:r>
      <w:r w:rsidRPr="00B2510F">
        <w:rPr>
          <w:rFonts w:ascii="Times New Roman" w:hAnsi="Times New Roman" w:cs="Times New Roman"/>
          <w:color w:val="000000" w:themeColor="text1"/>
        </w:rPr>
        <w:t xml:space="preserve"> Near-misses are the principal mechanism through which safety systems learn, and just culture operationalised through both written policy and staff survey verification determines whether that intelligence surfaces or is buried (</w:t>
      </w:r>
      <w:hyperlink r:id="rId62">
        <w:r w:rsidR="00D51155" w:rsidRPr="00B2510F">
          <w:rPr>
            <w:rStyle w:val="Hyperlink"/>
            <w:rFonts w:ascii="Times New Roman" w:hAnsi="Times New Roman" w:cs="Times New Roman"/>
            <w:color w:val="000000" w:themeColor="text1"/>
          </w:rPr>
          <w:t>Reason, 1997</w:t>
        </w:r>
      </w:hyperlink>
      <w:r w:rsidRPr="00B2510F">
        <w:rPr>
          <w:rFonts w:ascii="Times New Roman" w:hAnsi="Times New Roman" w:cs="Times New Roman"/>
          <w:color w:val="000000" w:themeColor="text1"/>
        </w:rPr>
        <w:t xml:space="preserve">; </w:t>
      </w:r>
      <w:hyperlink r:id="rId63">
        <w:r w:rsidR="00D51155" w:rsidRPr="00B2510F">
          <w:rPr>
            <w:rStyle w:val="Hyperlink"/>
            <w:rFonts w:ascii="Times New Roman" w:hAnsi="Times New Roman" w:cs="Times New Roman"/>
            <w:color w:val="000000" w:themeColor="text1"/>
          </w:rPr>
          <w:t>Dekker, 2016</w:t>
        </w:r>
      </w:hyperlink>
      <w:r w:rsidRPr="00B2510F">
        <w:rPr>
          <w:rFonts w:ascii="Times New Roman" w:hAnsi="Times New Roman" w:cs="Times New Roman"/>
          <w:color w:val="000000" w:themeColor="text1"/>
        </w:rPr>
        <w:t xml:space="preserve">). The two-tier operationalisation matters: a non-punitive policy can coexist with a punitive culture. </w:t>
      </w:r>
      <w:r w:rsidRPr="00B2510F">
        <w:rPr>
          <w:rFonts w:ascii="Times New Roman" w:hAnsi="Times New Roman" w:cs="Times New Roman"/>
          <w:i/>
          <w:iCs/>
          <w:color w:val="000000" w:themeColor="text1"/>
        </w:rPr>
        <w:t>Disconfirmation:</w:t>
      </w:r>
      <w:r w:rsidRPr="00B2510F">
        <w:rPr>
          <w:rFonts w:ascii="Times New Roman" w:hAnsi="Times New Roman" w:cs="Times New Roman"/>
          <w:color w:val="000000" w:themeColor="text1"/>
        </w:rPr>
        <w:t xml:space="preserve"> institutions with policy- and survey-verified just culture show no difference in near-miss reporting or learning-cycle speed.</w:t>
      </w:r>
    </w:p>
    <w:p w14:paraId="34985416" w14:textId="77777777"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P8.</w:t>
      </w:r>
      <w:r w:rsidRPr="00B2510F">
        <w:rPr>
          <w:rFonts w:ascii="Times New Roman" w:hAnsi="Times New Roman" w:cs="Times New Roman"/>
          <w:color w:val="000000" w:themeColor="text1"/>
        </w:rPr>
        <w:t xml:space="preserve"> RFID detects retained tags; clinical effect depends on what the team does in the next thirty seconds. In a psychologically safe theatre, the nurse who hears the alert can halt closure without professional cost. In an unsafe one, the alert is reconfirmed and overridden under closure pressure (</w:t>
      </w:r>
      <w:hyperlink r:id="rId64">
        <w:r w:rsidR="00D51155" w:rsidRPr="00B2510F">
          <w:rPr>
            <w:rStyle w:val="Hyperlink"/>
            <w:rFonts w:ascii="Times New Roman" w:hAnsi="Times New Roman" w:cs="Times New Roman"/>
            <w:color w:val="000000" w:themeColor="text1"/>
          </w:rPr>
          <w:t>Carmack et al., 2023</w:t>
        </w:r>
      </w:hyperlink>
      <w:r w:rsidRPr="00B2510F">
        <w:rPr>
          <w:rFonts w:ascii="Times New Roman" w:hAnsi="Times New Roman" w:cs="Times New Roman"/>
          <w:color w:val="000000" w:themeColor="text1"/>
        </w:rPr>
        <w:t xml:space="preserve">; </w:t>
      </w:r>
      <w:hyperlink r:id="rId65">
        <w:r w:rsidR="00D51155" w:rsidRPr="00B2510F">
          <w:rPr>
            <w:rStyle w:val="Hyperlink"/>
            <w:rFonts w:ascii="Times New Roman" w:hAnsi="Times New Roman" w:cs="Times New Roman"/>
            <w:color w:val="000000" w:themeColor="text1"/>
          </w:rPr>
          <w:t>Edmondson, 1999</w:t>
        </w:r>
      </w:hyperlink>
      <w:r w:rsidRPr="00B2510F">
        <w:rPr>
          <w:rFonts w:ascii="Times New Roman" w:hAnsi="Times New Roman" w:cs="Times New Roman"/>
          <w:color w:val="000000" w:themeColor="text1"/>
        </w:rPr>
        <w:t xml:space="preserve">). The cost-effectiveness implication is uncomfortable but direct: RFID procurement without concurrent investment in psychological safety yields attenuated returns. </w:t>
      </w:r>
      <w:r w:rsidRPr="00B2510F">
        <w:rPr>
          <w:rFonts w:ascii="Times New Roman" w:hAnsi="Times New Roman" w:cs="Times New Roman"/>
          <w:i/>
          <w:iCs/>
          <w:color w:val="000000" w:themeColor="text1"/>
        </w:rPr>
        <w:t>Disconfirmation:</w:t>
      </w:r>
      <w:r w:rsidRPr="00B2510F">
        <w:rPr>
          <w:rFonts w:ascii="Times New Roman" w:hAnsi="Times New Roman" w:cs="Times New Roman"/>
          <w:color w:val="000000" w:themeColor="text1"/>
        </w:rPr>
        <w:t xml:space="preserve"> RFID alert compliance and post-RFID RSI rates are equivalent across high- and low-safety theatres.</w:t>
      </w:r>
    </w:p>
    <w:p w14:paraId="52DEA33D" w14:textId="32D3DD8B"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P9.</w:t>
      </w:r>
      <w:r w:rsidRPr="00B2510F">
        <w:rPr>
          <w:rFonts w:ascii="Times New Roman" w:hAnsi="Times New Roman" w:cs="Times New Roman"/>
          <w:color w:val="000000" w:themeColor="text1"/>
        </w:rPr>
        <w:t xml:space="preserve"> Documentary audits verify that a safety system exists on paper but not that it functions (</w:t>
      </w:r>
      <w:hyperlink r:id="rId66">
        <w:r w:rsidR="00D51155" w:rsidRPr="00B2510F">
          <w:rPr>
            <w:rStyle w:val="Hyperlink"/>
            <w:rFonts w:ascii="Times New Roman" w:hAnsi="Times New Roman" w:cs="Times New Roman"/>
            <w:color w:val="000000" w:themeColor="text1"/>
          </w:rPr>
          <w:t>Urbach et al., 2014</w:t>
        </w:r>
      </w:hyperlink>
      <w:r w:rsidRPr="00B2510F">
        <w:rPr>
          <w:rFonts w:ascii="Times New Roman" w:hAnsi="Times New Roman" w:cs="Times New Roman"/>
          <w:color w:val="000000" w:themeColor="text1"/>
        </w:rPr>
        <w:t xml:space="preserve">). IRPA holds that accreditation bodies </w:t>
      </w:r>
      <w:r w:rsidR="00FC2780" w:rsidRPr="00B2510F">
        <w:rPr>
          <w:rFonts w:ascii="Times New Roman" w:hAnsi="Times New Roman" w:cs="Times New Roman"/>
          <w:color w:val="000000" w:themeColor="text1"/>
        </w:rPr>
        <w:t>that</w:t>
      </w:r>
      <w:r w:rsidRPr="00B2510F">
        <w:rPr>
          <w:rFonts w:ascii="Times New Roman" w:hAnsi="Times New Roman" w:cs="Times New Roman"/>
          <w:color w:val="000000" w:themeColor="text1"/>
        </w:rPr>
        <w:t xml:space="preserve"> add direct observation of Sign-Out, simulation-based assessment of team response to count discrepancies, and validated psychological-safety measurement will see measurably lower RSI rates in accredited institutions</w:t>
      </w:r>
      <w:r w:rsidR="00FC2780"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w:t>
      </w:r>
      <w:r w:rsidRPr="00B2510F">
        <w:rPr>
          <w:rFonts w:ascii="Times New Roman" w:hAnsi="Times New Roman" w:cs="Times New Roman"/>
          <w:color w:val="000000" w:themeColor="text1"/>
        </w:rPr>
        <w:lastRenderedPageBreak/>
        <w:t xml:space="preserve">supplementation, not replacement. </w:t>
      </w:r>
      <w:r w:rsidRPr="00B2510F">
        <w:rPr>
          <w:rFonts w:ascii="Times New Roman" w:hAnsi="Times New Roman" w:cs="Times New Roman"/>
          <w:i/>
          <w:iCs/>
          <w:color w:val="000000" w:themeColor="text1"/>
        </w:rPr>
        <w:t>Disconfirmation:</w:t>
      </w:r>
      <w:r w:rsidRPr="00B2510F">
        <w:rPr>
          <w:rFonts w:ascii="Times New Roman" w:hAnsi="Times New Roman" w:cs="Times New Roman"/>
          <w:color w:val="000000" w:themeColor="text1"/>
        </w:rPr>
        <w:t xml:space="preserve"> a controlled comparison of behavioural and documentary verification shows no difference in RSI incidence or observed Sign-Out behaviour.</w:t>
      </w:r>
    </w:p>
    <w:p w14:paraId="42292D6E" w14:textId="77777777"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The six propositions form a nested architecture rather than a checklist. P1 and P2 establish the cultural and communicative substrate. P3 explains why the principal mandated safeguard fails in its absence. P7 supplies the learning mechanism. P8 specifies the technology–culture interdependence. P9 closes the loop through accreditation reform. Appendix C extends the architecture with fatigue (P4), RFID culture moderation (P5), briefings (P6), and LMIC sequencing (P10).</w:t>
      </w:r>
    </w:p>
    <w:p w14:paraId="3D8862EB" w14:textId="77777777" w:rsidR="00D51155" w:rsidRPr="00C5081A"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23" w:name="_Toc230543072"/>
      <w:bookmarkStart w:id="24" w:name="Xaa41b10cc6ea992ae291d3c205d2ba26cb494fd"/>
      <w:bookmarkEnd w:id="20"/>
      <w:bookmarkEnd w:id="22"/>
      <w:r w:rsidRPr="00C5081A">
        <w:rPr>
          <w:rFonts w:ascii="Times New Roman" w:hAnsi="Times New Roman" w:cs="Times New Roman"/>
          <w:b/>
          <w:bCs/>
          <w:color w:val="000000" w:themeColor="text1"/>
          <w:sz w:val="24"/>
          <w:szCs w:val="24"/>
        </w:rPr>
        <w:t>7. Discussion</w:t>
      </w:r>
      <w:bookmarkEnd w:id="23"/>
    </w:p>
    <w:p w14:paraId="28234D41" w14:textId="6D578489" w:rsidR="00C5081A" w:rsidRDefault="00000000" w:rsidP="00856882">
      <w:pPr>
        <w:pStyle w:val="FirstParagraph"/>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t>Protocols are not the missing piece</w:t>
      </w:r>
    </w:p>
    <w:p w14:paraId="3447A01F" w14:textId="5817E7C5"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 The Ontario natural experiment was the first large-scale demonstration that mandated checklists do not, by themselves, change outcomes (</w:t>
      </w:r>
      <w:hyperlink r:id="rId67">
        <w:r w:rsidR="00D51155" w:rsidRPr="00B2510F">
          <w:rPr>
            <w:rStyle w:val="Hyperlink"/>
            <w:rFonts w:ascii="Times New Roman" w:hAnsi="Times New Roman" w:cs="Times New Roman"/>
            <w:color w:val="000000" w:themeColor="text1"/>
          </w:rPr>
          <w:t>Urbach et al., 2014</w:t>
        </w:r>
      </w:hyperlink>
      <w:r w:rsidRPr="00B2510F">
        <w:rPr>
          <w:rFonts w:ascii="Times New Roman" w:hAnsi="Times New Roman" w:cs="Times New Roman"/>
          <w:color w:val="000000" w:themeColor="text1"/>
        </w:rPr>
        <w:t>). IRPA resolves that paradox by locating failure in the cultural substrate: the Sign-Out degrades from a safety-enabling pause to a piece of paperwork under hierarchical pressure, throughput urgency, leader disengagement, and cognitive fatigue. Etheridge et al.'s reimplementation work confirms the corollary behavioural re-engagement, not document renewal, restores effect (</w:t>
      </w:r>
      <w:hyperlink r:id="rId68">
        <w:r w:rsidR="00D51155" w:rsidRPr="00B2510F">
          <w:rPr>
            <w:rStyle w:val="Hyperlink"/>
            <w:rFonts w:ascii="Times New Roman" w:hAnsi="Times New Roman" w:cs="Times New Roman"/>
            <w:color w:val="000000" w:themeColor="text1"/>
          </w:rPr>
          <w:t>Etheridge et al., 2024</w:t>
        </w:r>
      </w:hyperlink>
      <w:r w:rsidRPr="00B2510F">
        <w:rPr>
          <w:rFonts w:ascii="Times New Roman" w:hAnsi="Times New Roman" w:cs="Times New Roman"/>
          <w:color w:val="000000" w:themeColor="text1"/>
        </w:rPr>
        <w:t>).</w:t>
      </w:r>
    </w:p>
    <w:p w14:paraId="620AD769" w14:textId="54F6BD7F" w:rsidR="00C5081A"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Culture versus policy is a false binary</w:t>
      </w:r>
      <w:r w:rsidRPr="00B2510F">
        <w:rPr>
          <w:rFonts w:ascii="Times New Roman" w:hAnsi="Times New Roman" w:cs="Times New Roman"/>
          <w:color w:val="000000" w:themeColor="text1"/>
        </w:rPr>
        <w:t xml:space="preserve"> </w:t>
      </w:r>
    </w:p>
    <w:p w14:paraId="3AD69B6E" w14:textId="27C276C5" w:rsidR="00D51155" w:rsidRPr="00B2510F" w:rsidRDefault="00F7516B" w:rsidP="00856882">
      <w:pPr>
        <w:pStyle w:val="BodyText"/>
        <w:spacing w:line="360" w:lineRule="auto"/>
        <w:jc w:val="both"/>
        <w:rPr>
          <w:rFonts w:ascii="Times New Roman" w:hAnsi="Times New Roman" w:cs="Times New Roman"/>
          <w:color w:val="000000" w:themeColor="text1"/>
        </w:rPr>
      </w:pPr>
      <w:r w:rsidRPr="00F7516B">
        <w:rPr>
          <w:rFonts w:ascii="Times New Roman" w:hAnsi="Times New Roman" w:cs="Times New Roman"/>
          <w:color w:val="000000" w:themeColor="text1"/>
        </w:rPr>
        <w:t xml:space="preserve">Pronovost’s Michigan Keystone study showed a near-elimination of central-line bloodstream infections through a structured policy bundle (Pronovost et al., 2006), leading some researchers to interpret this as evidence that </w:t>
      </w:r>
      <w:r>
        <w:rPr>
          <w:rFonts w:ascii="Times New Roman" w:hAnsi="Times New Roman" w:cs="Times New Roman"/>
          <w:color w:val="000000" w:themeColor="text1"/>
        </w:rPr>
        <w:t>standardised policies may have a stronger impact than organisational</w:t>
      </w:r>
      <w:r w:rsidRPr="00F7516B">
        <w:rPr>
          <w:rFonts w:ascii="Times New Roman" w:hAnsi="Times New Roman" w:cs="Times New Roman"/>
          <w:color w:val="000000" w:themeColor="text1"/>
        </w:rPr>
        <w:t xml:space="preserve"> culture.</w:t>
      </w:r>
      <w:r>
        <w:rPr>
          <w:rFonts w:ascii="Times New Roman" w:hAnsi="Times New Roman" w:cs="Times New Roman"/>
          <w:color w:val="000000" w:themeColor="text1"/>
        </w:rPr>
        <w:t xml:space="preserve"> </w:t>
      </w:r>
      <w:r w:rsidR="00000000" w:rsidRPr="00B2510F">
        <w:rPr>
          <w:rFonts w:ascii="Times New Roman" w:hAnsi="Times New Roman" w:cs="Times New Roman"/>
          <w:color w:val="000000" w:themeColor="text1"/>
        </w:rPr>
        <w:t>But central-line insertion is a discrete individual task with tight feedback; RSI prevention demands sustained team interdependence across hours of surgery, where social dynamics dominate. IRPA does not reject Pronovost-style bundling; it specifies the task conditions under which culture-first sequencing becomes necessary.</w:t>
      </w:r>
    </w:p>
    <w:p w14:paraId="1422A27A" w14:textId="0FBFE263" w:rsidR="00C5081A"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Technology and culture are coupled</w:t>
      </w:r>
      <w:r w:rsidRPr="00B2510F">
        <w:rPr>
          <w:rFonts w:ascii="Times New Roman" w:hAnsi="Times New Roman" w:cs="Times New Roman"/>
          <w:color w:val="000000" w:themeColor="text1"/>
        </w:rPr>
        <w:t xml:space="preserve"> </w:t>
      </w:r>
    </w:p>
    <w:p w14:paraId="5615A074" w14:textId="18D08FA0"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RFID supplies structural redundancy, but culture decides whether that redundancy is acted on. Comprehensive multimodal interventions consistently outperform single-technology fixes (</w:t>
      </w:r>
      <w:hyperlink r:id="rId69">
        <w:r w:rsidR="00D51155" w:rsidRPr="00B2510F">
          <w:rPr>
            <w:rStyle w:val="Hyperlink"/>
            <w:rFonts w:ascii="Times New Roman" w:hAnsi="Times New Roman" w:cs="Times New Roman"/>
            <w:color w:val="000000" w:themeColor="text1"/>
          </w:rPr>
          <w:t>de Vries et al., 2010</w:t>
        </w:r>
      </w:hyperlink>
      <w:r w:rsidRPr="00B2510F">
        <w:rPr>
          <w:rFonts w:ascii="Times New Roman" w:hAnsi="Times New Roman" w:cs="Times New Roman"/>
          <w:color w:val="000000" w:themeColor="text1"/>
        </w:rPr>
        <w:t xml:space="preserve">). The board-level implication is straightforward: an RFID procurement decision </w:t>
      </w:r>
      <w:r w:rsidRPr="00B2510F">
        <w:rPr>
          <w:rFonts w:ascii="Times New Roman" w:hAnsi="Times New Roman" w:cs="Times New Roman"/>
          <w:color w:val="000000" w:themeColor="text1"/>
        </w:rPr>
        <w:lastRenderedPageBreak/>
        <w:t>should be paired with measurable investment in psychological safety, or the technology's clinical ceiling will be set by the team operating it.</w:t>
      </w:r>
    </w:p>
    <w:p w14:paraId="752C6AA5" w14:textId="77777777" w:rsidR="00C5081A" w:rsidRDefault="00000000" w:rsidP="00856882">
      <w:pPr>
        <w:pStyle w:val="BodyText"/>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t>Psychological safety is infrastructure</w:t>
      </w:r>
    </w:p>
    <w:p w14:paraId="16B965A6" w14:textId="31B483AE"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 Treating psychological safety as a soft-skills concern is a category error. It is the variable that determines whether a nurse halts closure for an unresolved count, and it is measurable through validated team surveys. Reframing it as infrastructure on the same line item as sterile processing or equipment maintenance</w:t>
      </w:r>
      <w:r w:rsidR="00FC2780" w:rsidRPr="00B2510F">
        <w:rPr>
          <w:rFonts w:ascii="Times New Roman" w:hAnsi="Times New Roman" w:cs="Times New Roman"/>
          <w:color w:val="000000" w:themeColor="text1"/>
        </w:rPr>
        <w:t xml:space="preserve"> </w:t>
      </w:r>
      <w:r w:rsidRPr="00B2510F">
        <w:rPr>
          <w:rFonts w:ascii="Times New Roman" w:hAnsi="Times New Roman" w:cs="Times New Roman"/>
          <w:color w:val="000000" w:themeColor="text1"/>
        </w:rPr>
        <w:t>has direct budgetary consequences and follows from the evidence rather than running ahead of it.</w:t>
      </w:r>
    </w:p>
    <w:p w14:paraId="7BE1A2FC" w14:textId="77777777" w:rsidR="00C5081A" w:rsidRDefault="00000000" w:rsidP="00856882">
      <w:pPr>
        <w:pStyle w:val="BodyText"/>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t>Accreditation reform from documents to behaviour</w:t>
      </w:r>
    </w:p>
    <w:p w14:paraId="617D4D2C" w14:textId="5F633128"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 NABH and JCI remain the dominant accreditation regimes in India and internationally, but their current verification methods audit the presence of policies rather than their enactment. P9 describes the required redesign: direct observation of Sign-Out, simulation-based assessment of </w:t>
      </w:r>
      <w:r w:rsidR="00FC2780" w:rsidRPr="00B2510F">
        <w:rPr>
          <w:rFonts w:ascii="Times New Roman" w:hAnsi="Times New Roman" w:cs="Times New Roman"/>
          <w:color w:val="000000" w:themeColor="text1"/>
        </w:rPr>
        <w:t xml:space="preserve">the team's response to count discrepancies, and </w:t>
      </w:r>
      <w:r w:rsidR="00B2510F" w:rsidRPr="00B2510F">
        <w:rPr>
          <w:rFonts w:ascii="Times New Roman" w:hAnsi="Times New Roman" w:cs="Times New Roman"/>
          <w:color w:val="000000" w:themeColor="text1"/>
        </w:rPr>
        <w:t xml:space="preserve">measurement of team psychological safety </w:t>
      </w:r>
      <w:r w:rsidRPr="00B2510F">
        <w:rPr>
          <w:rFonts w:ascii="Times New Roman" w:hAnsi="Times New Roman" w:cs="Times New Roman"/>
          <w:color w:val="000000" w:themeColor="text1"/>
        </w:rPr>
        <w:t>as accreditation indicators. The point is supplementation</w:t>
      </w:r>
      <w:r w:rsidR="00FC2780" w:rsidRPr="00B2510F">
        <w:rPr>
          <w:rFonts w:ascii="Times New Roman" w:hAnsi="Times New Roman" w:cs="Times New Roman"/>
          <w:color w:val="000000" w:themeColor="text1"/>
        </w:rPr>
        <w:t>, not replacement,</w:t>
      </w:r>
      <w:r w:rsidRPr="00B2510F">
        <w:rPr>
          <w:rFonts w:ascii="Times New Roman" w:hAnsi="Times New Roman" w:cs="Times New Roman"/>
          <w:color w:val="000000" w:themeColor="text1"/>
        </w:rPr>
        <w:t xml:space="preserve"> of </w:t>
      </w:r>
      <w:r w:rsidR="00FC2780" w:rsidRPr="00B2510F">
        <w:rPr>
          <w:rFonts w:ascii="Times New Roman" w:hAnsi="Times New Roman" w:cs="Times New Roman"/>
          <w:color w:val="000000" w:themeColor="text1"/>
        </w:rPr>
        <w:t xml:space="preserve">the </w:t>
      </w:r>
      <w:r w:rsidRPr="00B2510F">
        <w:rPr>
          <w:rFonts w:ascii="Times New Roman" w:hAnsi="Times New Roman" w:cs="Times New Roman"/>
          <w:color w:val="000000" w:themeColor="text1"/>
        </w:rPr>
        <w:t>existing documentary review.</w:t>
      </w:r>
    </w:p>
    <w:p w14:paraId="25ED942D" w14:textId="77777777" w:rsidR="00C5081A" w:rsidRDefault="00000000" w:rsidP="00856882">
      <w:pPr>
        <w:pStyle w:val="BodyText"/>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t>LMIC perioperative settings</w:t>
      </w:r>
    </w:p>
    <w:p w14:paraId="1F066FD9" w14:textId="6258DAA8"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 Most global surgery occurs in LMIC settings; most published RSI evidence does not. Resource constraints, hierarchical norms, and uneven </w:t>
      </w:r>
      <w:r w:rsidR="00FC2780" w:rsidRPr="00B2510F">
        <w:rPr>
          <w:rFonts w:ascii="Times New Roman" w:hAnsi="Times New Roman" w:cs="Times New Roman"/>
          <w:color w:val="000000" w:themeColor="text1"/>
        </w:rPr>
        <w:t>enforcement of accreditation</w:t>
      </w:r>
      <w:r w:rsidRPr="00B2510F">
        <w:rPr>
          <w:rFonts w:ascii="Times New Roman" w:hAnsi="Times New Roman" w:cs="Times New Roman"/>
          <w:color w:val="000000" w:themeColor="text1"/>
        </w:rPr>
        <w:t xml:space="preserve"> combine to produce a distinct risk profile. IRPA's staged implementation begins with low-cost behavioural interventions</w:t>
      </w:r>
      <w:r w:rsidR="00FC2780" w:rsidRPr="00B2510F">
        <w:rPr>
          <w:rFonts w:ascii="Times New Roman" w:hAnsi="Times New Roman" w:cs="Times New Roman"/>
          <w:color w:val="000000" w:themeColor="text1"/>
        </w:rPr>
        <w:t>, psychological safety, CRM, just culture policy, paired with survey verification, enforced Sign-Out,</w:t>
      </w:r>
      <w:r w:rsidRPr="00B2510F">
        <w:rPr>
          <w:rFonts w:ascii="Times New Roman" w:hAnsi="Times New Roman" w:cs="Times New Roman"/>
          <w:color w:val="000000" w:themeColor="text1"/>
        </w:rPr>
        <w:t xml:space="preserve"> before progressing to barcode-based instrument tracking and, where feasible, RFID for high-risk case categories. The available evidence that structured SSC training can </w:t>
      </w:r>
      <w:r w:rsidR="00BF6F19">
        <w:rPr>
          <w:rFonts w:ascii="Times New Roman" w:hAnsi="Times New Roman" w:cs="Times New Roman"/>
          <w:color w:val="000000" w:themeColor="text1"/>
        </w:rPr>
        <w:t xml:space="preserve">raise compliance in Low- and Middle-Income Countries (LMIC) </w:t>
      </w:r>
      <w:r w:rsidRPr="00B2510F">
        <w:rPr>
          <w:rFonts w:ascii="Times New Roman" w:hAnsi="Times New Roman" w:cs="Times New Roman"/>
          <w:color w:val="000000" w:themeColor="text1"/>
        </w:rPr>
        <w:t>from below 40% to near-universal levels supports culture-first sequencing as both affordable and effective.</w:t>
      </w:r>
    </w:p>
    <w:p w14:paraId="54FECBF7" w14:textId="77777777" w:rsidR="00C5081A" w:rsidRDefault="00000000" w:rsidP="00856882">
      <w:pPr>
        <w:pStyle w:val="BodyText"/>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t>Leadership as moderator</w:t>
      </w:r>
    </w:p>
    <w:p w14:paraId="54FD89A9" w14:textId="72983A3B"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 Across the framework, surgical leadership behaviour is the single most powerful moderator. The consultant who actively invites count challenges, treats RFID alerts as binding, and responds to near-miss disclosures without blame embeds all six IRPA domains in daily practice. RSI prevention, in that sense, is a leadership performance rather than a compliance exercise.</w:t>
      </w:r>
    </w:p>
    <w:p w14:paraId="2F427D61" w14:textId="77777777" w:rsidR="00C5081A" w:rsidRDefault="00000000" w:rsidP="00856882">
      <w:pPr>
        <w:pStyle w:val="BodyText"/>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lastRenderedPageBreak/>
        <w:t>Limitations</w:t>
      </w:r>
    </w:p>
    <w:p w14:paraId="1D96EA38" w14:textId="2F2B6806"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 Five caveats apply. The framework was developed against a single illustrative case used only for context; no construct depends on it. The ten propositions are theoretically grounded but require empirical testing; IRPA is intended to generate hypotheses, not substitute for trials. LMIC heterogeneity will require contextual calibration. Theoretical selectivity is unavoidable, and Complexity Leadership Theory and Safety Management Systems may add value in later iterations. Finally, several recent citations were advanced online publications at the time of writing; readers should verify </w:t>
      </w:r>
      <w:r w:rsidR="00FC2780" w:rsidRPr="00B2510F">
        <w:rPr>
          <w:rFonts w:ascii="Times New Roman" w:hAnsi="Times New Roman" w:cs="Times New Roman"/>
          <w:color w:val="000000" w:themeColor="text1"/>
        </w:rPr>
        <w:t xml:space="preserve">the </w:t>
      </w:r>
      <w:r w:rsidRPr="00B2510F">
        <w:rPr>
          <w:rFonts w:ascii="Times New Roman" w:hAnsi="Times New Roman" w:cs="Times New Roman"/>
          <w:color w:val="000000" w:themeColor="text1"/>
        </w:rPr>
        <w:t>final published versions.</w:t>
      </w:r>
    </w:p>
    <w:p w14:paraId="5184C7AE" w14:textId="77777777" w:rsidR="00D51155" w:rsidRPr="00C5081A"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25" w:name="_Toc230543073"/>
      <w:bookmarkStart w:id="26" w:name="X939c5c1ef59b4ce9f0a2ee4f94dccef867f911f"/>
      <w:bookmarkEnd w:id="24"/>
      <w:r w:rsidRPr="00C5081A">
        <w:rPr>
          <w:rFonts w:ascii="Times New Roman" w:hAnsi="Times New Roman" w:cs="Times New Roman"/>
          <w:b/>
          <w:bCs/>
          <w:color w:val="000000" w:themeColor="text1"/>
          <w:sz w:val="24"/>
          <w:szCs w:val="24"/>
        </w:rPr>
        <w:t>8. Practical implications</w:t>
      </w:r>
      <w:bookmarkEnd w:id="25"/>
    </w:p>
    <w:p w14:paraId="40884EE8" w14:textId="77777777" w:rsidR="00C5081A" w:rsidRDefault="00000000" w:rsidP="00856882">
      <w:pPr>
        <w:pStyle w:val="FirstParagraph"/>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t>Hospital governance</w:t>
      </w:r>
    </w:p>
    <w:p w14:paraId="6DED5113" w14:textId="79294D53"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 Adopt psychological safety as a formal patient safety KPI alongside infection and readmission rates, measured quarterly through validated team instruments. Combine documentary review with behavioural observation in operating-theatre audits, and report results to clinical governance. Endorse a just culture policy at </w:t>
      </w:r>
      <w:r w:rsidR="00FC2780" w:rsidRPr="00B2510F">
        <w:rPr>
          <w:rFonts w:ascii="Times New Roman" w:hAnsi="Times New Roman" w:cs="Times New Roman"/>
          <w:color w:val="000000" w:themeColor="text1"/>
        </w:rPr>
        <w:t xml:space="preserve">the </w:t>
      </w:r>
      <w:r w:rsidRPr="00B2510F">
        <w:rPr>
          <w:rFonts w:ascii="Times New Roman" w:hAnsi="Times New Roman" w:cs="Times New Roman"/>
          <w:color w:val="000000" w:themeColor="text1"/>
        </w:rPr>
        <w:t>board level, verified annually through staff survey. Require system-level (not individual-focused) root-cause analysis within 30 days of any RSI.</w:t>
      </w:r>
    </w:p>
    <w:p w14:paraId="59063C2C" w14:textId="77777777" w:rsidR="000F5D46" w:rsidRDefault="00000000" w:rsidP="00856882">
      <w:pPr>
        <w:pStyle w:val="BodyText"/>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t>Operating theatre</w:t>
      </w:r>
    </w:p>
    <w:p w14:paraId="444C3133" w14:textId="5E15FA0A"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Treat </w:t>
      </w:r>
      <w:r w:rsidR="009E1A84">
        <w:rPr>
          <w:rFonts w:ascii="Times New Roman" w:hAnsi="Times New Roman" w:cs="Times New Roman"/>
          <w:color w:val="000000" w:themeColor="text1"/>
        </w:rPr>
        <w:t xml:space="preserve">the Sign-Out </w:t>
      </w:r>
      <w:proofErr w:type="spellStart"/>
      <w:r w:rsidR="009E1A84">
        <w:rPr>
          <w:rFonts w:ascii="Times New Roman" w:hAnsi="Times New Roman" w:cs="Times New Roman"/>
          <w:color w:val="000000" w:themeColor="text1"/>
        </w:rPr>
        <w:t>vocalisation</w:t>
      </w:r>
      <w:proofErr w:type="spellEnd"/>
      <w:r w:rsidR="009E1A84">
        <w:rPr>
          <w:rFonts w:ascii="Times New Roman" w:hAnsi="Times New Roman" w:cs="Times New Roman"/>
          <w:color w:val="000000" w:themeColor="text1"/>
        </w:rPr>
        <w:t xml:space="preserve"> as a hard-stop closure that </w:t>
      </w:r>
      <w:r w:rsidRPr="00B2510F">
        <w:rPr>
          <w:rFonts w:ascii="Times New Roman" w:hAnsi="Times New Roman" w:cs="Times New Roman"/>
          <w:color w:val="000000" w:themeColor="text1"/>
        </w:rPr>
        <w:t xml:space="preserve">does not proceed until every team member confirms the count. Standardise pre- and post-operative briefings on a CRM-aligned template. Maintain a dual-count minimum standard for sponges, instruments, and sharps. Remove the hierarchical penalty attached to </w:t>
      </w:r>
      <w:r w:rsidR="00FC2780" w:rsidRPr="00B2510F">
        <w:rPr>
          <w:rFonts w:ascii="Times New Roman" w:hAnsi="Times New Roman" w:cs="Times New Roman"/>
          <w:color w:val="000000" w:themeColor="text1"/>
        </w:rPr>
        <w:t xml:space="preserve">the </w:t>
      </w:r>
      <w:r w:rsidRPr="00B2510F">
        <w:rPr>
          <w:rFonts w:ascii="Times New Roman" w:hAnsi="Times New Roman" w:cs="Times New Roman"/>
          <w:color w:val="000000" w:themeColor="text1"/>
        </w:rPr>
        <w:t>count challenge and reframe it as a valued safety behaviour.</w:t>
      </w:r>
    </w:p>
    <w:p w14:paraId="0AB57A25" w14:textId="77777777" w:rsidR="000F5D46" w:rsidRDefault="00000000" w:rsidP="00856882">
      <w:pPr>
        <w:pStyle w:val="BodyText"/>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t>Accreditation (NABH / JCI)</w:t>
      </w:r>
    </w:p>
    <w:p w14:paraId="3A084F90" w14:textId="40FC3A32"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 Revise OT-specific verification to require direct observation of Sign-Out rather than policy review alone. </w:t>
      </w:r>
      <w:r w:rsidR="009E1A84">
        <w:rPr>
          <w:rFonts w:ascii="Times New Roman" w:hAnsi="Times New Roman" w:cs="Times New Roman"/>
          <w:color w:val="000000" w:themeColor="text1"/>
        </w:rPr>
        <w:t>It is recommended to a</w:t>
      </w:r>
      <w:r w:rsidRPr="00B2510F">
        <w:rPr>
          <w:rFonts w:ascii="Times New Roman" w:hAnsi="Times New Roman" w:cs="Times New Roman"/>
          <w:color w:val="000000" w:themeColor="text1"/>
        </w:rPr>
        <w:t xml:space="preserve">dd a validated </w:t>
      </w:r>
      <w:r w:rsidR="00FC2780" w:rsidRPr="00B2510F">
        <w:rPr>
          <w:rFonts w:ascii="Times New Roman" w:hAnsi="Times New Roman" w:cs="Times New Roman"/>
          <w:color w:val="000000" w:themeColor="text1"/>
        </w:rPr>
        <w:t>psychological safety measure</w:t>
      </w:r>
      <w:r w:rsidRPr="00B2510F">
        <w:rPr>
          <w:rFonts w:ascii="Times New Roman" w:hAnsi="Times New Roman" w:cs="Times New Roman"/>
          <w:color w:val="000000" w:themeColor="text1"/>
        </w:rPr>
        <w:t xml:space="preserve"> as an accreditation indicator. Require RFID or equivalent electronic tracking for high-volume institutions seeking renewal. Mandate simulation-based surgical-team safety training with role-specific competency assessment for scrub nurses, surgical assistants, and anaesthesiologists.</w:t>
      </w:r>
    </w:p>
    <w:p w14:paraId="3C54B44F" w14:textId="77777777" w:rsidR="000F5D46" w:rsidRDefault="00000000" w:rsidP="00856882">
      <w:pPr>
        <w:pStyle w:val="BodyText"/>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t>Training</w:t>
      </w:r>
    </w:p>
    <w:p w14:paraId="6BE11F93" w14:textId="55266099" w:rsidR="00D51155" w:rsidRPr="000F5D46" w:rsidRDefault="00000000" w:rsidP="00856882">
      <w:pPr>
        <w:pStyle w:val="BodyText"/>
        <w:spacing w:line="360" w:lineRule="auto"/>
        <w:jc w:val="both"/>
        <w:rPr>
          <w:rFonts w:ascii="Times New Roman" w:hAnsi="Times New Roman" w:cs="Times New Roman"/>
          <w:b/>
          <w:bCs/>
          <w:color w:val="000000" w:themeColor="text1"/>
        </w:rPr>
      </w:pPr>
      <w:r w:rsidRPr="00B2510F">
        <w:rPr>
          <w:rFonts w:ascii="Times New Roman" w:hAnsi="Times New Roman" w:cs="Times New Roman"/>
          <w:color w:val="000000" w:themeColor="text1"/>
        </w:rPr>
        <w:lastRenderedPageBreak/>
        <w:t xml:space="preserve"> Embed speaking-up and psychological-safety modules in undergraduate and postgraduate surgical and nursing curricula, with simulation-based assessment. Require annual CRM-based team training with RSI-specific scenarios. Include just culture and incident-reporting training in all perioperative inductions.</w:t>
      </w:r>
    </w:p>
    <w:p w14:paraId="6BEAC395" w14:textId="77777777" w:rsidR="000F5D46" w:rsidRDefault="00000000" w:rsidP="00856882">
      <w:pPr>
        <w:pStyle w:val="BodyText"/>
        <w:spacing w:line="360" w:lineRule="auto"/>
        <w:jc w:val="both"/>
        <w:rPr>
          <w:rFonts w:ascii="Times New Roman" w:hAnsi="Times New Roman" w:cs="Times New Roman"/>
          <w:b/>
          <w:bCs/>
          <w:color w:val="000000" w:themeColor="text1"/>
        </w:rPr>
      </w:pPr>
      <w:r w:rsidRPr="00B2510F">
        <w:rPr>
          <w:rFonts w:ascii="Times New Roman" w:hAnsi="Times New Roman" w:cs="Times New Roman"/>
          <w:b/>
          <w:bCs/>
          <w:color w:val="000000" w:themeColor="text1"/>
        </w:rPr>
        <w:t>Technology investment</w:t>
      </w:r>
    </w:p>
    <w:p w14:paraId="3685498E" w14:textId="285E2557"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Stage RFID adoption </w:t>
      </w:r>
      <w:r w:rsidR="00B2510F" w:rsidRPr="00B2510F">
        <w:rPr>
          <w:rFonts w:ascii="Times New Roman" w:hAnsi="Times New Roman" w:cs="Times New Roman"/>
          <w:color w:val="000000" w:themeColor="text1"/>
        </w:rPr>
        <w:t xml:space="preserve">of </w:t>
      </w:r>
      <w:r w:rsidRPr="00B2510F">
        <w:rPr>
          <w:rFonts w:ascii="Times New Roman" w:hAnsi="Times New Roman" w:cs="Times New Roman"/>
          <w:color w:val="000000" w:themeColor="text1"/>
        </w:rPr>
        <w:t xml:space="preserve">emergency, complex, and high-BMI elective cases first, before extension to routine work. Treat RFID alerts as a hard stop until physical verification resolves the discrepancy. In LMIC settings, explore multi-institutional procurement, government </w:t>
      </w:r>
      <w:r w:rsidR="00B2510F" w:rsidRPr="00B2510F">
        <w:rPr>
          <w:rFonts w:ascii="Times New Roman" w:hAnsi="Times New Roman" w:cs="Times New Roman"/>
          <w:color w:val="000000" w:themeColor="text1"/>
        </w:rPr>
        <w:t>funding for health technology, and accreditation incentive programmes; deploy barcode-based instrument tracking as an interim measure when</w:t>
      </w:r>
      <w:r w:rsidRPr="00B2510F">
        <w:rPr>
          <w:rFonts w:ascii="Times New Roman" w:hAnsi="Times New Roman" w:cs="Times New Roman"/>
          <w:color w:val="000000" w:themeColor="text1"/>
        </w:rPr>
        <w:t xml:space="preserve"> RFID is not immediately feasible.</w:t>
      </w:r>
    </w:p>
    <w:p w14:paraId="355EA4FA" w14:textId="77777777" w:rsidR="00D51155" w:rsidRPr="000F5D46"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27" w:name="_Toc230543074"/>
      <w:bookmarkStart w:id="28" w:name="Xf084a3aad2ba019113a3f84a3b857d0628c92ce"/>
      <w:bookmarkEnd w:id="26"/>
      <w:r w:rsidRPr="000F5D46">
        <w:rPr>
          <w:rFonts w:ascii="Times New Roman" w:hAnsi="Times New Roman" w:cs="Times New Roman"/>
          <w:b/>
          <w:bCs/>
          <w:color w:val="000000" w:themeColor="text1"/>
          <w:sz w:val="24"/>
          <w:szCs w:val="24"/>
        </w:rPr>
        <w:t>9. Conclusion</w:t>
      </w:r>
      <w:bookmarkEnd w:id="27"/>
    </w:p>
    <w:p w14:paraId="0AEBCFAF" w14:textId="70FCAC66" w:rsidR="00D51155" w:rsidRPr="00B2510F" w:rsidRDefault="00000000" w:rsidP="00856882">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IRPA is, to our knowledge, among the first frameworks in the patient safety literature to integrate psychological safety, the Swiss Cheese Model, </w:t>
      </w:r>
      <w:r w:rsidR="000F5D46">
        <w:rPr>
          <w:rFonts w:ascii="Times New Roman" w:hAnsi="Times New Roman" w:cs="Times New Roman"/>
          <w:color w:val="000000" w:themeColor="text1"/>
        </w:rPr>
        <w:t>High Reliability Organisation (</w:t>
      </w:r>
      <w:r w:rsidRPr="00B2510F">
        <w:rPr>
          <w:rFonts w:ascii="Times New Roman" w:hAnsi="Times New Roman" w:cs="Times New Roman"/>
          <w:color w:val="000000" w:themeColor="text1"/>
        </w:rPr>
        <w:t>HRO</w:t>
      </w:r>
      <w:r w:rsidR="000F5D46">
        <w:rPr>
          <w:rFonts w:ascii="Times New Roman" w:hAnsi="Times New Roman" w:cs="Times New Roman"/>
          <w:color w:val="000000" w:themeColor="text1"/>
        </w:rPr>
        <w:t xml:space="preserve">) </w:t>
      </w:r>
      <w:r w:rsidRPr="00B2510F">
        <w:rPr>
          <w:rFonts w:ascii="Times New Roman" w:hAnsi="Times New Roman" w:cs="Times New Roman"/>
          <w:color w:val="000000" w:themeColor="text1"/>
        </w:rPr>
        <w:t xml:space="preserve">principles, </w:t>
      </w:r>
      <w:r w:rsidR="000F5D46" w:rsidRPr="000F5D46">
        <w:rPr>
          <w:rFonts w:ascii="Times New Roman" w:hAnsi="Times New Roman" w:cs="Times New Roman"/>
          <w:color w:val="000000" w:themeColor="text1"/>
        </w:rPr>
        <w:t>Crew Resource Management</w:t>
      </w:r>
      <w:r w:rsidRPr="00B2510F">
        <w:rPr>
          <w:rFonts w:ascii="Times New Roman" w:hAnsi="Times New Roman" w:cs="Times New Roman"/>
          <w:color w:val="000000" w:themeColor="text1"/>
        </w:rPr>
        <w:t xml:space="preserve">, </w:t>
      </w:r>
      <w:r w:rsidR="000F5D46" w:rsidRPr="000F5D46">
        <w:rPr>
          <w:rFonts w:ascii="Times New Roman" w:hAnsi="Times New Roman" w:cs="Times New Roman"/>
          <w:color w:val="000000" w:themeColor="text1"/>
        </w:rPr>
        <w:t>Normalization Process Theory</w:t>
      </w:r>
      <w:r w:rsidR="000F5D46">
        <w:rPr>
          <w:rFonts w:ascii="Times New Roman" w:hAnsi="Times New Roman" w:cs="Times New Roman"/>
          <w:color w:val="000000" w:themeColor="text1"/>
        </w:rPr>
        <w:t xml:space="preserve"> (</w:t>
      </w:r>
      <w:r w:rsidRPr="00B2510F">
        <w:rPr>
          <w:rFonts w:ascii="Times New Roman" w:hAnsi="Times New Roman" w:cs="Times New Roman"/>
          <w:color w:val="000000" w:themeColor="text1"/>
        </w:rPr>
        <w:t>NPT</w:t>
      </w:r>
      <w:r w:rsidR="000F5D46">
        <w:rPr>
          <w:rFonts w:ascii="Times New Roman" w:hAnsi="Times New Roman" w:cs="Times New Roman"/>
          <w:color w:val="000000" w:themeColor="text1"/>
        </w:rPr>
        <w:t>)</w:t>
      </w:r>
      <w:r w:rsidRPr="00B2510F">
        <w:rPr>
          <w:rFonts w:ascii="Times New Roman" w:hAnsi="Times New Roman" w:cs="Times New Roman"/>
          <w:color w:val="000000" w:themeColor="text1"/>
        </w:rPr>
        <w:t xml:space="preserve">, </w:t>
      </w:r>
      <w:r w:rsidR="000F5D46">
        <w:rPr>
          <w:rFonts w:ascii="Times New Roman" w:hAnsi="Times New Roman" w:cs="Times New Roman"/>
          <w:color w:val="000000" w:themeColor="text1"/>
        </w:rPr>
        <w:t>S</w:t>
      </w:r>
      <w:r w:rsidRPr="00B2510F">
        <w:rPr>
          <w:rFonts w:ascii="Times New Roman" w:hAnsi="Times New Roman" w:cs="Times New Roman"/>
          <w:color w:val="000000" w:themeColor="text1"/>
        </w:rPr>
        <w:t xml:space="preserve">ociotechnical </w:t>
      </w:r>
      <w:r w:rsidR="000F5D46">
        <w:rPr>
          <w:rFonts w:ascii="Times New Roman" w:hAnsi="Times New Roman" w:cs="Times New Roman"/>
          <w:color w:val="000000" w:themeColor="text1"/>
        </w:rPr>
        <w:t>S</w:t>
      </w:r>
      <w:r w:rsidRPr="00B2510F">
        <w:rPr>
          <w:rFonts w:ascii="Times New Roman" w:hAnsi="Times New Roman" w:cs="Times New Roman"/>
          <w:color w:val="000000" w:themeColor="text1"/>
        </w:rPr>
        <w:t xml:space="preserve">ystems </w:t>
      </w:r>
      <w:r w:rsidR="000F5D46">
        <w:rPr>
          <w:rFonts w:ascii="Times New Roman" w:hAnsi="Times New Roman" w:cs="Times New Roman"/>
          <w:color w:val="000000" w:themeColor="text1"/>
        </w:rPr>
        <w:t>T</w:t>
      </w:r>
      <w:r w:rsidRPr="00B2510F">
        <w:rPr>
          <w:rFonts w:ascii="Times New Roman" w:hAnsi="Times New Roman" w:cs="Times New Roman"/>
          <w:color w:val="000000" w:themeColor="text1"/>
        </w:rPr>
        <w:t xml:space="preserve">heory, </w:t>
      </w:r>
      <w:r w:rsidR="000F5D46">
        <w:rPr>
          <w:rFonts w:ascii="Times New Roman" w:hAnsi="Times New Roman" w:cs="Times New Roman"/>
          <w:color w:val="000000" w:themeColor="text1"/>
        </w:rPr>
        <w:t>S</w:t>
      </w:r>
      <w:r w:rsidRPr="00B2510F">
        <w:rPr>
          <w:rFonts w:ascii="Times New Roman" w:hAnsi="Times New Roman" w:cs="Times New Roman"/>
          <w:color w:val="000000" w:themeColor="text1"/>
        </w:rPr>
        <w:t xml:space="preserve">ystems </w:t>
      </w:r>
      <w:r w:rsidR="000F5D46">
        <w:rPr>
          <w:rFonts w:ascii="Times New Roman" w:hAnsi="Times New Roman" w:cs="Times New Roman"/>
          <w:color w:val="000000" w:themeColor="text1"/>
        </w:rPr>
        <w:t>R</w:t>
      </w:r>
      <w:r w:rsidRPr="00B2510F">
        <w:rPr>
          <w:rFonts w:ascii="Times New Roman" w:hAnsi="Times New Roman" w:cs="Times New Roman"/>
          <w:color w:val="000000" w:themeColor="text1"/>
        </w:rPr>
        <w:t xml:space="preserve">esilience, Safety-II, and </w:t>
      </w:r>
      <w:r w:rsidR="000F5D46">
        <w:rPr>
          <w:rFonts w:ascii="Times New Roman" w:hAnsi="Times New Roman" w:cs="Times New Roman"/>
          <w:color w:val="000000" w:themeColor="text1"/>
        </w:rPr>
        <w:t>H</w:t>
      </w:r>
      <w:r w:rsidRPr="00B2510F">
        <w:rPr>
          <w:rFonts w:ascii="Times New Roman" w:hAnsi="Times New Roman" w:cs="Times New Roman"/>
          <w:color w:val="000000" w:themeColor="text1"/>
        </w:rPr>
        <w:t xml:space="preserve">uman </w:t>
      </w:r>
      <w:r w:rsidR="000F5D46">
        <w:rPr>
          <w:rFonts w:ascii="Times New Roman" w:hAnsi="Times New Roman" w:cs="Times New Roman"/>
          <w:color w:val="000000" w:themeColor="text1"/>
        </w:rPr>
        <w:t>Factors Engineering</w:t>
      </w:r>
      <w:r w:rsidRPr="00B2510F">
        <w:rPr>
          <w:rFonts w:ascii="Times New Roman" w:hAnsi="Times New Roman" w:cs="Times New Roman"/>
          <w:color w:val="000000" w:themeColor="text1"/>
        </w:rPr>
        <w:t xml:space="preserve"> inside a single RSI prevention architecture. Three contributions distinguish it from earlier models: psychological safety is positioned explicitly as the enabling condition under which all other safeguards operate; RSI is reframed from individual negligence to emergent systems failure, a move that is both scientifically defensible and organisationally necessary; and the architecture is extended to LMIC perioperative settings, which carry most of global surgical volume yet sit furthest from the evidence base.</w:t>
      </w:r>
    </w:p>
    <w:p w14:paraId="138B1D48" w14:textId="7936BCED"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The retained item is the visible outcome of a structurally deficient safety system. When the structural conditions are reversed</w:t>
      </w:r>
      <w:r w:rsidR="00FC2780" w:rsidRPr="00B2510F">
        <w:rPr>
          <w:rFonts w:ascii="Times New Roman" w:hAnsi="Times New Roman" w:cs="Times New Roman"/>
          <w:color w:val="000000" w:themeColor="text1"/>
        </w:rPr>
        <w:t xml:space="preserve">, a nurse feels safe enough to stop surgery for an unresolved count; an RFID alert cannot be bypassed without leadership </w:t>
      </w:r>
      <w:proofErr w:type="spellStart"/>
      <w:r w:rsidR="009E1A84">
        <w:rPr>
          <w:rFonts w:ascii="Times New Roman" w:hAnsi="Times New Roman" w:cs="Times New Roman"/>
          <w:color w:val="000000" w:themeColor="text1"/>
        </w:rPr>
        <w:t>authorisation</w:t>
      </w:r>
      <w:proofErr w:type="spellEnd"/>
      <w:r w:rsidR="00FC2780" w:rsidRPr="00B2510F">
        <w:rPr>
          <w:rFonts w:ascii="Times New Roman" w:hAnsi="Times New Roman" w:cs="Times New Roman"/>
          <w:color w:val="000000" w:themeColor="text1"/>
        </w:rPr>
        <w:t>; just culture surfaces near-misses; accreditation audits behaviour rather than paper; the Swiss Cheese barriers are restored;</w:t>
      </w:r>
      <w:r w:rsidRPr="00B2510F">
        <w:rPr>
          <w:rFonts w:ascii="Times New Roman" w:hAnsi="Times New Roman" w:cs="Times New Roman"/>
          <w:color w:val="000000" w:themeColor="text1"/>
        </w:rPr>
        <w:t xml:space="preserve"> and the event does not occur.</w:t>
      </w:r>
    </w:p>
    <w:p w14:paraId="5AEF092E" w14:textId="1D979DF7" w:rsidR="00D51155" w:rsidRPr="00B2510F" w:rsidRDefault="00000000" w:rsidP="00856882">
      <w:pPr>
        <w:pStyle w:val="BodyText"/>
        <w:spacing w:line="360" w:lineRule="auto"/>
        <w:jc w:val="both"/>
        <w:rPr>
          <w:rFonts w:ascii="Times New Roman" w:hAnsi="Times New Roman" w:cs="Times New Roman"/>
          <w:color w:val="000000" w:themeColor="text1"/>
        </w:rPr>
      </w:pPr>
      <w:r w:rsidRPr="00B2510F">
        <w:rPr>
          <w:rFonts w:ascii="Times New Roman" w:hAnsi="Times New Roman" w:cs="Times New Roman"/>
          <w:b/>
          <w:bCs/>
          <w:color w:val="000000" w:themeColor="text1"/>
        </w:rPr>
        <w:t>Future research priorities.</w:t>
      </w:r>
      <w:r w:rsidRPr="00B2510F">
        <w:rPr>
          <w:rFonts w:ascii="Times New Roman" w:hAnsi="Times New Roman" w:cs="Times New Roman"/>
          <w:color w:val="000000" w:themeColor="text1"/>
        </w:rPr>
        <w:t xml:space="preserve"> (1) Development and validation of a Perioperative Psychological Safety Scale calibrated to RSI-relevant speaking-up behaviours. (2) Multi-site testing of IRPA propositions, prioritising P4 (fatigue × psychological safety) and P8 (RFID × psychological </w:t>
      </w:r>
      <w:r w:rsidRPr="00B2510F">
        <w:rPr>
          <w:rFonts w:ascii="Times New Roman" w:hAnsi="Times New Roman" w:cs="Times New Roman"/>
          <w:color w:val="000000" w:themeColor="text1"/>
        </w:rPr>
        <w:lastRenderedPageBreak/>
        <w:t xml:space="preserve">safety). (3) Cost-effectiveness analysis of RFID and barcode-based tracking in LMIC settings, including NABH-accredited Indian hospitals. (4) Longitudinal comparison of CRM and TeamSTEPPS effects on near-miss reporting and RSI incidence over 24–48 months. (5) A national RSI surveillance registry in India aligned with WHO GPSAP 2021–2030 to replace voluntary-reporting </w:t>
      </w:r>
      <w:r w:rsidR="00FC2780" w:rsidRPr="00B2510F">
        <w:rPr>
          <w:rFonts w:ascii="Times New Roman" w:hAnsi="Times New Roman" w:cs="Times New Roman"/>
          <w:color w:val="000000" w:themeColor="text1"/>
        </w:rPr>
        <w:t>undercounts</w:t>
      </w:r>
      <w:r w:rsidRPr="00B2510F">
        <w:rPr>
          <w:rFonts w:ascii="Times New Roman" w:hAnsi="Times New Roman" w:cs="Times New Roman"/>
          <w:color w:val="000000" w:themeColor="text1"/>
        </w:rPr>
        <w:t>.</w:t>
      </w:r>
    </w:p>
    <w:p w14:paraId="759E6C59" w14:textId="77777777" w:rsidR="00D51155" w:rsidRPr="000F5D46" w:rsidRDefault="00000000" w:rsidP="00856882">
      <w:pPr>
        <w:pStyle w:val="Heading2"/>
        <w:spacing w:line="360" w:lineRule="auto"/>
        <w:jc w:val="both"/>
        <w:rPr>
          <w:rFonts w:ascii="Times New Roman" w:hAnsi="Times New Roman" w:cs="Times New Roman"/>
          <w:b/>
          <w:bCs/>
          <w:color w:val="000000" w:themeColor="text1"/>
          <w:sz w:val="24"/>
          <w:szCs w:val="24"/>
        </w:rPr>
      </w:pPr>
      <w:bookmarkStart w:id="29" w:name="_Toc230543075"/>
      <w:bookmarkStart w:id="30" w:name="X3b4c3db7819ed66f453f0c9b146c43e80460b49"/>
      <w:bookmarkEnd w:id="28"/>
      <w:r w:rsidRPr="000F5D46">
        <w:rPr>
          <w:rFonts w:ascii="Times New Roman" w:hAnsi="Times New Roman" w:cs="Times New Roman"/>
          <w:b/>
          <w:bCs/>
          <w:color w:val="000000" w:themeColor="text1"/>
          <w:sz w:val="24"/>
          <w:szCs w:val="24"/>
        </w:rPr>
        <w:t>10. References</w:t>
      </w:r>
      <w:bookmarkEnd w:id="29"/>
    </w:p>
    <w:p w14:paraId="0B619DF8"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proofErr w:type="spellStart"/>
      <w:r w:rsidRPr="00B2510F">
        <w:rPr>
          <w:rFonts w:ascii="Times New Roman" w:hAnsi="Times New Roman" w:cs="Times New Roman"/>
          <w:color w:val="000000" w:themeColor="text1"/>
        </w:rPr>
        <w:t>Carayon</w:t>
      </w:r>
      <w:proofErr w:type="spellEnd"/>
      <w:r w:rsidRPr="00B2510F">
        <w:rPr>
          <w:rFonts w:ascii="Times New Roman" w:hAnsi="Times New Roman" w:cs="Times New Roman"/>
          <w:color w:val="000000" w:themeColor="text1"/>
        </w:rPr>
        <w:t xml:space="preserve">, P. A. S. H., Hundt, A. S., Karsh, B. T., </w:t>
      </w:r>
      <w:proofErr w:type="spellStart"/>
      <w:r w:rsidRPr="00B2510F">
        <w:rPr>
          <w:rFonts w:ascii="Times New Roman" w:hAnsi="Times New Roman" w:cs="Times New Roman"/>
          <w:color w:val="000000" w:themeColor="text1"/>
        </w:rPr>
        <w:t>Gurses</w:t>
      </w:r>
      <w:proofErr w:type="spellEnd"/>
      <w:r w:rsidRPr="00B2510F">
        <w:rPr>
          <w:rFonts w:ascii="Times New Roman" w:hAnsi="Times New Roman" w:cs="Times New Roman"/>
          <w:color w:val="000000" w:themeColor="text1"/>
        </w:rPr>
        <w:t>, A. P., Alvarado, C. J., Smith, M., &amp; Brennan, P. F. (2006). Work system design for patient safety: the SEIPS model. </w:t>
      </w:r>
      <w:r w:rsidRPr="00B2510F">
        <w:rPr>
          <w:rFonts w:ascii="Times New Roman" w:hAnsi="Times New Roman" w:cs="Times New Roman"/>
          <w:i/>
          <w:iCs/>
          <w:color w:val="000000" w:themeColor="text1"/>
        </w:rPr>
        <w:t>BMJ Quality &amp; Safety</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15</w:t>
      </w:r>
      <w:r w:rsidRPr="00B2510F">
        <w:rPr>
          <w:rFonts w:ascii="Times New Roman" w:hAnsi="Times New Roman" w:cs="Times New Roman"/>
          <w:color w:val="000000" w:themeColor="text1"/>
        </w:rPr>
        <w:t>(suppl 1), i50-i58.</w:t>
      </w:r>
    </w:p>
    <w:p w14:paraId="3AF5F7E1" w14:textId="283220AA"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Carmack, A., </w:t>
      </w:r>
      <w:proofErr w:type="spellStart"/>
      <w:r w:rsidRPr="00B2510F">
        <w:rPr>
          <w:rFonts w:ascii="Times New Roman" w:hAnsi="Times New Roman" w:cs="Times New Roman"/>
          <w:color w:val="000000" w:themeColor="text1"/>
        </w:rPr>
        <w:t>Valleru</w:t>
      </w:r>
      <w:proofErr w:type="spellEnd"/>
      <w:r w:rsidRPr="00B2510F">
        <w:rPr>
          <w:rFonts w:ascii="Times New Roman" w:hAnsi="Times New Roman" w:cs="Times New Roman"/>
          <w:color w:val="000000" w:themeColor="text1"/>
        </w:rPr>
        <w:t>, J., Randall, K., Baka, D., Angarano, J., &amp; Fogel, R. (2023). A multicenter collaborative effort to reduce preventable patient harm due to retained surgical items. </w:t>
      </w:r>
      <w:r w:rsidRPr="00B2510F">
        <w:rPr>
          <w:rFonts w:ascii="Times New Roman" w:hAnsi="Times New Roman" w:cs="Times New Roman"/>
          <w:i/>
          <w:iCs/>
          <w:color w:val="000000" w:themeColor="text1"/>
        </w:rPr>
        <w:t>The Joint Commission Journal on Quality and Patient Safety</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49</w:t>
      </w:r>
      <w:r w:rsidRPr="00B2510F">
        <w:rPr>
          <w:rFonts w:ascii="Times New Roman" w:hAnsi="Times New Roman" w:cs="Times New Roman"/>
          <w:color w:val="000000" w:themeColor="text1"/>
        </w:rPr>
        <w:t>(1), 3</w:t>
      </w:r>
      <w:r w:rsidR="00CF0635"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13.</w:t>
      </w:r>
    </w:p>
    <w:p w14:paraId="093342D7"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De Vries, E. N., Ramrattan, M. A., </w:t>
      </w:r>
      <w:proofErr w:type="spellStart"/>
      <w:r w:rsidRPr="00B2510F">
        <w:rPr>
          <w:rFonts w:ascii="Times New Roman" w:hAnsi="Times New Roman" w:cs="Times New Roman"/>
          <w:color w:val="000000" w:themeColor="text1"/>
        </w:rPr>
        <w:t>Smorenburg</w:t>
      </w:r>
      <w:proofErr w:type="spellEnd"/>
      <w:r w:rsidRPr="00B2510F">
        <w:rPr>
          <w:rFonts w:ascii="Times New Roman" w:hAnsi="Times New Roman" w:cs="Times New Roman"/>
          <w:color w:val="000000" w:themeColor="text1"/>
        </w:rPr>
        <w:t xml:space="preserve">, S. M., Gouma, D. J., &amp; </w:t>
      </w:r>
      <w:proofErr w:type="spellStart"/>
      <w:r w:rsidRPr="00B2510F">
        <w:rPr>
          <w:rFonts w:ascii="Times New Roman" w:hAnsi="Times New Roman" w:cs="Times New Roman"/>
          <w:color w:val="000000" w:themeColor="text1"/>
        </w:rPr>
        <w:t>Boermeester</w:t>
      </w:r>
      <w:proofErr w:type="spellEnd"/>
      <w:r w:rsidRPr="00B2510F">
        <w:rPr>
          <w:rFonts w:ascii="Times New Roman" w:hAnsi="Times New Roman" w:cs="Times New Roman"/>
          <w:color w:val="000000" w:themeColor="text1"/>
        </w:rPr>
        <w:t>, M. A. (2008). The incidence and nature of in-hospital adverse events: a systematic review. </w:t>
      </w:r>
      <w:r w:rsidRPr="00B2510F">
        <w:rPr>
          <w:rFonts w:ascii="Times New Roman" w:hAnsi="Times New Roman" w:cs="Times New Roman"/>
          <w:i/>
          <w:iCs/>
          <w:color w:val="000000" w:themeColor="text1"/>
        </w:rPr>
        <w:t>BMJ Quality &amp; Safety</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17</w:t>
      </w:r>
      <w:r w:rsidRPr="00B2510F">
        <w:rPr>
          <w:rFonts w:ascii="Times New Roman" w:hAnsi="Times New Roman" w:cs="Times New Roman"/>
          <w:color w:val="000000" w:themeColor="text1"/>
        </w:rPr>
        <w:t>(3), 216–223.</w:t>
      </w:r>
    </w:p>
    <w:p w14:paraId="0E97EC41"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de Vries, E. N., Prins, H. A., Crolla, R. M., den Outer, A. J., van Andel, G., van Helden, S. H., ... &amp; </w:t>
      </w:r>
      <w:proofErr w:type="spellStart"/>
      <w:r w:rsidRPr="00B2510F">
        <w:rPr>
          <w:rFonts w:ascii="Times New Roman" w:hAnsi="Times New Roman" w:cs="Times New Roman"/>
          <w:color w:val="000000" w:themeColor="text1"/>
        </w:rPr>
        <w:t>Boermeester</w:t>
      </w:r>
      <w:proofErr w:type="spellEnd"/>
      <w:r w:rsidRPr="00B2510F">
        <w:rPr>
          <w:rFonts w:ascii="Times New Roman" w:hAnsi="Times New Roman" w:cs="Times New Roman"/>
          <w:color w:val="000000" w:themeColor="text1"/>
        </w:rPr>
        <w:t>, M. A. (2010). Effect of a comprehensive surgical safety system on patient outcomes. </w:t>
      </w:r>
      <w:r w:rsidRPr="00B2510F">
        <w:rPr>
          <w:rFonts w:ascii="Times New Roman" w:hAnsi="Times New Roman" w:cs="Times New Roman"/>
          <w:i/>
          <w:iCs/>
          <w:color w:val="000000" w:themeColor="text1"/>
        </w:rPr>
        <w:t>New England Journal of Medicine</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363</w:t>
      </w:r>
      <w:r w:rsidRPr="00B2510F">
        <w:rPr>
          <w:rFonts w:ascii="Times New Roman" w:hAnsi="Times New Roman" w:cs="Times New Roman"/>
          <w:color w:val="000000" w:themeColor="text1"/>
        </w:rPr>
        <w:t>(20), 1928-1937.</w:t>
      </w:r>
    </w:p>
    <w:p w14:paraId="754F2B4A"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Dekker, S. (2016). </w:t>
      </w:r>
      <w:r w:rsidRPr="00B2510F">
        <w:rPr>
          <w:rFonts w:ascii="Times New Roman" w:hAnsi="Times New Roman" w:cs="Times New Roman"/>
          <w:i/>
          <w:iCs/>
          <w:color w:val="000000" w:themeColor="text1"/>
        </w:rPr>
        <w:t>Drift into failure: From hunting broken components to understanding complex systems</w:t>
      </w:r>
      <w:r w:rsidRPr="00B2510F">
        <w:rPr>
          <w:rFonts w:ascii="Times New Roman" w:hAnsi="Times New Roman" w:cs="Times New Roman"/>
          <w:color w:val="000000" w:themeColor="text1"/>
        </w:rPr>
        <w:t>. CRC Press.</w:t>
      </w:r>
    </w:p>
    <w:p w14:paraId="793CA021"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Edmondson, A. (1999). Psychological safety and learning behaviour in work teams. </w:t>
      </w:r>
      <w:r w:rsidRPr="00B2510F">
        <w:rPr>
          <w:rFonts w:ascii="Times New Roman" w:hAnsi="Times New Roman" w:cs="Times New Roman"/>
          <w:i/>
          <w:iCs/>
          <w:color w:val="000000" w:themeColor="text1"/>
        </w:rPr>
        <w:t>Administrative Science Quarterly</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44</w:t>
      </w:r>
      <w:r w:rsidRPr="00B2510F">
        <w:rPr>
          <w:rFonts w:ascii="Times New Roman" w:hAnsi="Times New Roman" w:cs="Times New Roman"/>
          <w:color w:val="000000" w:themeColor="text1"/>
        </w:rPr>
        <w:t>(2), 350–383.</w:t>
      </w:r>
    </w:p>
    <w:p w14:paraId="25D801B5"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Etheridge, J. C., Moyal-Smith, R., Yong, T. T., Lim, S. R., </w:t>
      </w:r>
      <w:proofErr w:type="spellStart"/>
      <w:r w:rsidRPr="00B2510F">
        <w:rPr>
          <w:rFonts w:ascii="Times New Roman" w:hAnsi="Times New Roman" w:cs="Times New Roman"/>
          <w:color w:val="000000" w:themeColor="text1"/>
        </w:rPr>
        <w:t>Sonnay</w:t>
      </w:r>
      <w:proofErr w:type="spellEnd"/>
      <w:r w:rsidRPr="00B2510F">
        <w:rPr>
          <w:rFonts w:ascii="Times New Roman" w:hAnsi="Times New Roman" w:cs="Times New Roman"/>
          <w:color w:val="000000" w:themeColor="text1"/>
        </w:rPr>
        <w:t>, Y., Lim, C., ... &amp; Havens, J. M. (2024). Transforming team performance through reimplementation of the surgical safety checklist. </w:t>
      </w:r>
      <w:r w:rsidRPr="00B2510F">
        <w:rPr>
          <w:rFonts w:ascii="Times New Roman" w:hAnsi="Times New Roman" w:cs="Times New Roman"/>
          <w:i/>
          <w:iCs/>
          <w:color w:val="000000" w:themeColor="text1"/>
        </w:rPr>
        <w:t>JAMA Surgery</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159</w:t>
      </w:r>
      <w:r w:rsidRPr="00B2510F">
        <w:rPr>
          <w:rFonts w:ascii="Times New Roman" w:hAnsi="Times New Roman" w:cs="Times New Roman"/>
          <w:color w:val="000000" w:themeColor="text1"/>
        </w:rPr>
        <w:t>(1), 78–86.</w:t>
      </w:r>
    </w:p>
    <w:p w14:paraId="6AC64FFF"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lastRenderedPageBreak/>
        <w:t xml:space="preserve">Frazier, M. L., </w:t>
      </w:r>
      <w:proofErr w:type="spellStart"/>
      <w:r w:rsidRPr="00B2510F">
        <w:rPr>
          <w:rFonts w:ascii="Times New Roman" w:hAnsi="Times New Roman" w:cs="Times New Roman"/>
          <w:color w:val="000000" w:themeColor="text1"/>
        </w:rPr>
        <w:t>Fainshmidt</w:t>
      </w:r>
      <w:proofErr w:type="spellEnd"/>
      <w:r w:rsidRPr="00B2510F">
        <w:rPr>
          <w:rFonts w:ascii="Times New Roman" w:hAnsi="Times New Roman" w:cs="Times New Roman"/>
          <w:color w:val="000000" w:themeColor="text1"/>
        </w:rPr>
        <w:t xml:space="preserve">, S., Klinger, R. L., </w:t>
      </w:r>
      <w:proofErr w:type="spellStart"/>
      <w:r w:rsidRPr="00B2510F">
        <w:rPr>
          <w:rFonts w:ascii="Times New Roman" w:hAnsi="Times New Roman" w:cs="Times New Roman"/>
          <w:color w:val="000000" w:themeColor="text1"/>
        </w:rPr>
        <w:t>Pezeshkan</w:t>
      </w:r>
      <w:proofErr w:type="spellEnd"/>
      <w:r w:rsidRPr="00B2510F">
        <w:rPr>
          <w:rFonts w:ascii="Times New Roman" w:hAnsi="Times New Roman" w:cs="Times New Roman"/>
          <w:color w:val="000000" w:themeColor="text1"/>
        </w:rPr>
        <w:t xml:space="preserve">, A., &amp; </w:t>
      </w:r>
      <w:proofErr w:type="spellStart"/>
      <w:r w:rsidRPr="00B2510F">
        <w:rPr>
          <w:rFonts w:ascii="Times New Roman" w:hAnsi="Times New Roman" w:cs="Times New Roman"/>
          <w:color w:val="000000" w:themeColor="text1"/>
        </w:rPr>
        <w:t>Vracheva</w:t>
      </w:r>
      <w:proofErr w:type="spellEnd"/>
      <w:r w:rsidRPr="00B2510F">
        <w:rPr>
          <w:rFonts w:ascii="Times New Roman" w:hAnsi="Times New Roman" w:cs="Times New Roman"/>
          <w:color w:val="000000" w:themeColor="text1"/>
        </w:rPr>
        <w:t>, V. (2017). Psychological safety: A meta‐analytic review and extension. </w:t>
      </w:r>
      <w:r w:rsidRPr="00B2510F">
        <w:rPr>
          <w:rFonts w:ascii="Times New Roman" w:hAnsi="Times New Roman" w:cs="Times New Roman"/>
          <w:i/>
          <w:iCs/>
          <w:color w:val="000000" w:themeColor="text1"/>
        </w:rPr>
        <w:t>Personnel psychology</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70</w:t>
      </w:r>
      <w:r w:rsidRPr="00B2510F">
        <w:rPr>
          <w:rFonts w:ascii="Times New Roman" w:hAnsi="Times New Roman" w:cs="Times New Roman"/>
          <w:color w:val="000000" w:themeColor="text1"/>
        </w:rPr>
        <w:t>(1), 113–165.</w:t>
      </w:r>
    </w:p>
    <w:p w14:paraId="54F7E245"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Greenberg, C. C., Regenbogen, S. E., Studdert, D. M., Lipsitz, S. R., Rogers, S. O., Zinner, M. J., &amp; Gawande, A. A. (2007). Patterns of communication breakdowns resulting in injury to surgical patients. </w:t>
      </w:r>
      <w:r w:rsidRPr="00B2510F">
        <w:rPr>
          <w:rFonts w:ascii="Times New Roman" w:hAnsi="Times New Roman" w:cs="Times New Roman"/>
          <w:i/>
          <w:iCs/>
          <w:color w:val="000000" w:themeColor="text1"/>
        </w:rPr>
        <w:t>Journal of the American College of Surgeons</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204</w:t>
      </w:r>
      <w:r w:rsidRPr="00B2510F">
        <w:rPr>
          <w:rFonts w:ascii="Times New Roman" w:hAnsi="Times New Roman" w:cs="Times New Roman"/>
          <w:color w:val="000000" w:themeColor="text1"/>
        </w:rPr>
        <w:t>(4), 533–540.</w:t>
      </w:r>
    </w:p>
    <w:p w14:paraId="44B05BFD"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Haynes, A. B., Weiser, T. G., Berry, W. R., Lipsitz, S. R., </w:t>
      </w:r>
      <w:proofErr w:type="spellStart"/>
      <w:r w:rsidRPr="00B2510F">
        <w:rPr>
          <w:rFonts w:ascii="Times New Roman" w:hAnsi="Times New Roman" w:cs="Times New Roman"/>
          <w:color w:val="000000" w:themeColor="text1"/>
        </w:rPr>
        <w:t>Breizat</w:t>
      </w:r>
      <w:proofErr w:type="spellEnd"/>
      <w:r w:rsidRPr="00B2510F">
        <w:rPr>
          <w:rFonts w:ascii="Times New Roman" w:hAnsi="Times New Roman" w:cs="Times New Roman"/>
          <w:color w:val="000000" w:themeColor="text1"/>
        </w:rPr>
        <w:t>, A. H. S., Dellinger, E. P., ... &amp; Gawande, A. A. (2009). A surgical safety checklist to reduce morbidity and mortality in a global population. </w:t>
      </w:r>
      <w:r w:rsidRPr="00B2510F">
        <w:rPr>
          <w:rFonts w:ascii="Times New Roman" w:hAnsi="Times New Roman" w:cs="Times New Roman"/>
          <w:i/>
          <w:iCs/>
          <w:color w:val="000000" w:themeColor="text1"/>
        </w:rPr>
        <w:t>New England journal of medicine</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360</w:t>
      </w:r>
      <w:r w:rsidRPr="00B2510F">
        <w:rPr>
          <w:rFonts w:ascii="Times New Roman" w:hAnsi="Times New Roman" w:cs="Times New Roman"/>
          <w:color w:val="000000" w:themeColor="text1"/>
        </w:rPr>
        <w:t>(5), 491–499.</w:t>
      </w:r>
    </w:p>
    <w:p w14:paraId="3CC5DA78"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Hollnagel, E. (2018). </w:t>
      </w:r>
      <w:r w:rsidRPr="00B2510F">
        <w:rPr>
          <w:rFonts w:ascii="Times New Roman" w:hAnsi="Times New Roman" w:cs="Times New Roman"/>
          <w:i/>
          <w:iCs/>
          <w:color w:val="000000" w:themeColor="text1"/>
        </w:rPr>
        <w:t>Safety-I and safety-II: the past and future of safety management</w:t>
      </w:r>
      <w:r w:rsidRPr="00B2510F">
        <w:rPr>
          <w:rFonts w:ascii="Times New Roman" w:hAnsi="Times New Roman" w:cs="Times New Roman"/>
          <w:color w:val="000000" w:themeColor="text1"/>
        </w:rPr>
        <w:t>. CRC Press.</w:t>
      </w:r>
    </w:p>
    <w:p w14:paraId="0D5AF41B"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Jaakkola, E. (2020). Designing conceptual articles: four approaches. </w:t>
      </w:r>
      <w:r w:rsidRPr="00B2510F">
        <w:rPr>
          <w:rFonts w:ascii="Times New Roman" w:hAnsi="Times New Roman" w:cs="Times New Roman"/>
          <w:i/>
          <w:iCs/>
          <w:color w:val="000000" w:themeColor="text1"/>
        </w:rPr>
        <w:t>AMS review</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10</w:t>
      </w:r>
      <w:r w:rsidRPr="00B2510F">
        <w:rPr>
          <w:rFonts w:ascii="Times New Roman" w:hAnsi="Times New Roman" w:cs="Times New Roman"/>
          <w:color w:val="000000" w:themeColor="text1"/>
        </w:rPr>
        <w:t>(1), 18–26.</w:t>
      </w:r>
    </w:p>
    <w:p w14:paraId="7553605C" w14:textId="13813871"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 James, J. T. (2013). A new, evidence-based estimate of patient harms associated with hospital care. </w:t>
      </w:r>
      <w:r w:rsidRPr="00B2510F">
        <w:rPr>
          <w:rFonts w:ascii="Times New Roman" w:hAnsi="Times New Roman" w:cs="Times New Roman"/>
          <w:i/>
          <w:iCs/>
          <w:color w:val="000000" w:themeColor="text1"/>
        </w:rPr>
        <w:t xml:space="preserve">Journal of </w:t>
      </w:r>
      <w:r w:rsidR="00CF0635" w:rsidRPr="00B2510F">
        <w:rPr>
          <w:rFonts w:ascii="Times New Roman" w:hAnsi="Times New Roman" w:cs="Times New Roman"/>
          <w:i/>
          <w:iCs/>
          <w:color w:val="000000" w:themeColor="text1"/>
        </w:rPr>
        <w:t>Patient Safety</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9</w:t>
      </w:r>
      <w:r w:rsidRPr="00B2510F">
        <w:rPr>
          <w:rFonts w:ascii="Times New Roman" w:hAnsi="Times New Roman" w:cs="Times New Roman"/>
          <w:color w:val="000000" w:themeColor="text1"/>
        </w:rPr>
        <w:t>(3), 122</w:t>
      </w:r>
      <w:r w:rsidR="00CF0635"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128.</w:t>
      </w:r>
    </w:p>
    <w:p w14:paraId="1AA49E3D"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Donaldson, M. S., Corrigan, J. M., &amp; Kohn, L. T. (Eds.). (2000). To err is human: building a safer health system.</w:t>
      </w:r>
    </w:p>
    <w:p w14:paraId="38574488"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Makary, M. A., &amp; Daniel, M. (2016). Medical error is the third leading cause of death in the US. </w:t>
      </w:r>
      <w:r w:rsidRPr="00B2510F">
        <w:rPr>
          <w:rFonts w:ascii="Times New Roman" w:hAnsi="Times New Roman" w:cs="Times New Roman"/>
          <w:i/>
          <w:iCs/>
          <w:color w:val="000000" w:themeColor="text1"/>
        </w:rPr>
        <w:t>BMJ</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353</w:t>
      </w:r>
      <w:r w:rsidRPr="00B2510F">
        <w:rPr>
          <w:rFonts w:ascii="Times New Roman" w:hAnsi="Times New Roman" w:cs="Times New Roman"/>
          <w:color w:val="000000" w:themeColor="text1"/>
        </w:rPr>
        <w:t>.</w:t>
      </w:r>
    </w:p>
    <w:p w14:paraId="06ECDBFE" w14:textId="4D671D80"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May, C., &amp; Finch, T. (2009). Implementing, embedding, and integrating practices: an outline of </w:t>
      </w:r>
      <w:proofErr w:type="spellStart"/>
      <w:r w:rsidR="00CF0635" w:rsidRPr="00B2510F">
        <w:rPr>
          <w:rFonts w:ascii="Times New Roman" w:hAnsi="Times New Roman" w:cs="Times New Roman"/>
          <w:color w:val="000000" w:themeColor="text1"/>
        </w:rPr>
        <w:t>normalisation</w:t>
      </w:r>
      <w:proofErr w:type="spellEnd"/>
      <w:r w:rsidRPr="00B2510F">
        <w:rPr>
          <w:rFonts w:ascii="Times New Roman" w:hAnsi="Times New Roman" w:cs="Times New Roman"/>
          <w:color w:val="000000" w:themeColor="text1"/>
        </w:rPr>
        <w:t xml:space="preserve"> process theory. </w:t>
      </w:r>
      <w:r w:rsidRPr="00B2510F">
        <w:rPr>
          <w:rFonts w:ascii="Times New Roman" w:hAnsi="Times New Roman" w:cs="Times New Roman"/>
          <w:i/>
          <w:iCs/>
          <w:color w:val="000000" w:themeColor="text1"/>
        </w:rPr>
        <w:t>Sociology</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43</w:t>
      </w:r>
      <w:r w:rsidRPr="00B2510F">
        <w:rPr>
          <w:rFonts w:ascii="Times New Roman" w:hAnsi="Times New Roman" w:cs="Times New Roman"/>
          <w:color w:val="000000" w:themeColor="text1"/>
        </w:rPr>
        <w:t>(3), 535</w:t>
      </w:r>
      <w:r w:rsidR="00CF0635"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554.</w:t>
      </w:r>
    </w:p>
    <w:p w14:paraId="47C056CC"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Neily, J., Mills, P. D., Young-Xu, Y., Carney, B. T., West, P., Berger, D. H., ... &amp; Bagian, J. P. (2010). Association between implementation of a medical team training program and surgical mortality. </w:t>
      </w:r>
      <w:r w:rsidRPr="00B2510F">
        <w:rPr>
          <w:rFonts w:ascii="Times New Roman" w:hAnsi="Times New Roman" w:cs="Times New Roman"/>
          <w:i/>
          <w:iCs/>
          <w:color w:val="000000" w:themeColor="text1"/>
        </w:rPr>
        <w:t>Jama</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304</w:t>
      </w:r>
      <w:r w:rsidRPr="00B2510F">
        <w:rPr>
          <w:rFonts w:ascii="Times New Roman" w:hAnsi="Times New Roman" w:cs="Times New Roman"/>
          <w:color w:val="000000" w:themeColor="text1"/>
        </w:rPr>
        <w:t>(15), 1693-1700.</w:t>
      </w:r>
    </w:p>
    <w:p w14:paraId="758CA922" w14:textId="77777777" w:rsidR="004E3D4A"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Newman, A., Donohue, R., &amp; Eva, N. (2017). Psychological safety: A systematic review of the literature. </w:t>
      </w:r>
      <w:r w:rsidRPr="00B2510F">
        <w:rPr>
          <w:rFonts w:ascii="Times New Roman" w:hAnsi="Times New Roman" w:cs="Times New Roman"/>
          <w:i/>
          <w:iCs/>
          <w:color w:val="000000" w:themeColor="text1"/>
        </w:rPr>
        <w:t>Human resource management review</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27</w:t>
      </w:r>
      <w:r w:rsidRPr="00B2510F">
        <w:rPr>
          <w:rFonts w:ascii="Times New Roman" w:hAnsi="Times New Roman" w:cs="Times New Roman"/>
          <w:color w:val="000000" w:themeColor="text1"/>
        </w:rPr>
        <w:t>(3), 521</w:t>
      </w:r>
      <w:r w:rsidRPr="00B2510F">
        <w:rPr>
          <w:rFonts w:ascii="Times New Roman" w:hAnsi="Times New Roman" w:cs="Times New Roman"/>
          <w:color w:val="000000" w:themeColor="text1"/>
        </w:rPr>
        <w:t>–</w:t>
      </w:r>
      <w:r w:rsidRPr="00B2510F">
        <w:rPr>
          <w:rFonts w:ascii="Times New Roman" w:hAnsi="Times New Roman" w:cs="Times New Roman"/>
          <w:color w:val="000000" w:themeColor="text1"/>
        </w:rPr>
        <w:t>535.</w:t>
      </w:r>
      <w:r w:rsidR="004E3D4A">
        <w:rPr>
          <w:rFonts w:ascii="Times New Roman" w:hAnsi="Times New Roman" w:cs="Times New Roman"/>
          <w:color w:val="000000" w:themeColor="text1"/>
        </w:rPr>
        <w:t xml:space="preserve"> </w:t>
      </w:r>
    </w:p>
    <w:p w14:paraId="69079BB8" w14:textId="76A00FD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lastRenderedPageBreak/>
        <w:t>Pronovost, P., Needham, D., Berenholtz, S., Sinopoli, D., Chu, H., Cosgrove, S., ... &amp; Goeschel, C. (2006). An intervention to decrease catheter-related bloodstream infections in the ICU. </w:t>
      </w:r>
      <w:r w:rsidRPr="00B2510F">
        <w:rPr>
          <w:rFonts w:ascii="Times New Roman" w:hAnsi="Times New Roman" w:cs="Times New Roman"/>
          <w:i/>
          <w:iCs/>
          <w:color w:val="000000" w:themeColor="text1"/>
        </w:rPr>
        <w:t>New England journal of medicine</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355</w:t>
      </w:r>
      <w:r w:rsidRPr="00B2510F">
        <w:rPr>
          <w:rFonts w:ascii="Times New Roman" w:hAnsi="Times New Roman" w:cs="Times New Roman"/>
          <w:color w:val="000000" w:themeColor="text1"/>
        </w:rPr>
        <w:t>(26), 2725–2732.</w:t>
      </w:r>
    </w:p>
    <w:p w14:paraId="63EDC44C"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Reames, B. N., Krell, R. W., Campbell Jr, D. A., &amp; Dimick, J. B. (2015). A checklist-based intervention to improve surgical outcomes in Michigan: evaluation of the Keystone Surgery program. </w:t>
      </w:r>
      <w:r w:rsidRPr="00B2510F">
        <w:rPr>
          <w:rFonts w:ascii="Times New Roman" w:hAnsi="Times New Roman" w:cs="Times New Roman"/>
          <w:i/>
          <w:iCs/>
          <w:color w:val="000000" w:themeColor="text1"/>
        </w:rPr>
        <w:t>JAMA Surgery</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150</w:t>
      </w:r>
      <w:r w:rsidRPr="00B2510F">
        <w:rPr>
          <w:rFonts w:ascii="Times New Roman" w:hAnsi="Times New Roman" w:cs="Times New Roman"/>
          <w:color w:val="000000" w:themeColor="text1"/>
        </w:rPr>
        <w:t>(3), 208–215.</w:t>
      </w:r>
    </w:p>
    <w:p w14:paraId="33908B60"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Reason, J. (1990). </w:t>
      </w:r>
      <w:r w:rsidRPr="00B2510F">
        <w:rPr>
          <w:rFonts w:ascii="Times New Roman" w:hAnsi="Times New Roman" w:cs="Times New Roman"/>
          <w:i/>
          <w:iCs/>
          <w:color w:val="000000" w:themeColor="text1"/>
        </w:rPr>
        <w:t>Human error</w:t>
      </w:r>
      <w:r w:rsidRPr="00B2510F">
        <w:rPr>
          <w:rFonts w:ascii="Times New Roman" w:hAnsi="Times New Roman" w:cs="Times New Roman"/>
          <w:color w:val="000000" w:themeColor="text1"/>
        </w:rPr>
        <w:t>. Cambridge University Press.</w:t>
      </w:r>
    </w:p>
    <w:p w14:paraId="4B3FADB4" w14:textId="641F890F"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Reason, J. (2016). </w:t>
      </w:r>
      <w:r w:rsidRPr="00B2510F">
        <w:rPr>
          <w:rFonts w:ascii="Times New Roman" w:hAnsi="Times New Roman" w:cs="Times New Roman"/>
          <w:i/>
          <w:iCs/>
          <w:color w:val="000000" w:themeColor="text1"/>
        </w:rPr>
        <w:t xml:space="preserve">Managing the risks of </w:t>
      </w:r>
      <w:r w:rsidRPr="00B2510F">
        <w:rPr>
          <w:rFonts w:ascii="Times New Roman" w:hAnsi="Times New Roman" w:cs="Times New Roman"/>
          <w:i/>
          <w:iCs/>
          <w:color w:val="000000" w:themeColor="text1"/>
        </w:rPr>
        <w:t>organisational</w:t>
      </w:r>
      <w:r w:rsidRPr="00B2510F">
        <w:rPr>
          <w:rFonts w:ascii="Times New Roman" w:hAnsi="Times New Roman" w:cs="Times New Roman"/>
          <w:i/>
          <w:iCs/>
          <w:color w:val="000000" w:themeColor="text1"/>
        </w:rPr>
        <w:t xml:space="preserve"> accidents</w:t>
      </w:r>
      <w:r w:rsidRPr="00B2510F">
        <w:rPr>
          <w:rFonts w:ascii="Times New Roman" w:hAnsi="Times New Roman" w:cs="Times New Roman"/>
          <w:color w:val="000000" w:themeColor="text1"/>
        </w:rPr>
        <w:t>. Routledge.</w:t>
      </w:r>
    </w:p>
    <w:p w14:paraId="64F7A556"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Schmutz, J., &amp; Manser, T. (2013). Do team processes really have an effect on clinical performance? A systematic literature review. </w:t>
      </w:r>
      <w:r w:rsidRPr="00B2510F">
        <w:rPr>
          <w:rFonts w:ascii="Times New Roman" w:hAnsi="Times New Roman" w:cs="Times New Roman"/>
          <w:i/>
          <w:iCs/>
          <w:color w:val="000000" w:themeColor="text1"/>
        </w:rPr>
        <w:t>British Journal of Anaesthesia</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110</w:t>
      </w:r>
      <w:r w:rsidRPr="00B2510F">
        <w:rPr>
          <w:rFonts w:ascii="Times New Roman" w:hAnsi="Times New Roman" w:cs="Times New Roman"/>
          <w:color w:val="000000" w:themeColor="text1"/>
        </w:rPr>
        <w:t>(4), 529–544.</w:t>
      </w:r>
    </w:p>
    <w:p w14:paraId="0B8EB102"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proofErr w:type="spellStart"/>
      <w:r w:rsidRPr="00B2510F">
        <w:rPr>
          <w:rFonts w:ascii="Times New Roman" w:hAnsi="Times New Roman" w:cs="Times New Roman"/>
          <w:color w:val="000000" w:themeColor="text1"/>
        </w:rPr>
        <w:t>Shojania</w:t>
      </w:r>
      <w:proofErr w:type="spellEnd"/>
      <w:r w:rsidRPr="00B2510F">
        <w:rPr>
          <w:rFonts w:ascii="Times New Roman" w:hAnsi="Times New Roman" w:cs="Times New Roman"/>
          <w:color w:val="000000" w:themeColor="text1"/>
        </w:rPr>
        <w:t>, K. G., &amp; Dixon-Woods, M. (2017). Estimating deaths due to medical error: the ongoing controversy and why it matters. </w:t>
      </w:r>
      <w:r w:rsidRPr="00B2510F">
        <w:rPr>
          <w:rFonts w:ascii="Times New Roman" w:hAnsi="Times New Roman" w:cs="Times New Roman"/>
          <w:i/>
          <w:iCs/>
          <w:color w:val="000000" w:themeColor="text1"/>
        </w:rPr>
        <w:t>BMJ Quality &amp; Safety</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26</w:t>
      </w:r>
      <w:r w:rsidRPr="00B2510F">
        <w:rPr>
          <w:rFonts w:ascii="Times New Roman" w:hAnsi="Times New Roman" w:cs="Times New Roman"/>
          <w:color w:val="000000" w:themeColor="text1"/>
        </w:rPr>
        <w:t>(5), 423–428.</w:t>
      </w:r>
    </w:p>
    <w:p w14:paraId="7C294841"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Stawicki, S. P., Moffatt-Bruce, S. D., Ahmed, H. M., Anderson III, H. L., Balija, T. M., Bernescu, I., ... &amp; Cook, C. H. (2013). Retained surgical items: a problem yet to be solved. </w:t>
      </w:r>
      <w:r w:rsidRPr="00B2510F">
        <w:rPr>
          <w:rFonts w:ascii="Times New Roman" w:hAnsi="Times New Roman" w:cs="Times New Roman"/>
          <w:i/>
          <w:iCs/>
          <w:color w:val="000000" w:themeColor="text1"/>
        </w:rPr>
        <w:t>Journal of the American College of Surgeons</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216</w:t>
      </w:r>
      <w:r w:rsidRPr="00B2510F">
        <w:rPr>
          <w:rFonts w:ascii="Times New Roman" w:hAnsi="Times New Roman" w:cs="Times New Roman"/>
          <w:color w:val="000000" w:themeColor="text1"/>
        </w:rPr>
        <w:t>(1), 15–22.</w:t>
      </w:r>
    </w:p>
    <w:p w14:paraId="56C5DE19"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The Joint Commission. (2024). </w:t>
      </w:r>
      <w:r w:rsidRPr="00B2510F">
        <w:rPr>
          <w:rFonts w:ascii="Times New Roman" w:hAnsi="Times New Roman" w:cs="Times New Roman"/>
          <w:i/>
          <w:iCs/>
          <w:color w:val="000000" w:themeColor="text1"/>
        </w:rPr>
        <w:t>Sentinel event data summary</w:t>
      </w:r>
      <w:r w:rsidRPr="00B2510F">
        <w:rPr>
          <w:rFonts w:ascii="Times New Roman" w:hAnsi="Times New Roman" w:cs="Times New Roman"/>
          <w:color w:val="000000" w:themeColor="text1"/>
        </w:rPr>
        <w:t xml:space="preserve">. </w:t>
      </w:r>
      <w:hyperlink r:id="rId70" w:history="1">
        <w:r w:rsidRPr="00B2510F">
          <w:rPr>
            <w:rStyle w:val="Hyperlink"/>
            <w:rFonts w:ascii="Times New Roman" w:hAnsi="Times New Roman" w:cs="Times New Roman"/>
            <w:color w:val="000000" w:themeColor="text1"/>
          </w:rPr>
          <w:t>https://digitalassets.jointcommission.org/api/public/content/eac7511986c0442a9c1ae04b1aa02cc0?v=ad34daa0</w:t>
        </w:r>
      </w:hyperlink>
    </w:p>
    <w:p w14:paraId="7FE641EA"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 xml:space="preserve">Urbach, D. R., Govindarajan, A., </w:t>
      </w:r>
      <w:proofErr w:type="spellStart"/>
      <w:r w:rsidRPr="00B2510F">
        <w:rPr>
          <w:rFonts w:ascii="Times New Roman" w:hAnsi="Times New Roman" w:cs="Times New Roman"/>
          <w:color w:val="000000" w:themeColor="text1"/>
        </w:rPr>
        <w:t>Saskin</w:t>
      </w:r>
      <w:proofErr w:type="spellEnd"/>
      <w:r w:rsidRPr="00B2510F">
        <w:rPr>
          <w:rFonts w:ascii="Times New Roman" w:hAnsi="Times New Roman" w:cs="Times New Roman"/>
          <w:color w:val="000000" w:themeColor="text1"/>
        </w:rPr>
        <w:t>, R., Wilton, A. S., &amp; Baxter, N. N. (2014). Introduction of surgical safety checklists in Ontario, Canada. </w:t>
      </w:r>
      <w:r w:rsidRPr="00B2510F">
        <w:rPr>
          <w:rFonts w:ascii="Times New Roman" w:hAnsi="Times New Roman" w:cs="Times New Roman"/>
          <w:i/>
          <w:iCs/>
          <w:color w:val="000000" w:themeColor="text1"/>
        </w:rPr>
        <w:t>New England Journal of Medicine</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370</w:t>
      </w:r>
      <w:r w:rsidRPr="00B2510F">
        <w:rPr>
          <w:rFonts w:ascii="Times New Roman" w:hAnsi="Times New Roman" w:cs="Times New Roman"/>
          <w:color w:val="000000" w:themeColor="text1"/>
        </w:rPr>
        <w:t>(11), 1029–1038.</w:t>
      </w:r>
    </w:p>
    <w:p w14:paraId="3F7BB03C" w14:textId="77777777"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Weick, K. E., Sutcliffe, K. M., &amp; Obstfeld, D. (1999). Organising for High Reliability: Processes of Collective Mindfulness, Research in Organisational Behaviour. </w:t>
      </w:r>
      <w:r w:rsidRPr="00B2510F">
        <w:rPr>
          <w:rFonts w:ascii="Times New Roman" w:hAnsi="Times New Roman" w:cs="Times New Roman"/>
          <w:i/>
          <w:iCs/>
          <w:color w:val="000000" w:themeColor="text1"/>
        </w:rPr>
        <w:t>Research in Organisational Behaviour</w:t>
      </w:r>
      <w:r w:rsidRPr="00B2510F">
        <w:rPr>
          <w:rFonts w:ascii="Times New Roman" w:hAnsi="Times New Roman" w:cs="Times New Roman"/>
          <w:color w:val="000000" w:themeColor="text1"/>
        </w:rPr>
        <w:t>, </w:t>
      </w:r>
      <w:r w:rsidRPr="00B2510F">
        <w:rPr>
          <w:rFonts w:ascii="Times New Roman" w:hAnsi="Times New Roman" w:cs="Times New Roman"/>
          <w:i/>
          <w:iCs/>
          <w:color w:val="000000" w:themeColor="text1"/>
        </w:rPr>
        <w:t>1</w:t>
      </w:r>
      <w:r w:rsidRPr="00B2510F">
        <w:rPr>
          <w:rFonts w:ascii="Times New Roman" w:hAnsi="Times New Roman" w:cs="Times New Roman"/>
          <w:color w:val="000000" w:themeColor="text1"/>
        </w:rPr>
        <w:t>, 81–123.</w:t>
      </w:r>
    </w:p>
    <w:p w14:paraId="22435005" w14:textId="304176A9" w:rsidR="003A10C4" w:rsidRPr="00B2510F" w:rsidRDefault="003A10C4" w:rsidP="003A10C4">
      <w:pPr>
        <w:pStyle w:val="FirstParagraph"/>
        <w:spacing w:line="360" w:lineRule="auto"/>
        <w:jc w:val="both"/>
        <w:rPr>
          <w:rFonts w:ascii="Times New Roman" w:hAnsi="Times New Roman" w:cs="Times New Roman"/>
          <w:color w:val="000000" w:themeColor="text1"/>
        </w:rPr>
      </w:pPr>
      <w:r w:rsidRPr="00B2510F">
        <w:rPr>
          <w:rFonts w:ascii="Times New Roman" w:hAnsi="Times New Roman" w:cs="Times New Roman"/>
          <w:color w:val="000000" w:themeColor="text1"/>
        </w:rPr>
        <w:t>World Health Organization. (2021). </w:t>
      </w:r>
      <w:r w:rsidRPr="00B2510F">
        <w:rPr>
          <w:rFonts w:ascii="Times New Roman" w:hAnsi="Times New Roman" w:cs="Times New Roman"/>
          <w:i/>
          <w:iCs/>
          <w:color w:val="000000" w:themeColor="text1"/>
        </w:rPr>
        <w:t>Global patient safety action plan 2021-2030: towards eliminating avoidable harm in health care</w:t>
      </w:r>
      <w:r w:rsidRPr="00B2510F">
        <w:rPr>
          <w:rFonts w:ascii="Times New Roman" w:hAnsi="Times New Roman" w:cs="Times New Roman"/>
          <w:color w:val="000000" w:themeColor="text1"/>
        </w:rPr>
        <w:t>. World Health Organization.</w:t>
      </w:r>
      <w:bookmarkEnd w:id="1"/>
      <w:bookmarkEnd w:id="30"/>
    </w:p>
    <w:sectPr w:rsidR="003A10C4" w:rsidRPr="00B2510F">
      <w:headerReference w:type="even" r:id="rId71"/>
      <w:headerReference w:type="default" r:id="rId72"/>
      <w:footerReference w:type="even" r:id="rId73"/>
      <w:footerReference w:type="default" r:id="rId74"/>
      <w:headerReference w:type="first" r:id="rId75"/>
      <w:footerReference w:type="first" r:id="rId76"/>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081A" w14:textId="77777777" w:rsidR="00BB10B5" w:rsidRDefault="00BB10B5" w:rsidP="00856882">
      <w:pPr>
        <w:spacing w:after="0"/>
      </w:pPr>
      <w:r>
        <w:separator/>
      </w:r>
    </w:p>
  </w:endnote>
  <w:endnote w:type="continuationSeparator" w:id="0">
    <w:p w14:paraId="1A9D8411" w14:textId="77777777" w:rsidR="00BB10B5" w:rsidRDefault="00BB10B5" w:rsidP="008568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AE5E" w14:textId="77777777" w:rsidR="00856882" w:rsidRDefault="00856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43159"/>
      <w:docPartObj>
        <w:docPartGallery w:val="Page Numbers (Bottom of Page)"/>
        <w:docPartUnique/>
      </w:docPartObj>
    </w:sdtPr>
    <w:sdtEndPr>
      <w:rPr>
        <w:noProof/>
      </w:rPr>
    </w:sdtEndPr>
    <w:sdtContent>
      <w:p w14:paraId="36698A4C" w14:textId="4E006E65" w:rsidR="00856882" w:rsidRDefault="008568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93D05" w14:textId="77777777" w:rsidR="00856882" w:rsidRDefault="00856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D1C7" w14:textId="77777777" w:rsidR="00856882" w:rsidRDefault="00856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D5FB" w14:textId="77777777" w:rsidR="00BB10B5" w:rsidRDefault="00BB10B5" w:rsidP="00856882">
      <w:pPr>
        <w:spacing w:after="0"/>
      </w:pPr>
      <w:r>
        <w:separator/>
      </w:r>
    </w:p>
  </w:footnote>
  <w:footnote w:type="continuationSeparator" w:id="0">
    <w:p w14:paraId="2CB115E0" w14:textId="77777777" w:rsidR="00BB10B5" w:rsidRDefault="00BB10B5" w:rsidP="008568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9447" w14:textId="77777777" w:rsidR="00856882" w:rsidRDefault="00856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6068" w14:textId="77777777" w:rsidR="00856882" w:rsidRDefault="00856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C37E" w14:textId="77777777" w:rsidR="00856882" w:rsidRDefault="00856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BDC760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23327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55"/>
    <w:rsid w:val="000F5D46"/>
    <w:rsid w:val="003A10C4"/>
    <w:rsid w:val="004610A1"/>
    <w:rsid w:val="004E3D4A"/>
    <w:rsid w:val="006E0932"/>
    <w:rsid w:val="006F5712"/>
    <w:rsid w:val="007136D3"/>
    <w:rsid w:val="00856882"/>
    <w:rsid w:val="009E1A84"/>
    <w:rsid w:val="00A519F4"/>
    <w:rsid w:val="00B2510F"/>
    <w:rsid w:val="00B53BF2"/>
    <w:rsid w:val="00BB10B5"/>
    <w:rsid w:val="00BF6F19"/>
    <w:rsid w:val="00C5081A"/>
    <w:rsid w:val="00C81722"/>
    <w:rsid w:val="00CE46F3"/>
    <w:rsid w:val="00CF0635"/>
    <w:rsid w:val="00D51155"/>
    <w:rsid w:val="00F7516B"/>
    <w:rsid w:val="00FA3205"/>
    <w:rsid w:val="00FC278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355F"/>
  <w15:docId w15:val="{308770B8-0336-4AE6-ADD2-16FAF624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rsid w:val="00856882"/>
    <w:pPr>
      <w:spacing w:after="100"/>
    </w:pPr>
  </w:style>
  <w:style w:type="paragraph" w:styleId="TOC2">
    <w:name w:val="toc 2"/>
    <w:basedOn w:val="Normal"/>
    <w:next w:val="Normal"/>
    <w:autoRedefine/>
    <w:uiPriority w:val="39"/>
    <w:rsid w:val="00856882"/>
    <w:pPr>
      <w:spacing w:after="100"/>
      <w:ind w:left="240"/>
    </w:pPr>
  </w:style>
  <w:style w:type="paragraph" w:styleId="Header">
    <w:name w:val="header"/>
    <w:basedOn w:val="Normal"/>
    <w:link w:val="HeaderChar"/>
    <w:rsid w:val="00856882"/>
    <w:pPr>
      <w:tabs>
        <w:tab w:val="center" w:pos="4513"/>
        <w:tab w:val="right" w:pos="9026"/>
      </w:tabs>
      <w:spacing w:after="0"/>
    </w:pPr>
  </w:style>
  <w:style w:type="character" w:customStyle="1" w:styleId="HeaderChar">
    <w:name w:val="Header Char"/>
    <w:basedOn w:val="DefaultParagraphFont"/>
    <w:link w:val="Header"/>
    <w:rsid w:val="00856882"/>
  </w:style>
  <w:style w:type="paragraph" w:styleId="Footer">
    <w:name w:val="footer"/>
    <w:basedOn w:val="Normal"/>
    <w:link w:val="FooterChar"/>
    <w:uiPriority w:val="99"/>
    <w:rsid w:val="00856882"/>
    <w:pPr>
      <w:tabs>
        <w:tab w:val="center" w:pos="4513"/>
        <w:tab w:val="right" w:pos="9026"/>
      </w:tabs>
      <w:spacing w:after="0"/>
    </w:pPr>
  </w:style>
  <w:style w:type="character" w:customStyle="1" w:styleId="FooterChar">
    <w:name w:val="Footer Char"/>
    <w:basedOn w:val="DefaultParagraphFont"/>
    <w:link w:val="Footer"/>
    <w:uiPriority w:val="99"/>
    <w:rsid w:val="00856882"/>
  </w:style>
  <w:style w:type="character" w:styleId="UnresolvedMention">
    <w:name w:val="Unresolved Mention"/>
    <w:basedOn w:val="DefaultParagraphFont"/>
    <w:uiPriority w:val="99"/>
    <w:semiHidden/>
    <w:unhideWhenUsed/>
    <w:rsid w:val="003A1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sycnet.apa.org/record/2000-16936-003" TargetMode="External"/><Relationship Id="rId21" Type="http://schemas.openxmlformats.org/officeDocument/2006/relationships/hyperlink" Target="https://www.routledge.com/Managing-the-Risks-of-Organizational-Accidents/Reason/p/book/9781840141054" TargetMode="External"/><Relationship Id="rId42" Type="http://schemas.openxmlformats.org/officeDocument/2006/relationships/hyperlink" Target="https://doi.org/10.1056/NEJMsa0810119" TargetMode="External"/><Relationship Id="rId47" Type="http://schemas.openxmlformats.org/officeDocument/2006/relationships/hyperlink" Target="https://doi.org/10.1016/j.jcjq.2022.09.005" TargetMode="External"/><Relationship Id="rId63" Type="http://schemas.openxmlformats.org/officeDocument/2006/relationships/hyperlink" Target="https://www.taylorfrancis.com/books/mono/10.1201/9781315272368/drift-failure-sidney-dekker" TargetMode="External"/><Relationship Id="rId68" Type="http://schemas.openxmlformats.org/officeDocument/2006/relationships/hyperlink" Target="https://doi.org/10.1001/jamasurg.2023.5400" TargetMode="External"/><Relationship Id="rId16" Type="http://schemas.openxmlformats.org/officeDocument/2006/relationships/hyperlink" Target="https://doi.org/10.1017/CBO9781139062367" TargetMode="External"/><Relationship Id="rId11" Type="http://schemas.openxmlformats.org/officeDocument/2006/relationships/hyperlink" Target="https://doi.org/10.1016/j.jamcollsurg.2012.08.026" TargetMode="External"/><Relationship Id="rId24" Type="http://schemas.openxmlformats.org/officeDocument/2006/relationships/hyperlink" Target="https://doi.org/10.1111/peps.12183" TargetMode="External"/><Relationship Id="rId32" Type="http://schemas.openxmlformats.org/officeDocument/2006/relationships/hyperlink" Target="https://www.who.int/teams/integrated-health-services/patient-safety/policy/global-patient-safety-action-plan" TargetMode="External"/><Relationship Id="rId37" Type="http://schemas.openxmlformats.org/officeDocument/2006/relationships/hyperlink" Target="https://doi.org/10.1111/peps.12183" TargetMode="External"/><Relationship Id="rId40" Type="http://schemas.openxmlformats.org/officeDocument/2006/relationships/hyperlink" Target="https://doi.org/10.1001/jama.2010.1506" TargetMode="External"/><Relationship Id="rId45" Type="http://schemas.openxmlformats.org/officeDocument/2006/relationships/hyperlink" Target="https://doi.org/10.1001/jamasurg.2023.5400" TargetMode="External"/><Relationship Id="rId53" Type="http://schemas.openxmlformats.org/officeDocument/2006/relationships/hyperlink" Target="https://doi.org/10.1177/0038038509103208" TargetMode="External"/><Relationship Id="rId58" Type="http://schemas.openxmlformats.org/officeDocument/2006/relationships/hyperlink" Target="https://doi.org/10.1001/jama.2010.1506" TargetMode="External"/><Relationship Id="rId66" Type="http://schemas.openxmlformats.org/officeDocument/2006/relationships/hyperlink" Target="https://doi.org/10.1056/NEJMsa1308261"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1001/jamasurg.2023.5400" TargetMode="External"/><Relationship Id="rId19" Type="http://schemas.openxmlformats.org/officeDocument/2006/relationships/hyperlink" Target="https://doi.org/10.1056/NEJMsa1308261" TargetMode="External"/><Relationship Id="rId14" Type="http://schemas.openxmlformats.org/officeDocument/2006/relationships/hyperlink" Target="https://doi.org/10.1056/NEJMsa0911535" TargetMode="External"/><Relationship Id="rId22" Type="http://schemas.openxmlformats.org/officeDocument/2006/relationships/hyperlink" Target="https://doi.org/10.1056/NEJMsa0810119" TargetMode="External"/><Relationship Id="rId27" Type="http://schemas.openxmlformats.org/officeDocument/2006/relationships/hyperlink" Target="https://doi.org/10.1016/j.jcjq.2022.09.005" TargetMode="External"/><Relationship Id="rId30" Type="http://schemas.openxmlformats.org/officeDocument/2006/relationships/hyperlink" Target="https://doi.org/10.17226/9728" TargetMode="External"/><Relationship Id="rId35" Type="http://schemas.openxmlformats.org/officeDocument/2006/relationships/hyperlink" Target="https://doi.org/10.1136/bmjqs-2016-006144" TargetMode="External"/><Relationship Id="rId43" Type="http://schemas.openxmlformats.org/officeDocument/2006/relationships/hyperlink" Target="https://doi.org/10.1056/NEJMsa1308261" TargetMode="External"/><Relationship Id="rId48" Type="http://schemas.openxmlformats.org/officeDocument/2006/relationships/hyperlink" Target="https://doi.org/10.1056/NEJMsa0911535" TargetMode="External"/><Relationship Id="rId56" Type="http://schemas.openxmlformats.org/officeDocument/2006/relationships/hyperlink" Target="https://doi.org/10.2307/2666999" TargetMode="External"/><Relationship Id="rId64" Type="http://schemas.openxmlformats.org/officeDocument/2006/relationships/hyperlink" Target="https://doi.org/10.1016/j.jcjq.2022.09.005" TargetMode="External"/><Relationship Id="rId69" Type="http://schemas.openxmlformats.org/officeDocument/2006/relationships/hyperlink" Target="https://doi.org/10.1056/NEJMsa0911535" TargetMode="External"/><Relationship Id="rId77" Type="http://schemas.openxmlformats.org/officeDocument/2006/relationships/fontTable" Target="fontTable.xml"/><Relationship Id="rId8" Type="http://schemas.openxmlformats.org/officeDocument/2006/relationships/hyperlink" Target="mailto:aiayeshaofficial@gmail.com" TargetMode="External"/><Relationship Id="rId51" Type="http://schemas.openxmlformats.org/officeDocument/2006/relationships/hyperlink" Target="https://doi.org/10.2307/2666999"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routledge.com/Managing-the-Risks-of-Organizational-Accidents/Reason/p/book/9781840141054" TargetMode="External"/><Relationship Id="rId17" Type="http://schemas.openxmlformats.org/officeDocument/2006/relationships/hyperlink" Target="https://doi.org/10.2307/2666999" TargetMode="External"/><Relationship Id="rId25" Type="http://schemas.openxmlformats.org/officeDocument/2006/relationships/hyperlink" Target="https://doi.org/10.1016/j.jamcollsurg.2007.01.010" TargetMode="External"/><Relationship Id="rId33" Type="http://schemas.openxmlformats.org/officeDocument/2006/relationships/hyperlink" Target="https://doi.org/10.1097/PTS.0b013e3182948a69" TargetMode="External"/><Relationship Id="rId38" Type="http://schemas.openxmlformats.org/officeDocument/2006/relationships/hyperlink" Target="https://doi.org/10.1016/j.hrmr.2017.01.001" TargetMode="External"/><Relationship Id="rId46" Type="http://schemas.openxmlformats.org/officeDocument/2006/relationships/hyperlink" Target="https://doi.org/10.1177/0038038509103208" TargetMode="External"/><Relationship Id="rId59" Type="http://schemas.openxmlformats.org/officeDocument/2006/relationships/hyperlink" Target="https://doi.org/10.1093/bja/aes513" TargetMode="External"/><Relationship Id="rId67" Type="http://schemas.openxmlformats.org/officeDocument/2006/relationships/hyperlink" Target="https://doi.org/10.1056/NEJMsa1308261" TargetMode="External"/><Relationship Id="rId20" Type="http://schemas.openxmlformats.org/officeDocument/2006/relationships/hyperlink" Target="https://doi.org/10.1016/j.jamcollsurg.2012.08.026" TargetMode="External"/><Relationship Id="rId41" Type="http://schemas.openxmlformats.org/officeDocument/2006/relationships/hyperlink" Target="https://doi.org/10.1093/bja/aes513" TargetMode="External"/><Relationship Id="rId54" Type="http://schemas.openxmlformats.org/officeDocument/2006/relationships/hyperlink" Target="https://www.taylorfrancis.com/books/mono/10.1201/9781315607511/safety-ii-erik-hollnagel" TargetMode="External"/><Relationship Id="rId62" Type="http://schemas.openxmlformats.org/officeDocument/2006/relationships/hyperlink" Target="https://www.routledge.com/Managing-the-Risks-of-Organizational-Accidents/Reason/p/book/9781840141054" TargetMode="External"/><Relationship Id="rId70" Type="http://schemas.openxmlformats.org/officeDocument/2006/relationships/hyperlink" Target="https://digitalassets.jointcommission.org/api/public/content/eac7511986c0442a9c1ae04b1aa02cc0?v=ad34daa0"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3162-020-00161-0" TargetMode="External"/><Relationship Id="rId23" Type="http://schemas.openxmlformats.org/officeDocument/2006/relationships/hyperlink" Target="https://doi.org/10.1056/NEJMsa1308261" TargetMode="External"/><Relationship Id="rId28" Type="http://schemas.openxmlformats.org/officeDocument/2006/relationships/hyperlink" Target="https://doi.org/10.1016/j.jamcollsurg.2012.08.026" TargetMode="External"/><Relationship Id="rId36" Type="http://schemas.openxmlformats.org/officeDocument/2006/relationships/hyperlink" Target="https://doi.org/10.1016/j.jamcollsurg.2012.08.026" TargetMode="External"/><Relationship Id="rId49" Type="http://schemas.openxmlformats.org/officeDocument/2006/relationships/hyperlink" Target="https://doi.org/10.1017/CBO9781139062367" TargetMode="External"/><Relationship Id="rId57" Type="http://schemas.openxmlformats.org/officeDocument/2006/relationships/hyperlink" Target="https://doi.org/10.1111/peps.12183" TargetMode="External"/><Relationship Id="rId10" Type="http://schemas.openxmlformats.org/officeDocument/2006/relationships/hyperlink" Target="https://doi.org/10.1136/qshc.2007.023622" TargetMode="External"/><Relationship Id="rId31" Type="http://schemas.openxmlformats.org/officeDocument/2006/relationships/hyperlink" Target="https://doi.org/10.1017/CBO9781139062367" TargetMode="External"/><Relationship Id="rId44" Type="http://schemas.openxmlformats.org/officeDocument/2006/relationships/hyperlink" Target="https://doi.org/10.1001/jamasurg.2014.2873" TargetMode="External"/><Relationship Id="rId52" Type="http://schemas.openxmlformats.org/officeDocument/2006/relationships/hyperlink" Target="https://psycnet.apa.org/record/2000-16936-003" TargetMode="External"/><Relationship Id="rId60" Type="http://schemas.openxmlformats.org/officeDocument/2006/relationships/hyperlink" Target="https://doi.org/10.1177/0038038509103208" TargetMode="External"/><Relationship Id="rId65" Type="http://schemas.openxmlformats.org/officeDocument/2006/relationships/hyperlink" Target="https://doi.org/10.2307/2666999"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ointcommission.org/resources/patient-safety-topics/sentinel-event/sentinel-event-data-summary" TargetMode="External"/><Relationship Id="rId13" Type="http://schemas.openxmlformats.org/officeDocument/2006/relationships/hyperlink" Target="https://doi.org/10.17226/9728" TargetMode="External"/><Relationship Id="rId18" Type="http://schemas.openxmlformats.org/officeDocument/2006/relationships/hyperlink" Target="https://psycnet.apa.org/record/2000-16936-003" TargetMode="External"/><Relationship Id="rId39" Type="http://schemas.openxmlformats.org/officeDocument/2006/relationships/hyperlink" Target="https://doi.org/10.1016/j.jamcollsurg.2007.01.010" TargetMode="External"/><Relationship Id="rId34" Type="http://schemas.openxmlformats.org/officeDocument/2006/relationships/hyperlink" Target="https://doi.org/10.1136/bmj.i2139" TargetMode="External"/><Relationship Id="rId50" Type="http://schemas.openxmlformats.org/officeDocument/2006/relationships/hyperlink" Target="https://www.routledge.com/Managing-the-Risks-of-Organizational-Accidents/Reason/p/book/9781840141054" TargetMode="External"/><Relationship Id="rId55" Type="http://schemas.openxmlformats.org/officeDocument/2006/relationships/image" Target="media/image1.png"/><Relationship Id="rId76" Type="http://schemas.openxmlformats.org/officeDocument/2006/relationships/footer" Target="footer3.xml"/><Relationship Id="rId7" Type="http://schemas.openxmlformats.org/officeDocument/2006/relationships/hyperlink" Target="mailto:msekhospital@gmail.com" TargetMode="External"/><Relationship Id="rId71"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www.routledge.com/Managing-the-Risks-of-Organizational-Accidents/Reason/p/book/9781840141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5802</Words>
  <Characters>33076</Characters>
  <Application>Microsoft Office Word</Application>
  <DocSecurity>0</DocSecurity>
  <Lines>275</Lines>
  <Paragraphs>77</Paragraphs>
  <ScaleCrop>false</ScaleCrop>
  <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Retained Surgical Items as Emergent Systems Failure: An Integrated Multi-Theory Prevention Framework for Perioperative Settings</dc:title>
  <dc:creator>Dr Shoeb Ahmed Ilyas</dc:creator>
  <cp:keywords/>
  <cp:lastModifiedBy>Dr. Shoeb Ilyas</cp:lastModifiedBy>
  <cp:revision>7</cp:revision>
  <dcterms:created xsi:type="dcterms:W3CDTF">2026-05-24T14:52:00Z</dcterms:created>
  <dcterms:modified xsi:type="dcterms:W3CDTF">2026-05-24T15:09:00Z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818104eb-792c-444d-91a5-f718155c7909</vt:lpwstr>
  </property>
</Properties>
</file>