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5646E4" w14:textId="5ADAD53C" w:rsidR="00AA4905" w:rsidRDefault="00AA4905" w:rsidP="00965B52">
      <w:pPr>
        <w:jc w:val="center"/>
        <w:rPr>
          <w:rFonts w:ascii="Times New Roman" w:hAnsi="Times New Roman" w:cs="Times New Roman"/>
          <w:b/>
          <w:bCs/>
          <w:sz w:val="24"/>
          <w:szCs w:val="24"/>
        </w:rPr>
      </w:pPr>
      <w:r w:rsidRPr="00965B52">
        <w:rPr>
          <w:rFonts w:ascii="Times New Roman" w:hAnsi="Times New Roman" w:cs="Times New Roman"/>
          <w:b/>
          <w:bCs/>
          <w:sz w:val="24"/>
          <w:szCs w:val="24"/>
        </w:rPr>
        <w:t xml:space="preserve">Gold </w:t>
      </w:r>
      <w:r w:rsidR="00965B52" w:rsidRPr="00965B52">
        <w:rPr>
          <w:rFonts w:ascii="Times New Roman" w:hAnsi="Times New Roman" w:cs="Times New Roman"/>
          <w:b/>
          <w:bCs/>
          <w:sz w:val="24"/>
          <w:szCs w:val="24"/>
        </w:rPr>
        <w:t xml:space="preserve">Import </w:t>
      </w:r>
      <w:r w:rsidRPr="00965B52">
        <w:rPr>
          <w:rFonts w:ascii="Times New Roman" w:hAnsi="Times New Roman" w:cs="Times New Roman"/>
          <w:b/>
          <w:bCs/>
          <w:sz w:val="24"/>
          <w:szCs w:val="24"/>
        </w:rPr>
        <w:t xml:space="preserve">policy and the </w:t>
      </w:r>
      <w:r w:rsidR="00965B52" w:rsidRPr="00965B52">
        <w:rPr>
          <w:rFonts w:ascii="Times New Roman" w:hAnsi="Times New Roman" w:cs="Times New Roman"/>
          <w:b/>
          <w:bCs/>
          <w:sz w:val="24"/>
          <w:szCs w:val="24"/>
        </w:rPr>
        <w:t>Foreign Exchange Reserve Management</w:t>
      </w:r>
    </w:p>
    <w:p w14:paraId="5A4698E3" w14:textId="34770828" w:rsidR="001844EE" w:rsidRDefault="001844EE" w:rsidP="001844EE">
      <w:pPr>
        <w:jc w:val="center"/>
        <w:rPr>
          <w:rFonts w:ascii="Times New Roman" w:hAnsi="Times New Roman" w:cs="Times New Roman"/>
          <w:b/>
          <w:bCs/>
          <w:sz w:val="24"/>
          <w:szCs w:val="24"/>
        </w:rPr>
      </w:pPr>
      <w:r>
        <w:rPr>
          <w:rFonts w:ascii="Times New Roman" w:hAnsi="Times New Roman" w:cs="Times New Roman"/>
          <w:b/>
          <w:bCs/>
          <w:sz w:val="24"/>
          <w:szCs w:val="24"/>
        </w:rPr>
        <w:t xml:space="preserve">Abstract </w:t>
      </w:r>
    </w:p>
    <w:p w14:paraId="13966C84" w14:textId="7802C3D4" w:rsidR="00055C83" w:rsidRDefault="001844EE" w:rsidP="00055C83">
      <w:pPr>
        <w:jc w:val="both"/>
        <w:rPr>
          <w:rFonts w:ascii="Times New Roman" w:hAnsi="Times New Roman" w:cs="Times New Roman"/>
          <w:sz w:val="24"/>
          <w:szCs w:val="24"/>
        </w:rPr>
      </w:pPr>
      <w:r w:rsidRPr="001844EE">
        <w:rPr>
          <w:rFonts w:ascii="Times New Roman" w:hAnsi="Times New Roman" w:cs="Times New Roman"/>
          <w:sz w:val="24"/>
          <w:szCs w:val="24"/>
        </w:rPr>
        <w:t>To reduce the trade deficit and protect foreign exchange reserves, the Government of India increased gold import duties and imposed restrictions on gold imports. However, past experience shows that higher gold prices have only a limited impact on reducing consumption and may encourage smuggling. Rising global oil prices and subsequent fuel price hikes contribute to inflation, increasing the cost of living and slowing economic growth through higher interest rates. Inflation affects industries, agriculture, banking, and transportation sectors, creating wider economic challenges. Although India maintains substantial foreign exchange reserves, persistent capital outflows and geopolitical uncertainties continue to put pressure on the Indian rupee.</w:t>
      </w:r>
      <w:r>
        <w:rPr>
          <w:rFonts w:ascii="Times New Roman" w:hAnsi="Times New Roman" w:cs="Times New Roman"/>
          <w:sz w:val="24"/>
          <w:szCs w:val="24"/>
        </w:rPr>
        <w:t xml:space="preserve">  </w:t>
      </w:r>
      <w:r w:rsidR="00055C83" w:rsidRPr="00055C83">
        <w:rPr>
          <w:rFonts w:ascii="Times New Roman" w:hAnsi="Times New Roman" w:cs="Times New Roman"/>
          <w:sz w:val="24"/>
          <w:szCs w:val="24"/>
        </w:rPr>
        <w:t>While RBI interventions may provide short-term relief, they are not a permanent solution. Dependence on foreign capital and crude oil imports remains a major vulnerability. Therefore, reducing reliance on petroleum and expanding renewable energy sources is essential for long-term economic stability and financial security. Such a transition would strengthen India's economy and reduce exposure to global geopolitical shocks.</w:t>
      </w:r>
    </w:p>
    <w:p w14:paraId="5D7467A6" w14:textId="6DFA99CA" w:rsidR="001844EE" w:rsidRDefault="001844EE" w:rsidP="00055C83">
      <w:pPr>
        <w:jc w:val="both"/>
        <w:rPr>
          <w:rFonts w:ascii="Times New Roman" w:hAnsi="Times New Roman" w:cs="Times New Roman"/>
          <w:b/>
          <w:bCs/>
          <w:sz w:val="24"/>
          <w:szCs w:val="24"/>
        </w:rPr>
      </w:pPr>
      <w:r w:rsidRPr="001844EE">
        <w:rPr>
          <w:rFonts w:ascii="Times New Roman" w:hAnsi="Times New Roman" w:cs="Times New Roman"/>
          <w:b/>
          <w:bCs/>
          <w:sz w:val="24"/>
          <w:szCs w:val="24"/>
        </w:rPr>
        <w:t>(Key words: F</w:t>
      </w:r>
      <w:r w:rsidRPr="001844EE">
        <w:rPr>
          <w:rFonts w:ascii="Times New Roman" w:hAnsi="Times New Roman" w:cs="Times New Roman"/>
          <w:b/>
          <w:bCs/>
          <w:sz w:val="24"/>
          <w:szCs w:val="24"/>
        </w:rPr>
        <w:t>oreign exchange reserves</w:t>
      </w:r>
      <w:r w:rsidRPr="001844EE">
        <w:rPr>
          <w:rFonts w:ascii="Times New Roman" w:hAnsi="Times New Roman" w:cs="Times New Roman"/>
          <w:b/>
          <w:bCs/>
          <w:sz w:val="24"/>
          <w:szCs w:val="24"/>
        </w:rPr>
        <w:t xml:space="preserve">, Depreciation and </w:t>
      </w:r>
      <w:r w:rsidRPr="001844EE">
        <w:rPr>
          <w:rFonts w:ascii="Times New Roman" w:hAnsi="Times New Roman" w:cs="Times New Roman"/>
          <w:b/>
          <w:bCs/>
          <w:sz w:val="24"/>
          <w:szCs w:val="24"/>
        </w:rPr>
        <w:t>Inflation</w:t>
      </w:r>
      <w:r w:rsidRPr="001844EE">
        <w:rPr>
          <w:rFonts w:ascii="Times New Roman" w:hAnsi="Times New Roman" w:cs="Times New Roman"/>
          <w:b/>
          <w:bCs/>
          <w:sz w:val="24"/>
          <w:szCs w:val="24"/>
        </w:rPr>
        <w:t>)</w:t>
      </w:r>
    </w:p>
    <w:p w14:paraId="65AEADD4" w14:textId="44052EAF" w:rsidR="001844EE" w:rsidRPr="001844EE" w:rsidRDefault="001844EE" w:rsidP="00055C83">
      <w:pPr>
        <w:jc w:val="both"/>
        <w:rPr>
          <w:rFonts w:ascii="Times New Roman" w:hAnsi="Times New Roman" w:cs="Times New Roman"/>
          <w:b/>
          <w:bCs/>
          <w:sz w:val="24"/>
          <w:szCs w:val="24"/>
        </w:rPr>
      </w:pPr>
      <w:r>
        <w:rPr>
          <w:rFonts w:ascii="Times New Roman" w:hAnsi="Times New Roman" w:cs="Times New Roman"/>
          <w:b/>
          <w:bCs/>
          <w:sz w:val="24"/>
          <w:szCs w:val="24"/>
        </w:rPr>
        <w:t>Introduction</w:t>
      </w:r>
    </w:p>
    <w:p w14:paraId="0E55E1F1" w14:textId="5E4474A0" w:rsidR="00AA4905" w:rsidRPr="00965B52" w:rsidRDefault="00B9383E" w:rsidP="00021AF5">
      <w:pPr>
        <w:jc w:val="both"/>
        <w:rPr>
          <w:rFonts w:ascii="Times New Roman" w:hAnsi="Times New Roman" w:cs="Times New Roman"/>
          <w:sz w:val="24"/>
          <w:szCs w:val="24"/>
        </w:rPr>
      </w:pPr>
      <w:r w:rsidRPr="00965B52">
        <w:rPr>
          <w:rFonts w:ascii="Times New Roman" w:hAnsi="Times New Roman" w:cs="Times New Roman"/>
          <w:sz w:val="24"/>
          <w:szCs w:val="24"/>
        </w:rPr>
        <w:t>The</w:t>
      </w:r>
      <w:r w:rsidR="00AA4905" w:rsidRPr="00965B52">
        <w:rPr>
          <w:rFonts w:ascii="Times New Roman" w:hAnsi="Times New Roman" w:cs="Times New Roman"/>
          <w:sz w:val="24"/>
          <w:szCs w:val="24"/>
        </w:rPr>
        <w:t xml:space="preserve"> Prime Minister</w:t>
      </w:r>
      <w:r w:rsidRPr="00965B52">
        <w:rPr>
          <w:rFonts w:ascii="Times New Roman" w:hAnsi="Times New Roman" w:cs="Times New Roman"/>
          <w:sz w:val="24"/>
          <w:szCs w:val="24"/>
        </w:rPr>
        <w:t xml:space="preserve"> of India</w:t>
      </w:r>
      <w:r w:rsidR="00AA4905" w:rsidRPr="00965B52">
        <w:rPr>
          <w:rFonts w:ascii="Times New Roman" w:hAnsi="Times New Roman" w:cs="Times New Roman"/>
          <w:sz w:val="24"/>
          <w:szCs w:val="24"/>
        </w:rPr>
        <w:t xml:space="preserve"> Shri Narendra Modi appealed to the people to postpone gold consumption and </w:t>
      </w:r>
      <w:r w:rsidR="00B423E7" w:rsidRPr="00965B52">
        <w:rPr>
          <w:rFonts w:ascii="Times New Roman" w:hAnsi="Times New Roman" w:cs="Times New Roman"/>
          <w:sz w:val="24"/>
          <w:szCs w:val="24"/>
        </w:rPr>
        <w:t>overseas</w:t>
      </w:r>
      <w:r w:rsidR="00AA4905" w:rsidRPr="00965B52">
        <w:rPr>
          <w:rFonts w:ascii="Times New Roman" w:hAnsi="Times New Roman" w:cs="Times New Roman"/>
          <w:sz w:val="24"/>
          <w:szCs w:val="24"/>
        </w:rPr>
        <w:t xml:space="preserve"> travel</w:t>
      </w:r>
      <w:r w:rsidR="00B423E7" w:rsidRPr="00965B52">
        <w:rPr>
          <w:rFonts w:ascii="Times New Roman" w:hAnsi="Times New Roman" w:cs="Times New Roman"/>
          <w:sz w:val="24"/>
          <w:szCs w:val="24"/>
        </w:rPr>
        <w:t>s</w:t>
      </w:r>
      <w:r w:rsidR="00AA4905" w:rsidRPr="00965B52">
        <w:rPr>
          <w:rFonts w:ascii="Times New Roman" w:hAnsi="Times New Roman" w:cs="Times New Roman"/>
          <w:sz w:val="24"/>
          <w:szCs w:val="24"/>
        </w:rPr>
        <w:t xml:space="preserve"> for one year. In order to curb the import of this yellow metal, to which Indians are so deeply attached, the Central Government announced strict restrictions. It sharply raised the import duty on gold from 6</w:t>
      </w:r>
      <w:r w:rsidR="00B423E7" w:rsidRPr="00965B52">
        <w:rPr>
          <w:rFonts w:ascii="Times New Roman" w:hAnsi="Times New Roman" w:cs="Times New Roman"/>
          <w:sz w:val="24"/>
          <w:szCs w:val="24"/>
        </w:rPr>
        <w:t xml:space="preserve"> per cent</w:t>
      </w:r>
      <w:r w:rsidR="00AA4905" w:rsidRPr="00965B52">
        <w:rPr>
          <w:rFonts w:ascii="Times New Roman" w:hAnsi="Times New Roman" w:cs="Times New Roman"/>
          <w:sz w:val="24"/>
          <w:szCs w:val="24"/>
        </w:rPr>
        <w:t xml:space="preserve"> to 15</w:t>
      </w:r>
      <w:r w:rsidR="00B423E7" w:rsidRPr="00965B52">
        <w:rPr>
          <w:rFonts w:ascii="Times New Roman" w:hAnsi="Times New Roman" w:cs="Times New Roman"/>
          <w:sz w:val="24"/>
          <w:szCs w:val="24"/>
        </w:rPr>
        <w:t xml:space="preserve"> per cent</w:t>
      </w:r>
      <w:r w:rsidR="00AA4905" w:rsidRPr="00965B52">
        <w:rPr>
          <w:rFonts w:ascii="Times New Roman" w:hAnsi="Times New Roman" w:cs="Times New Roman"/>
          <w:sz w:val="24"/>
          <w:szCs w:val="24"/>
        </w:rPr>
        <w:t xml:space="preserve">, making imports more expensive. For exporters, the limit for raw gold was fixed at a maximum of 100 kg. In the context of the conflict situation in West Asia, why did the Government of India introduce price-control measures and </w:t>
      </w:r>
      <w:r w:rsidR="00B423E7" w:rsidRPr="00965B52">
        <w:rPr>
          <w:rFonts w:ascii="Times New Roman" w:hAnsi="Times New Roman" w:cs="Times New Roman"/>
          <w:sz w:val="24"/>
          <w:szCs w:val="24"/>
        </w:rPr>
        <w:t xml:space="preserve">increase </w:t>
      </w:r>
      <w:r w:rsidR="00AA4905" w:rsidRPr="00965B52">
        <w:rPr>
          <w:rFonts w:ascii="Times New Roman" w:hAnsi="Times New Roman" w:cs="Times New Roman"/>
          <w:sz w:val="24"/>
          <w:szCs w:val="24"/>
        </w:rPr>
        <w:t xml:space="preserve">fuel price immediately after the state elections? Strict import-control measures </w:t>
      </w:r>
      <w:r w:rsidR="00B423E7" w:rsidRPr="00965B52">
        <w:rPr>
          <w:rFonts w:ascii="Times New Roman" w:hAnsi="Times New Roman" w:cs="Times New Roman"/>
          <w:sz w:val="24"/>
          <w:szCs w:val="24"/>
        </w:rPr>
        <w:t>were</w:t>
      </w:r>
      <w:r w:rsidR="00AA4905" w:rsidRPr="00965B52">
        <w:rPr>
          <w:rFonts w:ascii="Times New Roman" w:hAnsi="Times New Roman" w:cs="Times New Roman"/>
          <w:sz w:val="24"/>
          <w:szCs w:val="24"/>
        </w:rPr>
        <w:t xml:space="preserve"> adopted to ensure that a country's foreign trade deficit </w:t>
      </w:r>
      <w:r w:rsidR="00B423E7" w:rsidRPr="00965B52">
        <w:rPr>
          <w:rFonts w:ascii="Times New Roman" w:hAnsi="Times New Roman" w:cs="Times New Roman"/>
          <w:sz w:val="24"/>
          <w:szCs w:val="24"/>
        </w:rPr>
        <w:t>should</w:t>
      </w:r>
      <w:r w:rsidR="00AA4905" w:rsidRPr="00965B52">
        <w:rPr>
          <w:rFonts w:ascii="Times New Roman" w:hAnsi="Times New Roman" w:cs="Times New Roman"/>
          <w:sz w:val="24"/>
          <w:szCs w:val="24"/>
        </w:rPr>
        <w:t xml:space="preserve"> not rise beyond a certain limit and that foreign exchange reserves </w:t>
      </w:r>
      <w:r w:rsidR="00B423E7" w:rsidRPr="00965B52">
        <w:rPr>
          <w:rFonts w:ascii="Times New Roman" w:hAnsi="Times New Roman" w:cs="Times New Roman"/>
          <w:sz w:val="24"/>
          <w:szCs w:val="24"/>
        </w:rPr>
        <w:t>might</w:t>
      </w:r>
      <w:r w:rsidR="00AA4905" w:rsidRPr="00965B52">
        <w:rPr>
          <w:rFonts w:ascii="Times New Roman" w:hAnsi="Times New Roman" w:cs="Times New Roman"/>
          <w:sz w:val="24"/>
          <w:szCs w:val="24"/>
        </w:rPr>
        <w:t xml:space="preserve"> not get depleted. The article also points out the other problems caused by import restrictions and the economic consequences if they do not produce results.</w:t>
      </w:r>
    </w:p>
    <w:p w14:paraId="40F04483" w14:textId="37B0FBAA" w:rsidR="00AA4905" w:rsidRDefault="00055C83" w:rsidP="00021AF5">
      <w:pPr>
        <w:jc w:val="both"/>
        <w:rPr>
          <w:rFonts w:ascii="Times New Roman" w:hAnsi="Times New Roman" w:cs="Times New Roman"/>
          <w:b/>
          <w:bCs/>
          <w:sz w:val="24"/>
          <w:szCs w:val="24"/>
        </w:rPr>
      </w:pPr>
      <w:r w:rsidRPr="00055C83">
        <w:rPr>
          <w:rFonts w:ascii="Times New Roman" w:hAnsi="Times New Roman" w:cs="Times New Roman"/>
          <w:b/>
          <w:bCs/>
          <w:sz w:val="24"/>
          <w:szCs w:val="24"/>
        </w:rPr>
        <w:t>Current Account</w:t>
      </w:r>
    </w:p>
    <w:p w14:paraId="7FB00E6E" w14:textId="77777777" w:rsidR="001844EE" w:rsidRPr="00965B52" w:rsidRDefault="001844EE" w:rsidP="001844EE">
      <w:pPr>
        <w:jc w:val="both"/>
        <w:rPr>
          <w:rFonts w:ascii="Times New Roman" w:hAnsi="Times New Roman" w:cs="Times New Roman"/>
          <w:sz w:val="24"/>
          <w:szCs w:val="24"/>
        </w:rPr>
      </w:pPr>
      <w:r w:rsidRPr="00965B52">
        <w:rPr>
          <w:rFonts w:ascii="Times New Roman" w:hAnsi="Times New Roman" w:cs="Times New Roman"/>
          <w:sz w:val="24"/>
          <w:szCs w:val="24"/>
        </w:rPr>
        <w:t>The current account of the BoP records receipts (from exports) and payments (to imports) of goods and invisibles (including services). In the current account, import of goods or services is considered as debit (-) while export of goods or services is considered as credit (+).</w:t>
      </w:r>
    </w:p>
    <w:p w14:paraId="4CBADA94" w14:textId="77777777" w:rsidR="00055C83" w:rsidRPr="00965B52" w:rsidRDefault="00055C83" w:rsidP="00055C83">
      <w:pPr>
        <w:jc w:val="both"/>
        <w:rPr>
          <w:rFonts w:ascii="Times New Roman" w:hAnsi="Times New Roman" w:cs="Times New Roman"/>
          <w:sz w:val="24"/>
          <w:szCs w:val="24"/>
        </w:rPr>
      </w:pPr>
      <w:r w:rsidRPr="00965B52">
        <w:rPr>
          <w:rFonts w:ascii="Times New Roman" w:hAnsi="Times New Roman" w:cs="Times New Roman"/>
          <w:sz w:val="24"/>
          <w:szCs w:val="24"/>
        </w:rPr>
        <w:t>In foreign trade, there are two types of accounts: (1) the trade account, which covers the export and import of visible goods such as crude oil, petroleum products, gold, raw materials, and manufactured goods; and (2) the invisible account, which includes intangible transactions such as remittances sent by Non-Resident Indians and the expenses of foreign tourists. The combined deficit in these two accounts is called the current account deficit. If the amount flowing out of the country through foreign trade is greater than the dollar value flowing into the country, the trade deficit increases, and there will be a significant decline in foreign exchange reserves needed to pay for imports. Eventually, there may not be enough foreign exchange even to import essential goods such as crude oil. About 17% of India’s imports are crude oil. In India, 85% of the oil used is obtained through imports.</w:t>
      </w:r>
    </w:p>
    <w:p w14:paraId="1B920AF3" w14:textId="77777777" w:rsidR="00055C83" w:rsidRPr="00055C83" w:rsidRDefault="00055C83" w:rsidP="00021AF5">
      <w:pPr>
        <w:jc w:val="both"/>
        <w:rPr>
          <w:rFonts w:ascii="Times New Roman" w:hAnsi="Times New Roman" w:cs="Times New Roman"/>
          <w:b/>
          <w:bCs/>
          <w:sz w:val="24"/>
          <w:szCs w:val="24"/>
        </w:rPr>
      </w:pPr>
    </w:p>
    <w:p w14:paraId="25C80E8F" w14:textId="77777777" w:rsidR="006F05BA" w:rsidRPr="00965B52" w:rsidRDefault="006F05BA" w:rsidP="006F05BA">
      <w:pPr>
        <w:jc w:val="both"/>
        <w:rPr>
          <w:rFonts w:ascii="Times New Roman" w:hAnsi="Times New Roman" w:cs="Times New Roman"/>
          <w:sz w:val="24"/>
          <w:szCs w:val="24"/>
        </w:rPr>
      </w:pPr>
      <w:r w:rsidRPr="00965B52">
        <w:rPr>
          <w:rFonts w:ascii="Times New Roman" w:hAnsi="Times New Roman" w:cs="Times New Roman"/>
          <w:sz w:val="24"/>
          <w:szCs w:val="24"/>
        </w:rPr>
        <w:t>Trade account (merchandise trade account): It is a register for trade in goods and hence, involves exports and imports of goods (merchandise trade account).</w:t>
      </w:r>
    </w:p>
    <w:p w14:paraId="06E351A7" w14:textId="77777777" w:rsidR="006F05BA" w:rsidRPr="00965B52" w:rsidRDefault="006F05BA" w:rsidP="006F05BA">
      <w:pPr>
        <w:rPr>
          <w:rFonts w:ascii="Times New Roman" w:hAnsi="Times New Roman" w:cs="Times New Roman"/>
          <w:sz w:val="24"/>
          <w:szCs w:val="24"/>
        </w:rPr>
      </w:pPr>
      <w:r w:rsidRPr="00965B52">
        <w:rPr>
          <w:rFonts w:ascii="Times New Roman" w:hAnsi="Times New Roman" w:cs="Times New Roman"/>
          <w:sz w:val="24"/>
          <w:szCs w:val="24"/>
        </w:rPr>
        <w:t>Invisibles account: It encompasses three broad categories services, transfers and income.</w:t>
      </w:r>
    </w:p>
    <w:p w14:paraId="59C03501" w14:textId="77777777" w:rsidR="006F05BA" w:rsidRPr="00965B52" w:rsidRDefault="006F05BA" w:rsidP="006F05BA">
      <w:pPr>
        <w:pStyle w:val="ListParagraph"/>
        <w:numPr>
          <w:ilvl w:val="0"/>
          <w:numId w:val="2"/>
        </w:numPr>
        <w:rPr>
          <w:rFonts w:ascii="Times New Roman" w:hAnsi="Times New Roman" w:cs="Times New Roman"/>
          <w:sz w:val="24"/>
          <w:szCs w:val="24"/>
        </w:rPr>
      </w:pPr>
      <w:r w:rsidRPr="00965B52">
        <w:rPr>
          <w:rFonts w:ascii="Times New Roman" w:hAnsi="Times New Roman" w:cs="Times New Roman"/>
          <w:sz w:val="24"/>
          <w:szCs w:val="24"/>
        </w:rPr>
        <w:t>Services include:</w:t>
      </w:r>
    </w:p>
    <w:p w14:paraId="3DBE5030" w14:textId="77777777" w:rsidR="006F05BA" w:rsidRPr="00965B52" w:rsidRDefault="006F05BA" w:rsidP="006F05BA">
      <w:pPr>
        <w:pStyle w:val="ListParagraph"/>
        <w:numPr>
          <w:ilvl w:val="0"/>
          <w:numId w:val="1"/>
        </w:numPr>
        <w:rPr>
          <w:rFonts w:ascii="Times New Roman" w:hAnsi="Times New Roman" w:cs="Times New Roman"/>
          <w:sz w:val="24"/>
          <w:szCs w:val="24"/>
        </w:rPr>
      </w:pPr>
      <w:r w:rsidRPr="00965B52">
        <w:rPr>
          <w:rFonts w:ascii="Times New Roman" w:hAnsi="Times New Roman" w:cs="Times New Roman"/>
          <w:sz w:val="24"/>
          <w:szCs w:val="24"/>
        </w:rPr>
        <w:t>Software services</w:t>
      </w:r>
    </w:p>
    <w:p w14:paraId="49171FB2" w14:textId="77777777" w:rsidR="006F05BA" w:rsidRPr="00965B52" w:rsidRDefault="006F05BA" w:rsidP="006F05BA">
      <w:pPr>
        <w:pStyle w:val="ListParagraph"/>
        <w:numPr>
          <w:ilvl w:val="0"/>
          <w:numId w:val="1"/>
        </w:numPr>
        <w:rPr>
          <w:rFonts w:ascii="Times New Roman" w:hAnsi="Times New Roman" w:cs="Times New Roman"/>
          <w:sz w:val="24"/>
          <w:szCs w:val="24"/>
        </w:rPr>
      </w:pPr>
      <w:r w:rsidRPr="00965B52">
        <w:rPr>
          <w:rFonts w:ascii="Times New Roman" w:hAnsi="Times New Roman" w:cs="Times New Roman"/>
          <w:sz w:val="24"/>
          <w:szCs w:val="24"/>
        </w:rPr>
        <w:t>Transportation</w:t>
      </w:r>
    </w:p>
    <w:p w14:paraId="1727DCD6" w14:textId="77777777" w:rsidR="006F05BA" w:rsidRPr="00965B52" w:rsidRDefault="006F05BA" w:rsidP="006F05BA">
      <w:pPr>
        <w:pStyle w:val="ListParagraph"/>
        <w:numPr>
          <w:ilvl w:val="0"/>
          <w:numId w:val="1"/>
        </w:numPr>
        <w:rPr>
          <w:rFonts w:ascii="Times New Roman" w:hAnsi="Times New Roman" w:cs="Times New Roman"/>
          <w:sz w:val="24"/>
          <w:szCs w:val="24"/>
        </w:rPr>
      </w:pPr>
      <w:r w:rsidRPr="00965B52">
        <w:rPr>
          <w:rFonts w:ascii="Times New Roman" w:hAnsi="Times New Roman" w:cs="Times New Roman"/>
          <w:sz w:val="24"/>
          <w:szCs w:val="24"/>
        </w:rPr>
        <w:t>Financial Services like banking and insurance receipts and payments from and to the foreign countries</w:t>
      </w:r>
    </w:p>
    <w:p w14:paraId="6F4FCA2B" w14:textId="77777777" w:rsidR="006F05BA" w:rsidRPr="00965B52" w:rsidRDefault="006F05BA" w:rsidP="006F05BA">
      <w:pPr>
        <w:pStyle w:val="ListParagraph"/>
        <w:numPr>
          <w:ilvl w:val="0"/>
          <w:numId w:val="1"/>
        </w:numPr>
        <w:rPr>
          <w:rFonts w:ascii="Times New Roman" w:hAnsi="Times New Roman" w:cs="Times New Roman"/>
          <w:sz w:val="24"/>
          <w:szCs w:val="24"/>
        </w:rPr>
      </w:pPr>
      <w:r w:rsidRPr="00965B52">
        <w:rPr>
          <w:rFonts w:ascii="Times New Roman" w:hAnsi="Times New Roman" w:cs="Times New Roman"/>
          <w:sz w:val="24"/>
          <w:szCs w:val="24"/>
        </w:rPr>
        <w:t>Tourism, travel services and tourist purchase of goods and services received from foreign visitors to home country</w:t>
      </w:r>
    </w:p>
    <w:p w14:paraId="630BB7F3" w14:textId="77777777" w:rsidR="006F05BA" w:rsidRPr="00965B52" w:rsidRDefault="006F05BA" w:rsidP="006F05BA">
      <w:pPr>
        <w:pStyle w:val="ListParagraph"/>
        <w:numPr>
          <w:ilvl w:val="0"/>
          <w:numId w:val="1"/>
        </w:numPr>
        <w:rPr>
          <w:rFonts w:ascii="Times New Roman" w:hAnsi="Times New Roman" w:cs="Times New Roman"/>
          <w:sz w:val="24"/>
          <w:szCs w:val="24"/>
        </w:rPr>
      </w:pPr>
      <w:r w:rsidRPr="00965B52">
        <w:rPr>
          <w:rFonts w:ascii="Times New Roman" w:hAnsi="Times New Roman" w:cs="Times New Roman"/>
          <w:sz w:val="24"/>
          <w:szCs w:val="24"/>
        </w:rPr>
        <w:t>Expenses of students studying abroad and receipts from foreign students studying in the home country</w:t>
      </w:r>
    </w:p>
    <w:p w14:paraId="539CC782" w14:textId="77777777" w:rsidR="006F05BA" w:rsidRPr="00965B52" w:rsidRDefault="006F05BA" w:rsidP="006F05BA">
      <w:pPr>
        <w:pStyle w:val="ListParagraph"/>
        <w:numPr>
          <w:ilvl w:val="0"/>
          <w:numId w:val="1"/>
        </w:numPr>
        <w:rPr>
          <w:rFonts w:ascii="Times New Roman" w:hAnsi="Times New Roman" w:cs="Times New Roman"/>
          <w:sz w:val="24"/>
          <w:szCs w:val="24"/>
        </w:rPr>
      </w:pPr>
      <w:r w:rsidRPr="00965B52">
        <w:rPr>
          <w:rFonts w:ascii="Times New Roman" w:hAnsi="Times New Roman" w:cs="Times New Roman"/>
          <w:sz w:val="24"/>
          <w:szCs w:val="24"/>
        </w:rPr>
        <w:t>Expenses/receipts of diplomatic and military personnel</w:t>
      </w:r>
    </w:p>
    <w:p w14:paraId="409EA516" w14:textId="77777777" w:rsidR="006F05BA" w:rsidRPr="00965B52" w:rsidRDefault="006F05BA" w:rsidP="006F05BA">
      <w:pPr>
        <w:pStyle w:val="ListParagraph"/>
        <w:numPr>
          <w:ilvl w:val="0"/>
          <w:numId w:val="1"/>
        </w:numPr>
        <w:rPr>
          <w:rFonts w:ascii="Times New Roman" w:hAnsi="Times New Roman" w:cs="Times New Roman"/>
          <w:sz w:val="24"/>
          <w:szCs w:val="24"/>
        </w:rPr>
      </w:pPr>
      <w:r w:rsidRPr="00965B52">
        <w:rPr>
          <w:rFonts w:ascii="Times New Roman" w:hAnsi="Times New Roman" w:cs="Times New Roman"/>
          <w:sz w:val="24"/>
          <w:szCs w:val="24"/>
        </w:rPr>
        <w:t>Miscellaneous services: expenses and receipt of communication services, constructions, financial services, news agency services, royalties, copyright and license fees, management services.</w:t>
      </w:r>
    </w:p>
    <w:p w14:paraId="2130152F" w14:textId="77777777" w:rsidR="006F05BA" w:rsidRPr="00965B52" w:rsidRDefault="006F05BA" w:rsidP="006F05BA">
      <w:pPr>
        <w:pStyle w:val="ListParagraph"/>
        <w:numPr>
          <w:ilvl w:val="0"/>
          <w:numId w:val="2"/>
        </w:numPr>
        <w:rPr>
          <w:rFonts w:ascii="Times New Roman" w:hAnsi="Times New Roman" w:cs="Times New Roman"/>
          <w:sz w:val="24"/>
          <w:szCs w:val="24"/>
        </w:rPr>
      </w:pPr>
      <w:r w:rsidRPr="00965B52">
        <w:rPr>
          <w:rFonts w:ascii="Times New Roman" w:hAnsi="Times New Roman" w:cs="Times New Roman"/>
          <w:sz w:val="24"/>
          <w:szCs w:val="24"/>
        </w:rPr>
        <w:t xml:space="preserve"> Transfers: In the balance of payments account, transfers can be official and private. Official transfers are related to governments. For example, taxes and penalties are forms of official transfers.</w:t>
      </w:r>
    </w:p>
    <w:p w14:paraId="4CA97DE5" w14:textId="77777777" w:rsidR="006F05BA" w:rsidRPr="00965B52" w:rsidRDefault="006F05BA" w:rsidP="006F05BA">
      <w:pPr>
        <w:rPr>
          <w:rFonts w:ascii="Times New Roman" w:hAnsi="Times New Roman" w:cs="Times New Roman"/>
          <w:sz w:val="24"/>
          <w:szCs w:val="24"/>
        </w:rPr>
      </w:pPr>
      <w:r w:rsidRPr="00965B52">
        <w:rPr>
          <w:rFonts w:ascii="Times New Roman" w:hAnsi="Times New Roman" w:cs="Times New Roman"/>
          <w:sz w:val="24"/>
          <w:szCs w:val="24"/>
        </w:rPr>
        <w:t>(a) Official transfers: Official transfers are related to the government. External aid given to India by other countries (credit) and aid given by India to other countries (debit), taxes and penalties are forms of official transfers.</w:t>
      </w:r>
    </w:p>
    <w:p w14:paraId="1D4FA185" w14:textId="77777777" w:rsidR="006F05BA" w:rsidRPr="00965B52" w:rsidRDefault="006F05BA" w:rsidP="006F05BA">
      <w:pPr>
        <w:rPr>
          <w:rFonts w:ascii="Times New Roman" w:hAnsi="Times New Roman" w:cs="Times New Roman"/>
          <w:sz w:val="24"/>
          <w:szCs w:val="24"/>
        </w:rPr>
      </w:pPr>
      <w:r w:rsidRPr="00965B52">
        <w:rPr>
          <w:rFonts w:ascii="Times New Roman" w:hAnsi="Times New Roman" w:cs="Times New Roman"/>
          <w:sz w:val="24"/>
          <w:szCs w:val="24"/>
        </w:rPr>
        <w:t>Social contributions, social benefit payments etc., from governments. But in the BoP account, the value of official transfers are insignificant.</w:t>
      </w:r>
    </w:p>
    <w:p w14:paraId="12F4314D" w14:textId="05DBE031" w:rsidR="006F05BA" w:rsidRPr="00965B52" w:rsidRDefault="006F05BA" w:rsidP="006F05BA">
      <w:pPr>
        <w:jc w:val="both"/>
        <w:rPr>
          <w:rFonts w:ascii="Times New Roman" w:hAnsi="Times New Roman" w:cs="Times New Roman"/>
          <w:sz w:val="24"/>
          <w:szCs w:val="24"/>
        </w:rPr>
      </w:pPr>
      <w:r w:rsidRPr="00965B52">
        <w:rPr>
          <w:rFonts w:ascii="Times New Roman" w:hAnsi="Times New Roman" w:cs="Times New Roman"/>
          <w:sz w:val="24"/>
          <w:szCs w:val="24"/>
        </w:rPr>
        <w:t xml:space="preserve">(b) Private transfers: The most important form of transfers in India's BoP account is private transfers (personal transfers). Personal transfers consist of all current transfers in cash or in- kind made or received by resident households from non-resident households. In the Indian context, private transfers are mostly in the form of remittances. </w:t>
      </w:r>
    </w:p>
    <w:p w14:paraId="3D14237A" w14:textId="77777777" w:rsidR="006F05BA" w:rsidRPr="00965B52" w:rsidRDefault="006F05BA" w:rsidP="006F05BA">
      <w:pPr>
        <w:rPr>
          <w:rFonts w:ascii="Times New Roman" w:hAnsi="Times New Roman" w:cs="Times New Roman"/>
          <w:sz w:val="24"/>
          <w:szCs w:val="24"/>
        </w:rPr>
      </w:pPr>
      <w:r w:rsidRPr="00965B52">
        <w:rPr>
          <w:rFonts w:ascii="Times New Roman" w:hAnsi="Times New Roman" w:cs="Times New Roman"/>
          <w:sz w:val="24"/>
          <w:szCs w:val="24"/>
        </w:rPr>
        <w:t>(3) Income: Income comprised of (a) compensation to employees (b) investment income of the companies</w:t>
      </w:r>
    </w:p>
    <w:p w14:paraId="48A1C441" w14:textId="77777777" w:rsidR="006F05BA" w:rsidRPr="00965B52" w:rsidRDefault="006F05BA" w:rsidP="006F05BA">
      <w:pPr>
        <w:jc w:val="both"/>
        <w:rPr>
          <w:rFonts w:ascii="Times New Roman" w:hAnsi="Times New Roman" w:cs="Times New Roman"/>
          <w:sz w:val="24"/>
          <w:szCs w:val="24"/>
        </w:rPr>
      </w:pPr>
      <w:r w:rsidRPr="00965B52">
        <w:rPr>
          <w:rFonts w:ascii="Times New Roman" w:hAnsi="Times New Roman" w:cs="Times New Roman"/>
          <w:sz w:val="24"/>
          <w:szCs w:val="24"/>
        </w:rPr>
        <w:t>Compensation to employees: Compensation of employees comprises wages, salaries and other benefits (in cash or kind). Contributions paid by employers to social security schemes or to private insurance or pension funds.  Compensation to employees is an insignificant portion of the income account in India’s BoP.</w:t>
      </w:r>
    </w:p>
    <w:p w14:paraId="4DA13041" w14:textId="5F3469ED" w:rsidR="006F05BA" w:rsidRPr="00965B52" w:rsidRDefault="006F05BA" w:rsidP="00021AF5">
      <w:pPr>
        <w:jc w:val="both"/>
        <w:rPr>
          <w:rFonts w:ascii="Times New Roman" w:hAnsi="Times New Roman" w:cs="Times New Roman"/>
          <w:sz w:val="24"/>
          <w:szCs w:val="24"/>
        </w:rPr>
      </w:pPr>
      <w:r w:rsidRPr="00965B52">
        <w:rPr>
          <w:rFonts w:ascii="Times New Roman" w:hAnsi="Times New Roman" w:cs="Times New Roman"/>
          <w:sz w:val="24"/>
          <w:szCs w:val="24"/>
        </w:rPr>
        <w:t>Investment Income: Investment income that represents the return obtained by companies from making an investment.  Investment by foreign companies in India will result in profit, dividends etc. for them. (For India, the income account outflows are significant as the MNCs are taking away income through this account as they have made sizable investments in India. Hence, the income account of the country shows deficit).</w:t>
      </w:r>
    </w:p>
    <w:p w14:paraId="0D40527F" w14:textId="77777777" w:rsidR="00AA4905" w:rsidRPr="00965B52" w:rsidRDefault="00AA4905" w:rsidP="00021AF5">
      <w:pPr>
        <w:jc w:val="both"/>
        <w:rPr>
          <w:rFonts w:ascii="Times New Roman" w:hAnsi="Times New Roman" w:cs="Times New Roman"/>
          <w:sz w:val="24"/>
          <w:szCs w:val="24"/>
        </w:rPr>
      </w:pPr>
    </w:p>
    <w:p w14:paraId="58D5294A" w14:textId="0E85D14B" w:rsidR="00AA4905" w:rsidRPr="00965B52" w:rsidRDefault="009321BB" w:rsidP="00021AF5">
      <w:pPr>
        <w:jc w:val="both"/>
        <w:rPr>
          <w:rFonts w:ascii="Times New Roman" w:hAnsi="Times New Roman" w:cs="Times New Roman"/>
          <w:sz w:val="24"/>
          <w:szCs w:val="24"/>
        </w:rPr>
      </w:pPr>
      <w:r w:rsidRPr="00965B52">
        <w:rPr>
          <w:rFonts w:ascii="Times New Roman" w:hAnsi="Times New Roman" w:cs="Times New Roman"/>
          <w:sz w:val="24"/>
          <w:szCs w:val="24"/>
        </w:rPr>
        <w:lastRenderedPageBreak/>
        <w:t>I</w:t>
      </w:r>
      <w:r w:rsidR="00AA4905" w:rsidRPr="00965B52">
        <w:rPr>
          <w:rFonts w:ascii="Times New Roman" w:hAnsi="Times New Roman" w:cs="Times New Roman"/>
          <w:sz w:val="24"/>
          <w:szCs w:val="24"/>
        </w:rPr>
        <w:t>f strict restrictions are imposed on gold imports, can the trade deficit be reduced and foreign exchange reserves be maintained? It is necessary to consider how effective restricting gold imports really is. Past experience</w:t>
      </w:r>
      <w:r w:rsidR="00F3642F" w:rsidRPr="00965B52">
        <w:rPr>
          <w:rFonts w:ascii="Times New Roman" w:hAnsi="Times New Roman" w:cs="Times New Roman"/>
          <w:sz w:val="24"/>
          <w:szCs w:val="24"/>
        </w:rPr>
        <w:t>s</w:t>
      </w:r>
      <w:r w:rsidR="00AA4905" w:rsidRPr="00965B52">
        <w:rPr>
          <w:rFonts w:ascii="Times New Roman" w:hAnsi="Times New Roman" w:cs="Times New Roman"/>
          <w:sz w:val="24"/>
          <w:szCs w:val="24"/>
        </w:rPr>
        <w:t xml:space="preserve"> </w:t>
      </w:r>
      <w:r w:rsidR="00F3642F" w:rsidRPr="00965B52">
        <w:rPr>
          <w:rFonts w:ascii="Times New Roman" w:hAnsi="Times New Roman" w:cs="Times New Roman"/>
          <w:sz w:val="24"/>
          <w:szCs w:val="24"/>
        </w:rPr>
        <w:t>have</w:t>
      </w:r>
      <w:r w:rsidR="00AA4905" w:rsidRPr="00965B52">
        <w:rPr>
          <w:rFonts w:ascii="Times New Roman" w:hAnsi="Times New Roman" w:cs="Times New Roman"/>
          <w:sz w:val="24"/>
          <w:szCs w:val="24"/>
        </w:rPr>
        <w:t xml:space="preserve"> shown that controlling the consumption of gold is possible only to a limited extent.</w:t>
      </w:r>
      <w:r w:rsidR="00F3642F" w:rsidRPr="00965B52">
        <w:rPr>
          <w:rFonts w:ascii="Times New Roman" w:hAnsi="Times New Roman" w:cs="Times New Roman"/>
          <w:sz w:val="24"/>
          <w:szCs w:val="24"/>
        </w:rPr>
        <w:t xml:space="preserve">  </w:t>
      </w:r>
      <w:r w:rsidR="00AA4905" w:rsidRPr="00965B52">
        <w:rPr>
          <w:rFonts w:ascii="Times New Roman" w:hAnsi="Times New Roman" w:cs="Times New Roman"/>
          <w:sz w:val="24"/>
          <w:szCs w:val="24"/>
        </w:rPr>
        <w:t>Even though the price of gold has risen sharply, consumption has not declined. Last financial year, even though the price of gold increased by as much as 55%, consumption fell by only 5%. Moreover, raising the price of gold will also lead to smuggling. When the price of gold rose, the value of gold imports increased by more than 20%. This caused the foreign trade deficit to rise again.</w:t>
      </w:r>
    </w:p>
    <w:p w14:paraId="6D638992" w14:textId="4A42E5D9" w:rsidR="009321BB" w:rsidRPr="00965B52" w:rsidRDefault="009321BB" w:rsidP="00021AF5">
      <w:pPr>
        <w:jc w:val="both"/>
        <w:rPr>
          <w:rFonts w:ascii="Times New Roman" w:hAnsi="Times New Roman" w:cs="Times New Roman"/>
          <w:sz w:val="24"/>
          <w:szCs w:val="24"/>
        </w:rPr>
      </w:pPr>
      <w:r w:rsidRPr="00965B52">
        <w:rPr>
          <w:rFonts w:ascii="Times New Roman" w:hAnsi="Times New Roman" w:cs="Times New Roman"/>
          <w:sz w:val="24"/>
          <w:szCs w:val="24"/>
        </w:rPr>
        <w:t xml:space="preserve">If the price of a barrel of oil was 65 dollars in the previous year, it has now risen to 110 dollars. Keeping the state elections in mind, the central government implemented the inevitable price increase only after a delay. Although excise duty was reduced by 10 rupees per litre, the oil companies were given temporary relief without raising prices. </w:t>
      </w:r>
      <w:r w:rsidR="00F3642F" w:rsidRPr="00965B52">
        <w:rPr>
          <w:rFonts w:ascii="Times New Roman" w:hAnsi="Times New Roman" w:cs="Times New Roman"/>
          <w:sz w:val="24"/>
          <w:szCs w:val="24"/>
        </w:rPr>
        <w:t>Oil companies in the public sector argued</w:t>
      </w:r>
      <w:r w:rsidRPr="00965B52">
        <w:rPr>
          <w:rFonts w:ascii="Times New Roman" w:hAnsi="Times New Roman" w:cs="Times New Roman"/>
          <w:sz w:val="24"/>
          <w:szCs w:val="24"/>
        </w:rPr>
        <w:t xml:space="preserve"> that even when the price was increased by one rupee per litre, the</w:t>
      </w:r>
      <w:r w:rsidR="00F3642F" w:rsidRPr="00965B52">
        <w:rPr>
          <w:rFonts w:ascii="Times New Roman" w:hAnsi="Times New Roman" w:cs="Times New Roman"/>
          <w:sz w:val="24"/>
          <w:szCs w:val="24"/>
        </w:rPr>
        <w:t>y</w:t>
      </w:r>
      <w:r w:rsidRPr="00965B52">
        <w:rPr>
          <w:rFonts w:ascii="Times New Roman" w:hAnsi="Times New Roman" w:cs="Times New Roman"/>
          <w:sz w:val="24"/>
          <w:szCs w:val="24"/>
        </w:rPr>
        <w:t xml:space="preserve"> were facing a loss of 750 crore rupees per day in fuel and cooking gas. After the elections, the central government increased oil prices three times within 10 days. It is said that the oil companies are incurring losses of between 13 rupees and 40 rupees per litre.</w:t>
      </w:r>
    </w:p>
    <w:p w14:paraId="33CC1FB6" w14:textId="6787EC14" w:rsidR="009321BB" w:rsidRPr="00965B52" w:rsidRDefault="009321BB" w:rsidP="00021AF5">
      <w:pPr>
        <w:jc w:val="both"/>
        <w:rPr>
          <w:rFonts w:ascii="Times New Roman" w:hAnsi="Times New Roman" w:cs="Times New Roman"/>
          <w:sz w:val="24"/>
          <w:szCs w:val="24"/>
        </w:rPr>
      </w:pPr>
      <w:r w:rsidRPr="00965B52">
        <w:rPr>
          <w:rFonts w:ascii="Times New Roman" w:hAnsi="Times New Roman" w:cs="Times New Roman"/>
          <w:sz w:val="24"/>
          <w:szCs w:val="24"/>
        </w:rPr>
        <w:t xml:space="preserve">Due to the increase in fuel prices, the prices of daily necessities and essential services will rise, leading to inflation. When inflation occurs, the Reserve Bank </w:t>
      </w:r>
      <w:r w:rsidR="00F3642F" w:rsidRPr="00965B52">
        <w:rPr>
          <w:rFonts w:ascii="Times New Roman" w:hAnsi="Times New Roman" w:cs="Times New Roman"/>
          <w:sz w:val="24"/>
          <w:szCs w:val="24"/>
        </w:rPr>
        <w:t xml:space="preserve">of India </w:t>
      </w:r>
      <w:r w:rsidRPr="00965B52">
        <w:rPr>
          <w:rFonts w:ascii="Times New Roman" w:hAnsi="Times New Roman" w:cs="Times New Roman"/>
          <w:sz w:val="24"/>
          <w:szCs w:val="24"/>
        </w:rPr>
        <w:t xml:space="preserve">begins </w:t>
      </w:r>
      <w:r w:rsidR="00B57649" w:rsidRPr="00965B52">
        <w:rPr>
          <w:rFonts w:ascii="Times New Roman" w:hAnsi="Times New Roman" w:cs="Times New Roman"/>
          <w:sz w:val="24"/>
          <w:szCs w:val="24"/>
        </w:rPr>
        <w:t xml:space="preserve">to </w:t>
      </w:r>
      <w:r w:rsidRPr="00965B52">
        <w:rPr>
          <w:rFonts w:ascii="Times New Roman" w:hAnsi="Times New Roman" w:cs="Times New Roman"/>
          <w:sz w:val="24"/>
          <w:szCs w:val="24"/>
        </w:rPr>
        <w:t>tak</w:t>
      </w:r>
      <w:r w:rsidR="00B57649" w:rsidRPr="00965B52">
        <w:rPr>
          <w:rFonts w:ascii="Times New Roman" w:hAnsi="Times New Roman" w:cs="Times New Roman"/>
          <w:sz w:val="24"/>
          <w:szCs w:val="24"/>
        </w:rPr>
        <w:t>e</w:t>
      </w:r>
      <w:r w:rsidRPr="00965B52">
        <w:rPr>
          <w:rFonts w:ascii="Times New Roman" w:hAnsi="Times New Roman" w:cs="Times New Roman"/>
          <w:sz w:val="24"/>
          <w:szCs w:val="24"/>
        </w:rPr>
        <w:t xml:space="preserve"> steps to raise interest rates as the next measure. Higher interest rates discourage industrialists, farmers, and entrepreneurs from taking loans. This rise in prices spreads to the banking sector and then to other sectors, causing impacts including economic slowdown. The prices of consumer goods increase, making daily life difficult for the public.</w:t>
      </w:r>
      <w:r w:rsidR="00B57649" w:rsidRPr="00965B52">
        <w:rPr>
          <w:rFonts w:ascii="Times New Roman" w:hAnsi="Times New Roman" w:cs="Times New Roman"/>
          <w:sz w:val="24"/>
          <w:szCs w:val="24"/>
        </w:rPr>
        <w:t xml:space="preserve">  </w:t>
      </w:r>
      <w:r w:rsidRPr="00965B52">
        <w:rPr>
          <w:rFonts w:ascii="Times New Roman" w:hAnsi="Times New Roman" w:cs="Times New Roman"/>
          <w:sz w:val="24"/>
          <w:szCs w:val="24"/>
        </w:rPr>
        <w:t>As a result of rising oil prices, airlines are compelled to increase fares. When passengers are unable to bear the transportation cost and begin to use other means, the intended profit from the price increase may not be realized by the airlines.</w:t>
      </w:r>
    </w:p>
    <w:p w14:paraId="402FAD91" w14:textId="0DD446C0" w:rsidR="009321BB" w:rsidRPr="00965B52" w:rsidRDefault="009321BB" w:rsidP="00021AF5">
      <w:pPr>
        <w:jc w:val="both"/>
        <w:rPr>
          <w:rFonts w:ascii="Times New Roman" w:hAnsi="Times New Roman" w:cs="Times New Roman"/>
          <w:sz w:val="24"/>
          <w:szCs w:val="24"/>
        </w:rPr>
      </w:pPr>
      <w:r w:rsidRPr="00965B52">
        <w:rPr>
          <w:rFonts w:ascii="Times New Roman" w:hAnsi="Times New Roman" w:cs="Times New Roman"/>
          <w:sz w:val="24"/>
          <w:szCs w:val="24"/>
        </w:rPr>
        <w:t xml:space="preserve">Due to the increase in fuel prices, the prices of daily necessities and essential services will also rise, leading to inflation. When inflation occurs, the Reserve Bank begins its next step of increasing interest rates. Higher interest rates discourage industrialists, farmers, and entrepreneurs from taking loans. This price increase spreads to the banking sector and then to other sectors, resulting in an economic slowdown. </w:t>
      </w:r>
    </w:p>
    <w:p w14:paraId="66EAEF9C" w14:textId="77777777" w:rsidR="00B423E7" w:rsidRPr="00965B52" w:rsidRDefault="00B423E7" w:rsidP="00B423E7">
      <w:pPr>
        <w:jc w:val="both"/>
        <w:rPr>
          <w:rFonts w:ascii="Times New Roman" w:hAnsi="Times New Roman" w:cs="Times New Roman"/>
          <w:sz w:val="24"/>
          <w:szCs w:val="24"/>
        </w:rPr>
      </w:pPr>
      <w:r w:rsidRPr="00965B52">
        <w:rPr>
          <w:rFonts w:ascii="Times New Roman" w:hAnsi="Times New Roman" w:cs="Times New Roman"/>
          <w:sz w:val="24"/>
          <w:szCs w:val="24"/>
        </w:rPr>
        <w:t xml:space="preserve">The RBI data shows that India holds foreign exchange reserves USD 691.1  billion during the financial year 2025-26 and are sufficient to finance our imports for 10 months.  The share of gold component is increasing in the foreign exchange reserves and this shows the valuation gains boosted by the enthusiasm of central banks globally for holding non-dollar assets.  The persistent outflow of foreign portfolio investment moulded by the current geopolitical situation made Indian Rupee as the most depreciated currencies in the world.  </w:t>
      </w:r>
    </w:p>
    <w:p w14:paraId="65BEE1D7" w14:textId="3430BE0B" w:rsidR="00B423E7" w:rsidRPr="00965B52" w:rsidRDefault="00B423E7" w:rsidP="00021AF5">
      <w:pPr>
        <w:jc w:val="both"/>
        <w:rPr>
          <w:rFonts w:ascii="Times New Roman" w:hAnsi="Times New Roman" w:cs="Times New Roman"/>
          <w:sz w:val="24"/>
          <w:szCs w:val="24"/>
        </w:rPr>
      </w:pPr>
      <w:r w:rsidRPr="00965B52">
        <w:rPr>
          <w:rFonts w:ascii="Times New Roman" w:hAnsi="Times New Roman" w:cs="Times New Roman"/>
          <w:noProof/>
          <w:sz w:val="24"/>
          <w:szCs w:val="24"/>
        </w:rPr>
        <w:lastRenderedPageBreak/>
        <w:drawing>
          <wp:inline distT="0" distB="0" distL="0" distR="0" wp14:anchorId="4CF77174" wp14:editId="7CE94224">
            <wp:extent cx="4572000" cy="2743200"/>
            <wp:effectExtent l="0" t="0" r="0" b="0"/>
            <wp:docPr id="1023294266" name="Chart 1">
              <a:extLst xmlns:a="http://schemas.openxmlformats.org/drawingml/2006/main">
                <a:ext uri="{FF2B5EF4-FFF2-40B4-BE49-F238E27FC236}">
                  <a16:creationId xmlns:a16="http://schemas.microsoft.com/office/drawing/2014/main" id="{B32AAF75-733E-9DBE-A70C-C086EC56005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1B7AB0E0" w14:textId="54AB0F13" w:rsidR="00B423E7" w:rsidRPr="00965B52" w:rsidRDefault="00B423E7" w:rsidP="00021AF5">
      <w:pPr>
        <w:jc w:val="both"/>
        <w:rPr>
          <w:rFonts w:ascii="Times New Roman" w:hAnsi="Times New Roman" w:cs="Times New Roman"/>
          <w:i/>
          <w:iCs/>
          <w:sz w:val="24"/>
          <w:szCs w:val="24"/>
        </w:rPr>
      </w:pPr>
      <w:r w:rsidRPr="00965B52">
        <w:rPr>
          <w:rFonts w:ascii="Times New Roman" w:hAnsi="Times New Roman" w:cs="Times New Roman"/>
          <w:i/>
          <w:iCs/>
          <w:sz w:val="24"/>
          <w:szCs w:val="24"/>
        </w:rPr>
        <w:t>Source : data.rbi.org.in</w:t>
      </w:r>
    </w:p>
    <w:p w14:paraId="740B8A94" w14:textId="03D68EBE" w:rsidR="009321BB" w:rsidRPr="00965B52" w:rsidRDefault="00B57649" w:rsidP="00021AF5">
      <w:pPr>
        <w:jc w:val="both"/>
        <w:rPr>
          <w:rFonts w:ascii="Times New Roman" w:hAnsi="Times New Roman" w:cs="Times New Roman"/>
          <w:sz w:val="24"/>
          <w:szCs w:val="24"/>
        </w:rPr>
      </w:pPr>
      <w:r w:rsidRPr="00965B52">
        <w:rPr>
          <w:rFonts w:ascii="Times New Roman" w:hAnsi="Times New Roman" w:cs="Times New Roman"/>
          <w:sz w:val="24"/>
          <w:szCs w:val="24"/>
        </w:rPr>
        <w:t>Remedial Measures</w:t>
      </w:r>
      <w:r w:rsidRPr="00965B52">
        <w:rPr>
          <w:rFonts w:ascii="Times New Roman" w:hAnsi="Times New Roman" w:cs="Times New Roman"/>
          <w:sz w:val="24"/>
          <w:szCs w:val="24"/>
        </w:rPr>
        <w:t xml:space="preserve"> of </w:t>
      </w:r>
      <w:r w:rsidR="009321BB" w:rsidRPr="00965B52">
        <w:rPr>
          <w:rFonts w:ascii="Times New Roman" w:hAnsi="Times New Roman" w:cs="Times New Roman"/>
          <w:sz w:val="24"/>
          <w:szCs w:val="24"/>
        </w:rPr>
        <w:t>Reserve Bank</w:t>
      </w:r>
    </w:p>
    <w:p w14:paraId="6C8FA399" w14:textId="665453C7" w:rsidR="009321BB" w:rsidRPr="00965B52" w:rsidRDefault="009321BB" w:rsidP="00021AF5">
      <w:pPr>
        <w:jc w:val="both"/>
        <w:rPr>
          <w:rFonts w:ascii="Times New Roman" w:hAnsi="Times New Roman" w:cs="Times New Roman"/>
          <w:sz w:val="24"/>
          <w:szCs w:val="24"/>
        </w:rPr>
      </w:pPr>
      <w:r w:rsidRPr="00965B52">
        <w:rPr>
          <w:rFonts w:ascii="Times New Roman" w:hAnsi="Times New Roman" w:cs="Times New Roman"/>
          <w:sz w:val="24"/>
          <w:szCs w:val="24"/>
        </w:rPr>
        <w:t xml:space="preserve">The </w:t>
      </w:r>
      <w:r w:rsidR="00B57649" w:rsidRPr="00965B52">
        <w:rPr>
          <w:rFonts w:ascii="Times New Roman" w:hAnsi="Times New Roman" w:cs="Times New Roman"/>
          <w:sz w:val="24"/>
          <w:szCs w:val="24"/>
        </w:rPr>
        <w:t>Reserve Bank</w:t>
      </w:r>
      <w:r w:rsidR="00B57649" w:rsidRPr="00965B52">
        <w:rPr>
          <w:rFonts w:ascii="Times New Roman" w:hAnsi="Times New Roman" w:cs="Times New Roman"/>
          <w:sz w:val="24"/>
          <w:szCs w:val="24"/>
        </w:rPr>
        <w:t xml:space="preserve"> is deeply concerned by the d</w:t>
      </w:r>
      <w:r w:rsidRPr="00965B52">
        <w:rPr>
          <w:rFonts w:ascii="Times New Roman" w:hAnsi="Times New Roman" w:cs="Times New Roman"/>
          <w:sz w:val="24"/>
          <w:szCs w:val="24"/>
        </w:rPr>
        <w:t>ecline in the value of the rupee following the war</w:t>
      </w:r>
      <w:r w:rsidR="00B57649" w:rsidRPr="00965B52">
        <w:rPr>
          <w:rFonts w:ascii="Times New Roman" w:hAnsi="Times New Roman" w:cs="Times New Roman"/>
          <w:sz w:val="24"/>
          <w:szCs w:val="24"/>
        </w:rPr>
        <w:t xml:space="preserve"> in the West Asia</w:t>
      </w:r>
      <w:r w:rsidRPr="00965B52">
        <w:rPr>
          <w:rFonts w:ascii="Times New Roman" w:hAnsi="Times New Roman" w:cs="Times New Roman"/>
          <w:sz w:val="24"/>
          <w:szCs w:val="24"/>
        </w:rPr>
        <w:t>. To prevent this depreciation, the Reserve Bank is buying rupees by exchanging dollars in the foreign exchange market and accumulating them. In view of the world’s political and economic conditions, it is extremely important for India to move toward non-petroleum energy sources without depending on other countries. According to the Reserve Bank, India currently has foreign exchange reserves of 650 billion dollars. Due to the high trade deficit, our foreign exchange reserves fell to 5 billion dollars in 1991, and we then had to depend on international banks controlled by capitalist powers, such as the World Bank and the IMF (International Monetary Fund).</w:t>
      </w:r>
    </w:p>
    <w:p w14:paraId="3B3F56CD" w14:textId="06FE7B71" w:rsidR="009321BB" w:rsidRPr="00965B52" w:rsidRDefault="009321BB" w:rsidP="00021AF5">
      <w:pPr>
        <w:jc w:val="both"/>
        <w:rPr>
          <w:rFonts w:ascii="Times New Roman" w:hAnsi="Times New Roman" w:cs="Times New Roman"/>
          <w:sz w:val="24"/>
          <w:szCs w:val="24"/>
        </w:rPr>
      </w:pPr>
      <w:r w:rsidRPr="00965B52">
        <w:rPr>
          <w:rFonts w:ascii="Times New Roman" w:hAnsi="Times New Roman" w:cs="Times New Roman"/>
          <w:sz w:val="24"/>
          <w:szCs w:val="24"/>
        </w:rPr>
        <w:t xml:space="preserve">If the Reserve Bank’s regulatory measures fail to produce results, the confidence of the economy and the markets will be undermined. According to former Reserve Bank Governor Duvvuri Subbarao, the excessive expectations and speculation of markets are powerful enough to </w:t>
      </w:r>
      <w:r w:rsidR="002F29F2" w:rsidRPr="00965B52">
        <w:rPr>
          <w:rFonts w:ascii="Times New Roman" w:hAnsi="Times New Roman" w:cs="Times New Roman"/>
          <w:sz w:val="24"/>
          <w:szCs w:val="24"/>
        </w:rPr>
        <w:t>disable</w:t>
      </w:r>
      <w:r w:rsidRPr="00965B52">
        <w:rPr>
          <w:rFonts w:ascii="Times New Roman" w:hAnsi="Times New Roman" w:cs="Times New Roman"/>
          <w:sz w:val="24"/>
          <w:szCs w:val="24"/>
        </w:rPr>
        <w:t xml:space="preserve"> the actions of the central bank and the government. He says that if stock investors and brokers engage in speculation expecting asset prices to fall, the market will plunge further downward. Anticipating this decline, exporters will delay their transactions and importers will </w:t>
      </w:r>
      <w:r w:rsidR="009C527C" w:rsidRPr="00965B52">
        <w:rPr>
          <w:rFonts w:ascii="Times New Roman" w:hAnsi="Times New Roman" w:cs="Times New Roman"/>
          <w:sz w:val="24"/>
          <w:szCs w:val="24"/>
        </w:rPr>
        <w:t>hasten</w:t>
      </w:r>
      <w:r w:rsidRPr="00965B52">
        <w:rPr>
          <w:rFonts w:ascii="Times New Roman" w:hAnsi="Times New Roman" w:cs="Times New Roman"/>
          <w:sz w:val="24"/>
          <w:szCs w:val="24"/>
        </w:rPr>
        <w:t xml:space="preserve"> </w:t>
      </w:r>
      <w:r w:rsidR="009C527C" w:rsidRPr="00965B52">
        <w:rPr>
          <w:rFonts w:ascii="Times New Roman" w:hAnsi="Times New Roman" w:cs="Times New Roman"/>
          <w:sz w:val="24"/>
          <w:szCs w:val="24"/>
        </w:rPr>
        <w:t>their transactions.  T</w:t>
      </w:r>
      <w:r w:rsidRPr="00965B52">
        <w:rPr>
          <w:rFonts w:ascii="Times New Roman" w:hAnsi="Times New Roman" w:cs="Times New Roman"/>
          <w:sz w:val="24"/>
          <w:szCs w:val="24"/>
        </w:rPr>
        <w:t xml:space="preserve">his will accelerate the economic downturn. </w:t>
      </w:r>
      <w:r w:rsidR="009C527C" w:rsidRPr="00965B52">
        <w:rPr>
          <w:rFonts w:ascii="Times New Roman" w:hAnsi="Times New Roman" w:cs="Times New Roman"/>
          <w:sz w:val="24"/>
          <w:szCs w:val="24"/>
        </w:rPr>
        <w:t xml:space="preserve">Why this happens? </w:t>
      </w:r>
      <w:r w:rsidRPr="00965B52">
        <w:rPr>
          <w:rFonts w:ascii="Times New Roman" w:hAnsi="Times New Roman" w:cs="Times New Roman"/>
          <w:sz w:val="24"/>
          <w:szCs w:val="24"/>
        </w:rPr>
        <w:t>In the case of exporters, when their earnings are converted into Indian rupees, their income increases; and in the case of importers, when their payments are converted into dollars, their import costs increase.</w:t>
      </w:r>
    </w:p>
    <w:p w14:paraId="09BF129B" w14:textId="6633926D" w:rsidR="009321BB" w:rsidRPr="00965B52" w:rsidRDefault="009321BB" w:rsidP="00021AF5">
      <w:pPr>
        <w:jc w:val="both"/>
        <w:rPr>
          <w:rFonts w:ascii="Times New Roman" w:hAnsi="Times New Roman" w:cs="Times New Roman"/>
          <w:sz w:val="24"/>
          <w:szCs w:val="24"/>
        </w:rPr>
      </w:pPr>
      <w:r w:rsidRPr="00965B52">
        <w:rPr>
          <w:rFonts w:ascii="Times New Roman" w:hAnsi="Times New Roman" w:cs="Times New Roman"/>
          <w:sz w:val="24"/>
          <w:szCs w:val="24"/>
        </w:rPr>
        <w:t xml:space="preserve">Moreover, this depreciation in </w:t>
      </w:r>
      <w:r w:rsidR="002F29F2" w:rsidRPr="00965B52">
        <w:rPr>
          <w:rFonts w:ascii="Times New Roman" w:hAnsi="Times New Roman" w:cs="Times New Roman"/>
          <w:sz w:val="24"/>
          <w:szCs w:val="24"/>
        </w:rPr>
        <w:t xml:space="preserve">the external </w:t>
      </w:r>
      <w:r w:rsidRPr="00965B52">
        <w:rPr>
          <w:rFonts w:ascii="Times New Roman" w:hAnsi="Times New Roman" w:cs="Times New Roman"/>
          <w:sz w:val="24"/>
          <w:szCs w:val="24"/>
        </w:rPr>
        <w:t xml:space="preserve">value </w:t>
      </w:r>
      <w:r w:rsidR="002F29F2" w:rsidRPr="00965B52">
        <w:rPr>
          <w:rFonts w:ascii="Times New Roman" w:hAnsi="Times New Roman" w:cs="Times New Roman"/>
          <w:sz w:val="24"/>
          <w:szCs w:val="24"/>
        </w:rPr>
        <w:t>of Rupee induces</w:t>
      </w:r>
      <w:r w:rsidRPr="00965B52">
        <w:rPr>
          <w:rFonts w:ascii="Times New Roman" w:hAnsi="Times New Roman" w:cs="Times New Roman"/>
          <w:sz w:val="24"/>
          <w:szCs w:val="24"/>
        </w:rPr>
        <w:t xml:space="preserve"> foreign institutional investors (</w:t>
      </w:r>
      <w:r w:rsidR="002F29F2" w:rsidRPr="00965B52">
        <w:rPr>
          <w:rFonts w:ascii="Times New Roman" w:hAnsi="Times New Roman" w:cs="Times New Roman"/>
          <w:sz w:val="24"/>
          <w:szCs w:val="24"/>
        </w:rPr>
        <w:t>FII</w:t>
      </w:r>
      <w:r w:rsidRPr="00965B52">
        <w:rPr>
          <w:rFonts w:ascii="Times New Roman" w:hAnsi="Times New Roman" w:cs="Times New Roman"/>
          <w:sz w:val="24"/>
          <w:szCs w:val="24"/>
        </w:rPr>
        <w:t xml:space="preserve">) to sell off Indian shares and leave, creating an imbalance in our economy. This </w:t>
      </w:r>
      <w:r w:rsidR="002F29F2" w:rsidRPr="00965B52">
        <w:rPr>
          <w:rFonts w:ascii="Times New Roman" w:hAnsi="Times New Roman" w:cs="Times New Roman"/>
          <w:sz w:val="24"/>
          <w:szCs w:val="24"/>
        </w:rPr>
        <w:t>exit of FIIs further</w:t>
      </w:r>
      <w:r w:rsidRPr="00965B52">
        <w:rPr>
          <w:rFonts w:ascii="Times New Roman" w:hAnsi="Times New Roman" w:cs="Times New Roman"/>
          <w:sz w:val="24"/>
          <w:szCs w:val="24"/>
        </w:rPr>
        <w:t xml:space="preserve"> destabilizes the stock market, paralyzes the industrial and banking sectors, and pushes the economy into recession.</w:t>
      </w:r>
    </w:p>
    <w:p w14:paraId="02397457" w14:textId="77777777" w:rsidR="009321BB" w:rsidRPr="00965B52" w:rsidRDefault="009321BB" w:rsidP="00021AF5">
      <w:pPr>
        <w:jc w:val="both"/>
        <w:rPr>
          <w:rFonts w:ascii="Times New Roman" w:hAnsi="Times New Roman" w:cs="Times New Roman"/>
          <w:sz w:val="24"/>
          <w:szCs w:val="24"/>
        </w:rPr>
      </w:pPr>
    </w:p>
    <w:p w14:paraId="26D15A5C" w14:textId="01CB1663" w:rsidR="009321BB" w:rsidRPr="00965B52" w:rsidRDefault="009321BB" w:rsidP="00021AF5">
      <w:pPr>
        <w:jc w:val="both"/>
        <w:rPr>
          <w:rFonts w:ascii="Times New Roman" w:hAnsi="Times New Roman" w:cs="Times New Roman"/>
          <w:sz w:val="24"/>
          <w:szCs w:val="24"/>
        </w:rPr>
      </w:pPr>
      <w:r w:rsidRPr="00965B52">
        <w:rPr>
          <w:rFonts w:ascii="Times New Roman" w:hAnsi="Times New Roman" w:cs="Times New Roman"/>
          <w:sz w:val="24"/>
          <w:szCs w:val="24"/>
        </w:rPr>
        <w:t xml:space="preserve">Inflation has always created economic and political crises in the country. In 1973, the Arab countries tripled the price of petroleum, causing widespread inflation and an economic crisis </w:t>
      </w:r>
      <w:r w:rsidRPr="00965B52">
        <w:rPr>
          <w:rFonts w:ascii="Times New Roman" w:hAnsi="Times New Roman" w:cs="Times New Roman"/>
          <w:sz w:val="24"/>
          <w:szCs w:val="24"/>
        </w:rPr>
        <w:lastRenderedPageBreak/>
        <w:t xml:space="preserve">in the country. Then, two years later, history shows that the country was dragged into a severe political crisis such as the Emergency. The oil crisis caused by the 1991 Kuwait-Iraq war and the resulting high trade deficit also led to severe economic and political crises. </w:t>
      </w:r>
      <w:r w:rsidR="002F29F2" w:rsidRPr="00965B52">
        <w:rPr>
          <w:rFonts w:ascii="Times New Roman" w:hAnsi="Times New Roman" w:cs="Times New Roman"/>
          <w:sz w:val="24"/>
          <w:szCs w:val="24"/>
        </w:rPr>
        <w:t>Indian economy forcibly accepted s</w:t>
      </w:r>
      <w:r w:rsidRPr="00965B52">
        <w:rPr>
          <w:rFonts w:ascii="Times New Roman" w:hAnsi="Times New Roman" w:cs="Times New Roman"/>
          <w:sz w:val="24"/>
          <w:szCs w:val="24"/>
        </w:rPr>
        <w:t>tructural changes in the basic economic policy, and new political chapters were written</w:t>
      </w:r>
      <w:r w:rsidR="002F29F2" w:rsidRPr="00965B52">
        <w:rPr>
          <w:rFonts w:ascii="Times New Roman" w:hAnsi="Times New Roman" w:cs="Times New Roman"/>
          <w:sz w:val="24"/>
          <w:szCs w:val="24"/>
        </w:rPr>
        <w:t xml:space="preserve"> thereafter</w:t>
      </w:r>
      <w:r w:rsidRPr="00965B52">
        <w:rPr>
          <w:rFonts w:ascii="Times New Roman" w:hAnsi="Times New Roman" w:cs="Times New Roman"/>
          <w:sz w:val="24"/>
          <w:szCs w:val="24"/>
        </w:rPr>
        <w:t>.</w:t>
      </w:r>
    </w:p>
    <w:p w14:paraId="60A87BD4" w14:textId="03227500" w:rsidR="00021AF5" w:rsidRPr="00965B52" w:rsidRDefault="00021AF5" w:rsidP="00021AF5">
      <w:pPr>
        <w:jc w:val="both"/>
        <w:rPr>
          <w:rFonts w:ascii="Times New Roman" w:hAnsi="Times New Roman" w:cs="Times New Roman"/>
          <w:sz w:val="24"/>
          <w:szCs w:val="24"/>
        </w:rPr>
      </w:pPr>
      <w:r w:rsidRPr="00965B52">
        <w:rPr>
          <w:rFonts w:ascii="Times New Roman" w:hAnsi="Times New Roman" w:cs="Times New Roman"/>
          <w:sz w:val="24"/>
          <w:szCs w:val="24"/>
        </w:rPr>
        <w:t xml:space="preserve">Depreciation of the rupee shows the weakness of the Indian economy. How the Reserve Bank </w:t>
      </w:r>
      <w:r w:rsidR="002F29F2" w:rsidRPr="00965B52">
        <w:rPr>
          <w:rFonts w:ascii="Times New Roman" w:hAnsi="Times New Roman" w:cs="Times New Roman"/>
          <w:sz w:val="24"/>
          <w:szCs w:val="24"/>
        </w:rPr>
        <w:t>tackles</w:t>
      </w:r>
      <w:r w:rsidRPr="00965B52">
        <w:rPr>
          <w:rFonts w:ascii="Times New Roman" w:hAnsi="Times New Roman" w:cs="Times New Roman"/>
          <w:sz w:val="24"/>
          <w:szCs w:val="24"/>
        </w:rPr>
        <w:t xml:space="preserve"> with </w:t>
      </w:r>
      <w:r w:rsidR="002F29F2" w:rsidRPr="00965B52">
        <w:rPr>
          <w:rFonts w:ascii="Times New Roman" w:hAnsi="Times New Roman" w:cs="Times New Roman"/>
          <w:sz w:val="24"/>
          <w:szCs w:val="24"/>
        </w:rPr>
        <w:t>this situation</w:t>
      </w:r>
      <w:r w:rsidRPr="00965B52">
        <w:rPr>
          <w:rFonts w:ascii="Times New Roman" w:hAnsi="Times New Roman" w:cs="Times New Roman"/>
          <w:sz w:val="24"/>
          <w:szCs w:val="24"/>
        </w:rPr>
        <w:t xml:space="preserve">? When the value of the rupee falls, </w:t>
      </w:r>
      <w:r w:rsidR="00B9383E" w:rsidRPr="00965B52">
        <w:rPr>
          <w:rFonts w:ascii="Times New Roman" w:hAnsi="Times New Roman" w:cs="Times New Roman"/>
          <w:sz w:val="24"/>
          <w:szCs w:val="24"/>
        </w:rPr>
        <w:t xml:space="preserve">foreign investors </w:t>
      </w:r>
      <w:r w:rsidR="00B9383E" w:rsidRPr="00965B52">
        <w:rPr>
          <w:rFonts w:ascii="Times New Roman" w:hAnsi="Times New Roman" w:cs="Times New Roman"/>
          <w:sz w:val="24"/>
          <w:szCs w:val="24"/>
        </w:rPr>
        <w:t xml:space="preserve">quickly sell off </w:t>
      </w:r>
      <w:r w:rsidRPr="00965B52">
        <w:rPr>
          <w:rFonts w:ascii="Times New Roman" w:hAnsi="Times New Roman" w:cs="Times New Roman"/>
          <w:sz w:val="24"/>
          <w:szCs w:val="24"/>
        </w:rPr>
        <w:t>Indian assets, especially stocks, and invest in other international markets</w:t>
      </w:r>
      <w:r w:rsidR="00B9383E" w:rsidRPr="00965B52">
        <w:rPr>
          <w:rFonts w:ascii="Times New Roman" w:hAnsi="Times New Roman" w:cs="Times New Roman"/>
          <w:sz w:val="24"/>
          <w:szCs w:val="24"/>
        </w:rPr>
        <w:t xml:space="preserve">.  During this context, </w:t>
      </w:r>
      <w:r w:rsidRPr="00965B52">
        <w:rPr>
          <w:rFonts w:ascii="Times New Roman" w:hAnsi="Times New Roman" w:cs="Times New Roman"/>
          <w:sz w:val="24"/>
          <w:szCs w:val="24"/>
        </w:rPr>
        <w:t xml:space="preserve">to avoid </w:t>
      </w:r>
      <w:r w:rsidR="00B9383E" w:rsidRPr="00965B52">
        <w:rPr>
          <w:rFonts w:ascii="Times New Roman" w:hAnsi="Times New Roman" w:cs="Times New Roman"/>
          <w:sz w:val="24"/>
          <w:szCs w:val="24"/>
        </w:rPr>
        <w:t>further fall of</w:t>
      </w:r>
      <w:r w:rsidRPr="00965B52">
        <w:rPr>
          <w:rFonts w:ascii="Times New Roman" w:hAnsi="Times New Roman" w:cs="Times New Roman"/>
          <w:sz w:val="24"/>
          <w:szCs w:val="24"/>
        </w:rPr>
        <w:t xml:space="preserve"> Indian rupee, the Reserve Bank </w:t>
      </w:r>
      <w:r w:rsidR="00B9383E" w:rsidRPr="00965B52">
        <w:rPr>
          <w:rFonts w:ascii="Times New Roman" w:hAnsi="Times New Roman" w:cs="Times New Roman"/>
          <w:sz w:val="24"/>
          <w:szCs w:val="24"/>
        </w:rPr>
        <w:t>sells</w:t>
      </w:r>
      <w:r w:rsidRPr="00965B52">
        <w:rPr>
          <w:rFonts w:ascii="Times New Roman" w:hAnsi="Times New Roman" w:cs="Times New Roman"/>
          <w:sz w:val="24"/>
          <w:szCs w:val="24"/>
        </w:rPr>
        <w:t xml:space="preserve"> dollars or treasury bills from the foreign exchange </w:t>
      </w:r>
      <w:r w:rsidR="00B9383E" w:rsidRPr="00965B52">
        <w:rPr>
          <w:rFonts w:ascii="Times New Roman" w:hAnsi="Times New Roman" w:cs="Times New Roman"/>
          <w:sz w:val="24"/>
          <w:szCs w:val="24"/>
        </w:rPr>
        <w:t>reserves</w:t>
      </w:r>
      <w:r w:rsidRPr="00965B52">
        <w:rPr>
          <w:rFonts w:ascii="Times New Roman" w:hAnsi="Times New Roman" w:cs="Times New Roman"/>
          <w:sz w:val="24"/>
          <w:szCs w:val="24"/>
        </w:rPr>
        <w:t xml:space="preserve"> and </w:t>
      </w:r>
      <w:r w:rsidR="00B9383E" w:rsidRPr="00965B52">
        <w:rPr>
          <w:rFonts w:ascii="Times New Roman" w:hAnsi="Times New Roman" w:cs="Times New Roman"/>
          <w:sz w:val="24"/>
          <w:szCs w:val="24"/>
        </w:rPr>
        <w:t>purchases</w:t>
      </w:r>
      <w:r w:rsidRPr="00965B52">
        <w:rPr>
          <w:rFonts w:ascii="Times New Roman" w:hAnsi="Times New Roman" w:cs="Times New Roman"/>
          <w:sz w:val="24"/>
          <w:szCs w:val="24"/>
        </w:rPr>
        <w:t xml:space="preserve"> rupee. This policy may help to some extent in the short term but will not yield the desired results in the long term. </w:t>
      </w:r>
      <w:r w:rsidR="00B9383E" w:rsidRPr="00965B52">
        <w:rPr>
          <w:rFonts w:ascii="Times New Roman" w:hAnsi="Times New Roman" w:cs="Times New Roman"/>
          <w:sz w:val="24"/>
          <w:szCs w:val="24"/>
        </w:rPr>
        <w:t>The past experience has shown that the depreciation of the</w:t>
      </w:r>
      <w:r w:rsidRPr="00965B52">
        <w:rPr>
          <w:rFonts w:ascii="Times New Roman" w:hAnsi="Times New Roman" w:cs="Times New Roman"/>
          <w:sz w:val="24"/>
          <w:szCs w:val="24"/>
        </w:rPr>
        <w:t xml:space="preserve"> rupee </w:t>
      </w:r>
      <w:r w:rsidR="00B9383E" w:rsidRPr="00965B52">
        <w:rPr>
          <w:rFonts w:ascii="Times New Roman" w:hAnsi="Times New Roman" w:cs="Times New Roman"/>
          <w:sz w:val="24"/>
          <w:szCs w:val="24"/>
        </w:rPr>
        <w:t>is often followed by the exit</w:t>
      </w:r>
      <w:r w:rsidRPr="00965B52">
        <w:rPr>
          <w:rFonts w:ascii="Times New Roman" w:hAnsi="Times New Roman" w:cs="Times New Roman"/>
          <w:sz w:val="24"/>
          <w:szCs w:val="24"/>
        </w:rPr>
        <w:t xml:space="preserve"> </w:t>
      </w:r>
      <w:r w:rsidR="00B9383E" w:rsidRPr="00965B52">
        <w:rPr>
          <w:rFonts w:ascii="Times New Roman" w:hAnsi="Times New Roman" w:cs="Times New Roman"/>
          <w:sz w:val="24"/>
          <w:szCs w:val="24"/>
        </w:rPr>
        <w:t xml:space="preserve">of </w:t>
      </w:r>
      <w:r w:rsidRPr="00965B52">
        <w:rPr>
          <w:rFonts w:ascii="Times New Roman" w:hAnsi="Times New Roman" w:cs="Times New Roman"/>
          <w:sz w:val="24"/>
          <w:szCs w:val="24"/>
        </w:rPr>
        <w:t xml:space="preserve">foreign </w:t>
      </w:r>
      <w:r w:rsidR="00B9383E" w:rsidRPr="00965B52">
        <w:rPr>
          <w:rFonts w:ascii="Times New Roman" w:hAnsi="Times New Roman" w:cs="Times New Roman"/>
          <w:sz w:val="24"/>
          <w:szCs w:val="24"/>
        </w:rPr>
        <w:t>institutional investment from the</w:t>
      </w:r>
      <w:r w:rsidRPr="00965B52">
        <w:rPr>
          <w:rFonts w:ascii="Times New Roman" w:hAnsi="Times New Roman" w:cs="Times New Roman"/>
          <w:sz w:val="24"/>
          <w:szCs w:val="24"/>
        </w:rPr>
        <w:t xml:space="preserve"> Indian stock market </w:t>
      </w:r>
      <w:r w:rsidR="00B9383E" w:rsidRPr="00965B52">
        <w:rPr>
          <w:rFonts w:ascii="Times New Roman" w:hAnsi="Times New Roman" w:cs="Times New Roman"/>
          <w:sz w:val="24"/>
          <w:szCs w:val="24"/>
        </w:rPr>
        <w:t xml:space="preserve">leaving </w:t>
      </w:r>
      <w:r w:rsidRPr="00965B52">
        <w:rPr>
          <w:rFonts w:ascii="Times New Roman" w:hAnsi="Times New Roman" w:cs="Times New Roman"/>
          <w:sz w:val="24"/>
          <w:szCs w:val="24"/>
        </w:rPr>
        <w:t xml:space="preserve">the rupee </w:t>
      </w:r>
      <w:r w:rsidR="00B9383E" w:rsidRPr="00965B52">
        <w:rPr>
          <w:rFonts w:ascii="Times New Roman" w:hAnsi="Times New Roman" w:cs="Times New Roman"/>
          <w:sz w:val="24"/>
          <w:szCs w:val="24"/>
        </w:rPr>
        <w:t>to</w:t>
      </w:r>
      <w:r w:rsidRPr="00965B52">
        <w:rPr>
          <w:rFonts w:ascii="Times New Roman" w:hAnsi="Times New Roman" w:cs="Times New Roman"/>
          <w:sz w:val="24"/>
          <w:szCs w:val="24"/>
        </w:rPr>
        <w:t xml:space="preserve"> fall</w:t>
      </w:r>
      <w:r w:rsidR="00B9383E" w:rsidRPr="00965B52">
        <w:rPr>
          <w:rFonts w:ascii="Times New Roman" w:hAnsi="Times New Roman" w:cs="Times New Roman"/>
          <w:sz w:val="24"/>
          <w:szCs w:val="24"/>
        </w:rPr>
        <w:t xml:space="preserve"> further</w:t>
      </w:r>
      <w:r w:rsidRPr="00965B52">
        <w:rPr>
          <w:rFonts w:ascii="Times New Roman" w:hAnsi="Times New Roman" w:cs="Times New Roman"/>
          <w:sz w:val="24"/>
          <w:szCs w:val="24"/>
        </w:rPr>
        <w:t>. All that time we have to pay more dollars for imports.</w:t>
      </w:r>
    </w:p>
    <w:p w14:paraId="52D2C86E" w14:textId="45A52CD1" w:rsidR="00021AF5" w:rsidRDefault="00021AF5" w:rsidP="00021AF5">
      <w:pPr>
        <w:jc w:val="both"/>
        <w:rPr>
          <w:rFonts w:ascii="Times New Roman" w:hAnsi="Times New Roman" w:cs="Times New Roman"/>
          <w:sz w:val="24"/>
          <w:szCs w:val="24"/>
        </w:rPr>
      </w:pPr>
      <w:r w:rsidRPr="00965B52">
        <w:rPr>
          <w:rFonts w:ascii="Times New Roman" w:hAnsi="Times New Roman" w:cs="Times New Roman"/>
          <w:sz w:val="24"/>
          <w:szCs w:val="24"/>
        </w:rPr>
        <w:t xml:space="preserve">Gold import control measures are also not effective. Relying on the flow of foreign capital as </w:t>
      </w:r>
      <w:r w:rsidR="00B9383E" w:rsidRPr="00965B52">
        <w:rPr>
          <w:rFonts w:ascii="Times New Roman" w:hAnsi="Times New Roman" w:cs="Times New Roman"/>
          <w:sz w:val="24"/>
          <w:szCs w:val="24"/>
        </w:rPr>
        <w:t xml:space="preserve">a source of </w:t>
      </w:r>
      <w:r w:rsidRPr="00965B52">
        <w:rPr>
          <w:rFonts w:ascii="Times New Roman" w:hAnsi="Times New Roman" w:cs="Times New Roman"/>
          <w:sz w:val="24"/>
          <w:szCs w:val="24"/>
        </w:rPr>
        <w:t xml:space="preserve">foreign exchange reserves, which fluctuates according to the rise and fall of the value of the rupee compared to other currencies, will not provide financial security to the country.   The rise in oil prices due to international issues cannot be solved by the central bank's short-term policy. </w:t>
      </w:r>
      <w:r w:rsidR="00B9383E" w:rsidRPr="00965B52">
        <w:rPr>
          <w:rFonts w:ascii="Times New Roman" w:hAnsi="Times New Roman" w:cs="Times New Roman"/>
          <w:sz w:val="24"/>
          <w:szCs w:val="24"/>
        </w:rPr>
        <w:t>Owing</w:t>
      </w:r>
      <w:r w:rsidRPr="00965B52">
        <w:rPr>
          <w:rFonts w:ascii="Times New Roman" w:hAnsi="Times New Roman" w:cs="Times New Roman"/>
          <w:sz w:val="24"/>
          <w:szCs w:val="24"/>
        </w:rPr>
        <w:t xml:space="preserve"> to the political and economic conditions in the world, it is imperative for India to switch to non-petroleum sources of energy without dependence on other countries. Dependence on crude oil is detrimental to the balance of the economy, so reliance on renewable energy sources is a highly desirable policy.</w:t>
      </w:r>
    </w:p>
    <w:p w14:paraId="459EAD9A" w14:textId="77777777" w:rsidR="00965B52" w:rsidRDefault="00965B52" w:rsidP="00021AF5">
      <w:pPr>
        <w:jc w:val="both"/>
        <w:rPr>
          <w:rFonts w:ascii="Times New Roman" w:hAnsi="Times New Roman" w:cs="Times New Roman"/>
          <w:sz w:val="24"/>
          <w:szCs w:val="24"/>
        </w:rPr>
      </w:pPr>
    </w:p>
    <w:p w14:paraId="2E44C3BD" w14:textId="4CEDF4D6" w:rsidR="00965B52" w:rsidRPr="00055C83" w:rsidRDefault="00965B52" w:rsidP="00021AF5">
      <w:pPr>
        <w:jc w:val="both"/>
        <w:rPr>
          <w:rFonts w:ascii="Times New Roman" w:hAnsi="Times New Roman" w:cs="Times New Roman"/>
          <w:b/>
          <w:bCs/>
          <w:sz w:val="24"/>
          <w:szCs w:val="24"/>
        </w:rPr>
      </w:pPr>
      <w:r w:rsidRPr="00055C83">
        <w:rPr>
          <w:rFonts w:ascii="Times New Roman" w:hAnsi="Times New Roman" w:cs="Times New Roman"/>
          <w:b/>
          <w:bCs/>
          <w:sz w:val="24"/>
          <w:szCs w:val="24"/>
        </w:rPr>
        <w:t>Reference</w:t>
      </w:r>
    </w:p>
    <w:p w14:paraId="45BF33C2" w14:textId="0FF60643" w:rsidR="00965B52" w:rsidRDefault="00055C83" w:rsidP="00021AF5">
      <w:pPr>
        <w:jc w:val="both"/>
        <w:rPr>
          <w:rFonts w:ascii="Times New Roman" w:hAnsi="Times New Roman" w:cs="Times New Roman"/>
          <w:sz w:val="24"/>
          <w:szCs w:val="24"/>
        </w:rPr>
      </w:pPr>
      <w:r>
        <w:rPr>
          <w:rFonts w:ascii="Times New Roman" w:hAnsi="Times New Roman" w:cs="Times New Roman"/>
          <w:sz w:val="24"/>
          <w:szCs w:val="24"/>
        </w:rPr>
        <w:t>Kishore Roshan (2026): Understanding India’s External Challenges, Hindustan Times, 14 May 2026.</w:t>
      </w:r>
    </w:p>
    <w:p w14:paraId="1AE79392" w14:textId="0E7EB87A" w:rsidR="00055C83" w:rsidRDefault="00055C83" w:rsidP="00021AF5">
      <w:pPr>
        <w:jc w:val="both"/>
        <w:rPr>
          <w:rFonts w:ascii="Times New Roman" w:hAnsi="Times New Roman" w:cs="Times New Roman"/>
          <w:sz w:val="24"/>
          <w:szCs w:val="24"/>
        </w:rPr>
      </w:pPr>
      <w:r w:rsidRPr="00055C83">
        <w:rPr>
          <w:rFonts w:ascii="Times New Roman" w:hAnsi="Times New Roman" w:cs="Times New Roman"/>
          <w:sz w:val="24"/>
          <w:szCs w:val="24"/>
        </w:rPr>
        <w:t>Kapila, Uma. </w:t>
      </w:r>
      <w:r w:rsidRPr="00055C83">
        <w:rPr>
          <w:rFonts w:ascii="Times New Roman" w:hAnsi="Times New Roman" w:cs="Times New Roman"/>
          <w:i/>
          <w:iCs/>
          <w:sz w:val="24"/>
          <w:szCs w:val="24"/>
        </w:rPr>
        <w:t>Indian economy: issues in development &amp; planning and sectoral aspects</w:t>
      </w:r>
      <w:r w:rsidRPr="00055C83">
        <w:rPr>
          <w:rFonts w:ascii="Times New Roman" w:hAnsi="Times New Roman" w:cs="Times New Roman"/>
          <w:sz w:val="24"/>
          <w:szCs w:val="24"/>
        </w:rPr>
        <w:t>. Academic Foundation, 2005.</w:t>
      </w:r>
    </w:p>
    <w:p w14:paraId="7178DE13" w14:textId="77777777" w:rsidR="00055C83" w:rsidRPr="00965B52" w:rsidRDefault="00055C83" w:rsidP="00021AF5">
      <w:pPr>
        <w:jc w:val="both"/>
        <w:rPr>
          <w:rFonts w:ascii="Times New Roman" w:hAnsi="Times New Roman" w:cs="Times New Roman"/>
          <w:sz w:val="24"/>
          <w:szCs w:val="24"/>
        </w:rPr>
      </w:pPr>
    </w:p>
    <w:sectPr w:rsidR="00055C83" w:rsidRPr="00965B5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DengXian">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3C2D25"/>
    <w:multiLevelType w:val="hybridMultilevel"/>
    <w:tmpl w:val="074A0DA0"/>
    <w:lvl w:ilvl="0" w:tplc="141CFD54">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 w15:restartNumberingAfterBreak="0">
    <w:nsid w:val="3B9A49CF"/>
    <w:multiLevelType w:val="hybridMultilevel"/>
    <w:tmpl w:val="CE7AB3FE"/>
    <w:lvl w:ilvl="0" w:tplc="4009001B">
      <w:start w:val="1"/>
      <w:numFmt w:val="lowerRoman"/>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340423718">
    <w:abstractNumId w:val="1"/>
  </w:num>
  <w:num w:numId="2" w16cid:durableId="15657246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4905"/>
    <w:rsid w:val="00021AF5"/>
    <w:rsid w:val="00055C83"/>
    <w:rsid w:val="00114AA9"/>
    <w:rsid w:val="00116B3D"/>
    <w:rsid w:val="001844EE"/>
    <w:rsid w:val="002F29F2"/>
    <w:rsid w:val="004A54CD"/>
    <w:rsid w:val="006F05BA"/>
    <w:rsid w:val="009321BB"/>
    <w:rsid w:val="00965B52"/>
    <w:rsid w:val="009C527C"/>
    <w:rsid w:val="00AA4905"/>
    <w:rsid w:val="00AD4755"/>
    <w:rsid w:val="00B00BC8"/>
    <w:rsid w:val="00B423E7"/>
    <w:rsid w:val="00B57649"/>
    <w:rsid w:val="00B9383E"/>
    <w:rsid w:val="00CE3C25"/>
    <w:rsid w:val="00D4442E"/>
    <w:rsid w:val="00EA4A43"/>
    <w:rsid w:val="00EE5E12"/>
    <w:rsid w:val="00F3642F"/>
  </w:rsids>
  <m:mathPr>
    <m:mathFont m:val="Cambria Math"/>
    <m:brkBin m:val="before"/>
    <m:brkBinSub m:val="--"/>
    <m:smallFrac m:val="0"/>
    <m:dispDef/>
    <m:lMargin m:val="0"/>
    <m:rMargin m:val="0"/>
    <m:defJc m:val="centerGroup"/>
    <m:wrapIndent m:val="1440"/>
    <m:intLim m:val="subSup"/>
    <m:naryLim m:val="undOvr"/>
  </m:mathPr>
  <w:themeFontLang w:val="en-IN"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9EAD6"/>
  <w15:chartTrackingRefBased/>
  <w15:docId w15:val="{50F7644D-BEBB-4667-A644-C3194A450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lang w:val="en-IN" w:eastAsia="en-US" w:bidi="hi-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Mangal"/>
    </w:rPr>
  </w:style>
  <w:style w:type="paragraph" w:styleId="Heading1">
    <w:name w:val="heading 1"/>
    <w:basedOn w:val="Normal"/>
    <w:next w:val="Normal"/>
    <w:link w:val="Heading1Char"/>
    <w:uiPriority w:val="9"/>
    <w:qFormat/>
    <w:rsid w:val="00AA4905"/>
    <w:pPr>
      <w:keepNext/>
      <w:keepLines/>
      <w:spacing w:before="360" w:after="80"/>
      <w:outlineLvl w:val="0"/>
    </w:pPr>
    <w:rPr>
      <w:rFonts w:asciiTheme="majorHAnsi" w:eastAsiaTheme="majorEastAsia" w:hAnsiTheme="majorHAnsi" w:cstheme="majorBidi"/>
      <w:color w:val="2F5496" w:themeColor="accent1" w:themeShade="BF"/>
      <w:sz w:val="40"/>
      <w:szCs w:val="36"/>
    </w:rPr>
  </w:style>
  <w:style w:type="paragraph" w:styleId="Heading2">
    <w:name w:val="heading 2"/>
    <w:basedOn w:val="Normal"/>
    <w:next w:val="Normal"/>
    <w:link w:val="Heading2Char"/>
    <w:uiPriority w:val="9"/>
    <w:semiHidden/>
    <w:unhideWhenUsed/>
    <w:qFormat/>
    <w:rsid w:val="00AA4905"/>
    <w:pPr>
      <w:keepNext/>
      <w:keepLines/>
      <w:spacing w:before="160" w:after="80"/>
      <w:outlineLvl w:val="1"/>
    </w:pPr>
    <w:rPr>
      <w:rFonts w:asciiTheme="majorHAnsi" w:eastAsiaTheme="majorEastAsia" w:hAnsiTheme="majorHAnsi" w:cstheme="majorBidi"/>
      <w:color w:val="2F5496" w:themeColor="accent1" w:themeShade="BF"/>
      <w:sz w:val="32"/>
      <w:szCs w:val="29"/>
    </w:rPr>
  </w:style>
  <w:style w:type="paragraph" w:styleId="Heading3">
    <w:name w:val="heading 3"/>
    <w:basedOn w:val="Normal"/>
    <w:next w:val="Normal"/>
    <w:link w:val="Heading3Char"/>
    <w:uiPriority w:val="9"/>
    <w:semiHidden/>
    <w:unhideWhenUsed/>
    <w:qFormat/>
    <w:rsid w:val="00AA4905"/>
    <w:pPr>
      <w:keepNext/>
      <w:keepLines/>
      <w:spacing w:before="160" w:after="80"/>
      <w:outlineLvl w:val="2"/>
    </w:pPr>
    <w:rPr>
      <w:rFonts w:eastAsiaTheme="majorEastAsia" w:cstheme="majorBidi"/>
      <w:color w:val="2F5496" w:themeColor="accent1" w:themeShade="BF"/>
      <w:sz w:val="28"/>
      <w:szCs w:val="25"/>
    </w:rPr>
  </w:style>
  <w:style w:type="paragraph" w:styleId="Heading4">
    <w:name w:val="heading 4"/>
    <w:basedOn w:val="Normal"/>
    <w:next w:val="Normal"/>
    <w:link w:val="Heading4Char"/>
    <w:uiPriority w:val="9"/>
    <w:semiHidden/>
    <w:unhideWhenUsed/>
    <w:qFormat/>
    <w:rsid w:val="00AA490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A490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A490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A490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A490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A490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4905"/>
    <w:rPr>
      <w:rFonts w:asciiTheme="majorHAnsi" w:eastAsiaTheme="majorEastAsia" w:hAnsiTheme="majorHAnsi" w:cstheme="majorBidi"/>
      <w:color w:val="2F5496" w:themeColor="accent1" w:themeShade="BF"/>
      <w:sz w:val="40"/>
      <w:szCs w:val="36"/>
    </w:rPr>
  </w:style>
  <w:style w:type="character" w:customStyle="1" w:styleId="Heading2Char">
    <w:name w:val="Heading 2 Char"/>
    <w:basedOn w:val="DefaultParagraphFont"/>
    <w:link w:val="Heading2"/>
    <w:uiPriority w:val="9"/>
    <w:semiHidden/>
    <w:rsid w:val="00AA4905"/>
    <w:rPr>
      <w:rFonts w:asciiTheme="majorHAnsi" w:eastAsiaTheme="majorEastAsia" w:hAnsiTheme="majorHAnsi" w:cstheme="majorBidi"/>
      <w:color w:val="2F5496" w:themeColor="accent1" w:themeShade="BF"/>
      <w:sz w:val="32"/>
      <w:szCs w:val="29"/>
    </w:rPr>
  </w:style>
  <w:style w:type="character" w:customStyle="1" w:styleId="Heading3Char">
    <w:name w:val="Heading 3 Char"/>
    <w:basedOn w:val="DefaultParagraphFont"/>
    <w:link w:val="Heading3"/>
    <w:uiPriority w:val="9"/>
    <w:semiHidden/>
    <w:rsid w:val="00AA4905"/>
    <w:rPr>
      <w:rFonts w:eastAsiaTheme="majorEastAsia" w:cstheme="majorBidi"/>
      <w:color w:val="2F5496" w:themeColor="accent1" w:themeShade="BF"/>
      <w:sz w:val="28"/>
      <w:szCs w:val="25"/>
    </w:rPr>
  </w:style>
  <w:style w:type="character" w:customStyle="1" w:styleId="Heading4Char">
    <w:name w:val="Heading 4 Char"/>
    <w:basedOn w:val="DefaultParagraphFont"/>
    <w:link w:val="Heading4"/>
    <w:uiPriority w:val="9"/>
    <w:semiHidden/>
    <w:rsid w:val="00AA490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A490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A490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A490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A490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A4905"/>
    <w:rPr>
      <w:rFonts w:eastAsiaTheme="majorEastAsia" w:cstheme="majorBidi"/>
      <w:color w:val="272727" w:themeColor="text1" w:themeTint="D8"/>
    </w:rPr>
  </w:style>
  <w:style w:type="paragraph" w:styleId="Title">
    <w:name w:val="Title"/>
    <w:basedOn w:val="Normal"/>
    <w:next w:val="Normal"/>
    <w:link w:val="TitleChar"/>
    <w:uiPriority w:val="10"/>
    <w:qFormat/>
    <w:rsid w:val="00AA4905"/>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AA4905"/>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AA4905"/>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AA4905"/>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AA4905"/>
    <w:pPr>
      <w:spacing w:before="160"/>
      <w:jc w:val="center"/>
    </w:pPr>
    <w:rPr>
      <w:i/>
      <w:iCs/>
      <w:color w:val="404040" w:themeColor="text1" w:themeTint="BF"/>
    </w:rPr>
  </w:style>
  <w:style w:type="character" w:customStyle="1" w:styleId="QuoteChar">
    <w:name w:val="Quote Char"/>
    <w:basedOn w:val="DefaultParagraphFont"/>
    <w:link w:val="Quote"/>
    <w:uiPriority w:val="29"/>
    <w:rsid w:val="00AA4905"/>
    <w:rPr>
      <w:rFonts w:cs="Mangal"/>
      <w:i/>
      <w:iCs/>
      <w:color w:val="404040" w:themeColor="text1" w:themeTint="BF"/>
    </w:rPr>
  </w:style>
  <w:style w:type="paragraph" w:styleId="ListParagraph">
    <w:name w:val="List Paragraph"/>
    <w:basedOn w:val="Normal"/>
    <w:uiPriority w:val="34"/>
    <w:qFormat/>
    <w:rsid w:val="00AA4905"/>
    <w:pPr>
      <w:ind w:left="720"/>
      <w:contextualSpacing/>
    </w:pPr>
  </w:style>
  <w:style w:type="character" w:styleId="IntenseEmphasis">
    <w:name w:val="Intense Emphasis"/>
    <w:basedOn w:val="DefaultParagraphFont"/>
    <w:uiPriority w:val="21"/>
    <w:qFormat/>
    <w:rsid w:val="00AA4905"/>
    <w:rPr>
      <w:i/>
      <w:iCs/>
      <w:color w:val="2F5496" w:themeColor="accent1" w:themeShade="BF"/>
    </w:rPr>
  </w:style>
  <w:style w:type="paragraph" w:styleId="IntenseQuote">
    <w:name w:val="Intense Quote"/>
    <w:basedOn w:val="Normal"/>
    <w:next w:val="Normal"/>
    <w:link w:val="IntenseQuoteChar"/>
    <w:uiPriority w:val="30"/>
    <w:qFormat/>
    <w:rsid w:val="00AA490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A4905"/>
    <w:rPr>
      <w:rFonts w:cs="Mangal"/>
      <w:i/>
      <w:iCs/>
      <w:color w:val="2F5496" w:themeColor="accent1" w:themeShade="BF"/>
    </w:rPr>
  </w:style>
  <w:style w:type="character" w:styleId="IntenseReference">
    <w:name w:val="Intense Reference"/>
    <w:basedOn w:val="DefaultParagraphFont"/>
    <w:uiPriority w:val="32"/>
    <w:qFormat/>
    <w:rsid w:val="00AA4905"/>
    <w:rPr>
      <w:b/>
      <w:bCs/>
      <w:smallCaps/>
      <w:color w:val="2F5496" w:themeColor="accent1" w:themeShade="BF"/>
      <w:spacing w:val="5"/>
    </w:rPr>
  </w:style>
  <w:style w:type="character" w:styleId="Hyperlink">
    <w:name w:val="Hyperlink"/>
    <w:basedOn w:val="DefaultParagraphFont"/>
    <w:uiPriority w:val="99"/>
    <w:unhideWhenUsed/>
    <w:rsid w:val="00114AA9"/>
    <w:rPr>
      <w:color w:val="0563C1" w:themeColor="hyperlink"/>
      <w:u w:val="single"/>
    </w:rPr>
  </w:style>
  <w:style w:type="character" w:styleId="UnresolvedMention">
    <w:name w:val="Unresolved Mention"/>
    <w:basedOn w:val="DefaultParagraphFont"/>
    <w:uiPriority w:val="99"/>
    <w:semiHidden/>
    <w:unhideWhenUsed/>
    <w:rsid w:val="00114A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hart" Target="charts/chart1.xml"/><Relationship Id="rId5" Type="http://schemas.openxmlformats.org/officeDocument/2006/relationships/webSettings" Target="webSettings.xml"/><Relationship Id="rId4" Type="http://schemas.openxmlformats.org/officeDocument/2006/relationships/settings" Target="settings.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jayas\My%20Drive%20(jayasree@maharajas.ac.in)\ANOTES\Internals\III%20Sem%20MA%20Economics\Research%20methodology%20I.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b="1"/>
              <a:t>Figure 1 India's Foreign Exchange Reserves (Millions $) </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7059492563429571"/>
          <c:y val="0.16708333333333336"/>
          <c:w val="0.79329396325459323"/>
          <c:h val="0.39998359580052495"/>
        </c:manualLayout>
      </c:layout>
      <c:barChart>
        <c:barDir val="col"/>
        <c:grouping val="stacked"/>
        <c:varyColors val="0"/>
        <c:ser>
          <c:idx val="0"/>
          <c:order val="0"/>
          <c:tx>
            <c:strRef>
              <c:f>Sheet1!$B$2</c:f>
              <c:strCache>
                <c:ptCount val="1"/>
                <c:pt idx="0">
                  <c:v>SDR</c:v>
                </c:pt>
              </c:strCache>
            </c:strRef>
          </c:tx>
          <c:spPr>
            <a:solidFill>
              <a:schemeClr val="accent1"/>
            </a:solidFill>
            <a:ln>
              <a:noFill/>
            </a:ln>
            <a:effectLst/>
          </c:spPr>
          <c:invertIfNegative val="0"/>
          <c:cat>
            <c:strRef>
              <c:f>Sheet1!$A$3:$A$25</c:f>
              <c:strCache>
                <c:ptCount val="23"/>
                <c:pt idx="0">
                  <c:v>2003-04   </c:v>
                </c:pt>
                <c:pt idx="1">
                  <c:v>2004-05   </c:v>
                </c:pt>
                <c:pt idx="2">
                  <c:v>2005-06   </c:v>
                </c:pt>
                <c:pt idx="3">
                  <c:v>2006-07   </c:v>
                </c:pt>
                <c:pt idx="4">
                  <c:v>2007-08   </c:v>
                </c:pt>
                <c:pt idx="5">
                  <c:v>2008-09   </c:v>
                </c:pt>
                <c:pt idx="6">
                  <c:v>2009-10   </c:v>
                </c:pt>
                <c:pt idx="7">
                  <c:v>2010-11   </c:v>
                </c:pt>
                <c:pt idx="8">
                  <c:v>2011-12   </c:v>
                </c:pt>
                <c:pt idx="9">
                  <c:v>2012-13   </c:v>
                </c:pt>
                <c:pt idx="10">
                  <c:v>2013-14   </c:v>
                </c:pt>
                <c:pt idx="11">
                  <c:v>2014-15   </c:v>
                </c:pt>
                <c:pt idx="12">
                  <c:v>2015-16   </c:v>
                </c:pt>
                <c:pt idx="13">
                  <c:v>2016-17   </c:v>
                </c:pt>
                <c:pt idx="14">
                  <c:v>2017-18   </c:v>
                </c:pt>
                <c:pt idx="15">
                  <c:v>2018-19   </c:v>
                </c:pt>
                <c:pt idx="16">
                  <c:v>2019-20   </c:v>
                </c:pt>
                <c:pt idx="17">
                  <c:v>2020-21   </c:v>
                </c:pt>
                <c:pt idx="18">
                  <c:v>2021-22   </c:v>
                </c:pt>
                <c:pt idx="19">
                  <c:v>2022-23   </c:v>
                </c:pt>
                <c:pt idx="20">
                  <c:v>2023-24   </c:v>
                </c:pt>
                <c:pt idx="21">
                  <c:v>2024-25   </c:v>
                </c:pt>
                <c:pt idx="22">
                  <c:v>22025-26</c:v>
                </c:pt>
              </c:strCache>
            </c:strRef>
          </c:cat>
          <c:val>
            <c:numRef>
              <c:f>Sheet1!$B$3:$B$25</c:f>
              <c:numCache>
                <c:formatCode>0</c:formatCode>
                <c:ptCount val="23"/>
                <c:pt idx="0">
                  <c:v>2</c:v>
                </c:pt>
                <c:pt idx="1">
                  <c:v>5</c:v>
                </c:pt>
                <c:pt idx="2">
                  <c:v>3</c:v>
                </c:pt>
                <c:pt idx="3">
                  <c:v>2</c:v>
                </c:pt>
                <c:pt idx="4">
                  <c:v>18</c:v>
                </c:pt>
                <c:pt idx="5">
                  <c:v>1</c:v>
                </c:pt>
                <c:pt idx="6">
                  <c:v>5006</c:v>
                </c:pt>
                <c:pt idx="7">
                  <c:v>4569</c:v>
                </c:pt>
                <c:pt idx="8">
                  <c:v>4469</c:v>
                </c:pt>
                <c:pt idx="9">
                  <c:v>4328</c:v>
                </c:pt>
                <c:pt idx="10">
                  <c:v>4464</c:v>
                </c:pt>
                <c:pt idx="11">
                  <c:v>3985</c:v>
                </c:pt>
                <c:pt idx="12">
                  <c:v>1502</c:v>
                </c:pt>
                <c:pt idx="13">
                  <c:v>1447</c:v>
                </c:pt>
                <c:pt idx="14">
                  <c:v>1540</c:v>
                </c:pt>
                <c:pt idx="15">
                  <c:v>1457</c:v>
                </c:pt>
                <c:pt idx="16">
                  <c:v>1433</c:v>
                </c:pt>
                <c:pt idx="17">
                  <c:v>1486</c:v>
                </c:pt>
                <c:pt idx="18">
                  <c:v>18891</c:v>
                </c:pt>
                <c:pt idx="19">
                  <c:v>18392</c:v>
                </c:pt>
                <c:pt idx="20">
                  <c:v>18132</c:v>
                </c:pt>
                <c:pt idx="21">
                  <c:v>18169</c:v>
                </c:pt>
                <c:pt idx="22">
                  <c:v>18621</c:v>
                </c:pt>
              </c:numCache>
            </c:numRef>
          </c:val>
          <c:extLst>
            <c:ext xmlns:c16="http://schemas.microsoft.com/office/drawing/2014/chart" uri="{C3380CC4-5D6E-409C-BE32-E72D297353CC}">
              <c16:uniqueId val="{00000000-E8F0-45D5-A21A-AABDB75755F3}"/>
            </c:ext>
          </c:extLst>
        </c:ser>
        <c:ser>
          <c:idx val="1"/>
          <c:order val="1"/>
          <c:tx>
            <c:strRef>
              <c:f>Sheet1!$C$2</c:f>
              <c:strCache>
                <c:ptCount val="1"/>
                <c:pt idx="0">
                  <c:v>Gold</c:v>
                </c:pt>
              </c:strCache>
            </c:strRef>
          </c:tx>
          <c:spPr>
            <a:solidFill>
              <a:schemeClr val="accent2"/>
            </a:solidFill>
            <a:ln>
              <a:noFill/>
            </a:ln>
            <a:effectLst/>
          </c:spPr>
          <c:invertIfNegative val="0"/>
          <c:cat>
            <c:strRef>
              <c:f>Sheet1!$A$3:$A$25</c:f>
              <c:strCache>
                <c:ptCount val="23"/>
                <c:pt idx="0">
                  <c:v>2003-04   </c:v>
                </c:pt>
                <c:pt idx="1">
                  <c:v>2004-05   </c:v>
                </c:pt>
                <c:pt idx="2">
                  <c:v>2005-06   </c:v>
                </c:pt>
                <c:pt idx="3">
                  <c:v>2006-07   </c:v>
                </c:pt>
                <c:pt idx="4">
                  <c:v>2007-08   </c:v>
                </c:pt>
                <c:pt idx="5">
                  <c:v>2008-09   </c:v>
                </c:pt>
                <c:pt idx="6">
                  <c:v>2009-10   </c:v>
                </c:pt>
                <c:pt idx="7">
                  <c:v>2010-11   </c:v>
                </c:pt>
                <c:pt idx="8">
                  <c:v>2011-12   </c:v>
                </c:pt>
                <c:pt idx="9">
                  <c:v>2012-13   </c:v>
                </c:pt>
                <c:pt idx="10">
                  <c:v>2013-14   </c:v>
                </c:pt>
                <c:pt idx="11">
                  <c:v>2014-15   </c:v>
                </c:pt>
                <c:pt idx="12">
                  <c:v>2015-16   </c:v>
                </c:pt>
                <c:pt idx="13">
                  <c:v>2016-17   </c:v>
                </c:pt>
                <c:pt idx="14">
                  <c:v>2017-18   </c:v>
                </c:pt>
                <c:pt idx="15">
                  <c:v>2018-19   </c:v>
                </c:pt>
                <c:pt idx="16">
                  <c:v>2019-20   </c:v>
                </c:pt>
                <c:pt idx="17">
                  <c:v>2020-21   </c:v>
                </c:pt>
                <c:pt idx="18">
                  <c:v>2021-22   </c:v>
                </c:pt>
                <c:pt idx="19">
                  <c:v>2022-23   </c:v>
                </c:pt>
                <c:pt idx="20">
                  <c:v>2023-24   </c:v>
                </c:pt>
                <c:pt idx="21">
                  <c:v>2024-25   </c:v>
                </c:pt>
                <c:pt idx="22">
                  <c:v>22025-26</c:v>
                </c:pt>
              </c:strCache>
            </c:strRef>
          </c:cat>
          <c:val>
            <c:numRef>
              <c:f>Sheet1!$C$3:$C$25</c:f>
              <c:numCache>
                <c:formatCode>0</c:formatCode>
                <c:ptCount val="23"/>
                <c:pt idx="0">
                  <c:v>4198</c:v>
                </c:pt>
                <c:pt idx="1">
                  <c:v>4500</c:v>
                </c:pt>
                <c:pt idx="2">
                  <c:v>5755</c:v>
                </c:pt>
                <c:pt idx="3">
                  <c:v>6784</c:v>
                </c:pt>
                <c:pt idx="4">
                  <c:v>10039</c:v>
                </c:pt>
                <c:pt idx="5">
                  <c:v>9577</c:v>
                </c:pt>
                <c:pt idx="6">
                  <c:v>17986</c:v>
                </c:pt>
                <c:pt idx="7">
                  <c:v>22972</c:v>
                </c:pt>
                <c:pt idx="8">
                  <c:v>27023</c:v>
                </c:pt>
                <c:pt idx="9">
                  <c:v>25692</c:v>
                </c:pt>
                <c:pt idx="10">
                  <c:v>21567</c:v>
                </c:pt>
                <c:pt idx="11">
                  <c:v>19038</c:v>
                </c:pt>
                <c:pt idx="12">
                  <c:v>20115</c:v>
                </c:pt>
                <c:pt idx="13">
                  <c:v>19869</c:v>
                </c:pt>
                <c:pt idx="14">
                  <c:v>21484</c:v>
                </c:pt>
                <c:pt idx="15">
                  <c:v>23071</c:v>
                </c:pt>
                <c:pt idx="16">
                  <c:v>30578</c:v>
                </c:pt>
                <c:pt idx="17">
                  <c:v>33880</c:v>
                </c:pt>
                <c:pt idx="18">
                  <c:v>42551</c:v>
                </c:pt>
                <c:pt idx="19">
                  <c:v>45200</c:v>
                </c:pt>
                <c:pt idx="20">
                  <c:v>52675</c:v>
                </c:pt>
                <c:pt idx="21">
                  <c:v>78176</c:v>
                </c:pt>
                <c:pt idx="22">
                  <c:v>115395</c:v>
                </c:pt>
              </c:numCache>
            </c:numRef>
          </c:val>
          <c:extLst>
            <c:ext xmlns:c16="http://schemas.microsoft.com/office/drawing/2014/chart" uri="{C3380CC4-5D6E-409C-BE32-E72D297353CC}">
              <c16:uniqueId val="{00000001-E8F0-45D5-A21A-AABDB75755F3}"/>
            </c:ext>
          </c:extLst>
        </c:ser>
        <c:ser>
          <c:idx val="2"/>
          <c:order val="2"/>
          <c:tx>
            <c:strRef>
              <c:f>Sheet1!$D$2</c:f>
              <c:strCache>
                <c:ptCount val="1"/>
                <c:pt idx="0">
                  <c:v>FCA</c:v>
                </c:pt>
              </c:strCache>
            </c:strRef>
          </c:tx>
          <c:spPr>
            <a:solidFill>
              <a:schemeClr val="accent3"/>
            </a:solidFill>
            <a:ln>
              <a:noFill/>
            </a:ln>
            <a:effectLst/>
          </c:spPr>
          <c:invertIfNegative val="0"/>
          <c:cat>
            <c:strRef>
              <c:f>Sheet1!$A$3:$A$25</c:f>
              <c:strCache>
                <c:ptCount val="23"/>
                <c:pt idx="0">
                  <c:v>2003-04   </c:v>
                </c:pt>
                <c:pt idx="1">
                  <c:v>2004-05   </c:v>
                </c:pt>
                <c:pt idx="2">
                  <c:v>2005-06   </c:v>
                </c:pt>
                <c:pt idx="3">
                  <c:v>2006-07   </c:v>
                </c:pt>
                <c:pt idx="4">
                  <c:v>2007-08   </c:v>
                </c:pt>
                <c:pt idx="5">
                  <c:v>2008-09   </c:v>
                </c:pt>
                <c:pt idx="6">
                  <c:v>2009-10   </c:v>
                </c:pt>
                <c:pt idx="7">
                  <c:v>2010-11   </c:v>
                </c:pt>
                <c:pt idx="8">
                  <c:v>2011-12   </c:v>
                </c:pt>
                <c:pt idx="9">
                  <c:v>2012-13   </c:v>
                </c:pt>
                <c:pt idx="10">
                  <c:v>2013-14   </c:v>
                </c:pt>
                <c:pt idx="11">
                  <c:v>2014-15   </c:v>
                </c:pt>
                <c:pt idx="12">
                  <c:v>2015-16   </c:v>
                </c:pt>
                <c:pt idx="13">
                  <c:v>2016-17   </c:v>
                </c:pt>
                <c:pt idx="14">
                  <c:v>2017-18   </c:v>
                </c:pt>
                <c:pt idx="15">
                  <c:v>2018-19   </c:v>
                </c:pt>
                <c:pt idx="16">
                  <c:v>2019-20   </c:v>
                </c:pt>
                <c:pt idx="17">
                  <c:v>2020-21   </c:v>
                </c:pt>
                <c:pt idx="18">
                  <c:v>2021-22   </c:v>
                </c:pt>
                <c:pt idx="19">
                  <c:v>2022-23   </c:v>
                </c:pt>
                <c:pt idx="20">
                  <c:v>2023-24   </c:v>
                </c:pt>
                <c:pt idx="21">
                  <c:v>2024-25   </c:v>
                </c:pt>
                <c:pt idx="22">
                  <c:v>22025-26</c:v>
                </c:pt>
              </c:strCache>
            </c:strRef>
          </c:cat>
          <c:val>
            <c:numRef>
              <c:f>Sheet1!$D$3:$D$25</c:f>
              <c:numCache>
                <c:formatCode>0</c:formatCode>
                <c:ptCount val="23"/>
                <c:pt idx="0">
                  <c:v>107448</c:v>
                </c:pt>
                <c:pt idx="1">
                  <c:v>135571</c:v>
                </c:pt>
                <c:pt idx="2">
                  <c:v>145108</c:v>
                </c:pt>
                <c:pt idx="3">
                  <c:v>191924</c:v>
                </c:pt>
                <c:pt idx="4">
                  <c:v>299230</c:v>
                </c:pt>
                <c:pt idx="5">
                  <c:v>241426</c:v>
                </c:pt>
                <c:pt idx="6">
                  <c:v>254685</c:v>
                </c:pt>
                <c:pt idx="7">
                  <c:v>274330</c:v>
                </c:pt>
                <c:pt idx="8">
                  <c:v>260069</c:v>
                </c:pt>
                <c:pt idx="9">
                  <c:v>259726</c:v>
                </c:pt>
                <c:pt idx="10">
                  <c:v>276359</c:v>
                </c:pt>
                <c:pt idx="11">
                  <c:v>317324</c:v>
                </c:pt>
                <c:pt idx="12">
                  <c:v>336104</c:v>
                </c:pt>
                <c:pt idx="13">
                  <c:v>346319</c:v>
                </c:pt>
                <c:pt idx="14">
                  <c:v>399442</c:v>
                </c:pt>
                <c:pt idx="15">
                  <c:v>385357</c:v>
                </c:pt>
                <c:pt idx="16">
                  <c:v>442213</c:v>
                </c:pt>
                <c:pt idx="17">
                  <c:v>536693</c:v>
                </c:pt>
                <c:pt idx="18">
                  <c:v>540724</c:v>
                </c:pt>
                <c:pt idx="19">
                  <c:v>509691</c:v>
                </c:pt>
                <c:pt idx="20">
                  <c:v>570950</c:v>
                </c:pt>
                <c:pt idx="21">
                  <c:v>567557</c:v>
                </c:pt>
                <c:pt idx="22">
                  <c:v>552283</c:v>
                </c:pt>
              </c:numCache>
            </c:numRef>
          </c:val>
          <c:extLst>
            <c:ext xmlns:c16="http://schemas.microsoft.com/office/drawing/2014/chart" uri="{C3380CC4-5D6E-409C-BE32-E72D297353CC}">
              <c16:uniqueId val="{00000002-E8F0-45D5-A21A-AABDB75755F3}"/>
            </c:ext>
          </c:extLst>
        </c:ser>
        <c:ser>
          <c:idx val="3"/>
          <c:order val="3"/>
          <c:tx>
            <c:strRef>
              <c:f>Sheet1!$E$2</c:f>
              <c:strCache>
                <c:ptCount val="1"/>
                <c:pt idx="0">
                  <c:v>Reserve tranche position </c:v>
                </c:pt>
              </c:strCache>
            </c:strRef>
          </c:tx>
          <c:spPr>
            <a:solidFill>
              <a:schemeClr val="accent4"/>
            </a:solidFill>
            <a:ln>
              <a:noFill/>
            </a:ln>
            <a:effectLst/>
          </c:spPr>
          <c:invertIfNegative val="0"/>
          <c:cat>
            <c:strRef>
              <c:f>Sheet1!$A$3:$A$25</c:f>
              <c:strCache>
                <c:ptCount val="23"/>
                <c:pt idx="0">
                  <c:v>2003-04   </c:v>
                </c:pt>
                <c:pt idx="1">
                  <c:v>2004-05   </c:v>
                </c:pt>
                <c:pt idx="2">
                  <c:v>2005-06   </c:v>
                </c:pt>
                <c:pt idx="3">
                  <c:v>2006-07   </c:v>
                </c:pt>
                <c:pt idx="4">
                  <c:v>2007-08   </c:v>
                </c:pt>
                <c:pt idx="5">
                  <c:v>2008-09   </c:v>
                </c:pt>
                <c:pt idx="6">
                  <c:v>2009-10   </c:v>
                </c:pt>
                <c:pt idx="7">
                  <c:v>2010-11   </c:v>
                </c:pt>
                <c:pt idx="8">
                  <c:v>2011-12   </c:v>
                </c:pt>
                <c:pt idx="9">
                  <c:v>2012-13   </c:v>
                </c:pt>
                <c:pt idx="10">
                  <c:v>2013-14   </c:v>
                </c:pt>
                <c:pt idx="11">
                  <c:v>2014-15   </c:v>
                </c:pt>
                <c:pt idx="12">
                  <c:v>2015-16   </c:v>
                </c:pt>
                <c:pt idx="13">
                  <c:v>2016-17   </c:v>
                </c:pt>
                <c:pt idx="14">
                  <c:v>2017-18   </c:v>
                </c:pt>
                <c:pt idx="15">
                  <c:v>2018-19   </c:v>
                </c:pt>
                <c:pt idx="16">
                  <c:v>2019-20   </c:v>
                </c:pt>
                <c:pt idx="17">
                  <c:v>2020-21   </c:v>
                </c:pt>
                <c:pt idx="18">
                  <c:v>2021-22   </c:v>
                </c:pt>
                <c:pt idx="19">
                  <c:v>2022-23   </c:v>
                </c:pt>
                <c:pt idx="20">
                  <c:v>2023-24   </c:v>
                </c:pt>
                <c:pt idx="21">
                  <c:v>2024-25   </c:v>
                </c:pt>
                <c:pt idx="22">
                  <c:v>22025-26</c:v>
                </c:pt>
              </c:strCache>
            </c:strRef>
          </c:cat>
          <c:val>
            <c:numRef>
              <c:f>Sheet1!$E$3:$E$25</c:f>
              <c:numCache>
                <c:formatCode>0</c:formatCode>
                <c:ptCount val="23"/>
                <c:pt idx="0">
                  <c:v>1311</c:v>
                </c:pt>
                <c:pt idx="1">
                  <c:v>1438</c:v>
                </c:pt>
                <c:pt idx="2">
                  <c:v>756</c:v>
                </c:pt>
                <c:pt idx="3">
                  <c:v>469</c:v>
                </c:pt>
                <c:pt idx="4">
                  <c:v>436</c:v>
                </c:pt>
                <c:pt idx="5">
                  <c:v>981</c:v>
                </c:pt>
                <c:pt idx="6">
                  <c:v>1380</c:v>
                </c:pt>
                <c:pt idx="7">
                  <c:v>2947</c:v>
                </c:pt>
                <c:pt idx="8">
                  <c:v>2836</c:v>
                </c:pt>
                <c:pt idx="9">
                  <c:v>2301</c:v>
                </c:pt>
                <c:pt idx="10">
                  <c:v>1834</c:v>
                </c:pt>
                <c:pt idx="11">
                  <c:v>1292</c:v>
                </c:pt>
                <c:pt idx="12">
                  <c:v>2456</c:v>
                </c:pt>
                <c:pt idx="13">
                  <c:v>2321</c:v>
                </c:pt>
                <c:pt idx="14">
                  <c:v>2079</c:v>
                </c:pt>
                <c:pt idx="15">
                  <c:v>2986</c:v>
                </c:pt>
                <c:pt idx="16">
                  <c:v>3583</c:v>
                </c:pt>
                <c:pt idx="17">
                  <c:v>4925</c:v>
                </c:pt>
                <c:pt idx="18">
                  <c:v>5143</c:v>
                </c:pt>
                <c:pt idx="19">
                  <c:v>5165</c:v>
                </c:pt>
                <c:pt idx="20">
                  <c:v>4662</c:v>
                </c:pt>
                <c:pt idx="21">
                  <c:v>4423</c:v>
                </c:pt>
                <c:pt idx="22">
                  <c:v>4808</c:v>
                </c:pt>
              </c:numCache>
            </c:numRef>
          </c:val>
          <c:extLst>
            <c:ext xmlns:c16="http://schemas.microsoft.com/office/drawing/2014/chart" uri="{C3380CC4-5D6E-409C-BE32-E72D297353CC}">
              <c16:uniqueId val="{00000003-E8F0-45D5-A21A-AABDB75755F3}"/>
            </c:ext>
          </c:extLst>
        </c:ser>
        <c:dLbls>
          <c:showLegendKey val="0"/>
          <c:showVal val="0"/>
          <c:showCatName val="0"/>
          <c:showSerName val="0"/>
          <c:showPercent val="0"/>
          <c:showBubbleSize val="0"/>
        </c:dLbls>
        <c:gapWidth val="150"/>
        <c:overlap val="100"/>
        <c:axId val="1380001584"/>
        <c:axId val="1380013584"/>
      </c:barChart>
      <c:catAx>
        <c:axId val="138000158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Year</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80013584"/>
        <c:crosses val="autoZero"/>
        <c:auto val="1"/>
        <c:lblAlgn val="ctr"/>
        <c:lblOffset val="100"/>
        <c:noMultiLvlLbl val="0"/>
      </c:catAx>
      <c:valAx>
        <c:axId val="138001358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Forex reserves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800015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975658-B87E-4F15-AAE8-6279C45B65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910</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jayasree paul</dc:creator>
  <cp:keywords/>
  <dc:description/>
  <cp:lastModifiedBy>jayasree paul</cp:lastModifiedBy>
  <cp:revision>2</cp:revision>
  <dcterms:created xsi:type="dcterms:W3CDTF">2026-06-23T15:25:00Z</dcterms:created>
  <dcterms:modified xsi:type="dcterms:W3CDTF">2026-06-24T11:42:00Z</dcterms:modified>
</cp:coreProperties>
</file>