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5AA3" w14:textId="39A1E1B0" w:rsidR="00C5065C" w:rsidRPr="006B16A0" w:rsidRDefault="006B16A0" w:rsidP="006B16A0">
      <w:pPr>
        <w:spacing w:after="0" w:line="240" w:lineRule="auto"/>
        <w:jc w:val="center"/>
        <w:rPr>
          <w:rFonts w:ascii="Times New Roman" w:hAnsi="Times New Roman" w:cs="Times New Roman"/>
          <w:b/>
          <w:sz w:val="36"/>
          <w:szCs w:val="36"/>
        </w:rPr>
      </w:pPr>
      <w:r w:rsidRPr="00E44907">
        <w:rPr>
          <w:rFonts w:ascii="Times New Roman" w:hAnsi="Times New Roman" w:cs="Times New Roman"/>
          <w:b/>
          <w:sz w:val="36"/>
          <w:szCs w:val="36"/>
        </w:rPr>
        <w:t xml:space="preserve">Analyzing the Least Mastered Competencies in Chemical Reactions </w:t>
      </w:r>
      <w:r>
        <w:rPr>
          <w:rFonts w:ascii="Times New Roman" w:hAnsi="Times New Roman" w:cs="Times New Roman"/>
          <w:b/>
          <w:sz w:val="36"/>
          <w:szCs w:val="36"/>
        </w:rPr>
        <w:t>a</w:t>
      </w:r>
      <w:r w:rsidRPr="00E44907">
        <w:rPr>
          <w:rFonts w:ascii="Times New Roman" w:hAnsi="Times New Roman" w:cs="Times New Roman"/>
          <w:b/>
          <w:sz w:val="36"/>
          <w:szCs w:val="36"/>
        </w:rPr>
        <w:t>mong Grade 10 Learners</w:t>
      </w:r>
    </w:p>
    <w:p w14:paraId="0BBB4D22" w14:textId="77777777" w:rsidR="007035E6" w:rsidRPr="00980246" w:rsidRDefault="007035E6" w:rsidP="00980246">
      <w:pPr>
        <w:spacing w:line="240" w:lineRule="auto"/>
        <w:rPr>
          <w:rFonts w:ascii="Times New Roman" w:hAnsi="Times New Roman" w:cs="Times New Roman"/>
          <w:b/>
          <w:bCs/>
          <w:sz w:val="24"/>
          <w:szCs w:val="24"/>
        </w:rPr>
      </w:pPr>
    </w:p>
    <w:p w14:paraId="4F229AB4" w14:textId="77777777" w:rsidR="00915A6B" w:rsidRPr="00980246" w:rsidRDefault="00915A6B" w:rsidP="00915A6B">
      <w:pPr>
        <w:spacing w:line="240" w:lineRule="auto"/>
        <w:jc w:val="center"/>
        <w:rPr>
          <w:rFonts w:ascii="Times New Roman" w:hAnsi="Times New Roman" w:cs="Times New Roman"/>
          <w:b/>
          <w:bCs/>
          <w:sz w:val="24"/>
          <w:szCs w:val="24"/>
        </w:rPr>
      </w:pPr>
      <w:r w:rsidRPr="00980246">
        <w:rPr>
          <w:rFonts w:ascii="Times New Roman" w:hAnsi="Times New Roman" w:cs="Times New Roman"/>
          <w:b/>
          <w:bCs/>
          <w:sz w:val="24"/>
          <w:szCs w:val="24"/>
        </w:rPr>
        <w:t/>
      </w:r>
      <w:r w:rsidRPr="00401704">
        <w:rPr>
          <w:rFonts w:ascii="Times New Roman" w:hAnsi="Times New Roman" w:cs="Times New Roman"/>
          <w:b/>
          <w:bCs/>
          <w:sz w:val="24"/>
          <w:szCs w:val="24"/>
          <w:vertAlign w:val="superscript"/>
        </w:rPr>
        <w:t/>
      </w:r>
      <w:r w:rsidRPr="00980246">
        <w:rPr>
          <w:rFonts w:ascii="Times New Roman" w:hAnsi="Times New Roman" w:cs="Times New Roman"/>
          <w:b/>
          <w:bCs/>
          <w:sz w:val="24"/>
          <w:szCs w:val="24"/>
        </w:rPr>
        <w:t/>
      </w:r>
      <w:r w:rsidRPr="00401704">
        <w:rPr>
          <w:rFonts w:ascii="Times New Roman" w:hAnsi="Times New Roman" w:cs="Times New Roman"/>
          <w:b/>
          <w:bCs/>
          <w:sz w:val="24"/>
          <w:szCs w:val="24"/>
          <w:vertAlign w:val="superscript"/>
        </w:rPr>
        <w:t/>
      </w:r>
    </w:p>
    <w:p w14:paraId="6A334C71" w14:textId="052E5141" w:rsidR="00A47E01" w:rsidRPr="00A47E01" w:rsidRDefault="00915A6B" w:rsidP="00A47E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r w:rsidR="00A47E01" w:rsidRPr="00A47E01">
        <w:rPr>
          <w:rFonts w:ascii="Times New Roman" w:hAnsi="Times New Roman" w:cs="Times New Roman"/>
          <w:sz w:val="24"/>
          <w:szCs w:val="24"/>
        </w:rPr>
        <w:t/>
      </w:r>
    </w:p>
    <w:p w14:paraId="4D0871B4" w14:textId="5CEFE1FC" w:rsidR="00A47E01" w:rsidRPr="00A47E01" w:rsidRDefault="00A47E01" w:rsidP="00A47E01">
      <w:pPr>
        <w:spacing w:after="0" w:line="240" w:lineRule="auto"/>
        <w:jc w:val="center"/>
        <w:rPr>
          <w:rFonts w:ascii="Times New Roman" w:hAnsi="Times New Roman" w:cs="Times New Roman"/>
          <w:sz w:val="24"/>
          <w:szCs w:val="24"/>
        </w:rPr>
      </w:pPr>
      <w:r w:rsidRPr="00A47E01">
        <w:rPr>
          <w:rFonts w:ascii="Times New Roman" w:hAnsi="Times New Roman" w:cs="Times New Roman"/>
          <w:sz w:val="24"/>
          <w:szCs w:val="24"/>
        </w:rPr>
        <w:t/>
      </w:r>
    </w:p>
    <w:p w14:paraId="41BDD579" w14:textId="77777777" w:rsidR="007035E6" w:rsidRPr="00980246" w:rsidRDefault="007035E6" w:rsidP="00980246">
      <w:pPr>
        <w:spacing w:line="240" w:lineRule="auto"/>
        <w:jc w:val="center"/>
        <w:rPr>
          <w:rFonts w:ascii="Times New Roman" w:hAnsi="Times New Roman" w:cs="Times New Roman"/>
          <w:b/>
          <w:bCs/>
          <w:sz w:val="24"/>
          <w:szCs w:val="24"/>
        </w:rPr>
      </w:pPr>
    </w:p>
    <w:p w14:paraId="3D917491" w14:textId="1927A45E" w:rsidR="007035E6" w:rsidRDefault="007035E6" w:rsidP="00DA7AA9">
      <w:pPr>
        <w:spacing w:after="0" w:line="240" w:lineRule="auto"/>
        <w:jc w:val="center"/>
        <w:rPr>
          <w:rFonts w:ascii="Times New Roman" w:hAnsi="Times New Roman" w:cs="Times New Roman"/>
          <w:b/>
          <w:bCs/>
          <w:sz w:val="24"/>
          <w:szCs w:val="24"/>
        </w:rPr>
      </w:pPr>
      <w:r w:rsidRPr="00980246">
        <w:rPr>
          <w:rFonts w:ascii="Times New Roman" w:hAnsi="Times New Roman" w:cs="Times New Roman"/>
          <w:b/>
          <w:bCs/>
          <w:sz w:val="24"/>
          <w:szCs w:val="24"/>
        </w:rPr>
        <w:t/>
      </w:r>
    </w:p>
    <w:p w14:paraId="47DED31A" w14:textId="77777777" w:rsidR="00DA7AA9" w:rsidRDefault="00DA7AA9" w:rsidP="00DA7A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4A55647C" w14:textId="77777777" w:rsidR="00DA7AA9" w:rsidRPr="00980246" w:rsidRDefault="00DA7AA9" w:rsidP="00DA7A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48FCD34C" w14:textId="77777777" w:rsidR="00DA7AA9" w:rsidRPr="00980246" w:rsidRDefault="00DA7AA9" w:rsidP="00DA7AA9">
      <w:pPr>
        <w:spacing w:after="0" w:line="240" w:lineRule="auto"/>
        <w:rPr>
          <w:rFonts w:ascii="Times New Roman" w:hAnsi="Times New Roman" w:cs="Times New Roman"/>
          <w:b/>
          <w:bCs/>
          <w:sz w:val="24"/>
          <w:szCs w:val="24"/>
        </w:rPr>
      </w:pPr>
    </w:p>
    <w:p w14:paraId="36146787" w14:textId="77777777" w:rsidR="007035E6" w:rsidRPr="00980246" w:rsidRDefault="007035E6" w:rsidP="00980246">
      <w:pPr>
        <w:spacing w:line="240" w:lineRule="auto"/>
        <w:rPr>
          <w:rFonts w:ascii="Times New Roman" w:hAnsi="Times New Roman" w:cs="Times New Roman"/>
          <w:b/>
          <w:bCs/>
          <w:sz w:val="24"/>
          <w:szCs w:val="24"/>
        </w:rPr>
      </w:pPr>
    </w:p>
    <w:p w14:paraId="29910006" w14:textId="29E0F499" w:rsidR="00C5065C" w:rsidRPr="008E2999" w:rsidRDefault="007035E6"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ABSTRACT</w:t>
      </w:r>
    </w:p>
    <w:p w14:paraId="0AC6483B" w14:textId="54E74A65" w:rsidR="0076721E" w:rsidRDefault="0076721E" w:rsidP="00692424">
      <w:pPr>
        <w:spacing w:after="0" w:line="240" w:lineRule="auto"/>
        <w:jc w:val="both"/>
        <w:rPr>
          <w:rFonts w:ascii="Times New Roman" w:hAnsi="Times New Roman" w:cs="Times New Roman"/>
          <w:sz w:val="24"/>
          <w:szCs w:val="24"/>
        </w:rPr>
      </w:pPr>
      <w:r w:rsidRPr="0076721E">
        <w:rPr>
          <w:rFonts w:ascii="Times New Roman" w:hAnsi="Times New Roman" w:cs="Times New Roman"/>
          <w:sz w:val="24"/>
          <w:szCs w:val="24"/>
        </w:rPr>
        <w:t xml:space="preserve">This study aimed to analyze the least mastered competencies in chemical reactions among Grade 10 learners. Specifically, it sought to determine the learners’ performance in chemical reactions, identify the least mastered competencies, and determine whether there was a significant difference in learners’ performance among the competencies assessed. The study employed a quantitative descriptive research design using a competency-based questionnaire developed from the Most Essential Learning Competencies (MELCs) in Chemical Reactions. The questionnaire covered balancing chemical equations, types of chemical reactions, examples of chemical reactions, and the law of conservation of mass. A total of 150 Grade 10 learners from different sections </w:t>
      </w:r>
      <w:r>
        <w:rPr>
          <w:rFonts w:ascii="Times New Roman" w:hAnsi="Times New Roman" w:cs="Times New Roman"/>
          <w:sz w:val="24"/>
          <w:szCs w:val="24"/>
        </w:rPr>
        <w:t xml:space="preserve">one of </w:t>
      </w:r>
      <w:r w:rsidRPr="0076721E">
        <w:rPr>
          <w:rFonts w:ascii="Times New Roman" w:hAnsi="Times New Roman" w:cs="Times New Roman"/>
          <w:sz w:val="24"/>
          <w:szCs w:val="24"/>
        </w:rPr>
        <w:t>a public school in Jolo, Sulu participated in the study during the School Year 2025–2026.</w:t>
      </w:r>
      <w:r>
        <w:rPr>
          <w:rFonts w:ascii="Times New Roman" w:hAnsi="Times New Roman" w:cs="Times New Roman"/>
          <w:sz w:val="24"/>
          <w:szCs w:val="24"/>
        </w:rPr>
        <w:t xml:space="preserve"> </w:t>
      </w:r>
      <w:r w:rsidRPr="0076721E">
        <w:rPr>
          <w:rFonts w:ascii="Times New Roman" w:hAnsi="Times New Roman" w:cs="Times New Roman"/>
          <w:sz w:val="24"/>
          <w:szCs w:val="24"/>
        </w:rPr>
        <w:t>Data were analyzed using frequency, percentage, mean, standard deviation, and Mean Percentage Score (MPS). The results revealed that most learners (96.67%) obtained scores within the “Did Not Meet Expectation” level, indicating low mastery of chemical reaction competencies. Among the competencies assessed, Balancing Chemical Equations was identified as the least mastered competency, with an MPS of 22.31. This was followed by Types of Chemical Reactions (24.62) and Examples of Chemical Reactions (24.67), both interpreted as Low Mastery. Conservation of Mass obtained the highest MPS of 25.07 and was interpreted as Average Mastery. The findings further indicated differences in learners’ performance among the competencies assessed.</w:t>
      </w:r>
      <w:r w:rsidR="00692424">
        <w:rPr>
          <w:rFonts w:ascii="Times New Roman" w:hAnsi="Times New Roman" w:cs="Times New Roman"/>
          <w:sz w:val="24"/>
          <w:szCs w:val="24"/>
        </w:rPr>
        <w:t xml:space="preserve"> </w:t>
      </w:r>
      <w:r w:rsidRPr="0076721E">
        <w:rPr>
          <w:rFonts w:ascii="Times New Roman" w:hAnsi="Times New Roman" w:cs="Times New Roman"/>
          <w:sz w:val="24"/>
          <w:szCs w:val="24"/>
        </w:rPr>
        <w:t xml:space="preserve">The study concludes that Grade 10 learners demonstrated limited mastery of competencies in chemical reactions, particularly in balancing chemical equations. </w:t>
      </w:r>
    </w:p>
    <w:p w14:paraId="40F3EAC8" w14:textId="77777777" w:rsidR="00692424" w:rsidRDefault="00692424" w:rsidP="00692424">
      <w:pPr>
        <w:spacing w:after="0" w:line="240" w:lineRule="auto"/>
        <w:jc w:val="both"/>
        <w:rPr>
          <w:rFonts w:ascii="Times New Roman" w:hAnsi="Times New Roman" w:cs="Times New Roman"/>
          <w:b/>
          <w:bCs/>
          <w:sz w:val="24"/>
          <w:szCs w:val="24"/>
        </w:rPr>
      </w:pPr>
    </w:p>
    <w:p w14:paraId="7B5FBDD7" w14:textId="01932D00" w:rsidR="0076721E" w:rsidRPr="0076721E" w:rsidRDefault="0076721E" w:rsidP="0076721E">
      <w:pPr>
        <w:spacing w:line="240" w:lineRule="auto"/>
        <w:rPr>
          <w:rFonts w:ascii="Times New Roman" w:hAnsi="Times New Roman" w:cs="Times New Roman"/>
          <w:sz w:val="24"/>
          <w:szCs w:val="24"/>
        </w:rPr>
      </w:pPr>
      <w:r w:rsidRPr="0076721E">
        <w:rPr>
          <w:rFonts w:ascii="Times New Roman" w:hAnsi="Times New Roman" w:cs="Times New Roman"/>
          <w:b/>
          <w:bCs/>
          <w:sz w:val="24"/>
          <w:szCs w:val="24"/>
        </w:rPr>
        <w:t>Keywords:</w:t>
      </w:r>
      <w:r w:rsidRPr="0076721E">
        <w:rPr>
          <w:rFonts w:ascii="Times New Roman" w:hAnsi="Times New Roman" w:cs="Times New Roman"/>
          <w:sz w:val="24"/>
          <w:szCs w:val="24"/>
        </w:rPr>
        <w:t xml:space="preserve"> balancing chemical equation, chemical equation</w:t>
      </w:r>
    </w:p>
    <w:p w14:paraId="49A0FF02" w14:textId="77777777" w:rsidR="00A47E01" w:rsidRDefault="00A47E01" w:rsidP="00A47E01">
      <w:pPr>
        <w:spacing w:line="240" w:lineRule="auto"/>
        <w:rPr>
          <w:rFonts w:ascii="Times New Roman" w:hAnsi="Times New Roman" w:cs="Times New Roman"/>
          <w:b/>
          <w:bCs/>
          <w:sz w:val="28"/>
          <w:szCs w:val="28"/>
        </w:rPr>
      </w:pPr>
    </w:p>
    <w:p w14:paraId="45128272" w14:textId="5A13EE12" w:rsidR="00C5065C" w:rsidRPr="008E2999" w:rsidRDefault="00C5065C" w:rsidP="00A47E01">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INTRODUCTION</w:t>
      </w:r>
    </w:p>
    <w:p w14:paraId="5C17B068" w14:textId="77777777" w:rsidR="0076721E" w:rsidRDefault="0076721E" w:rsidP="00692424">
      <w:pPr>
        <w:pStyle w:val="NoSpacing"/>
        <w:jc w:val="both"/>
        <w:rPr>
          <w:rFonts w:ascii="Times New Roman" w:hAnsi="Times New Roman" w:cs="Times New Roman"/>
          <w:sz w:val="24"/>
          <w:szCs w:val="24"/>
        </w:rPr>
      </w:pPr>
      <w:r w:rsidRPr="00B9758E">
        <w:rPr>
          <w:rFonts w:ascii="Times New Roman" w:hAnsi="Times New Roman" w:cs="Times New Roman"/>
          <w:sz w:val="24"/>
          <w:szCs w:val="24"/>
        </w:rPr>
        <w:t xml:space="preserve">Chemical reactions were among the fundamental topics in chemistry, as they explained how substances interacted and transformed into new products. Understanding chemical reactions required learners to develop conceptual knowledge and problem-solving skills related to balancing chemical equations, identifying </w:t>
      </w:r>
      <w:r>
        <w:rPr>
          <w:rFonts w:ascii="Times New Roman" w:hAnsi="Times New Roman" w:cs="Times New Roman"/>
          <w:sz w:val="24"/>
          <w:szCs w:val="24"/>
        </w:rPr>
        <w:t xml:space="preserve">types of </w:t>
      </w:r>
      <w:r w:rsidRPr="00B9758E">
        <w:rPr>
          <w:rFonts w:ascii="Times New Roman" w:hAnsi="Times New Roman" w:cs="Times New Roman"/>
          <w:sz w:val="24"/>
          <w:szCs w:val="24"/>
        </w:rPr>
        <w:t>reaction, recognizing examples of chemical reactions, and applying the law of conservation of mass. However, many learners experienced difficulties in mastering these competencies due to the abstract nature of chemistry concepts and the cognitive demands involved in understanding symbolic representations and scientific reasoning (Johnstone, 2000).</w:t>
      </w:r>
    </w:p>
    <w:p w14:paraId="7B6CFCD8" w14:textId="77777777" w:rsidR="00692424" w:rsidRDefault="00692424" w:rsidP="00692424">
      <w:pPr>
        <w:pStyle w:val="NoSpacing"/>
        <w:jc w:val="both"/>
        <w:rPr>
          <w:rFonts w:ascii="Times New Roman" w:hAnsi="Times New Roman" w:cs="Times New Roman"/>
          <w:sz w:val="24"/>
          <w:szCs w:val="24"/>
        </w:rPr>
      </w:pPr>
    </w:p>
    <w:p w14:paraId="13D76D7C" w14:textId="6882C283" w:rsidR="0076721E" w:rsidRDefault="0076721E" w:rsidP="00692424">
      <w:pPr>
        <w:pStyle w:val="NoSpacing"/>
        <w:jc w:val="both"/>
        <w:rPr>
          <w:rFonts w:ascii="Times New Roman" w:hAnsi="Times New Roman" w:cs="Times New Roman"/>
          <w:sz w:val="24"/>
          <w:szCs w:val="24"/>
        </w:rPr>
      </w:pPr>
      <w:r w:rsidRPr="00B9758E">
        <w:rPr>
          <w:rFonts w:ascii="Times New Roman" w:hAnsi="Times New Roman" w:cs="Times New Roman"/>
          <w:sz w:val="24"/>
          <w:szCs w:val="24"/>
        </w:rPr>
        <w:t xml:space="preserve">Identifying learners’ least mastered competencies was essential in determining specific learning gaps and understanding areas where learners encountered difficulties. Competency assessment provided valuable information regarding learners’ strengths and weaknesses across various learning domains. According to Martin and Mullis (2013), analyzing learners’ performance </w:t>
      </w:r>
      <w:r>
        <w:rPr>
          <w:rFonts w:ascii="Times New Roman" w:hAnsi="Times New Roman" w:cs="Times New Roman"/>
          <w:sz w:val="24"/>
          <w:szCs w:val="24"/>
        </w:rPr>
        <w:t xml:space="preserve">among </w:t>
      </w:r>
      <w:r w:rsidRPr="00B9758E">
        <w:rPr>
          <w:rFonts w:ascii="Times New Roman" w:hAnsi="Times New Roman" w:cs="Times New Roman"/>
          <w:sz w:val="24"/>
          <w:szCs w:val="24"/>
        </w:rPr>
        <w:t>competencies enabled educators and researchers to identify areas of low mastery and gain a deeper understanding of learners’ academic needs.</w:t>
      </w:r>
    </w:p>
    <w:p w14:paraId="17E0697F" w14:textId="77777777" w:rsidR="00692424" w:rsidRDefault="00692424" w:rsidP="00692424">
      <w:pPr>
        <w:pStyle w:val="NoSpacing"/>
        <w:jc w:val="both"/>
        <w:rPr>
          <w:rFonts w:ascii="Times New Roman" w:hAnsi="Times New Roman" w:cs="Times New Roman"/>
          <w:sz w:val="24"/>
          <w:szCs w:val="24"/>
        </w:rPr>
      </w:pPr>
    </w:p>
    <w:p w14:paraId="4A8FF082" w14:textId="1F2CE1D5" w:rsidR="0076721E" w:rsidRDefault="0076721E" w:rsidP="00692424">
      <w:pPr>
        <w:pStyle w:val="NoSpacing"/>
        <w:jc w:val="both"/>
        <w:rPr>
          <w:rFonts w:ascii="Times New Roman" w:hAnsi="Times New Roman" w:cs="Times New Roman"/>
          <w:sz w:val="24"/>
          <w:szCs w:val="24"/>
        </w:rPr>
      </w:pPr>
      <w:r w:rsidRPr="00B9758E">
        <w:rPr>
          <w:rFonts w:ascii="Times New Roman" w:hAnsi="Times New Roman" w:cs="Times New Roman"/>
          <w:sz w:val="24"/>
          <w:szCs w:val="24"/>
        </w:rPr>
        <w:lastRenderedPageBreak/>
        <w:t xml:space="preserve">The Trends in International Mathematics and Science Study (TIMSS) and the </w:t>
      </w:r>
      <w:proofErr w:type="spellStart"/>
      <w:r w:rsidRPr="00B9758E">
        <w:rPr>
          <w:rFonts w:ascii="Times New Roman" w:hAnsi="Times New Roman" w:cs="Times New Roman"/>
          <w:sz w:val="24"/>
          <w:szCs w:val="24"/>
        </w:rPr>
        <w:t>Programme</w:t>
      </w:r>
      <w:proofErr w:type="spellEnd"/>
      <w:r w:rsidRPr="00B9758E">
        <w:rPr>
          <w:rFonts w:ascii="Times New Roman" w:hAnsi="Times New Roman" w:cs="Times New Roman"/>
          <w:sz w:val="24"/>
          <w:szCs w:val="24"/>
        </w:rPr>
        <w:t xml:space="preserve"> for International Student Assessment (PISA) were internationally recognized assessment programs that evaluated learners’ knowledge, skills, and competencies in science and other subject areas. TIMSS primarily assessed learners’ understanding of curriculum-based science and mathematics concepts, while PISA focused on the application of knowledge and skills in real-world contexts (Mullis et al., 2012; OECD, 2013). Both assessment frameworks contributed significantly to the assessment of learners’ achievement and competency development across educational systems.</w:t>
      </w:r>
    </w:p>
    <w:p w14:paraId="6E41A2EC" w14:textId="77777777" w:rsidR="00692424" w:rsidRDefault="00692424" w:rsidP="00692424">
      <w:pPr>
        <w:pStyle w:val="NoSpacing"/>
        <w:jc w:val="both"/>
        <w:rPr>
          <w:rFonts w:ascii="Times New Roman" w:hAnsi="Times New Roman" w:cs="Times New Roman"/>
          <w:sz w:val="24"/>
          <w:szCs w:val="24"/>
        </w:rPr>
      </w:pPr>
    </w:p>
    <w:p w14:paraId="0F0A897D" w14:textId="173BDAB2" w:rsidR="0076721E" w:rsidRDefault="0076721E" w:rsidP="00692424">
      <w:pPr>
        <w:pStyle w:val="NoSpacing"/>
        <w:jc w:val="both"/>
        <w:rPr>
          <w:rFonts w:ascii="Times New Roman" w:hAnsi="Times New Roman" w:cs="Times New Roman"/>
          <w:sz w:val="24"/>
          <w:szCs w:val="24"/>
        </w:rPr>
      </w:pPr>
      <w:r w:rsidRPr="00B9758E">
        <w:rPr>
          <w:rFonts w:ascii="Times New Roman" w:hAnsi="Times New Roman" w:cs="Times New Roman"/>
          <w:sz w:val="24"/>
          <w:szCs w:val="24"/>
        </w:rPr>
        <w:t xml:space="preserve">In this study, a TIMSS- and PISA-based questionnaire was utilized as the assessment instrument to measure learners’ competencies in chemical reactions. The instrument assessed learners’ understanding and application of key concepts related to chemical reactions, including conservation of mass, types of reactions, balancing chemical equations, and examples of chemical reactions. Through the use of assessment items patterned after internationally recognized frameworks, the study obtained data on learners’ competency mastery </w:t>
      </w:r>
      <w:r>
        <w:rPr>
          <w:rFonts w:ascii="Times New Roman" w:hAnsi="Times New Roman" w:cs="Times New Roman"/>
          <w:sz w:val="24"/>
          <w:szCs w:val="24"/>
        </w:rPr>
        <w:t>among</w:t>
      </w:r>
      <w:r w:rsidRPr="00B9758E">
        <w:rPr>
          <w:rFonts w:ascii="Times New Roman" w:hAnsi="Times New Roman" w:cs="Times New Roman"/>
          <w:sz w:val="24"/>
          <w:szCs w:val="24"/>
        </w:rPr>
        <w:t xml:space="preserve"> the identified content areas.</w:t>
      </w:r>
    </w:p>
    <w:p w14:paraId="0AAD86CD" w14:textId="77777777" w:rsidR="00692424" w:rsidRDefault="00692424" w:rsidP="00692424">
      <w:pPr>
        <w:pStyle w:val="NoSpacing"/>
        <w:jc w:val="both"/>
        <w:rPr>
          <w:rFonts w:ascii="Times New Roman" w:hAnsi="Times New Roman" w:cs="Times New Roman"/>
          <w:sz w:val="24"/>
          <w:szCs w:val="24"/>
        </w:rPr>
      </w:pPr>
    </w:p>
    <w:p w14:paraId="3DD5759E" w14:textId="671423C7" w:rsidR="00C5065C" w:rsidRPr="0076721E" w:rsidRDefault="0076721E" w:rsidP="00692424">
      <w:pPr>
        <w:pStyle w:val="NoSpacing"/>
        <w:jc w:val="both"/>
        <w:rPr>
          <w:rFonts w:ascii="Times New Roman" w:hAnsi="Times New Roman" w:cs="Times New Roman"/>
          <w:b/>
          <w:sz w:val="24"/>
          <w:szCs w:val="24"/>
          <w:lang w:val="en-GB"/>
        </w:rPr>
      </w:pPr>
      <w:r w:rsidRPr="00B9758E">
        <w:rPr>
          <w:rFonts w:ascii="Times New Roman" w:hAnsi="Times New Roman" w:cs="Times New Roman"/>
          <w:sz w:val="24"/>
          <w:szCs w:val="24"/>
        </w:rPr>
        <w:t>Although numerous studies examined learners’ achievement in science, limited research focused specifically on identifying learners’ least mastered competencies in chemical reactions using competency-based assessment tools. Furthermore, there remained a need to determine which competencies learners found most challenging in order to provide a clearer picture of their learning difficulties. Therefore, this study was conducted to analyze learners’ least mastered competencies in chemical reactions</w:t>
      </w:r>
      <w:r>
        <w:rPr>
          <w:rFonts w:ascii="Times New Roman" w:hAnsi="Times New Roman" w:cs="Times New Roman"/>
          <w:sz w:val="24"/>
          <w:szCs w:val="24"/>
        </w:rPr>
        <w:t>.</w:t>
      </w:r>
    </w:p>
    <w:p w14:paraId="410E10DB" w14:textId="6926440A" w:rsidR="00C5065C" w:rsidRPr="00980246" w:rsidRDefault="00C5065C" w:rsidP="0076721E">
      <w:pPr>
        <w:spacing w:line="240" w:lineRule="auto"/>
        <w:rPr>
          <w:rFonts w:ascii="Times New Roman" w:hAnsi="Times New Roman" w:cs="Times New Roman"/>
          <w:sz w:val="24"/>
          <w:szCs w:val="24"/>
        </w:rPr>
      </w:pPr>
    </w:p>
    <w:p w14:paraId="33819DD7" w14:textId="14363396" w:rsidR="007035E6" w:rsidRPr="00980246" w:rsidRDefault="007035E6" w:rsidP="00980246">
      <w:pPr>
        <w:spacing w:line="240" w:lineRule="auto"/>
        <w:rPr>
          <w:rFonts w:ascii="Times New Roman" w:hAnsi="Times New Roman" w:cs="Times New Roman"/>
          <w:b/>
          <w:bCs/>
          <w:sz w:val="24"/>
          <w:szCs w:val="24"/>
        </w:rPr>
      </w:pPr>
      <w:r w:rsidRPr="00980246">
        <w:rPr>
          <w:rFonts w:ascii="Times New Roman" w:hAnsi="Times New Roman" w:cs="Times New Roman"/>
          <w:b/>
          <w:bCs/>
          <w:sz w:val="24"/>
          <w:szCs w:val="24"/>
        </w:rPr>
        <w:t>Objectives of the Study</w:t>
      </w:r>
    </w:p>
    <w:p w14:paraId="45DAD3E6" w14:textId="0418A319" w:rsidR="0076721E" w:rsidRPr="00B52462" w:rsidRDefault="0076721E" w:rsidP="0076721E">
      <w:pPr>
        <w:pStyle w:val="NoSpacing"/>
        <w:tabs>
          <w:tab w:val="left" w:pos="2609"/>
        </w:tabs>
        <w:jc w:val="both"/>
        <w:rPr>
          <w:rFonts w:ascii="Times New Roman" w:hAnsi="Times New Roman" w:cs="Times New Roman"/>
          <w:sz w:val="24"/>
          <w:szCs w:val="24"/>
        </w:rPr>
      </w:pPr>
      <w:r w:rsidRPr="001936D0">
        <w:rPr>
          <w:rFonts w:ascii="Times New Roman" w:hAnsi="Times New Roman" w:cs="Times New Roman"/>
          <w:sz w:val="24"/>
          <w:szCs w:val="24"/>
        </w:rPr>
        <w:t>The main objective of this study was conducted to analyze the least mastered competencies in chemical reactions among Grade 10 learners</w:t>
      </w:r>
      <w:r w:rsidR="00692424">
        <w:rPr>
          <w:rFonts w:ascii="Times New Roman" w:hAnsi="Times New Roman" w:cs="Times New Roman"/>
          <w:sz w:val="24"/>
          <w:szCs w:val="24"/>
        </w:rPr>
        <w:t xml:space="preserve">. </w:t>
      </w:r>
      <w:r w:rsidRPr="00B52462">
        <w:rPr>
          <w:rFonts w:ascii="Times New Roman" w:hAnsi="Times New Roman" w:cs="Times New Roman"/>
          <w:sz w:val="24"/>
          <w:szCs w:val="24"/>
        </w:rPr>
        <w:t>Specifically, it aimed to:</w:t>
      </w:r>
    </w:p>
    <w:p w14:paraId="53C6B96D" w14:textId="77777777" w:rsidR="0076721E" w:rsidRPr="006D6B23" w:rsidRDefault="0076721E" w:rsidP="0076721E">
      <w:pPr>
        <w:pStyle w:val="NoSpacing"/>
        <w:numPr>
          <w:ilvl w:val="0"/>
          <w:numId w:val="7"/>
        </w:numPr>
        <w:tabs>
          <w:tab w:val="left" w:pos="2609"/>
        </w:tabs>
        <w:jc w:val="both"/>
        <w:rPr>
          <w:rFonts w:ascii="Times New Roman" w:hAnsi="Times New Roman" w:cs="Times New Roman"/>
          <w:bCs/>
          <w:sz w:val="24"/>
          <w:szCs w:val="24"/>
        </w:rPr>
      </w:pPr>
      <w:r>
        <w:rPr>
          <w:rFonts w:ascii="Times New Roman" w:hAnsi="Times New Roman" w:cs="Times New Roman"/>
          <w:bCs/>
          <w:sz w:val="24"/>
          <w:szCs w:val="24"/>
        </w:rPr>
        <w:t>determined the learners’ scores on chemical reaction</w:t>
      </w:r>
    </w:p>
    <w:p w14:paraId="09C45E4C" w14:textId="77777777" w:rsidR="0076721E" w:rsidRPr="00B52462" w:rsidRDefault="0076721E" w:rsidP="0076721E">
      <w:pPr>
        <w:pStyle w:val="NoSpacing"/>
        <w:numPr>
          <w:ilvl w:val="0"/>
          <w:numId w:val="7"/>
        </w:numPr>
        <w:tabs>
          <w:tab w:val="left" w:pos="2609"/>
        </w:tabs>
        <w:jc w:val="both"/>
        <w:rPr>
          <w:rFonts w:ascii="Times New Roman" w:hAnsi="Times New Roman" w:cs="Times New Roman"/>
          <w:bCs/>
          <w:sz w:val="24"/>
          <w:szCs w:val="24"/>
        </w:rPr>
      </w:pPr>
      <w:r>
        <w:rPr>
          <w:rFonts w:ascii="Times New Roman" w:hAnsi="Times New Roman" w:cs="Times New Roman"/>
          <w:bCs/>
          <w:sz w:val="24"/>
          <w:szCs w:val="24"/>
        </w:rPr>
        <w:t xml:space="preserve">determine </w:t>
      </w:r>
      <w:r w:rsidRPr="00B52462">
        <w:rPr>
          <w:rFonts w:ascii="Times New Roman" w:hAnsi="Times New Roman" w:cs="Times New Roman"/>
          <w:bCs/>
          <w:sz w:val="24"/>
          <w:szCs w:val="24"/>
        </w:rPr>
        <w:t xml:space="preserve">the least mastered competencies in </w:t>
      </w:r>
      <w:r>
        <w:rPr>
          <w:rFonts w:ascii="Times New Roman" w:hAnsi="Times New Roman" w:cs="Times New Roman"/>
          <w:bCs/>
          <w:sz w:val="24"/>
          <w:szCs w:val="24"/>
        </w:rPr>
        <w:t>Grade 10 high school learners</w:t>
      </w:r>
      <w:r w:rsidRPr="00B52462">
        <w:rPr>
          <w:rFonts w:ascii="Times New Roman" w:hAnsi="Times New Roman" w:cs="Times New Roman"/>
          <w:bCs/>
          <w:sz w:val="24"/>
          <w:szCs w:val="24"/>
        </w:rPr>
        <w:t xml:space="preserve"> </w:t>
      </w:r>
    </w:p>
    <w:p w14:paraId="4D6238F7" w14:textId="77777777" w:rsidR="0076721E" w:rsidRDefault="0076721E" w:rsidP="0076721E">
      <w:pPr>
        <w:pStyle w:val="NoSpacing"/>
        <w:numPr>
          <w:ilvl w:val="0"/>
          <w:numId w:val="7"/>
        </w:numPr>
        <w:tabs>
          <w:tab w:val="left" w:pos="2609"/>
        </w:tabs>
        <w:jc w:val="both"/>
        <w:rPr>
          <w:rFonts w:ascii="Times New Roman" w:hAnsi="Times New Roman" w:cs="Times New Roman"/>
          <w:sz w:val="24"/>
          <w:szCs w:val="24"/>
        </w:rPr>
      </w:pPr>
      <w:r w:rsidRPr="003C4D61">
        <w:rPr>
          <w:rFonts w:ascii="Times New Roman" w:hAnsi="Times New Roman" w:cs="Times New Roman"/>
          <w:sz w:val="24"/>
          <w:szCs w:val="24"/>
        </w:rPr>
        <w:t>determine whether there is a significant difference in the performance of Grade 10 learners among the competencies in chemical reactions.</w:t>
      </w:r>
    </w:p>
    <w:p w14:paraId="12CFBF2A" w14:textId="77777777" w:rsidR="00533F85" w:rsidRPr="00533F85" w:rsidRDefault="00533F85" w:rsidP="00533F85">
      <w:pPr>
        <w:spacing w:after="0" w:line="240" w:lineRule="auto"/>
        <w:ind w:left="720"/>
        <w:jc w:val="both"/>
        <w:rPr>
          <w:rFonts w:ascii="Times New Roman" w:hAnsi="Times New Roman" w:cs="Times New Roman"/>
          <w:sz w:val="24"/>
          <w:szCs w:val="24"/>
        </w:rPr>
      </w:pPr>
    </w:p>
    <w:p w14:paraId="60C1BC8A" w14:textId="650582F0" w:rsidR="00C5065C" w:rsidRPr="008E2999" w:rsidRDefault="00C5065C" w:rsidP="00980246">
      <w:pPr>
        <w:spacing w:line="240" w:lineRule="auto"/>
        <w:rPr>
          <w:rFonts w:ascii="Times New Roman" w:hAnsi="Times New Roman" w:cs="Times New Roman"/>
          <w:sz w:val="28"/>
          <w:szCs w:val="28"/>
        </w:rPr>
      </w:pPr>
      <w:r w:rsidRPr="008E2999">
        <w:rPr>
          <w:rFonts w:ascii="Times New Roman" w:hAnsi="Times New Roman" w:cs="Times New Roman"/>
          <w:b/>
          <w:bCs/>
          <w:sz w:val="28"/>
          <w:szCs w:val="28"/>
        </w:rPr>
        <w:t>METHODOLOGY</w:t>
      </w:r>
    </w:p>
    <w:p w14:paraId="4CA74DF1" w14:textId="77777777" w:rsidR="00C3670B" w:rsidRP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This study employed a quantitative descriptive research design to analyze the least mastered competencies in chemical reactions among Grade 10 learners. A competency-based questionnaire consisting of 50 multiple-choice items was developed based on the Most Essential Learning Competencies (MELCs) in Chemical Reactions prescribed by the Department of Education (DepEd). The instrument covered four competencies: Balancing Chemical Equations, Types of Chemical Reactions, Examples of Chemical Reactions, and the Law of Conservation of Mass.</w:t>
      </w:r>
    </w:p>
    <w:p w14:paraId="4965FCD4" w14:textId="02B7F93C" w:rsidR="00C3670B" w:rsidRP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 xml:space="preserve">The questionnaire underwent content validation by three </w:t>
      </w:r>
      <w:r>
        <w:rPr>
          <w:rFonts w:ascii="Times New Roman" w:hAnsi="Times New Roman" w:cs="Times New Roman"/>
          <w:sz w:val="24"/>
          <w:szCs w:val="24"/>
        </w:rPr>
        <w:t>in-service science teachers</w:t>
      </w:r>
      <w:r w:rsidRPr="00C3670B">
        <w:rPr>
          <w:rFonts w:ascii="Times New Roman" w:hAnsi="Times New Roman" w:cs="Times New Roman"/>
          <w:sz w:val="24"/>
          <w:szCs w:val="24"/>
        </w:rPr>
        <w:t xml:space="preserve"> to ensure the relevance, clarity, and alignment of the items with the intended competencies. Revisions were incorporated based on the validators’ recommendations. The reliability of the instrument was determined using Cronbach’s alpha, which yielded a coefficient of 0.74, indicating acceptable internal consistency.</w:t>
      </w:r>
    </w:p>
    <w:p w14:paraId="68A12888" w14:textId="66E12A77" w:rsidR="00C3670B" w:rsidRP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The participants of the study consisted of 150 Grade 10 learners from different sections of a public school in Jolo, Sulu during the School Year 2025–2026. The respondents were selected through purposive sampling based on their enrollment in Grade 10 at the time of the study. Data collection was conducted through the administration of the validated competency-based questionnaire during regular class hours.</w:t>
      </w:r>
    </w:p>
    <w:p w14:paraId="242C586B" w14:textId="672715DC" w:rsid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 xml:space="preserve">The data were analyzed using frequency, percentage, mean, standard deviation, and Mean Percentage Score (MPS) to determine learners’ performance and mastery levels in each competency. </w:t>
      </w:r>
    </w:p>
    <w:p w14:paraId="1FB9B74A" w14:textId="77777777" w:rsidR="004131E4" w:rsidRDefault="00576377" w:rsidP="004131E4">
      <w:pPr>
        <w:spacing w:line="240" w:lineRule="auto"/>
        <w:jc w:val="both"/>
        <w:rPr>
          <w:rFonts w:ascii="Times New Roman" w:hAnsi="Times New Roman" w:cs="Times New Roman"/>
          <w:sz w:val="24"/>
          <w:szCs w:val="24"/>
        </w:rPr>
      </w:pPr>
      <w:r w:rsidRPr="00576377">
        <w:rPr>
          <w:rFonts w:ascii="Times New Roman" w:hAnsi="Times New Roman" w:cs="Times New Roman"/>
          <w:sz w:val="24"/>
          <w:szCs w:val="24"/>
        </w:rPr>
        <w:t xml:space="preserve">The following tables present the interpretation of data gathered in this study. To determine learners’ </w:t>
      </w:r>
      <w:r>
        <w:rPr>
          <w:rFonts w:ascii="Times New Roman" w:hAnsi="Times New Roman" w:cs="Times New Roman"/>
          <w:sz w:val="24"/>
          <w:szCs w:val="24"/>
        </w:rPr>
        <w:t xml:space="preserve">least </w:t>
      </w:r>
      <w:r w:rsidRPr="00576377">
        <w:rPr>
          <w:rFonts w:ascii="Times New Roman" w:hAnsi="Times New Roman" w:cs="Times New Roman"/>
          <w:sz w:val="24"/>
          <w:szCs w:val="24"/>
        </w:rPr>
        <w:t>master</w:t>
      </w:r>
      <w:r>
        <w:rPr>
          <w:rFonts w:ascii="Times New Roman" w:hAnsi="Times New Roman" w:cs="Times New Roman"/>
          <w:sz w:val="24"/>
          <w:szCs w:val="24"/>
        </w:rPr>
        <w:t>ed competency</w:t>
      </w:r>
      <w:r w:rsidRPr="00576377">
        <w:rPr>
          <w:rFonts w:ascii="Times New Roman" w:hAnsi="Times New Roman" w:cs="Times New Roman"/>
          <w:sz w:val="24"/>
          <w:szCs w:val="24"/>
        </w:rPr>
        <w:t>, the Department of Education’s (DepEd) Mastery Level Scale, based on the Mean Percentage Score (MPS), was utilized. Additionally, summary scores were interpreted using DepEd’s performance index system.</w:t>
      </w:r>
    </w:p>
    <w:p w14:paraId="00DA092E" w14:textId="443E57D2" w:rsidR="007107D4" w:rsidRPr="004131E4" w:rsidRDefault="00576377" w:rsidP="004131E4">
      <w:pPr>
        <w:spacing w:after="0" w:line="240" w:lineRule="auto"/>
        <w:jc w:val="both"/>
        <w:rPr>
          <w:rFonts w:ascii="Times New Roman" w:hAnsi="Times New Roman" w:cs="Times New Roman"/>
          <w:sz w:val="24"/>
          <w:szCs w:val="24"/>
        </w:rPr>
      </w:pPr>
      <w:r w:rsidRPr="007107D4">
        <w:rPr>
          <w:rFonts w:ascii="Times New Roman" w:hAnsi="Times New Roman" w:cs="Times New Roman"/>
          <w:b/>
          <w:bCs/>
          <w:sz w:val="24"/>
          <w:szCs w:val="24"/>
        </w:rPr>
        <w:lastRenderedPageBreak/>
        <w:t>Table 1</w:t>
      </w:r>
    </w:p>
    <w:p w14:paraId="7E3CFCB7" w14:textId="479ECEBA" w:rsidR="00576377" w:rsidRPr="00576377" w:rsidRDefault="00576377" w:rsidP="004131E4">
      <w:pPr>
        <w:spacing w:after="0" w:line="240" w:lineRule="auto"/>
        <w:jc w:val="both"/>
        <w:rPr>
          <w:rFonts w:ascii="Times New Roman" w:hAnsi="Times New Roman" w:cs="Times New Roman"/>
          <w:sz w:val="24"/>
          <w:szCs w:val="24"/>
        </w:rPr>
      </w:pPr>
      <w:r w:rsidRPr="00576377">
        <w:rPr>
          <w:rFonts w:ascii="Times New Roman" w:hAnsi="Times New Roman" w:cs="Times New Roman"/>
          <w:sz w:val="24"/>
          <w:szCs w:val="24"/>
        </w:rPr>
        <w:t>Mastery/Achievement Level</w:t>
      </w:r>
    </w:p>
    <w:tbl>
      <w:tblPr>
        <w:tblStyle w:val="TableGrid"/>
        <w:tblW w:w="0" w:type="auto"/>
        <w:tblLook w:val="04A0" w:firstRow="1" w:lastRow="0" w:firstColumn="1" w:lastColumn="0" w:noHBand="0" w:noVBand="1"/>
      </w:tblPr>
      <w:tblGrid>
        <w:gridCol w:w="5341"/>
        <w:gridCol w:w="5341"/>
      </w:tblGrid>
      <w:tr w:rsidR="00576377" w:rsidRPr="00576377" w14:paraId="40DE35C9" w14:textId="77777777" w:rsidTr="00576377">
        <w:tc>
          <w:tcPr>
            <w:tcW w:w="5341" w:type="dxa"/>
          </w:tcPr>
          <w:p w14:paraId="03550689" w14:textId="71CC8852" w:rsidR="00576377" w:rsidRPr="00576377" w:rsidRDefault="00576377" w:rsidP="00576377">
            <w:pPr>
              <w:jc w:val="center"/>
              <w:rPr>
                <w:rFonts w:ascii="Times New Roman" w:hAnsi="Times New Roman" w:cs="Times New Roman"/>
                <w:b/>
                <w:bCs/>
                <w:sz w:val="24"/>
                <w:szCs w:val="24"/>
              </w:rPr>
            </w:pPr>
            <w:r w:rsidRPr="00576377">
              <w:rPr>
                <w:rFonts w:ascii="Times New Roman" w:hAnsi="Times New Roman" w:cs="Times New Roman"/>
                <w:b/>
                <w:bCs/>
                <w:color w:val="1C1C1C"/>
                <w:spacing w:val="1"/>
                <w:sz w:val="24"/>
                <w:szCs w:val="24"/>
              </w:rPr>
              <w:t>Mean Percentage Score (MPS)</w:t>
            </w:r>
          </w:p>
        </w:tc>
        <w:tc>
          <w:tcPr>
            <w:tcW w:w="5341" w:type="dxa"/>
          </w:tcPr>
          <w:p w14:paraId="6FE86100" w14:textId="7D90A569" w:rsidR="00576377" w:rsidRPr="00576377" w:rsidRDefault="00576377" w:rsidP="00576377">
            <w:pPr>
              <w:jc w:val="center"/>
              <w:rPr>
                <w:rFonts w:ascii="Times New Roman" w:hAnsi="Times New Roman" w:cs="Times New Roman"/>
                <w:b/>
                <w:bCs/>
                <w:sz w:val="24"/>
                <w:szCs w:val="24"/>
              </w:rPr>
            </w:pPr>
            <w:r w:rsidRPr="00576377">
              <w:rPr>
                <w:rFonts w:ascii="Times New Roman" w:hAnsi="Times New Roman" w:cs="Times New Roman"/>
                <w:b/>
                <w:bCs/>
                <w:color w:val="1C1C1C"/>
                <w:spacing w:val="1"/>
                <w:sz w:val="24"/>
                <w:szCs w:val="24"/>
              </w:rPr>
              <w:t>Descriptive Equivalent</w:t>
            </w:r>
          </w:p>
        </w:tc>
      </w:tr>
      <w:tr w:rsidR="00576377" w:rsidRPr="00576377" w14:paraId="02656FDF" w14:textId="77777777" w:rsidTr="00576377">
        <w:tc>
          <w:tcPr>
            <w:tcW w:w="5341" w:type="dxa"/>
          </w:tcPr>
          <w:p w14:paraId="27C24972" w14:textId="31269812"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96-100%</w:t>
            </w:r>
          </w:p>
        </w:tc>
        <w:tc>
          <w:tcPr>
            <w:tcW w:w="5341" w:type="dxa"/>
          </w:tcPr>
          <w:p w14:paraId="638863B1" w14:textId="30A4A5CF"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Mastered</w:t>
            </w:r>
          </w:p>
        </w:tc>
      </w:tr>
      <w:tr w:rsidR="00576377" w:rsidRPr="00576377" w14:paraId="51478936" w14:textId="77777777" w:rsidTr="00576377">
        <w:tc>
          <w:tcPr>
            <w:tcW w:w="5341" w:type="dxa"/>
          </w:tcPr>
          <w:p w14:paraId="08816713" w14:textId="3779C3AD"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86-95%</w:t>
            </w:r>
          </w:p>
        </w:tc>
        <w:tc>
          <w:tcPr>
            <w:tcW w:w="5341" w:type="dxa"/>
          </w:tcPr>
          <w:p w14:paraId="675C0C0F" w14:textId="555496A4"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Closely Approximating Mastery</w:t>
            </w:r>
          </w:p>
        </w:tc>
      </w:tr>
      <w:tr w:rsidR="00576377" w:rsidRPr="00576377" w14:paraId="57B9BA3F" w14:textId="77777777" w:rsidTr="00576377">
        <w:tc>
          <w:tcPr>
            <w:tcW w:w="5341" w:type="dxa"/>
          </w:tcPr>
          <w:p w14:paraId="4067AB24" w14:textId="292406C5"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66-85%</w:t>
            </w:r>
          </w:p>
        </w:tc>
        <w:tc>
          <w:tcPr>
            <w:tcW w:w="5341" w:type="dxa"/>
          </w:tcPr>
          <w:p w14:paraId="641D6BB4" w14:textId="66246A56"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Moving Towards Mastery</w:t>
            </w:r>
          </w:p>
        </w:tc>
      </w:tr>
      <w:tr w:rsidR="00576377" w:rsidRPr="00576377" w14:paraId="2B925473" w14:textId="77777777" w:rsidTr="00576377">
        <w:tc>
          <w:tcPr>
            <w:tcW w:w="5341" w:type="dxa"/>
          </w:tcPr>
          <w:p w14:paraId="0B2AE545" w14:textId="1E105CFB"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35-65%</w:t>
            </w:r>
          </w:p>
        </w:tc>
        <w:tc>
          <w:tcPr>
            <w:tcW w:w="5341" w:type="dxa"/>
          </w:tcPr>
          <w:p w14:paraId="07AA4E81" w14:textId="74CBC6B2"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Average</w:t>
            </w:r>
          </w:p>
        </w:tc>
      </w:tr>
      <w:tr w:rsidR="00576377" w:rsidRPr="00576377" w14:paraId="2C18B089" w14:textId="77777777" w:rsidTr="00576377">
        <w:tc>
          <w:tcPr>
            <w:tcW w:w="5341" w:type="dxa"/>
          </w:tcPr>
          <w:p w14:paraId="27BE925A" w14:textId="48929FBD"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15-34%</w:t>
            </w:r>
          </w:p>
        </w:tc>
        <w:tc>
          <w:tcPr>
            <w:tcW w:w="5341" w:type="dxa"/>
          </w:tcPr>
          <w:p w14:paraId="5501409D" w14:textId="3C06DFEA"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Low</w:t>
            </w:r>
          </w:p>
        </w:tc>
      </w:tr>
      <w:tr w:rsidR="00576377" w:rsidRPr="00576377" w14:paraId="3A44DA5B" w14:textId="77777777" w:rsidTr="00576377">
        <w:tc>
          <w:tcPr>
            <w:tcW w:w="5341" w:type="dxa"/>
          </w:tcPr>
          <w:p w14:paraId="4A394804" w14:textId="6EC8EE12"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5-14%</w:t>
            </w:r>
          </w:p>
        </w:tc>
        <w:tc>
          <w:tcPr>
            <w:tcW w:w="5341" w:type="dxa"/>
          </w:tcPr>
          <w:p w14:paraId="128CAFE7" w14:textId="2D620F1E"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Very Low</w:t>
            </w:r>
          </w:p>
        </w:tc>
      </w:tr>
    </w:tbl>
    <w:p w14:paraId="77E83E2E" w14:textId="77777777" w:rsidR="00576377" w:rsidRPr="00576377" w:rsidRDefault="00576377" w:rsidP="00576377">
      <w:pPr>
        <w:spacing w:after="0" w:line="240" w:lineRule="auto"/>
        <w:jc w:val="both"/>
        <w:rPr>
          <w:rFonts w:ascii="Times New Roman" w:hAnsi="Times New Roman" w:cs="Times New Roman"/>
          <w:sz w:val="24"/>
          <w:szCs w:val="24"/>
        </w:rPr>
      </w:pPr>
    </w:p>
    <w:p w14:paraId="051D7BB3" w14:textId="664EB74D" w:rsidR="00576377" w:rsidRPr="00576377" w:rsidRDefault="00576377" w:rsidP="005763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576377">
        <w:rPr>
          <w:rFonts w:ascii="Times New Roman" w:hAnsi="Times New Roman" w:cs="Times New Roman"/>
          <w:sz w:val="24"/>
          <w:szCs w:val="24"/>
        </w:rPr>
        <w:t xml:space="preserve">able </w:t>
      </w:r>
      <w:r>
        <w:rPr>
          <w:rFonts w:ascii="Times New Roman" w:hAnsi="Times New Roman" w:cs="Times New Roman"/>
          <w:sz w:val="24"/>
          <w:szCs w:val="24"/>
        </w:rPr>
        <w:t xml:space="preserve">1 </w:t>
      </w:r>
      <w:r w:rsidRPr="00576377">
        <w:rPr>
          <w:rFonts w:ascii="Times New Roman" w:hAnsi="Times New Roman" w:cs="Times New Roman"/>
          <w:sz w:val="24"/>
          <w:szCs w:val="24"/>
        </w:rPr>
        <w:t>presents the classification of learners’ mastery levels. MPS was computed by dividing the total number of correct responses per topic by the total possible score (i.e., number of test items per topic multiplied by the number of respondents), and then multiplying the result by 100.</w:t>
      </w:r>
    </w:p>
    <w:p w14:paraId="6E0E3590" w14:textId="77777777" w:rsidR="00576377" w:rsidRPr="00576377" w:rsidRDefault="00576377" w:rsidP="00C3670B">
      <w:pPr>
        <w:spacing w:line="240" w:lineRule="auto"/>
        <w:jc w:val="both"/>
        <w:rPr>
          <w:rFonts w:ascii="Times New Roman" w:hAnsi="Times New Roman" w:cs="Times New Roman"/>
          <w:sz w:val="24"/>
          <w:szCs w:val="24"/>
        </w:rPr>
      </w:pPr>
    </w:p>
    <w:p w14:paraId="7D884DB5" w14:textId="140BCB13" w:rsidR="007107D4" w:rsidRPr="007107D4" w:rsidRDefault="00576377" w:rsidP="007107D4">
      <w:pPr>
        <w:spacing w:after="0" w:line="240" w:lineRule="auto"/>
        <w:jc w:val="both"/>
        <w:rPr>
          <w:rFonts w:ascii="Times New Roman" w:hAnsi="Times New Roman" w:cs="Times New Roman"/>
          <w:sz w:val="24"/>
          <w:szCs w:val="24"/>
        </w:rPr>
      </w:pPr>
      <w:r w:rsidRPr="007107D4">
        <w:rPr>
          <w:rFonts w:ascii="Times New Roman" w:hAnsi="Times New Roman" w:cs="Times New Roman"/>
          <w:b/>
          <w:bCs/>
          <w:sz w:val="24"/>
          <w:szCs w:val="24"/>
        </w:rPr>
        <w:t>Table 2</w:t>
      </w:r>
    </w:p>
    <w:p w14:paraId="052B51BE" w14:textId="17B7B430" w:rsidR="00576377" w:rsidRPr="00576377" w:rsidRDefault="00576377" w:rsidP="007107D4">
      <w:pPr>
        <w:spacing w:after="0" w:line="240" w:lineRule="auto"/>
        <w:jc w:val="both"/>
        <w:rPr>
          <w:rFonts w:ascii="Times New Roman" w:hAnsi="Times New Roman" w:cs="Times New Roman"/>
          <w:sz w:val="24"/>
          <w:szCs w:val="24"/>
        </w:rPr>
      </w:pPr>
      <w:r w:rsidRPr="00576377">
        <w:rPr>
          <w:rFonts w:ascii="Times New Roman" w:hAnsi="Times New Roman" w:cs="Times New Roman"/>
          <w:sz w:val="24"/>
          <w:szCs w:val="24"/>
        </w:rPr>
        <w:t>Interpretation of Learners’ Performance</w:t>
      </w:r>
    </w:p>
    <w:tbl>
      <w:tblPr>
        <w:tblStyle w:val="TableGrid"/>
        <w:tblW w:w="0" w:type="auto"/>
        <w:tblLook w:val="04A0" w:firstRow="1" w:lastRow="0" w:firstColumn="1" w:lastColumn="0" w:noHBand="0" w:noVBand="1"/>
      </w:tblPr>
      <w:tblGrid>
        <w:gridCol w:w="1271"/>
        <w:gridCol w:w="4069"/>
        <w:gridCol w:w="2671"/>
        <w:gridCol w:w="2671"/>
      </w:tblGrid>
      <w:tr w:rsidR="00576377" w:rsidRPr="00576377" w14:paraId="46633CFA" w14:textId="77777777" w:rsidTr="00576377">
        <w:tc>
          <w:tcPr>
            <w:tcW w:w="1271" w:type="dxa"/>
          </w:tcPr>
          <w:p w14:paraId="6DE0E1AF" w14:textId="3E5BD840" w:rsidR="00576377" w:rsidRPr="00576377" w:rsidRDefault="00576377" w:rsidP="00576377">
            <w:pPr>
              <w:jc w:val="center"/>
              <w:rPr>
                <w:rFonts w:ascii="Times New Roman" w:hAnsi="Times New Roman" w:cs="Times New Roman"/>
                <w:b/>
                <w:bCs/>
                <w:sz w:val="24"/>
                <w:szCs w:val="24"/>
              </w:rPr>
            </w:pPr>
            <w:r w:rsidRPr="00576377">
              <w:rPr>
                <w:rFonts w:ascii="Times New Roman" w:hAnsi="Times New Roman" w:cs="Times New Roman"/>
                <w:b/>
                <w:bCs/>
                <w:color w:val="1C1C1C"/>
                <w:spacing w:val="1"/>
                <w:sz w:val="24"/>
                <w:szCs w:val="24"/>
              </w:rPr>
              <w:t>Index</w:t>
            </w:r>
          </w:p>
        </w:tc>
        <w:tc>
          <w:tcPr>
            <w:tcW w:w="4069" w:type="dxa"/>
          </w:tcPr>
          <w:p w14:paraId="673EDA87" w14:textId="6483E8B6" w:rsidR="00576377" w:rsidRPr="00576377" w:rsidRDefault="00576377" w:rsidP="00576377">
            <w:pPr>
              <w:jc w:val="center"/>
              <w:rPr>
                <w:rFonts w:ascii="Times New Roman" w:hAnsi="Times New Roman" w:cs="Times New Roman"/>
                <w:b/>
                <w:bCs/>
                <w:sz w:val="24"/>
                <w:szCs w:val="24"/>
              </w:rPr>
            </w:pPr>
            <w:r w:rsidRPr="00576377">
              <w:rPr>
                <w:rFonts w:ascii="Times New Roman" w:hAnsi="Times New Roman" w:cs="Times New Roman"/>
                <w:b/>
                <w:bCs/>
                <w:color w:val="1C1C1C"/>
                <w:spacing w:val="1"/>
                <w:sz w:val="24"/>
                <w:szCs w:val="24"/>
              </w:rPr>
              <w:t>Description</w:t>
            </w:r>
          </w:p>
        </w:tc>
        <w:tc>
          <w:tcPr>
            <w:tcW w:w="2671" w:type="dxa"/>
          </w:tcPr>
          <w:p w14:paraId="715252DE" w14:textId="338389AD" w:rsidR="00576377" w:rsidRPr="00576377" w:rsidRDefault="00576377" w:rsidP="00576377">
            <w:pPr>
              <w:jc w:val="center"/>
              <w:rPr>
                <w:rFonts w:ascii="Times New Roman" w:hAnsi="Times New Roman" w:cs="Times New Roman"/>
                <w:b/>
                <w:bCs/>
                <w:sz w:val="24"/>
                <w:szCs w:val="24"/>
              </w:rPr>
            </w:pPr>
            <w:r w:rsidRPr="00576377">
              <w:rPr>
                <w:rFonts w:ascii="Times New Roman" w:hAnsi="Times New Roman" w:cs="Times New Roman"/>
                <w:b/>
                <w:bCs/>
                <w:color w:val="1C1C1C"/>
                <w:spacing w:val="1"/>
                <w:sz w:val="24"/>
                <w:szCs w:val="24"/>
              </w:rPr>
              <w:t>Range</w:t>
            </w:r>
          </w:p>
        </w:tc>
        <w:tc>
          <w:tcPr>
            <w:tcW w:w="2671" w:type="dxa"/>
          </w:tcPr>
          <w:p w14:paraId="7E420914" w14:textId="5845797A" w:rsidR="00576377" w:rsidRPr="00576377" w:rsidRDefault="00576377" w:rsidP="00576377">
            <w:pPr>
              <w:jc w:val="center"/>
              <w:rPr>
                <w:rFonts w:ascii="Times New Roman" w:hAnsi="Times New Roman" w:cs="Times New Roman"/>
                <w:b/>
                <w:bCs/>
                <w:sz w:val="24"/>
                <w:szCs w:val="24"/>
              </w:rPr>
            </w:pPr>
            <w:r w:rsidRPr="00576377">
              <w:rPr>
                <w:rFonts w:ascii="Times New Roman" w:hAnsi="Times New Roman" w:cs="Times New Roman"/>
                <w:b/>
                <w:bCs/>
                <w:color w:val="1C1C1C"/>
                <w:spacing w:val="1"/>
                <w:sz w:val="24"/>
                <w:szCs w:val="24"/>
              </w:rPr>
              <w:t>Interpretation</w:t>
            </w:r>
          </w:p>
        </w:tc>
      </w:tr>
      <w:tr w:rsidR="00576377" w:rsidRPr="00576377" w14:paraId="2DC92CD3" w14:textId="77777777" w:rsidTr="00576377">
        <w:tc>
          <w:tcPr>
            <w:tcW w:w="1271" w:type="dxa"/>
          </w:tcPr>
          <w:p w14:paraId="68270E45" w14:textId="7C523008"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45-50</w:t>
            </w:r>
          </w:p>
        </w:tc>
        <w:tc>
          <w:tcPr>
            <w:tcW w:w="4069" w:type="dxa"/>
          </w:tcPr>
          <w:p w14:paraId="3D5B69E6" w14:textId="7809A6A1"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Outstanding</w:t>
            </w:r>
          </w:p>
        </w:tc>
        <w:tc>
          <w:tcPr>
            <w:tcW w:w="2671" w:type="dxa"/>
          </w:tcPr>
          <w:p w14:paraId="76FA678E" w14:textId="254A54EB"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90-100</w:t>
            </w:r>
          </w:p>
        </w:tc>
        <w:tc>
          <w:tcPr>
            <w:tcW w:w="2671" w:type="dxa"/>
          </w:tcPr>
          <w:p w14:paraId="7F63ABF7" w14:textId="2FA87A89"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Passed</w:t>
            </w:r>
          </w:p>
        </w:tc>
      </w:tr>
      <w:tr w:rsidR="00576377" w:rsidRPr="00576377" w14:paraId="3F062749" w14:textId="77777777" w:rsidTr="00576377">
        <w:tc>
          <w:tcPr>
            <w:tcW w:w="1271" w:type="dxa"/>
          </w:tcPr>
          <w:p w14:paraId="19C96B81" w14:textId="6D71B854"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40-44</w:t>
            </w:r>
          </w:p>
        </w:tc>
        <w:tc>
          <w:tcPr>
            <w:tcW w:w="4069" w:type="dxa"/>
          </w:tcPr>
          <w:p w14:paraId="5F2DE6F6" w14:textId="3EB95132"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Very Satisfactory</w:t>
            </w:r>
          </w:p>
        </w:tc>
        <w:tc>
          <w:tcPr>
            <w:tcW w:w="2671" w:type="dxa"/>
          </w:tcPr>
          <w:p w14:paraId="7F0266EC" w14:textId="666CCD8B"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85-89</w:t>
            </w:r>
          </w:p>
        </w:tc>
        <w:tc>
          <w:tcPr>
            <w:tcW w:w="2671" w:type="dxa"/>
          </w:tcPr>
          <w:p w14:paraId="1A3359BB" w14:textId="77163A4A"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Passed</w:t>
            </w:r>
          </w:p>
        </w:tc>
      </w:tr>
      <w:tr w:rsidR="00576377" w:rsidRPr="00576377" w14:paraId="01892D27" w14:textId="77777777" w:rsidTr="00576377">
        <w:tc>
          <w:tcPr>
            <w:tcW w:w="1271" w:type="dxa"/>
          </w:tcPr>
          <w:p w14:paraId="6A1DF8E1" w14:textId="2AC71F32"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35-39</w:t>
            </w:r>
          </w:p>
        </w:tc>
        <w:tc>
          <w:tcPr>
            <w:tcW w:w="4069" w:type="dxa"/>
          </w:tcPr>
          <w:p w14:paraId="1AE1B605" w14:textId="340493D0"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Satisfactory</w:t>
            </w:r>
          </w:p>
        </w:tc>
        <w:tc>
          <w:tcPr>
            <w:tcW w:w="2671" w:type="dxa"/>
          </w:tcPr>
          <w:p w14:paraId="60108EF8" w14:textId="2EA75374"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80-84</w:t>
            </w:r>
          </w:p>
        </w:tc>
        <w:tc>
          <w:tcPr>
            <w:tcW w:w="2671" w:type="dxa"/>
          </w:tcPr>
          <w:p w14:paraId="76499FED" w14:textId="64394827"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Passed</w:t>
            </w:r>
          </w:p>
        </w:tc>
      </w:tr>
      <w:tr w:rsidR="00576377" w:rsidRPr="00576377" w14:paraId="0F52F93E" w14:textId="77777777" w:rsidTr="00576377">
        <w:tc>
          <w:tcPr>
            <w:tcW w:w="1271" w:type="dxa"/>
          </w:tcPr>
          <w:p w14:paraId="0695F3EF" w14:textId="0491F728"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30-34</w:t>
            </w:r>
          </w:p>
        </w:tc>
        <w:tc>
          <w:tcPr>
            <w:tcW w:w="4069" w:type="dxa"/>
          </w:tcPr>
          <w:p w14:paraId="41BBC53B" w14:textId="6EC37E17"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Fairly Satisfactory</w:t>
            </w:r>
          </w:p>
        </w:tc>
        <w:tc>
          <w:tcPr>
            <w:tcW w:w="2671" w:type="dxa"/>
          </w:tcPr>
          <w:p w14:paraId="5B8A509E" w14:textId="5CC919E9"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75-79</w:t>
            </w:r>
          </w:p>
        </w:tc>
        <w:tc>
          <w:tcPr>
            <w:tcW w:w="2671" w:type="dxa"/>
          </w:tcPr>
          <w:p w14:paraId="6443925D" w14:textId="29F3ECAB"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Passed</w:t>
            </w:r>
          </w:p>
        </w:tc>
      </w:tr>
      <w:tr w:rsidR="00576377" w:rsidRPr="00576377" w14:paraId="3E00FD0E" w14:textId="77777777" w:rsidTr="00576377">
        <w:tc>
          <w:tcPr>
            <w:tcW w:w="1271" w:type="dxa"/>
          </w:tcPr>
          <w:p w14:paraId="7D3071DF" w14:textId="0DCB1A9D"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0-29</w:t>
            </w:r>
          </w:p>
        </w:tc>
        <w:tc>
          <w:tcPr>
            <w:tcW w:w="4069" w:type="dxa"/>
          </w:tcPr>
          <w:p w14:paraId="468D7A9D" w14:textId="43C8BF3E"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Did Not Meet Expectation</w:t>
            </w:r>
          </w:p>
        </w:tc>
        <w:tc>
          <w:tcPr>
            <w:tcW w:w="2671" w:type="dxa"/>
          </w:tcPr>
          <w:p w14:paraId="3CA5A397" w14:textId="075D8EEF"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74 Below</w:t>
            </w:r>
          </w:p>
        </w:tc>
        <w:tc>
          <w:tcPr>
            <w:tcW w:w="2671" w:type="dxa"/>
          </w:tcPr>
          <w:p w14:paraId="3981A76E" w14:textId="2B411F66" w:rsidR="00576377" w:rsidRPr="00576377" w:rsidRDefault="00576377" w:rsidP="00576377">
            <w:pPr>
              <w:jc w:val="center"/>
              <w:rPr>
                <w:rFonts w:ascii="Times New Roman" w:hAnsi="Times New Roman" w:cs="Times New Roman"/>
                <w:sz w:val="24"/>
                <w:szCs w:val="24"/>
              </w:rPr>
            </w:pPr>
            <w:r w:rsidRPr="00576377">
              <w:rPr>
                <w:rFonts w:ascii="Times New Roman" w:hAnsi="Times New Roman" w:cs="Times New Roman"/>
                <w:color w:val="1C1C1C"/>
                <w:spacing w:val="1"/>
                <w:sz w:val="24"/>
                <w:szCs w:val="24"/>
              </w:rPr>
              <w:t>Failed</w:t>
            </w:r>
          </w:p>
        </w:tc>
      </w:tr>
    </w:tbl>
    <w:p w14:paraId="71E22CB6" w14:textId="77777777" w:rsidR="00576377" w:rsidRPr="00576377" w:rsidRDefault="00576377" w:rsidP="00576377">
      <w:pPr>
        <w:spacing w:after="0" w:line="240" w:lineRule="auto"/>
        <w:jc w:val="both"/>
        <w:rPr>
          <w:rFonts w:ascii="Times New Roman" w:hAnsi="Times New Roman" w:cs="Times New Roman"/>
          <w:sz w:val="24"/>
          <w:szCs w:val="24"/>
        </w:rPr>
      </w:pPr>
    </w:p>
    <w:p w14:paraId="11AE5F3D" w14:textId="4F516A46" w:rsidR="00576377" w:rsidRPr="00576377" w:rsidRDefault="00576377" w:rsidP="00576377">
      <w:pPr>
        <w:spacing w:after="0" w:line="240" w:lineRule="auto"/>
        <w:jc w:val="both"/>
        <w:rPr>
          <w:rFonts w:ascii="Times New Roman" w:hAnsi="Times New Roman" w:cs="Times New Roman"/>
          <w:sz w:val="24"/>
          <w:szCs w:val="24"/>
        </w:rPr>
      </w:pPr>
      <w:r w:rsidRPr="00576377">
        <w:rPr>
          <w:rFonts w:ascii="Times New Roman" w:hAnsi="Times New Roman" w:cs="Times New Roman"/>
          <w:sz w:val="24"/>
          <w:szCs w:val="24"/>
        </w:rPr>
        <w:t>Th</w:t>
      </w:r>
      <w:r>
        <w:rPr>
          <w:rFonts w:ascii="Times New Roman" w:hAnsi="Times New Roman" w:cs="Times New Roman"/>
          <w:sz w:val="24"/>
          <w:szCs w:val="24"/>
        </w:rPr>
        <w:t>e</w:t>
      </w:r>
      <w:r w:rsidRPr="00576377">
        <w:rPr>
          <w:rFonts w:ascii="Times New Roman" w:hAnsi="Times New Roman" w:cs="Times New Roman"/>
          <w:sz w:val="24"/>
          <w:szCs w:val="24"/>
        </w:rPr>
        <w:t xml:space="preserve"> table </w:t>
      </w:r>
      <w:r>
        <w:rPr>
          <w:rFonts w:ascii="Times New Roman" w:hAnsi="Times New Roman" w:cs="Times New Roman"/>
          <w:sz w:val="24"/>
          <w:szCs w:val="24"/>
        </w:rPr>
        <w:t xml:space="preserve">2 </w:t>
      </w:r>
      <w:r w:rsidRPr="00576377">
        <w:rPr>
          <w:rFonts w:ascii="Times New Roman" w:hAnsi="Times New Roman" w:cs="Times New Roman"/>
          <w:sz w:val="24"/>
          <w:szCs w:val="24"/>
        </w:rPr>
        <w:t>provides a summary interpretation of learners’ overall performance based on the DepEd’s performance index.</w:t>
      </w:r>
    </w:p>
    <w:p w14:paraId="5BE23DF9" w14:textId="77777777" w:rsidR="00576377" w:rsidRPr="00980246" w:rsidRDefault="00576377" w:rsidP="00C3670B">
      <w:pPr>
        <w:spacing w:line="240" w:lineRule="auto"/>
        <w:jc w:val="both"/>
        <w:rPr>
          <w:rFonts w:ascii="Times New Roman" w:hAnsi="Times New Roman" w:cs="Times New Roman"/>
          <w:sz w:val="24"/>
          <w:szCs w:val="24"/>
        </w:rPr>
      </w:pPr>
    </w:p>
    <w:p w14:paraId="3C13466E" w14:textId="77777777" w:rsidR="00C5065C" w:rsidRDefault="00C5065C" w:rsidP="00980246">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RESULTS AND DISCUSSION</w:t>
      </w:r>
    </w:p>
    <w:p w14:paraId="7B7E3C87" w14:textId="29ED8A55" w:rsidR="00C3670B" w:rsidRP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 xml:space="preserve">This section presents the results and discussion of the data gathered from the competency-based questionnaire administered to 150 Grade 10 learners from </w:t>
      </w:r>
      <w:r>
        <w:rPr>
          <w:rFonts w:ascii="Times New Roman" w:hAnsi="Times New Roman" w:cs="Times New Roman"/>
          <w:sz w:val="24"/>
          <w:szCs w:val="24"/>
        </w:rPr>
        <w:t xml:space="preserve">one of </w:t>
      </w:r>
      <w:r w:rsidRPr="00C3670B">
        <w:rPr>
          <w:rFonts w:ascii="Times New Roman" w:hAnsi="Times New Roman" w:cs="Times New Roman"/>
          <w:sz w:val="24"/>
          <w:szCs w:val="24"/>
        </w:rPr>
        <w:t xml:space="preserve">a public school in Jolo, Sulu. The analysis focuses on determining learners’ performance in chemical reactions, identifying the least mastered competencies, and examining the differences in learners’ performance among the competencies assessed. </w:t>
      </w:r>
    </w:p>
    <w:p w14:paraId="34E4F5A4" w14:textId="77777777" w:rsidR="00C3670B" w:rsidRP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The results are presented through summary tables showing the distribution of learners’ performance and the mastery levels of the competencies assessed. Frequency, percentage, mean, standard deviation, and Mean Percentage Score (MPS) were utilized to describe learners’ performance and competency mastery. These data provide an overview of learners’ achievement and serve as the basis for determining the competencies in which learners experienced the greatest difficulty.</w:t>
      </w:r>
    </w:p>
    <w:p w14:paraId="4EB0577D" w14:textId="77777777" w:rsidR="00C3670B" w:rsidRPr="00C3670B" w:rsidRDefault="00C3670B" w:rsidP="00C3670B">
      <w:pPr>
        <w:spacing w:line="240" w:lineRule="auto"/>
        <w:jc w:val="both"/>
        <w:rPr>
          <w:rFonts w:ascii="Times New Roman" w:hAnsi="Times New Roman" w:cs="Times New Roman"/>
          <w:sz w:val="24"/>
          <w:szCs w:val="24"/>
        </w:rPr>
      </w:pPr>
      <w:r w:rsidRPr="00C3670B">
        <w:rPr>
          <w:rFonts w:ascii="Times New Roman" w:hAnsi="Times New Roman" w:cs="Times New Roman"/>
          <w:sz w:val="24"/>
          <w:szCs w:val="24"/>
        </w:rPr>
        <w:t>The table below presents the summary of learners’ performance based on their assessment scores in chemical reactions. The results are organized according to frequency and percentage distributions, with performance levels categorized as Outstanding, Very Satisfactory, Satisfactory, Fairly Satisfactory, and Did Not Meet Expectations. This presentation provides a general description of learners’ performance and their level of competency mastery in chemical reactions.</w:t>
      </w:r>
    </w:p>
    <w:p w14:paraId="277B015B" w14:textId="77777777" w:rsidR="002600EA" w:rsidRDefault="002600EA" w:rsidP="00980246">
      <w:pPr>
        <w:spacing w:line="240" w:lineRule="auto"/>
        <w:rPr>
          <w:rFonts w:ascii="Times New Roman" w:hAnsi="Times New Roman" w:cs="Times New Roman"/>
          <w:b/>
          <w:bCs/>
          <w:sz w:val="28"/>
          <w:szCs w:val="28"/>
        </w:rPr>
      </w:pPr>
    </w:p>
    <w:p w14:paraId="48D507FE" w14:textId="77777777" w:rsidR="004131E4" w:rsidRDefault="004131E4" w:rsidP="007107D4">
      <w:pPr>
        <w:pStyle w:val="NoSpacing"/>
        <w:jc w:val="both"/>
        <w:rPr>
          <w:rFonts w:ascii="Times New Roman" w:hAnsi="Times New Roman" w:cs="Times New Roman"/>
          <w:b/>
          <w:sz w:val="24"/>
          <w:szCs w:val="24"/>
          <w:lang w:val="en-GB"/>
        </w:rPr>
      </w:pPr>
    </w:p>
    <w:p w14:paraId="389FF7E2" w14:textId="77777777" w:rsidR="004131E4" w:rsidRDefault="004131E4" w:rsidP="007107D4">
      <w:pPr>
        <w:pStyle w:val="NoSpacing"/>
        <w:jc w:val="both"/>
        <w:rPr>
          <w:rFonts w:ascii="Times New Roman" w:hAnsi="Times New Roman" w:cs="Times New Roman"/>
          <w:b/>
          <w:sz w:val="24"/>
          <w:szCs w:val="24"/>
          <w:lang w:val="en-GB"/>
        </w:rPr>
      </w:pPr>
    </w:p>
    <w:p w14:paraId="3F7E794C" w14:textId="77777777" w:rsidR="004131E4" w:rsidRDefault="004131E4" w:rsidP="007107D4">
      <w:pPr>
        <w:pStyle w:val="NoSpacing"/>
        <w:jc w:val="both"/>
        <w:rPr>
          <w:rFonts w:ascii="Times New Roman" w:hAnsi="Times New Roman" w:cs="Times New Roman"/>
          <w:b/>
          <w:sz w:val="24"/>
          <w:szCs w:val="24"/>
          <w:lang w:val="en-GB"/>
        </w:rPr>
      </w:pPr>
    </w:p>
    <w:p w14:paraId="0A7FCFC4" w14:textId="77777777" w:rsidR="004131E4" w:rsidRDefault="004131E4" w:rsidP="007107D4">
      <w:pPr>
        <w:pStyle w:val="NoSpacing"/>
        <w:jc w:val="both"/>
        <w:rPr>
          <w:rFonts w:ascii="Times New Roman" w:hAnsi="Times New Roman" w:cs="Times New Roman"/>
          <w:b/>
          <w:sz w:val="24"/>
          <w:szCs w:val="24"/>
          <w:lang w:val="en-GB"/>
        </w:rPr>
      </w:pPr>
    </w:p>
    <w:p w14:paraId="445BE978" w14:textId="77777777" w:rsidR="004131E4" w:rsidRDefault="004131E4" w:rsidP="007107D4">
      <w:pPr>
        <w:pStyle w:val="NoSpacing"/>
        <w:jc w:val="both"/>
        <w:rPr>
          <w:rFonts w:ascii="Times New Roman" w:hAnsi="Times New Roman" w:cs="Times New Roman"/>
          <w:b/>
          <w:sz w:val="24"/>
          <w:szCs w:val="24"/>
          <w:lang w:val="en-GB"/>
        </w:rPr>
      </w:pPr>
    </w:p>
    <w:p w14:paraId="65409B76" w14:textId="77777777" w:rsidR="004131E4" w:rsidRDefault="004131E4" w:rsidP="007107D4">
      <w:pPr>
        <w:pStyle w:val="NoSpacing"/>
        <w:jc w:val="both"/>
        <w:rPr>
          <w:rFonts w:ascii="Times New Roman" w:hAnsi="Times New Roman" w:cs="Times New Roman"/>
          <w:b/>
          <w:sz w:val="24"/>
          <w:szCs w:val="24"/>
          <w:lang w:val="en-GB"/>
        </w:rPr>
      </w:pPr>
    </w:p>
    <w:p w14:paraId="594F561C" w14:textId="77777777" w:rsidR="004131E4" w:rsidRDefault="004131E4" w:rsidP="007107D4">
      <w:pPr>
        <w:pStyle w:val="NoSpacing"/>
        <w:jc w:val="both"/>
        <w:rPr>
          <w:rFonts w:ascii="Times New Roman" w:hAnsi="Times New Roman" w:cs="Times New Roman"/>
          <w:b/>
          <w:sz w:val="24"/>
          <w:szCs w:val="24"/>
          <w:lang w:val="en-GB"/>
        </w:rPr>
      </w:pPr>
    </w:p>
    <w:p w14:paraId="231DAA9E" w14:textId="7A98F72C" w:rsidR="00C3670B" w:rsidRPr="00783222" w:rsidRDefault="00C3670B" w:rsidP="007107D4">
      <w:pPr>
        <w:pStyle w:val="NoSpacing"/>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w:t>
      </w:r>
      <w:r w:rsidR="00576377">
        <w:rPr>
          <w:rFonts w:ascii="Times New Roman" w:hAnsi="Times New Roman" w:cs="Times New Roman"/>
          <w:b/>
          <w:sz w:val="24"/>
          <w:szCs w:val="24"/>
          <w:lang w:val="en-GB"/>
        </w:rPr>
        <w:t>3</w:t>
      </w:r>
    </w:p>
    <w:p w14:paraId="305A100B" w14:textId="16618149" w:rsidR="00C3670B" w:rsidRPr="00576377" w:rsidRDefault="00C3670B" w:rsidP="007107D4">
      <w:pPr>
        <w:pStyle w:val="NoSpacing"/>
        <w:jc w:val="both"/>
        <w:rPr>
          <w:rFonts w:ascii="Times New Roman" w:hAnsi="Times New Roman" w:cs="Times New Roman"/>
          <w:iCs/>
          <w:sz w:val="24"/>
          <w:szCs w:val="24"/>
          <w:lang w:val="en-GB"/>
        </w:rPr>
      </w:pPr>
      <w:r w:rsidRPr="00576377">
        <w:rPr>
          <w:rFonts w:ascii="Times New Roman" w:hAnsi="Times New Roman" w:cs="Times New Roman"/>
          <w:iCs/>
          <w:sz w:val="24"/>
          <w:szCs w:val="24"/>
          <w:lang w:val="en-GB"/>
        </w:rPr>
        <w:t>Summary of Assessment Results</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8"/>
        <w:gridCol w:w="2328"/>
        <w:gridCol w:w="1541"/>
        <w:gridCol w:w="593"/>
        <w:gridCol w:w="3224"/>
        <w:gridCol w:w="1781"/>
      </w:tblGrid>
      <w:tr w:rsidR="00C3670B" w:rsidRPr="001B3A47" w14:paraId="4C7EA4E9" w14:textId="77777777" w:rsidTr="00F27AF1">
        <w:trPr>
          <w:trHeight w:val="199"/>
        </w:trPr>
        <w:tc>
          <w:tcPr>
            <w:tcW w:w="1358" w:type="dxa"/>
            <w:shd w:val="clear" w:color="auto" w:fill="FFFFFF" w:themeFill="background1"/>
            <w:tcMar>
              <w:top w:w="15" w:type="dxa"/>
              <w:left w:w="53" w:type="dxa"/>
              <w:bottom w:w="0" w:type="dxa"/>
              <w:right w:w="53" w:type="dxa"/>
            </w:tcMar>
            <w:hideMark/>
          </w:tcPr>
          <w:p w14:paraId="0A2640B4" w14:textId="77777777" w:rsidR="00C3670B" w:rsidRPr="001B3A47" w:rsidRDefault="00C3670B" w:rsidP="00692424">
            <w:pPr>
              <w:pStyle w:val="NoSpacing"/>
              <w:spacing w:line="360" w:lineRule="auto"/>
              <w:jc w:val="center"/>
              <w:rPr>
                <w:rFonts w:ascii="Times New Roman" w:eastAsia="Times New Roman" w:hAnsi="Times New Roman" w:cs="Times New Roman"/>
                <w:b/>
                <w:sz w:val="24"/>
                <w:szCs w:val="24"/>
                <w:lang w:eastAsia="en-PH"/>
              </w:rPr>
            </w:pPr>
            <w:r w:rsidRPr="001B3A47">
              <w:rPr>
                <w:rFonts w:ascii="Times New Roman" w:eastAsia="Times New Roman" w:hAnsi="Times New Roman" w:cs="Times New Roman"/>
                <w:b/>
                <w:bCs/>
                <w:sz w:val="24"/>
                <w:szCs w:val="24"/>
                <w:lang w:val="en-GB" w:eastAsia="en-PH"/>
              </w:rPr>
              <w:t>Index</w:t>
            </w:r>
          </w:p>
        </w:tc>
        <w:tc>
          <w:tcPr>
            <w:tcW w:w="2328" w:type="dxa"/>
            <w:shd w:val="clear" w:color="auto" w:fill="FFFFFF" w:themeFill="background1"/>
            <w:tcMar>
              <w:top w:w="15" w:type="dxa"/>
              <w:left w:w="53" w:type="dxa"/>
              <w:bottom w:w="0" w:type="dxa"/>
              <w:right w:w="53" w:type="dxa"/>
            </w:tcMar>
            <w:hideMark/>
          </w:tcPr>
          <w:p w14:paraId="788CF089" w14:textId="77777777" w:rsidR="00C3670B" w:rsidRPr="001B3A47" w:rsidRDefault="00C3670B" w:rsidP="00692424">
            <w:pPr>
              <w:pStyle w:val="NoSpacing"/>
              <w:spacing w:line="360" w:lineRule="auto"/>
              <w:jc w:val="center"/>
              <w:rPr>
                <w:rFonts w:ascii="Times New Roman" w:eastAsia="Times New Roman" w:hAnsi="Times New Roman" w:cs="Times New Roman"/>
                <w:b/>
                <w:sz w:val="24"/>
                <w:szCs w:val="24"/>
                <w:lang w:eastAsia="en-PH"/>
              </w:rPr>
            </w:pPr>
            <w:r w:rsidRPr="001B3A47">
              <w:rPr>
                <w:rFonts w:ascii="Times New Roman" w:eastAsia="Times New Roman" w:hAnsi="Times New Roman" w:cs="Times New Roman"/>
                <w:b/>
                <w:bCs/>
                <w:sz w:val="24"/>
                <w:szCs w:val="24"/>
                <w:lang w:val="en-GB" w:eastAsia="en-PH"/>
              </w:rPr>
              <w:t>Frequency</w:t>
            </w:r>
          </w:p>
        </w:tc>
        <w:tc>
          <w:tcPr>
            <w:tcW w:w="2134" w:type="dxa"/>
            <w:gridSpan w:val="2"/>
            <w:shd w:val="clear" w:color="auto" w:fill="FFFFFF" w:themeFill="background1"/>
            <w:tcMar>
              <w:top w:w="15" w:type="dxa"/>
              <w:left w:w="53" w:type="dxa"/>
              <w:bottom w:w="0" w:type="dxa"/>
              <w:right w:w="53" w:type="dxa"/>
            </w:tcMar>
            <w:hideMark/>
          </w:tcPr>
          <w:p w14:paraId="51F4ABFC" w14:textId="77777777" w:rsidR="00C3670B" w:rsidRPr="001B3A47" w:rsidRDefault="00C3670B" w:rsidP="00692424">
            <w:pPr>
              <w:pStyle w:val="NoSpacing"/>
              <w:spacing w:line="360" w:lineRule="auto"/>
              <w:jc w:val="center"/>
              <w:rPr>
                <w:rFonts w:ascii="Times New Roman" w:eastAsia="Times New Roman" w:hAnsi="Times New Roman" w:cs="Times New Roman"/>
                <w:b/>
                <w:sz w:val="24"/>
                <w:szCs w:val="24"/>
                <w:lang w:eastAsia="en-PH"/>
              </w:rPr>
            </w:pPr>
            <w:r w:rsidRPr="001B3A47">
              <w:rPr>
                <w:rFonts w:ascii="Times New Roman" w:eastAsia="Times New Roman" w:hAnsi="Times New Roman" w:cs="Times New Roman"/>
                <w:b/>
                <w:bCs/>
                <w:sz w:val="24"/>
                <w:szCs w:val="24"/>
                <w:lang w:val="en-GB" w:eastAsia="en-PH"/>
              </w:rPr>
              <w:t>Percentage</w:t>
            </w:r>
          </w:p>
        </w:tc>
        <w:tc>
          <w:tcPr>
            <w:tcW w:w="3224" w:type="dxa"/>
            <w:shd w:val="clear" w:color="auto" w:fill="FFFFFF" w:themeFill="background1"/>
            <w:tcMar>
              <w:top w:w="15" w:type="dxa"/>
              <w:left w:w="53" w:type="dxa"/>
              <w:bottom w:w="0" w:type="dxa"/>
              <w:right w:w="53" w:type="dxa"/>
            </w:tcMar>
            <w:hideMark/>
          </w:tcPr>
          <w:p w14:paraId="3276B1E6" w14:textId="77777777" w:rsidR="00C3670B" w:rsidRPr="001B3A47" w:rsidRDefault="00C3670B" w:rsidP="00692424">
            <w:pPr>
              <w:pStyle w:val="NoSpacing"/>
              <w:spacing w:line="360" w:lineRule="auto"/>
              <w:jc w:val="center"/>
              <w:rPr>
                <w:rFonts w:ascii="Times New Roman" w:eastAsia="Times New Roman" w:hAnsi="Times New Roman" w:cs="Times New Roman"/>
                <w:b/>
                <w:sz w:val="24"/>
                <w:szCs w:val="24"/>
                <w:lang w:eastAsia="en-PH"/>
              </w:rPr>
            </w:pPr>
            <w:r w:rsidRPr="001B3A47">
              <w:rPr>
                <w:rFonts w:ascii="Times New Roman" w:eastAsia="Times New Roman" w:hAnsi="Times New Roman" w:cs="Times New Roman"/>
                <w:b/>
                <w:bCs/>
                <w:sz w:val="24"/>
                <w:szCs w:val="24"/>
                <w:lang w:val="en-GB" w:eastAsia="en-PH"/>
              </w:rPr>
              <w:t>Interpretation</w:t>
            </w:r>
          </w:p>
        </w:tc>
        <w:tc>
          <w:tcPr>
            <w:tcW w:w="1781" w:type="dxa"/>
            <w:shd w:val="clear" w:color="auto" w:fill="FFFFFF" w:themeFill="background1"/>
            <w:tcMar>
              <w:top w:w="15" w:type="dxa"/>
              <w:left w:w="53" w:type="dxa"/>
              <w:bottom w:w="0" w:type="dxa"/>
              <w:right w:w="53" w:type="dxa"/>
            </w:tcMar>
            <w:hideMark/>
          </w:tcPr>
          <w:p w14:paraId="0E9385BF" w14:textId="77777777" w:rsidR="00C3670B" w:rsidRPr="001B3A47" w:rsidRDefault="00C3670B" w:rsidP="00692424">
            <w:pPr>
              <w:pStyle w:val="NoSpacing"/>
              <w:spacing w:line="360" w:lineRule="auto"/>
              <w:jc w:val="center"/>
              <w:rPr>
                <w:rFonts w:ascii="Times New Roman" w:eastAsia="Times New Roman" w:hAnsi="Times New Roman" w:cs="Times New Roman"/>
                <w:b/>
                <w:sz w:val="24"/>
                <w:szCs w:val="24"/>
                <w:lang w:eastAsia="en-PH"/>
              </w:rPr>
            </w:pPr>
            <w:r w:rsidRPr="001B3A47">
              <w:rPr>
                <w:rFonts w:ascii="Times New Roman" w:eastAsia="Times New Roman" w:hAnsi="Times New Roman" w:cs="Times New Roman"/>
                <w:b/>
                <w:bCs/>
                <w:sz w:val="24"/>
                <w:szCs w:val="24"/>
                <w:lang w:val="en-GB" w:eastAsia="en-PH"/>
              </w:rPr>
              <w:t>Remark</w:t>
            </w:r>
          </w:p>
        </w:tc>
      </w:tr>
      <w:tr w:rsidR="00C3670B" w:rsidRPr="00674AAC" w14:paraId="5ED4EEC5" w14:textId="77777777" w:rsidTr="00F27AF1">
        <w:trPr>
          <w:trHeight w:val="179"/>
        </w:trPr>
        <w:tc>
          <w:tcPr>
            <w:tcW w:w="1358" w:type="dxa"/>
            <w:shd w:val="clear" w:color="auto" w:fill="FFFFFF" w:themeFill="background1"/>
            <w:tcMar>
              <w:top w:w="15" w:type="dxa"/>
              <w:left w:w="53" w:type="dxa"/>
              <w:bottom w:w="0" w:type="dxa"/>
              <w:right w:w="53" w:type="dxa"/>
            </w:tcMar>
            <w:hideMark/>
          </w:tcPr>
          <w:p w14:paraId="31896526"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bCs/>
                <w:sz w:val="24"/>
                <w:szCs w:val="24"/>
                <w:lang w:val="en-GB" w:eastAsia="en-PH"/>
              </w:rPr>
              <w:t>45-50</w:t>
            </w:r>
          </w:p>
        </w:tc>
        <w:tc>
          <w:tcPr>
            <w:tcW w:w="2328" w:type="dxa"/>
            <w:shd w:val="clear" w:color="auto" w:fill="FFFFFF" w:themeFill="background1"/>
            <w:tcMar>
              <w:top w:w="15" w:type="dxa"/>
              <w:left w:w="53" w:type="dxa"/>
              <w:bottom w:w="0" w:type="dxa"/>
              <w:right w:w="53" w:type="dxa"/>
            </w:tcMar>
            <w:hideMark/>
          </w:tcPr>
          <w:p w14:paraId="7EFA28DC"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c>
          <w:tcPr>
            <w:tcW w:w="2134" w:type="dxa"/>
            <w:gridSpan w:val="2"/>
            <w:shd w:val="clear" w:color="auto" w:fill="FFFFFF" w:themeFill="background1"/>
            <w:tcMar>
              <w:top w:w="15" w:type="dxa"/>
              <w:left w:w="53" w:type="dxa"/>
              <w:bottom w:w="0" w:type="dxa"/>
              <w:right w:w="53" w:type="dxa"/>
            </w:tcMar>
            <w:hideMark/>
          </w:tcPr>
          <w:p w14:paraId="5DFE79C1"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c>
          <w:tcPr>
            <w:tcW w:w="3224" w:type="dxa"/>
            <w:shd w:val="clear" w:color="auto" w:fill="FFFFFF" w:themeFill="background1"/>
            <w:tcMar>
              <w:top w:w="15" w:type="dxa"/>
              <w:left w:w="53" w:type="dxa"/>
              <w:bottom w:w="0" w:type="dxa"/>
              <w:right w:w="53" w:type="dxa"/>
            </w:tcMar>
            <w:hideMark/>
          </w:tcPr>
          <w:p w14:paraId="0691C871"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Outstanding</w:t>
            </w:r>
          </w:p>
        </w:tc>
        <w:tc>
          <w:tcPr>
            <w:tcW w:w="1781" w:type="dxa"/>
            <w:shd w:val="clear" w:color="auto" w:fill="FFFFFF" w:themeFill="background1"/>
            <w:tcMar>
              <w:top w:w="15" w:type="dxa"/>
              <w:left w:w="53" w:type="dxa"/>
              <w:bottom w:w="0" w:type="dxa"/>
              <w:right w:w="53" w:type="dxa"/>
            </w:tcMar>
            <w:hideMark/>
          </w:tcPr>
          <w:p w14:paraId="21C35D09"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Passed</w:t>
            </w:r>
          </w:p>
        </w:tc>
      </w:tr>
      <w:tr w:rsidR="00C3670B" w:rsidRPr="00674AAC" w14:paraId="334C97B3" w14:textId="77777777" w:rsidTr="00F27AF1">
        <w:trPr>
          <w:trHeight w:val="174"/>
        </w:trPr>
        <w:tc>
          <w:tcPr>
            <w:tcW w:w="1358" w:type="dxa"/>
            <w:shd w:val="clear" w:color="auto" w:fill="FFFFFF" w:themeFill="background1"/>
            <w:tcMar>
              <w:top w:w="15" w:type="dxa"/>
              <w:left w:w="53" w:type="dxa"/>
              <w:bottom w:w="0" w:type="dxa"/>
              <w:right w:w="53" w:type="dxa"/>
            </w:tcMar>
            <w:hideMark/>
          </w:tcPr>
          <w:p w14:paraId="29D8E6DE"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bCs/>
                <w:sz w:val="24"/>
                <w:szCs w:val="24"/>
                <w:lang w:val="en-GB" w:eastAsia="en-PH"/>
              </w:rPr>
              <w:t>40-44</w:t>
            </w:r>
          </w:p>
        </w:tc>
        <w:tc>
          <w:tcPr>
            <w:tcW w:w="2328" w:type="dxa"/>
            <w:shd w:val="clear" w:color="auto" w:fill="FFFFFF" w:themeFill="background1"/>
            <w:tcMar>
              <w:top w:w="15" w:type="dxa"/>
              <w:left w:w="53" w:type="dxa"/>
              <w:bottom w:w="0" w:type="dxa"/>
              <w:right w:w="53" w:type="dxa"/>
            </w:tcMar>
            <w:hideMark/>
          </w:tcPr>
          <w:p w14:paraId="011D8A53"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c>
          <w:tcPr>
            <w:tcW w:w="2134" w:type="dxa"/>
            <w:gridSpan w:val="2"/>
            <w:shd w:val="clear" w:color="auto" w:fill="FFFFFF" w:themeFill="background1"/>
            <w:tcMar>
              <w:top w:w="15" w:type="dxa"/>
              <w:left w:w="53" w:type="dxa"/>
              <w:bottom w:w="0" w:type="dxa"/>
              <w:right w:w="53" w:type="dxa"/>
            </w:tcMar>
            <w:hideMark/>
          </w:tcPr>
          <w:p w14:paraId="6550440D"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c>
          <w:tcPr>
            <w:tcW w:w="3224" w:type="dxa"/>
            <w:shd w:val="clear" w:color="auto" w:fill="FFFFFF" w:themeFill="background1"/>
            <w:tcMar>
              <w:top w:w="15" w:type="dxa"/>
              <w:left w:w="53" w:type="dxa"/>
              <w:bottom w:w="0" w:type="dxa"/>
              <w:right w:w="53" w:type="dxa"/>
            </w:tcMar>
            <w:hideMark/>
          </w:tcPr>
          <w:p w14:paraId="534FA5E0"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Very Satisfactory</w:t>
            </w:r>
          </w:p>
        </w:tc>
        <w:tc>
          <w:tcPr>
            <w:tcW w:w="1781" w:type="dxa"/>
            <w:shd w:val="clear" w:color="auto" w:fill="FFFFFF" w:themeFill="background1"/>
            <w:tcMar>
              <w:top w:w="15" w:type="dxa"/>
              <w:left w:w="53" w:type="dxa"/>
              <w:bottom w:w="0" w:type="dxa"/>
              <w:right w:w="53" w:type="dxa"/>
            </w:tcMar>
            <w:hideMark/>
          </w:tcPr>
          <w:p w14:paraId="319B710C"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Passed</w:t>
            </w:r>
          </w:p>
        </w:tc>
      </w:tr>
      <w:tr w:rsidR="00C3670B" w:rsidRPr="00674AAC" w14:paraId="4AA97F8A" w14:textId="77777777" w:rsidTr="00F27AF1">
        <w:trPr>
          <w:trHeight w:val="199"/>
        </w:trPr>
        <w:tc>
          <w:tcPr>
            <w:tcW w:w="1358" w:type="dxa"/>
            <w:shd w:val="clear" w:color="auto" w:fill="FFFFFF" w:themeFill="background1"/>
            <w:tcMar>
              <w:top w:w="15" w:type="dxa"/>
              <w:left w:w="53" w:type="dxa"/>
              <w:bottom w:w="0" w:type="dxa"/>
              <w:right w:w="53" w:type="dxa"/>
            </w:tcMar>
            <w:hideMark/>
          </w:tcPr>
          <w:p w14:paraId="1C648CAA"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bCs/>
                <w:sz w:val="24"/>
                <w:szCs w:val="24"/>
                <w:lang w:val="en-GB" w:eastAsia="en-PH"/>
              </w:rPr>
              <w:t>35-39</w:t>
            </w:r>
          </w:p>
        </w:tc>
        <w:tc>
          <w:tcPr>
            <w:tcW w:w="2328" w:type="dxa"/>
            <w:shd w:val="clear" w:color="auto" w:fill="FFFFFF" w:themeFill="background1"/>
            <w:tcMar>
              <w:top w:w="15" w:type="dxa"/>
              <w:left w:w="53" w:type="dxa"/>
              <w:bottom w:w="0" w:type="dxa"/>
              <w:right w:w="53" w:type="dxa"/>
            </w:tcMar>
            <w:hideMark/>
          </w:tcPr>
          <w:p w14:paraId="5875190B"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1</w:t>
            </w:r>
          </w:p>
        </w:tc>
        <w:tc>
          <w:tcPr>
            <w:tcW w:w="2134" w:type="dxa"/>
            <w:gridSpan w:val="2"/>
            <w:shd w:val="clear" w:color="auto" w:fill="FFFFFF" w:themeFill="background1"/>
            <w:tcMar>
              <w:top w:w="15" w:type="dxa"/>
              <w:left w:w="53" w:type="dxa"/>
              <w:bottom w:w="0" w:type="dxa"/>
              <w:right w:w="53" w:type="dxa"/>
            </w:tcMar>
            <w:hideMark/>
          </w:tcPr>
          <w:p w14:paraId="1F4E992F"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0.66%</w:t>
            </w:r>
          </w:p>
        </w:tc>
        <w:tc>
          <w:tcPr>
            <w:tcW w:w="3224" w:type="dxa"/>
            <w:shd w:val="clear" w:color="auto" w:fill="FFFFFF" w:themeFill="background1"/>
            <w:tcMar>
              <w:top w:w="15" w:type="dxa"/>
              <w:left w:w="53" w:type="dxa"/>
              <w:bottom w:w="0" w:type="dxa"/>
              <w:right w:w="53" w:type="dxa"/>
            </w:tcMar>
            <w:hideMark/>
          </w:tcPr>
          <w:p w14:paraId="25575FEA"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Satisfactory</w:t>
            </w:r>
          </w:p>
        </w:tc>
        <w:tc>
          <w:tcPr>
            <w:tcW w:w="1781" w:type="dxa"/>
            <w:shd w:val="clear" w:color="auto" w:fill="FFFFFF" w:themeFill="background1"/>
            <w:tcMar>
              <w:top w:w="15" w:type="dxa"/>
              <w:left w:w="53" w:type="dxa"/>
              <w:bottom w:w="0" w:type="dxa"/>
              <w:right w:w="53" w:type="dxa"/>
            </w:tcMar>
            <w:hideMark/>
          </w:tcPr>
          <w:p w14:paraId="2407648F"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Passed</w:t>
            </w:r>
          </w:p>
        </w:tc>
      </w:tr>
      <w:tr w:rsidR="00C3670B" w:rsidRPr="00674AAC" w14:paraId="59A0CEA2" w14:textId="77777777" w:rsidTr="00F27AF1">
        <w:trPr>
          <w:trHeight w:val="169"/>
        </w:trPr>
        <w:tc>
          <w:tcPr>
            <w:tcW w:w="1358" w:type="dxa"/>
            <w:shd w:val="clear" w:color="auto" w:fill="FFFFFF" w:themeFill="background1"/>
            <w:tcMar>
              <w:top w:w="15" w:type="dxa"/>
              <w:left w:w="53" w:type="dxa"/>
              <w:bottom w:w="0" w:type="dxa"/>
              <w:right w:w="53" w:type="dxa"/>
            </w:tcMar>
            <w:hideMark/>
          </w:tcPr>
          <w:p w14:paraId="638EB6CF"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bCs/>
                <w:sz w:val="24"/>
                <w:szCs w:val="24"/>
                <w:lang w:val="en-GB" w:eastAsia="en-PH"/>
              </w:rPr>
              <w:t>30-34</w:t>
            </w:r>
          </w:p>
        </w:tc>
        <w:tc>
          <w:tcPr>
            <w:tcW w:w="2328" w:type="dxa"/>
            <w:shd w:val="clear" w:color="auto" w:fill="FFFFFF" w:themeFill="background1"/>
            <w:tcMar>
              <w:top w:w="15" w:type="dxa"/>
              <w:left w:w="53" w:type="dxa"/>
              <w:bottom w:w="0" w:type="dxa"/>
              <w:right w:w="53" w:type="dxa"/>
            </w:tcMar>
            <w:hideMark/>
          </w:tcPr>
          <w:p w14:paraId="75080FB1"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4</w:t>
            </w:r>
          </w:p>
        </w:tc>
        <w:tc>
          <w:tcPr>
            <w:tcW w:w="2134" w:type="dxa"/>
            <w:gridSpan w:val="2"/>
            <w:shd w:val="clear" w:color="auto" w:fill="FFFFFF" w:themeFill="background1"/>
            <w:tcMar>
              <w:top w:w="15" w:type="dxa"/>
              <w:left w:w="53" w:type="dxa"/>
              <w:bottom w:w="0" w:type="dxa"/>
              <w:right w:w="53" w:type="dxa"/>
            </w:tcMar>
            <w:hideMark/>
          </w:tcPr>
          <w:p w14:paraId="514EFA1A"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2.67%</w:t>
            </w:r>
          </w:p>
        </w:tc>
        <w:tc>
          <w:tcPr>
            <w:tcW w:w="3224" w:type="dxa"/>
            <w:shd w:val="clear" w:color="auto" w:fill="FFFFFF" w:themeFill="background1"/>
            <w:tcMar>
              <w:top w:w="15" w:type="dxa"/>
              <w:left w:w="53" w:type="dxa"/>
              <w:bottom w:w="0" w:type="dxa"/>
              <w:right w:w="53" w:type="dxa"/>
            </w:tcMar>
            <w:hideMark/>
          </w:tcPr>
          <w:p w14:paraId="5DDD9A93"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Fairly Satisfactory</w:t>
            </w:r>
          </w:p>
        </w:tc>
        <w:tc>
          <w:tcPr>
            <w:tcW w:w="1781" w:type="dxa"/>
            <w:shd w:val="clear" w:color="auto" w:fill="FFFFFF" w:themeFill="background1"/>
            <w:tcMar>
              <w:top w:w="15" w:type="dxa"/>
              <w:left w:w="53" w:type="dxa"/>
              <w:bottom w:w="0" w:type="dxa"/>
              <w:right w:w="53" w:type="dxa"/>
            </w:tcMar>
            <w:hideMark/>
          </w:tcPr>
          <w:p w14:paraId="197FDF28"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Passed</w:t>
            </w:r>
          </w:p>
        </w:tc>
      </w:tr>
      <w:tr w:rsidR="00C3670B" w:rsidRPr="00674AAC" w14:paraId="0F590A45" w14:textId="77777777" w:rsidTr="00F27AF1">
        <w:trPr>
          <w:trHeight w:val="163"/>
        </w:trPr>
        <w:tc>
          <w:tcPr>
            <w:tcW w:w="1358" w:type="dxa"/>
            <w:shd w:val="clear" w:color="auto" w:fill="FFFFFF" w:themeFill="background1"/>
            <w:tcMar>
              <w:top w:w="15" w:type="dxa"/>
              <w:left w:w="53" w:type="dxa"/>
              <w:bottom w:w="0" w:type="dxa"/>
              <w:right w:w="53" w:type="dxa"/>
            </w:tcMar>
            <w:hideMark/>
          </w:tcPr>
          <w:p w14:paraId="0923F32C"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bCs/>
                <w:sz w:val="24"/>
                <w:szCs w:val="24"/>
                <w:lang w:val="en-GB" w:eastAsia="en-PH"/>
              </w:rPr>
              <w:t>0-29</w:t>
            </w:r>
          </w:p>
        </w:tc>
        <w:tc>
          <w:tcPr>
            <w:tcW w:w="2328" w:type="dxa"/>
            <w:shd w:val="clear" w:color="auto" w:fill="FFFFFF" w:themeFill="background1"/>
            <w:tcMar>
              <w:top w:w="15" w:type="dxa"/>
              <w:left w:w="53" w:type="dxa"/>
              <w:bottom w:w="0" w:type="dxa"/>
              <w:right w:w="53" w:type="dxa"/>
            </w:tcMar>
            <w:hideMark/>
          </w:tcPr>
          <w:p w14:paraId="43349C0D"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val="en-GB" w:eastAsia="en-PH"/>
              </w:rPr>
              <w:t>145</w:t>
            </w:r>
          </w:p>
        </w:tc>
        <w:tc>
          <w:tcPr>
            <w:tcW w:w="2134" w:type="dxa"/>
            <w:gridSpan w:val="2"/>
            <w:shd w:val="clear" w:color="auto" w:fill="FFFFFF" w:themeFill="background1"/>
            <w:tcMar>
              <w:top w:w="15" w:type="dxa"/>
              <w:left w:w="53" w:type="dxa"/>
              <w:bottom w:w="0" w:type="dxa"/>
              <w:right w:w="53" w:type="dxa"/>
            </w:tcMar>
            <w:hideMark/>
          </w:tcPr>
          <w:p w14:paraId="545379FC"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96.67%</w:t>
            </w:r>
          </w:p>
        </w:tc>
        <w:tc>
          <w:tcPr>
            <w:tcW w:w="3224" w:type="dxa"/>
            <w:shd w:val="clear" w:color="auto" w:fill="FFFFFF" w:themeFill="background1"/>
            <w:tcMar>
              <w:top w:w="15" w:type="dxa"/>
              <w:left w:w="53" w:type="dxa"/>
              <w:bottom w:w="0" w:type="dxa"/>
              <w:right w:w="53" w:type="dxa"/>
            </w:tcMar>
            <w:hideMark/>
          </w:tcPr>
          <w:p w14:paraId="217B9B88"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Did Not Meet Expectation</w:t>
            </w:r>
          </w:p>
        </w:tc>
        <w:tc>
          <w:tcPr>
            <w:tcW w:w="1781" w:type="dxa"/>
            <w:shd w:val="clear" w:color="auto" w:fill="FFFFFF" w:themeFill="background1"/>
            <w:tcMar>
              <w:top w:w="15" w:type="dxa"/>
              <w:left w:w="53" w:type="dxa"/>
              <w:bottom w:w="0" w:type="dxa"/>
              <w:right w:w="53" w:type="dxa"/>
            </w:tcMar>
            <w:hideMark/>
          </w:tcPr>
          <w:p w14:paraId="1E0A61DC"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Failed</w:t>
            </w:r>
          </w:p>
        </w:tc>
      </w:tr>
      <w:tr w:rsidR="00C3670B" w:rsidRPr="00674AAC" w14:paraId="3DF5E02C" w14:textId="77777777" w:rsidTr="00F27AF1">
        <w:trPr>
          <w:trHeight w:val="199"/>
        </w:trPr>
        <w:tc>
          <w:tcPr>
            <w:tcW w:w="1358" w:type="dxa"/>
            <w:shd w:val="clear" w:color="auto" w:fill="FFFFFF" w:themeFill="background1"/>
            <w:tcMar>
              <w:top w:w="15" w:type="dxa"/>
              <w:left w:w="53" w:type="dxa"/>
              <w:bottom w:w="0" w:type="dxa"/>
              <w:right w:w="53" w:type="dxa"/>
            </w:tcMar>
            <w:hideMark/>
          </w:tcPr>
          <w:p w14:paraId="65EBA845" w14:textId="77777777" w:rsidR="00C3670B" w:rsidRPr="00674AAC" w:rsidRDefault="00C3670B" w:rsidP="00692424">
            <w:pPr>
              <w:spacing w:after="0" w:line="360" w:lineRule="auto"/>
              <w:jc w:val="center"/>
              <w:rPr>
                <w:rFonts w:ascii="Times New Roman" w:eastAsia="Times New Roman" w:hAnsi="Times New Roman" w:cs="Times New Roman"/>
                <w:b/>
                <w:sz w:val="24"/>
                <w:szCs w:val="24"/>
                <w:lang w:eastAsia="en-PH"/>
              </w:rPr>
            </w:pPr>
            <w:r w:rsidRPr="00674AAC">
              <w:rPr>
                <w:rFonts w:ascii="Times New Roman" w:eastAsia="Times New Roman" w:hAnsi="Times New Roman" w:cs="Times New Roman"/>
                <w:b/>
                <w:bCs/>
                <w:sz w:val="24"/>
                <w:szCs w:val="24"/>
                <w:lang w:val="en-GB" w:eastAsia="en-PH"/>
              </w:rPr>
              <w:t>Total</w:t>
            </w:r>
          </w:p>
        </w:tc>
        <w:tc>
          <w:tcPr>
            <w:tcW w:w="2328" w:type="dxa"/>
            <w:shd w:val="clear" w:color="auto" w:fill="FFFFFF" w:themeFill="background1"/>
            <w:tcMar>
              <w:top w:w="15" w:type="dxa"/>
              <w:left w:w="53" w:type="dxa"/>
              <w:bottom w:w="0" w:type="dxa"/>
              <w:right w:w="53" w:type="dxa"/>
            </w:tcMar>
            <w:hideMark/>
          </w:tcPr>
          <w:p w14:paraId="1CA3498B"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50</w:t>
            </w:r>
          </w:p>
        </w:tc>
        <w:tc>
          <w:tcPr>
            <w:tcW w:w="2134" w:type="dxa"/>
            <w:gridSpan w:val="2"/>
            <w:shd w:val="clear" w:color="auto" w:fill="FFFFFF" w:themeFill="background1"/>
            <w:tcMar>
              <w:top w:w="15" w:type="dxa"/>
              <w:left w:w="53" w:type="dxa"/>
              <w:bottom w:w="0" w:type="dxa"/>
              <w:right w:w="53" w:type="dxa"/>
            </w:tcMar>
            <w:hideMark/>
          </w:tcPr>
          <w:p w14:paraId="3F49113E"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c>
          <w:tcPr>
            <w:tcW w:w="3224" w:type="dxa"/>
            <w:shd w:val="clear" w:color="auto" w:fill="FFFFFF" w:themeFill="background1"/>
            <w:tcMar>
              <w:top w:w="15" w:type="dxa"/>
              <w:left w:w="53" w:type="dxa"/>
              <w:bottom w:w="0" w:type="dxa"/>
              <w:right w:w="53" w:type="dxa"/>
            </w:tcMar>
            <w:hideMark/>
          </w:tcPr>
          <w:p w14:paraId="712756C1"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c>
          <w:tcPr>
            <w:tcW w:w="1781" w:type="dxa"/>
            <w:shd w:val="clear" w:color="auto" w:fill="FFFFFF" w:themeFill="background1"/>
            <w:tcMar>
              <w:top w:w="15" w:type="dxa"/>
              <w:left w:w="53" w:type="dxa"/>
              <w:bottom w:w="0" w:type="dxa"/>
              <w:right w:w="53" w:type="dxa"/>
            </w:tcMar>
            <w:hideMark/>
          </w:tcPr>
          <w:p w14:paraId="0D382526"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p>
        </w:tc>
      </w:tr>
      <w:tr w:rsidR="00C3670B" w:rsidRPr="00674AAC" w14:paraId="1961C506" w14:textId="77777777" w:rsidTr="00C3670B">
        <w:trPr>
          <w:trHeight w:val="418"/>
        </w:trPr>
        <w:tc>
          <w:tcPr>
            <w:tcW w:w="1358" w:type="dxa"/>
            <w:shd w:val="clear" w:color="auto" w:fill="FFFFFF" w:themeFill="background1"/>
            <w:tcMar>
              <w:top w:w="15" w:type="dxa"/>
              <w:left w:w="53" w:type="dxa"/>
              <w:bottom w:w="0" w:type="dxa"/>
              <w:right w:w="53" w:type="dxa"/>
            </w:tcMar>
            <w:hideMark/>
          </w:tcPr>
          <w:p w14:paraId="1CA5C8C2" w14:textId="77777777" w:rsidR="00C3670B" w:rsidRPr="00674AAC" w:rsidRDefault="00C3670B" w:rsidP="00692424">
            <w:pPr>
              <w:spacing w:after="0" w:line="360" w:lineRule="auto"/>
              <w:jc w:val="center"/>
              <w:rPr>
                <w:rFonts w:ascii="Times New Roman" w:eastAsia="Times New Roman" w:hAnsi="Times New Roman" w:cs="Times New Roman"/>
                <w:b/>
                <w:sz w:val="24"/>
                <w:szCs w:val="24"/>
                <w:lang w:eastAsia="en-PH"/>
              </w:rPr>
            </w:pPr>
            <w:r w:rsidRPr="00674AAC">
              <w:rPr>
                <w:rFonts w:ascii="Times New Roman" w:eastAsia="Times New Roman" w:hAnsi="Times New Roman" w:cs="Times New Roman"/>
                <w:b/>
                <w:bCs/>
                <w:sz w:val="24"/>
                <w:szCs w:val="24"/>
                <w:lang w:val="en-GB" w:eastAsia="en-PH"/>
              </w:rPr>
              <w:t>Mean</w:t>
            </w:r>
          </w:p>
          <w:p w14:paraId="1F138CFA" w14:textId="77777777" w:rsidR="00C3670B" w:rsidRPr="00B4337F" w:rsidRDefault="00C3670B" w:rsidP="00692424">
            <w:pPr>
              <w:spacing w:after="0" w:line="360" w:lineRule="auto"/>
              <w:jc w:val="center"/>
              <w:rPr>
                <w:rFonts w:ascii="Calibri" w:hAnsi="Calibri" w:cs="Calibri"/>
                <w:color w:val="000000"/>
              </w:rPr>
            </w:pPr>
            <w:r>
              <w:rPr>
                <w:rFonts w:ascii="Calibri" w:hAnsi="Calibri" w:cs="Calibri"/>
                <w:color w:val="000000"/>
              </w:rPr>
              <w:t>0.24</w:t>
            </w:r>
          </w:p>
        </w:tc>
        <w:tc>
          <w:tcPr>
            <w:tcW w:w="3869" w:type="dxa"/>
            <w:gridSpan w:val="2"/>
            <w:shd w:val="clear" w:color="auto" w:fill="FFFFFF" w:themeFill="background1"/>
            <w:tcMar>
              <w:top w:w="15" w:type="dxa"/>
              <w:left w:w="53" w:type="dxa"/>
              <w:bottom w:w="0" w:type="dxa"/>
              <w:right w:w="53" w:type="dxa"/>
            </w:tcMar>
            <w:hideMark/>
          </w:tcPr>
          <w:p w14:paraId="4C1405C5" w14:textId="77777777" w:rsidR="00C3670B" w:rsidRPr="00674AAC" w:rsidRDefault="00C3670B" w:rsidP="00692424">
            <w:pPr>
              <w:spacing w:after="0" w:line="360" w:lineRule="auto"/>
              <w:jc w:val="center"/>
              <w:rPr>
                <w:rFonts w:ascii="Times New Roman" w:eastAsia="Times New Roman" w:hAnsi="Times New Roman" w:cs="Times New Roman"/>
                <w:b/>
                <w:sz w:val="24"/>
                <w:szCs w:val="24"/>
                <w:lang w:eastAsia="en-PH"/>
              </w:rPr>
            </w:pPr>
            <w:r w:rsidRPr="00674AAC">
              <w:rPr>
                <w:rFonts w:ascii="Times New Roman" w:eastAsia="Times New Roman" w:hAnsi="Times New Roman" w:cs="Times New Roman"/>
                <w:b/>
                <w:bCs/>
                <w:sz w:val="24"/>
                <w:szCs w:val="24"/>
                <w:lang w:val="en-GB" w:eastAsia="en-PH"/>
              </w:rPr>
              <w:t>Standard Deviation</w:t>
            </w:r>
          </w:p>
          <w:p w14:paraId="372E4430" w14:textId="77777777" w:rsidR="00C3670B" w:rsidRPr="00B4337F" w:rsidRDefault="00C3670B" w:rsidP="00692424">
            <w:pPr>
              <w:spacing w:after="0" w:line="360" w:lineRule="auto"/>
              <w:jc w:val="center"/>
              <w:rPr>
                <w:rFonts w:ascii="Calibri" w:hAnsi="Calibri" w:cs="Calibri"/>
                <w:color w:val="000000"/>
              </w:rPr>
            </w:pPr>
            <w:r>
              <w:rPr>
                <w:rFonts w:ascii="Calibri" w:hAnsi="Calibri" w:cs="Calibri"/>
                <w:color w:val="000000"/>
              </w:rPr>
              <w:t>0.04</w:t>
            </w:r>
          </w:p>
        </w:tc>
        <w:tc>
          <w:tcPr>
            <w:tcW w:w="3817" w:type="dxa"/>
            <w:gridSpan w:val="2"/>
            <w:shd w:val="clear" w:color="auto" w:fill="FFFFFF" w:themeFill="background1"/>
            <w:tcMar>
              <w:top w:w="15" w:type="dxa"/>
              <w:left w:w="53" w:type="dxa"/>
              <w:bottom w:w="0" w:type="dxa"/>
              <w:right w:w="53" w:type="dxa"/>
            </w:tcMar>
            <w:hideMark/>
          </w:tcPr>
          <w:p w14:paraId="04FAB551" w14:textId="77777777" w:rsidR="00C3670B" w:rsidRPr="00674AAC" w:rsidRDefault="00C3670B" w:rsidP="00692424">
            <w:pPr>
              <w:spacing w:after="0" w:line="360" w:lineRule="auto"/>
              <w:jc w:val="center"/>
              <w:rPr>
                <w:rFonts w:ascii="Times New Roman" w:eastAsia="Times New Roman" w:hAnsi="Times New Roman" w:cs="Times New Roman"/>
                <w:b/>
                <w:sz w:val="24"/>
                <w:szCs w:val="24"/>
                <w:lang w:eastAsia="en-PH"/>
              </w:rPr>
            </w:pPr>
            <w:r w:rsidRPr="00674AAC">
              <w:rPr>
                <w:rFonts w:ascii="Times New Roman" w:eastAsia="Times New Roman" w:hAnsi="Times New Roman" w:cs="Times New Roman"/>
                <w:b/>
                <w:bCs/>
                <w:sz w:val="24"/>
                <w:szCs w:val="24"/>
                <w:lang w:val="en-GB" w:eastAsia="en-PH"/>
              </w:rPr>
              <w:t>Interpretation</w:t>
            </w:r>
          </w:p>
          <w:p w14:paraId="210A89AB" w14:textId="77777777" w:rsidR="00C3670B" w:rsidRPr="00674AAC" w:rsidRDefault="00C3670B" w:rsidP="00692424">
            <w:pPr>
              <w:spacing w:after="0" w:line="360" w:lineRule="auto"/>
              <w:jc w:val="center"/>
              <w:rPr>
                <w:rFonts w:ascii="Times New Roman" w:eastAsia="Times New Roman" w:hAnsi="Times New Roman" w:cs="Times New Roman"/>
                <w:sz w:val="24"/>
                <w:szCs w:val="24"/>
                <w:lang w:eastAsia="en-PH"/>
              </w:rPr>
            </w:pPr>
            <w:r w:rsidRPr="00674AAC">
              <w:rPr>
                <w:rFonts w:ascii="Times New Roman" w:eastAsia="Times New Roman" w:hAnsi="Times New Roman" w:cs="Times New Roman"/>
                <w:sz w:val="24"/>
                <w:szCs w:val="24"/>
                <w:lang w:val="en-GB" w:eastAsia="en-PH"/>
              </w:rPr>
              <w:t>Did Not Meet Expectation</w:t>
            </w:r>
          </w:p>
        </w:tc>
        <w:tc>
          <w:tcPr>
            <w:tcW w:w="1781" w:type="dxa"/>
            <w:shd w:val="clear" w:color="auto" w:fill="FFFFFF" w:themeFill="background1"/>
            <w:tcMar>
              <w:top w:w="15" w:type="dxa"/>
              <w:left w:w="53" w:type="dxa"/>
              <w:bottom w:w="0" w:type="dxa"/>
              <w:right w:w="53" w:type="dxa"/>
            </w:tcMar>
            <w:hideMark/>
          </w:tcPr>
          <w:p w14:paraId="2C50232A" w14:textId="77777777" w:rsidR="00C3670B" w:rsidRPr="00674AAC" w:rsidRDefault="00C3670B" w:rsidP="00692424">
            <w:pPr>
              <w:spacing w:after="0" w:line="360" w:lineRule="auto"/>
              <w:jc w:val="center"/>
              <w:rPr>
                <w:rFonts w:ascii="Times New Roman" w:eastAsia="Times New Roman" w:hAnsi="Times New Roman" w:cs="Times New Roman"/>
                <w:b/>
                <w:sz w:val="24"/>
                <w:szCs w:val="24"/>
                <w:lang w:eastAsia="en-PH"/>
              </w:rPr>
            </w:pPr>
            <w:r w:rsidRPr="00674AAC">
              <w:rPr>
                <w:rFonts w:ascii="Times New Roman" w:eastAsia="Times New Roman" w:hAnsi="Times New Roman" w:cs="Times New Roman"/>
                <w:b/>
                <w:bCs/>
                <w:sz w:val="24"/>
                <w:szCs w:val="24"/>
                <w:lang w:val="en-GB" w:eastAsia="en-PH"/>
              </w:rPr>
              <w:t>Failed</w:t>
            </w:r>
          </w:p>
        </w:tc>
      </w:tr>
    </w:tbl>
    <w:p w14:paraId="632357D2" w14:textId="77777777" w:rsidR="002600EA" w:rsidRDefault="002600EA" w:rsidP="002600EA">
      <w:pPr>
        <w:spacing w:after="0" w:line="240" w:lineRule="auto"/>
        <w:jc w:val="both"/>
        <w:rPr>
          <w:rFonts w:ascii="Times New Roman" w:hAnsi="Times New Roman" w:cs="Times New Roman"/>
          <w:sz w:val="24"/>
          <w:szCs w:val="24"/>
        </w:rPr>
      </w:pPr>
    </w:p>
    <w:p w14:paraId="75AD696D" w14:textId="65311379" w:rsidR="00C3670B" w:rsidRPr="003D414A" w:rsidRDefault="00C3670B" w:rsidP="00C3670B">
      <w:pPr>
        <w:spacing w:after="0" w:line="240" w:lineRule="auto"/>
        <w:jc w:val="both"/>
        <w:rPr>
          <w:rFonts w:ascii="Times New Roman" w:hAnsi="Times New Roman" w:cs="Times New Roman"/>
          <w:sz w:val="24"/>
          <w:szCs w:val="24"/>
        </w:rPr>
      </w:pPr>
      <w:r w:rsidRPr="003D414A">
        <w:rPr>
          <w:rFonts w:ascii="Times New Roman" w:hAnsi="Times New Roman" w:cs="Times New Roman"/>
          <w:sz w:val="24"/>
          <w:szCs w:val="24"/>
        </w:rPr>
        <w:t xml:space="preserve">Table </w:t>
      </w:r>
      <w:r w:rsidR="00576377">
        <w:rPr>
          <w:rFonts w:ascii="Times New Roman" w:hAnsi="Times New Roman" w:cs="Times New Roman"/>
          <w:sz w:val="24"/>
          <w:szCs w:val="24"/>
        </w:rPr>
        <w:t>3</w:t>
      </w:r>
      <w:r w:rsidRPr="003D414A">
        <w:rPr>
          <w:rFonts w:ascii="Times New Roman" w:hAnsi="Times New Roman" w:cs="Times New Roman"/>
          <w:sz w:val="24"/>
          <w:szCs w:val="24"/>
        </w:rPr>
        <w:t xml:space="preserve"> presents the summary of assessment results of the competency-based questionnaire administered to the 150 Grade 10 learners. A total of 145 learners fell within the 0–29 score range, four learners were in the 30–34 range, and one learner was in the 35–39 range, with no learners achieving higher performance levels. These results indicate that only four learners attained a Fairly Satisfactory level, while one learner reached a Satisfactory level and passed.</w:t>
      </w:r>
      <w:r w:rsidR="00576377">
        <w:rPr>
          <w:rFonts w:ascii="Times New Roman" w:hAnsi="Times New Roman" w:cs="Times New Roman"/>
          <w:sz w:val="24"/>
          <w:szCs w:val="24"/>
        </w:rPr>
        <w:t xml:space="preserve"> </w:t>
      </w:r>
      <w:r w:rsidRPr="003D414A">
        <w:rPr>
          <w:rFonts w:ascii="Times New Roman" w:hAnsi="Times New Roman" w:cs="Times New Roman"/>
          <w:sz w:val="24"/>
          <w:szCs w:val="24"/>
        </w:rPr>
        <w:t>The mean score of 0.24 and the standard deviation of 0.0</w:t>
      </w:r>
      <w:r>
        <w:rPr>
          <w:rFonts w:ascii="Times New Roman" w:hAnsi="Times New Roman" w:cs="Times New Roman"/>
          <w:sz w:val="24"/>
          <w:szCs w:val="24"/>
        </w:rPr>
        <w:t>4</w:t>
      </w:r>
      <w:r w:rsidRPr="003D414A">
        <w:rPr>
          <w:rFonts w:ascii="Times New Roman" w:hAnsi="Times New Roman" w:cs="Times New Roman"/>
          <w:sz w:val="24"/>
          <w:szCs w:val="24"/>
        </w:rPr>
        <w:t xml:space="preserve"> indicate that the learners generally demonstrated low competency mastery in chemical reactions, with relatively little variation in their performance. The majority of the learners did not meet the expected maste</w:t>
      </w:r>
      <w:r>
        <w:rPr>
          <w:rFonts w:ascii="Times New Roman" w:hAnsi="Times New Roman" w:cs="Times New Roman"/>
          <w:sz w:val="24"/>
          <w:szCs w:val="24"/>
        </w:rPr>
        <w:t>r competencies</w:t>
      </w:r>
      <w:r w:rsidRPr="003D414A">
        <w:rPr>
          <w:rFonts w:ascii="Times New Roman" w:hAnsi="Times New Roman" w:cs="Times New Roman"/>
          <w:sz w:val="24"/>
          <w:szCs w:val="24"/>
        </w:rPr>
        <w:t>, suggesting difficulties in the competencies covered by the questionnaire.</w:t>
      </w:r>
      <w:r w:rsidR="00576377">
        <w:rPr>
          <w:rFonts w:ascii="Times New Roman" w:hAnsi="Times New Roman" w:cs="Times New Roman"/>
          <w:sz w:val="24"/>
          <w:szCs w:val="24"/>
        </w:rPr>
        <w:t xml:space="preserve"> </w:t>
      </w:r>
      <w:r w:rsidRPr="003D414A">
        <w:rPr>
          <w:rFonts w:ascii="Times New Roman" w:hAnsi="Times New Roman" w:cs="Times New Roman"/>
          <w:sz w:val="24"/>
          <w:szCs w:val="24"/>
        </w:rPr>
        <w:t>These findings provide an initial overview of the learners’ competency mastery in chemical reactions and serve as a basis for determining the least mastered competencies among Grade 10 learners. The results further support the need to examine learners’ performance in each competency, as presented in the succeeding tables</w:t>
      </w:r>
    </w:p>
    <w:p w14:paraId="67718AE2" w14:textId="77777777" w:rsidR="00C3670B" w:rsidRDefault="00C3670B" w:rsidP="002600EA">
      <w:pPr>
        <w:spacing w:after="0" w:line="240" w:lineRule="auto"/>
        <w:jc w:val="both"/>
        <w:rPr>
          <w:rFonts w:ascii="Times New Roman" w:hAnsi="Times New Roman" w:cs="Times New Roman"/>
          <w:sz w:val="24"/>
          <w:szCs w:val="24"/>
        </w:rPr>
      </w:pPr>
    </w:p>
    <w:p w14:paraId="1CF8FA0A" w14:textId="6F8A40BD" w:rsidR="00A410F6" w:rsidRPr="00A47E01" w:rsidRDefault="00A410F6" w:rsidP="00A47E01">
      <w:pPr>
        <w:spacing w:after="0" w:line="240" w:lineRule="auto"/>
        <w:jc w:val="both"/>
        <w:rPr>
          <w:rFonts w:ascii="Times New Roman" w:hAnsi="Times New Roman" w:cs="Times New Roman"/>
          <w:b/>
          <w:bCs/>
          <w:sz w:val="24"/>
          <w:szCs w:val="24"/>
        </w:rPr>
      </w:pPr>
      <w:r w:rsidRPr="00A47E01">
        <w:rPr>
          <w:rFonts w:ascii="Times New Roman" w:hAnsi="Times New Roman" w:cs="Times New Roman"/>
          <w:b/>
          <w:bCs/>
          <w:sz w:val="24"/>
          <w:szCs w:val="24"/>
        </w:rPr>
        <w:t xml:space="preserve">Table </w:t>
      </w:r>
      <w:r w:rsidR="00576377">
        <w:rPr>
          <w:rFonts w:ascii="Times New Roman" w:hAnsi="Times New Roman" w:cs="Times New Roman"/>
          <w:b/>
          <w:bCs/>
          <w:sz w:val="24"/>
          <w:szCs w:val="24"/>
        </w:rPr>
        <w:t>4</w:t>
      </w:r>
    </w:p>
    <w:p w14:paraId="007C2109" w14:textId="0AC5312A" w:rsidR="00C3670B" w:rsidRPr="00576377" w:rsidRDefault="00C3670B" w:rsidP="00C3670B">
      <w:pPr>
        <w:spacing w:after="0" w:line="360" w:lineRule="auto"/>
        <w:jc w:val="both"/>
        <w:rPr>
          <w:rFonts w:ascii="Times New Roman" w:eastAsia="Times New Roman" w:hAnsi="Times New Roman" w:cs="Times New Roman"/>
          <w:iCs/>
          <w:sz w:val="24"/>
          <w:szCs w:val="24"/>
          <w:lang w:val="en-GB" w:eastAsia="en-PH"/>
        </w:rPr>
      </w:pPr>
      <w:r w:rsidRPr="00576377">
        <w:rPr>
          <w:rFonts w:ascii="Times New Roman" w:eastAsia="Times New Roman" w:hAnsi="Times New Roman" w:cs="Times New Roman"/>
          <w:iCs/>
          <w:sz w:val="24"/>
          <w:szCs w:val="24"/>
          <w:lang w:val="en-GB" w:eastAsia="en-PH"/>
        </w:rPr>
        <w:t xml:space="preserve">Overall Mastery of Competencies </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085"/>
        <w:gridCol w:w="4523"/>
        <w:gridCol w:w="2297"/>
        <w:gridCol w:w="2801"/>
      </w:tblGrid>
      <w:tr w:rsidR="00C3670B" w:rsidRPr="00674AAC" w14:paraId="09C1EED9" w14:textId="77777777" w:rsidTr="00F27AF1">
        <w:trPr>
          <w:trHeight w:val="383"/>
        </w:trPr>
        <w:tc>
          <w:tcPr>
            <w:tcW w:w="1085" w:type="dxa"/>
            <w:shd w:val="clear" w:color="auto" w:fill="FFFFFF" w:themeFill="background1"/>
            <w:tcMar>
              <w:top w:w="15" w:type="dxa"/>
              <w:left w:w="108" w:type="dxa"/>
              <w:bottom w:w="0" w:type="dxa"/>
              <w:right w:w="108" w:type="dxa"/>
            </w:tcMar>
            <w:hideMark/>
          </w:tcPr>
          <w:p w14:paraId="350BF4C4" w14:textId="77777777" w:rsidR="00C3670B" w:rsidRDefault="00C3670B" w:rsidP="00E05ACA">
            <w:pPr>
              <w:pStyle w:val="NoSpacing"/>
              <w:spacing w:line="360" w:lineRule="auto"/>
              <w:jc w:val="center"/>
              <w:rPr>
                <w:rFonts w:ascii="Times New Roman" w:hAnsi="Times New Roman" w:cs="Times New Roman"/>
                <w:b/>
                <w:sz w:val="24"/>
                <w:szCs w:val="24"/>
                <w:lang w:eastAsia="en-PH"/>
              </w:rPr>
            </w:pPr>
          </w:p>
          <w:p w14:paraId="26B9DA46" w14:textId="77777777" w:rsidR="00C3670B" w:rsidRPr="001B3A47" w:rsidRDefault="00C3670B" w:rsidP="00E05ACA">
            <w:pPr>
              <w:pStyle w:val="NoSpacing"/>
              <w:spacing w:line="360" w:lineRule="auto"/>
              <w:jc w:val="center"/>
              <w:rPr>
                <w:rFonts w:ascii="Times New Roman" w:hAnsi="Times New Roman" w:cs="Times New Roman"/>
                <w:b/>
                <w:sz w:val="24"/>
                <w:szCs w:val="24"/>
                <w:lang w:eastAsia="en-PH"/>
              </w:rPr>
            </w:pPr>
            <w:r w:rsidRPr="001B3A47">
              <w:rPr>
                <w:rFonts w:ascii="Times New Roman" w:hAnsi="Times New Roman" w:cs="Times New Roman"/>
                <w:b/>
                <w:sz w:val="24"/>
                <w:szCs w:val="24"/>
                <w:lang w:eastAsia="en-PH"/>
              </w:rPr>
              <w:t>Rank</w:t>
            </w:r>
          </w:p>
        </w:tc>
        <w:tc>
          <w:tcPr>
            <w:tcW w:w="4523" w:type="dxa"/>
            <w:shd w:val="clear" w:color="auto" w:fill="FFFFFF" w:themeFill="background1"/>
            <w:tcMar>
              <w:top w:w="15" w:type="dxa"/>
              <w:left w:w="108" w:type="dxa"/>
              <w:bottom w:w="0" w:type="dxa"/>
              <w:right w:w="108" w:type="dxa"/>
            </w:tcMar>
            <w:hideMark/>
          </w:tcPr>
          <w:p w14:paraId="42F770F4" w14:textId="77777777" w:rsidR="00C3670B" w:rsidRDefault="00C3670B" w:rsidP="00E05ACA">
            <w:pPr>
              <w:pStyle w:val="NoSpacing"/>
              <w:spacing w:line="360" w:lineRule="auto"/>
              <w:jc w:val="center"/>
              <w:rPr>
                <w:rFonts w:ascii="Times New Roman" w:hAnsi="Times New Roman" w:cs="Times New Roman"/>
                <w:b/>
                <w:sz w:val="24"/>
                <w:szCs w:val="24"/>
                <w:lang w:eastAsia="en-PH"/>
              </w:rPr>
            </w:pPr>
          </w:p>
          <w:p w14:paraId="29B527B5" w14:textId="77777777" w:rsidR="00C3670B" w:rsidRPr="001B3A47" w:rsidRDefault="00C3670B" w:rsidP="00E05ACA">
            <w:pPr>
              <w:pStyle w:val="NoSpacing"/>
              <w:spacing w:line="360" w:lineRule="auto"/>
              <w:jc w:val="center"/>
              <w:rPr>
                <w:rFonts w:ascii="Times New Roman" w:hAnsi="Times New Roman" w:cs="Times New Roman"/>
                <w:b/>
                <w:sz w:val="24"/>
                <w:szCs w:val="24"/>
                <w:lang w:eastAsia="en-PH"/>
              </w:rPr>
            </w:pPr>
            <w:r w:rsidRPr="001B3A47">
              <w:rPr>
                <w:rFonts w:ascii="Times New Roman" w:hAnsi="Times New Roman" w:cs="Times New Roman"/>
                <w:b/>
                <w:sz w:val="24"/>
                <w:szCs w:val="24"/>
                <w:lang w:eastAsia="en-PH"/>
              </w:rPr>
              <w:t>Topic</w:t>
            </w:r>
          </w:p>
        </w:tc>
        <w:tc>
          <w:tcPr>
            <w:tcW w:w="2297" w:type="dxa"/>
            <w:shd w:val="clear" w:color="auto" w:fill="FFFFFF" w:themeFill="background1"/>
            <w:tcMar>
              <w:top w:w="15" w:type="dxa"/>
              <w:left w:w="108" w:type="dxa"/>
              <w:bottom w:w="0" w:type="dxa"/>
              <w:right w:w="108" w:type="dxa"/>
            </w:tcMar>
            <w:hideMark/>
          </w:tcPr>
          <w:p w14:paraId="25C10B7E" w14:textId="77777777" w:rsidR="00C3670B" w:rsidRPr="001B3A47" w:rsidRDefault="00C3670B" w:rsidP="00E05ACA">
            <w:pPr>
              <w:pStyle w:val="NoSpacing"/>
              <w:spacing w:line="360" w:lineRule="auto"/>
              <w:jc w:val="center"/>
              <w:rPr>
                <w:rFonts w:ascii="Times New Roman" w:hAnsi="Times New Roman" w:cs="Times New Roman"/>
                <w:b/>
                <w:sz w:val="24"/>
                <w:szCs w:val="24"/>
                <w:lang w:eastAsia="en-PH"/>
              </w:rPr>
            </w:pPr>
            <w:r w:rsidRPr="001B3A47">
              <w:rPr>
                <w:rFonts w:ascii="Times New Roman" w:hAnsi="Times New Roman" w:cs="Times New Roman"/>
                <w:b/>
                <w:sz w:val="24"/>
                <w:szCs w:val="24"/>
                <w:lang w:eastAsia="en-PH"/>
              </w:rPr>
              <w:t>Mean Percentage Score</w:t>
            </w:r>
          </w:p>
        </w:tc>
        <w:tc>
          <w:tcPr>
            <w:tcW w:w="2801" w:type="dxa"/>
            <w:shd w:val="clear" w:color="auto" w:fill="FFFFFF" w:themeFill="background1"/>
            <w:tcMar>
              <w:top w:w="15" w:type="dxa"/>
              <w:left w:w="108" w:type="dxa"/>
              <w:bottom w:w="0" w:type="dxa"/>
              <w:right w:w="108" w:type="dxa"/>
            </w:tcMar>
            <w:hideMark/>
          </w:tcPr>
          <w:p w14:paraId="79E2B836" w14:textId="77777777" w:rsidR="00C3670B" w:rsidRPr="001B3A47" w:rsidRDefault="00C3670B" w:rsidP="00E05ACA">
            <w:pPr>
              <w:pStyle w:val="NoSpacing"/>
              <w:spacing w:line="360" w:lineRule="auto"/>
              <w:rPr>
                <w:rFonts w:ascii="Times New Roman" w:hAnsi="Times New Roman" w:cs="Times New Roman"/>
                <w:b/>
                <w:sz w:val="24"/>
                <w:szCs w:val="24"/>
                <w:lang w:eastAsia="en-PH"/>
              </w:rPr>
            </w:pPr>
            <w:r w:rsidRPr="001B3A47">
              <w:rPr>
                <w:rFonts w:ascii="Times New Roman" w:hAnsi="Times New Roman" w:cs="Times New Roman"/>
                <w:b/>
                <w:sz w:val="24"/>
                <w:szCs w:val="24"/>
                <w:lang w:eastAsia="en-PH"/>
              </w:rPr>
              <w:t>Descriptive Equivalent</w:t>
            </w:r>
          </w:p>
        </w:tc>
      </w:tr>
      <w:tr w:rsidR="00C3670B" w:rsidRPr="00674AAC" w14:paraId="615E4F27" w14:textId="77777777" w:rsidTr="00F27AF1">
        <w:trPr>
          <w:trHeight w:val="426"/>
        </w:trPr>
        <w:tc>
          <w:tcPr>
            <w:tcW w:w="1085" w:type="dxa"/>
            <w:shd w:val="clear" w:color="auto" w:fill="FFFFFF" w:themeFill="background1"/>
            <w:tcMar>
              <w:top w:w="15" w:type="dxa"/>
              <w:left w:w="108" w:type="dxa"/>
              <w:bottom w:w="0" w:type="dxa"/>
              <w:right w:w="108" w:type="dxa"/>
            </w:tcMar>
          </w:tcPr>
          <w:p w14:paraId="6FF4BECA" w14:textId="77777777" w:rsidR="00C3670B" w:rsidRPr="00D1625C" w:rsidRDefault="00C3670B" w:rsidP="00E05ACA">
            <w:pPr>
              <w:pStyle w:val="NoSpacing"/>
              <w:spacing w:line="360" w:lineRule="auto"/>
              <w:jc w:val="center"/>
              <w:rPr>
                <w:rFonts w:ascii="Times New Roman" w:hAnsi="Times New Roman" w:cs="Times New Roman"/>
                <w:sz w:val="24"/>
                <w:szCs w:val="24"/>
                <w:lang w:eastAsia="en-PH"/>
              </w:rPr>
            </w:pPr>
            <w:r w:rsidRPr="00D1625C">
              <w:rPr>
                <w:rFonts w:ascii="Times New Roman" w:hAnsi="Times New Roman" w:cs="Times New Roman"/>
                <w:sz w:val="24"/>
                <w:szCs w:val="24"/>
                <w:lang w:eastAsia="en-PH"/>
              </w:rPr>
              <w:t>1</w:t>
            </w:r>
          </w:p>
        </w:tc>
        <w:tc>
          <w:tcPr>
            <w:tcW w:w="4523" w:type="dxa"/>
            <w:shd w:val="clear" w:color="auto" w:fill="FFFFFF" w:themeFill="background1"/>
            <w:tcMar>
              <w:top w:w="15" w:type="dxa"/>
              <w:left w:w="108" w:type="dxa"/>
              <w:bottom w:w="0" w:type="dxa"/>
              <w:right w:w="108" w:type="dxa"/>
            </w:tcMar>
          </w:tcPr>
          <w:p w14:paraId="1B4841EC"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Balancing Chemical Equation</w:t>
            </w:r>
          </w:p>
        </w:tc>
        <w:tc>
          <w:tcPr>
            <w:tcW w:w="2297" w:type="dxa"/>
            <w:shd w:val="clear" w:color="auto" w:fill="FFFFFF" w:themeFill="background1"/>
            <w:tcMar>
              <w:top w:w="15" w:type="dxa"/>
              <w:left w:w="108" w:type="dxa"/>
              <w:bottom w:w="0" w:type="dxa"/>
              <w:right w:w="108" w:type="dxa"/>
            </w:tcMar>
          </w:tcPr>
          <w:p w14:paraId="3E15BBFF" w14:textId="77777777" w:rsidR="00C3670B" w:rsidRPr="00AD2FBB" w:rsidRDefault="00C3670B" w:rsidP="00E05ACA">
            <w:pPr>
              <w:spacing w:after="0" w:line="360" w:lineRule="auto"/>
              <w:jc w:val="center"/>
              <w:rPr>
                <w:rFonts w:ascii="Times New Roman" w:hAnsi="Times New Roman" w:cs="Times New Roman"/>
                <w:color w:val="000000"/>
                <w:sz w:val="24"/>
                <w:szCs w:val="24"/>
              </w:rPr>
            </w:pPr>
            <w:r w:rsidRPr="00AD2FBB">
              <w:rPr>
                <w:rFonts w:ascii="Times New Roman" w:hAnsi="Times New Roman" w:cs="Times New Roman"/>
                <w:color w:val="000000"/>
                <w:sz w:val="24"/>
                <w:szCs w:val="24"/>
              </w:rPr>
              <w:t>22.3</w:t>
            </w:r>
            <w:r>
              <w:rPr>
                <w:rFonts w:ascii="Times New Roman" w:hAnsi="Times New Roman" w:cs="Times New Roman"/>
                <w:color w:val="000000"/>
                <w:sz w:val="24"/>
                <w:szCs w:val="24"/>
              </w:rPr>
              <w:t>1</w:t>
            </w:r>
          </w:p>
        </w:tc>
        <w:tc>
          <w:tcPr>
            <w:tcW w:w="2801" w:type="dxa"/>
            <w:shd w:val="clear" w:color="auto" w:fill="FFFFFF" w:themeFill="background1"/>
            <w:tcMar>
              <w:top w:w="15" w:type="dxa"/>
              <w:left w:w="108" w:type="dxa"/>
              <w:bottom w:w="0" w:type="dxa"/>
              <w:right w:w="108" w:type="dxa"/>
            </w:tcMar>
          </w:tcPr>
          <w:p w14:paraId="62DA077E"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Low Mastery</w:t>
            </w:r>
          </w:p>
        </w:tc>
      </w:tr>
      <w:tr w:rsidR="00C3670B" w:rsidRPr="00674AAC" w14:paraId="4504D5BA" w14:textId="77777777" w:rsidTr="00F27AF1">
        <w:trPr>
          <w:trHeight w:val="689"/>
        </w:trPr>
        <w:tc>
          <w:tcPr>
            <w:tcW w:w="1085" w:type="dxa"/>
            <w:shd w:val="clear" w:color="auto" w:fill="FFFFFF" w:themeFill="background1"/>
            <w:tcMar>
              <w:top w:w="15" w:type="dxa"/>
              <w:left w:w="108" w:type="dxa"/>
              <w:bottom w:w="0" w:type="dxa"/>
              <w:right w:w="108" w:type="dxa"/>
            </w:tcMar>
            <w:hideMark/>
          </w:tcPr>
          <w:p w14:paraId="7A0F77F6" w14:textId="77777777" w:rsidR="00C3670B" w:rsidRPr="00D1625C" w:rsidRDefault="00C3670B" w:rsidP="00E05ACA">
            <w:pPr>
              <w:pStyle w:val="NoSpacing"/>
              <w:spacing w:line="360" w:lineRule="auto"/>
              <w:jc w:val="center"/>
              <w:rPr>
                <w:rFonts w:ascii="Times New Roman" w:hAnsi="Times New Roman" w:cs="Times New Roman"/>
                <w:sz w:val="24"/>
                <w:szCs w:val="24"/>
                <w:lang w:eastAsia="en-PH"/>
              </w:rPr>
            </w:pPr>
            <w:r w:rsidRPr="00D1625C">
              <w:rPr>
                <w:rFonts w:ascii="Times New Roman" w:hAnsi="Times New Roman" w:cs="Times New Roman"/>
                <w:sz w:val="24"/>
                <w:szCs w:val="24"/>
                <w:lang w:eastAsia="en-PH"/>
              </w:rPr>
              <w:t>2</w:t>
            </w:r>
          </w:p>
        </w:tc>
        <w:tc>
          <w:tcPr>
            <w:tcW w:w="4523" w:type="dxa"/>
            <w:shd w:val="clear" w:color="auto" w:fill="FFFFFF" w:themeFill="background1"/>
            <w:tcMar>
              <w:top w:w="15" w:type="dxa"/>
              <w:left w:w="108" w:type="dxa"/>
              <w:bottom w:w="0" w:type="dxa"/>
              <w:right w:w="108" w:type="dxa"/>
            </w:tcMar>
            <w:vAlign w:val="bottom"/>
            <w:hideMark/>
          </w:tcPr>
          <w:p w14:paraId="3E7A0EAE"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Type of Reaction</w:t>
            </w:r>
          </w:p>
        </w:tc>
        <w:tc>
          <w:tcPr>
            <w:tcW w:w="2297" w:type="dxa"/>
            <w:shd w:val="clear" w:color="auto" w:fill="FFFFFF" w:themeFill="background1"/>
            <w:tcMar>
              <w:top w:w="15" w:type="dxa"/>
              <w:left w:w="108" w:type="dxa"/>
              <w:bottom w:w="0" w:type="dxa"/>
              <w:right w:w="108" w:type="dxa"/>
            </w:tcMar>
            <w:vAlign w:val="bottom"/>
            <w:hideMark/>
          </w:tcPr>
          <w:p w14:paraId="6B91FBDB" w14:textId="77777777" w:rsidR="00C3670B" w:rsidRPr="00AD2FBB" w:rsidRDefault="00C3670B" w:rsidP="00E05ACA">
            <w:pPr>
              <w:spacing w:after="0" w:line="360" w:lineRule="auto"/>
              <w:jc w:val="center"/>
              <w:rPr>
                <w:rFonts w:ascii="Times New Roman" w:hAnsi="Times New Roman" w:cs="Times New Roman"/>
                <w:color w:val="000000"/>
                <w:sz w:val="24"/>
                <w:szCs w:val="24"/>
              </w:rPr>
            </w:pPr>
            <w:r w:rsidRPr="00AD2FBB">
              <w:rPr>
                <w:rFonts w:ascii="Times New Roman" w:hAnsi="Times New Roman" w:cs="Times New Roman"/>
                <w:color w:val="000000"/>
                <w:sz w:val="24"/>
                <w:szCs w:val="24"/>
              </w:rPr>
              <w:t>24.6</w:t>
            </w:r>
            <w:r>
              <w:rPr>
                <w:rFonts w:ascii="Times New Roman" w:hAnsi="Times New Roman" w:cs="Times New Roman"/>
                <w:color w:val="000000"/>
                <w:sz w:val="24"/>
                <w:szCs w:val="24"/>
              </w:rPr>
              <w:t>2</w:t>
            </w:r>
          </w:p>
        </w:tc>
        <w:tc>
          <w:tcPr>
            <w:tcW w:w="2801" w:type="dxa"/>
            <w:shd w:val="clear" w:color="auto" w:fill="FFFFFF" w:themeFill="background1"/>
            <w:tcMar>
              <w:top w:w="15" w:type="dxa"/>
              <w:left w:w="108" w:type="dxa"/>
              <w:bottom w:w="0" w:type="dxa"/>
              <w:right w:w="108" w:type="dxa"/>
            </w:tcMar>
            <w:hideMark/>
          </w:tcPr>
          <w:p w14:paraId="5A77E7CF"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Low Mastery</w:t>
            </w:r>
          </w:p>
        </w:tc>
      </w:tr>
      <w:tr w:rsidR="00C3670B" w:rsidRPr="00674AAC" w14:paraId="42471DBE" w14:textId="77777777" w:rsidTr="00F27AF1">
        <w:trPr>
          <w:trHeight w:val="510"/>
        </w:trPr>
        <w:tc>
          <w:tcPr>
            <w:tcW w:w="1085" w:type="dxa"/>
            <w:shd w:val="clear" w:color="auto" w:fill="FFFFFF" w:themeFill="background1"/>
            <w:tcMar>
              <w:top w:w="15" w:type="dxa"/>
              <w:left w:w="108" w:type="dxa"/>
              <w:bottom w:w="0" w:type="dxa"/>
              <w:right w:w="108" w:type="dxa"/>
            </w:tcMar>
            <w:hideMark/>
          </w:tcPr>
          <w:p w14:paraId="65881F21" w14:textId="77777777" w:rsidR="00C3670B" w:rsidRPr="00D1625C" w:rsidRDefault="00C3670B" w:rsidP="00E05ACA">
            <w:pPr>
              <w:pStyle w:val="NoSpacing"/>
              <w:spacing w:line="360" w:lineRule="auto"/>
              <w:jc w:val="center"/>
              <w:rPr>
                <w:rFonts w:ascii="Times New Roman" w:hAnsi="Times New Roman" w:cs="Times New Roman"/>
                <w:sz w:val="24"/>
                <w:szCs w:val="24"/>
                <w:lang w:eastAsia="en-PH"/>
              </w:rPr>
            </w:pPr>
            <w:r w:rsidRPr="00D1625C">
              <w:rPr>
                <w:rFonts w:ascii="Times New Roman" w:hAnsi="Times New Roman" w:cs="Times New Roman"/>
                <w:sz w:val="24"/>
                <w:szCs w:val="24"/>
                <w:lang w:eastAsia="en-PH"/>
              </w:rPr>
              <w:t>3</w:t>
            </w:r>
          </w:p>
        </w:tc>
        <w:tc>
          <w:tcPr>
            <w:tcW w:w="4523" w:type="dxa"/>
            <w:shd w:val="clear" w:color="auto" w:fill="FFFFFF" w:themeFill="background1"/>
            <w:tcMar>
              <w:top w:w="15" w:type="dxa"/>
              <w:left w:w="108" w:type="dxa"/>
              <w:bottom w:w="0" w:type="dxa"/>
              <w:right w:w="108" w:type="dxa"/>
            </w:tcMar>
            <w:vAlign w:val="bottom"/>
            <w:hideMark/>
          </w:tcPr>
          <w:p w14:paraId="321F17AC"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Examples of Chemical Reaction</w:t>
            </w:r>
          </w:p>
        </w:tc>
        <w:tc>
          <w:tcPr>
            <w:tcW w:w="2297" w:type="dxa"/>
            <w:shd w:val="clear" w:color="auto" w:fill="FFFFFF" w:themeFill="background1"/>
            <w:tcMar>
              <w:top w:w="15" w:type="dxa"/>
              <w:left w:w="108" w:type="dxa"/>
              <w:bottom w:w="0" w:type="dxa"/>
              <w:right w:w="108" w:type="dxa"/>
            </w:tcMar>
            <w:vAlign w:val="bottom"/>
            <w:hideMark/>
          </w:tcPr>
          <w:p w14:paraId="6DDBDD6D" w14:textId="77777777" w:rsidR="00C3670B" w:rsidRPr="00AD2FBB" w:rsidRDefault="00C3670B" w:rsidP="00E05ACA">
            <w:pPr>
              <w:spacing w:after="0" w:line="360" w:lineRule="auto"/>
              <w:jc w:val="center"/>
              <w:rPr>
                <w:rFonts w:ascii="Times New Roman" w:hAnsi="Times New Roman" w:cs="Times New Roman"/>
                <w:color w:val="000000"/>
                <w:sz w:val="24"/>
                <w:szCs w:val="24"/>
              </w:rPr>
            </w:pPr>
            <w:r w:rsidRPr="00AD2FBB">
              <w:rPr>
                <w:rFonts w:ascii="Times New Roman" w:hAnsi="Times New Roman" w:cs="Times New Roman"/>
                <w:color w:val="000000"/>
                <w:sz w:val="24"/>
                <w:szCs w:val="24"/>
              </w:rPr>
              <w:t>24.6</w:t>
            </w:r>
            <w:r>
              <w:rPr>
                <w:rFonts w:ascii="Times New Roman" w:hAnsi="Times New Roman" w:cs="Times New Roman"/>
                <w:color w:val="000000"/>
                <w:sz w:val="24"/>
                <w:szCs w:val="24"/>
              </w:rPr>
              <w:t>7</w:t>
            </w:r>
          </w:p>
        </w:tc>
        <w:tc>
          <w:tcPr>
            <w:tcW w:w="2801" w:type="dxa"/>
            <w:shd w:val="clear" w:color="auto" w:fill="FFFFFF" w:themeFill="background1"/>
            <w:tcMar>
              <w:top w:w="15" w:type="dxa"/>
              <w:left w:w="108" w:type="dxa"/>
              <w:bottom w:w="0" w:type="dxa"/>
              <w:right w:w="108" w:type="dxa"/>
            </w:tcMar>
            <w:hideMark/>
          </w:tcPr>
          <w:p w14:paraId="26CA846D"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Low Mastery</w:t>
            </w:r>
          </w:p>
        </w:tc>
      </w:tr>
      <w:tr w:rsidR="00C3670B" w:rsidRPr="00674AAC" w14:paraId="7F0226CD" w14:textId="77777777" w:rsidTr="00F27AF1">
        <w:trPr>
          <w:trHeight w:val="691"/>
        </w:trPr>
        <w:tc>
          <w:tcPr>
            <w:tcW w:w="1085" w:type="dxa"/>
            <w:shd w:val="clear" w:color="auto" w:fill="FFFFFF" w:themeFill="background1"/>
            <w:tcMar>
              <w:top w:w="15" w:type="dxa"/>
              <w:left w:w="108" w:type="dxa"/>
              <w:bottom w:w="0" w:type="dxa"/>
              <w:right w:w="108" w:type="dxa"/>
            </w:tcMar>
          </w:tcPr>
          <w:p w14:paraId="3D4CDB30" w14:textId="77777777" w:rsidR="00C3670B" w:rsidRPr="00D1625C" w:rsidRDefault="00C3670B" w:rsidP="00E05ACA">
            <w:pPr>
              <w:pStyle w:val="NoSpacing"/>
              <w:spacing w:line="360" w:lineRule="auto"/>
              <w:jc w:val="center"/>
              <w:rPr>
                <w:rFonts w:ascii="Times New Roman" w:hAnsi="Times New Roman" w:cs="Times New Roman"/>
                <w:sz w:val="24"/>
                <w:szCs w:val="24"/>
                <w:lang w:eastAsia="en-PH"/>
              </w:rPr>
            </w:pPr>
            <w:r w:rsidRPr="00D1625C">
              <w:rPr>
                <w:rFonts w:ascii="Times New Roman" w:hAnsi="Times New Roman" w:cs="Times New Roman"/>
                <w:sz w:val="24"/>
                <w:szCs w:val="24"/>
                <w:lang w:eastAsia="en-PH"/>
              </w:rPr>
              <w:t>4</w:t>
            </w:r>
          </w:p>
        </w:tc>
        <w:tc>
          <w:tcPr>
            <w:tcW w:w="4523" w:type="dxa"/>
            <w:shd w:val="clear" w:color="auto" w:fill="FFFFFF" w:themeFill="background1"/>
            <w:tcMar>
              <w:top w:w="15" w:type="dxa"/>
              <w:left w:w="108" w:type="dxa"/>
              <w:bottom w:w="0" w:type="dxa"/>
              <w:right w:w="108" w:type="dxa"/>
            </w:tcMar>
            <w:vAlign w:val="bottom"/>
          </w:tcPr>
          <w:p w14:paraId="4881A01F"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Conservation of Mass</w:t>
            </w:r>
          </w:p>
        </w:tc>
        <w:tc>
          <w:tcPr>
            <w:tcW w:w="2297" w:type="dxa"/>
            <w:shd w:val="clear" w:color="auto" w:fill="FFFFFF" w:themeFill="background1"/>
            <w:tcMar>
              <w:top w:w="15" w:type="dxa"/>
              <w:left w:w="108" w:type="dxa"/>
              <w:bottom w:w="0" w:type="dxa"/>
              <w:right w:w="108" w:type="dxa"/>
            </w:tcMar>
            <w:vAlign w:val="bottom"/>
          </w:tcPr>
          <w:p w14:paraId="2FE89D61" w14:textId="77777777" w:rsidR="00C3670B" w:rsidRPr="00AD2FBB" w:rsidRDefault="00C3670B" w:rsidP="00E05ACA">
            <w:pPr>
              <w:spacing w:after="0" w:line="360" w:lineRule="auto"/>
              <w:jc w:val="center"/>
              <w:rPr>
                <w:rFonts w:ascii="Times New Roman" w:hAnsi="Times New Roman" w:cs="Times New Roman"/>
                <w:color w:val="000000"/>
                <w:sz w:val="24"/>
                <w:szCs w:val="24"/>
              </w:rPr>
            </w:pPr>
            <w:r w:rsidRPr="00AD2FBB">
              <w:rPr>
                <w:rFonts w:ascii="Times New Roman" w:hAnsi="Times New Roman" w:cs="Times New Roman"/>
                <w:color w:val="000000"/>
                <w:sz w:val="24"/>
                <w:szCs w:val="24"/>
              </w:rPr>
              <w:t>25.07</w:t>
            </w:r>
          </w:p>
        </w:tc>
        <w:tc>
          <w:tcPr>
            <w:tcW w:w="2801" w:type="dxa"/>
            <w:shd w:val="clear" w:color="auto" w:fill="FFFFFF" w:themeFill="background1"/>
            <w:tcMar>
              <w:top w:w="15" w:type="dxa"/>
              <w:left w:w="108" w:type="dxa"/>
              <w:bottom w:w="0" w:type="dxa"/>
              <w:right w:w="108" w:type="dxa"/>
            </w:tcMar>
          </w:tcPr>
          <w:p w14:paraId="09EA5D18" w14:textId="77777777" w:rsidR="00C3670B" w:rsidRPr="00D1625C" w:rsidRDefault="00C3670B" w:rsidP="00E05ACA">
            <w:pPr>
              <w:pStyle w:val="NoSpacing"/>
              <w:spacing w:line="360" w:lineRule="auto"/>
              <w:rPr>
                <w:rFonts w:ascii="Times New Roman" w:hAnsi="Times New Roman" w:cs="Times New Roman"/>
                <w:sz w:val="24"/>
                <w:szCs w:val="24"/>
                <w:lang w:eastAsia="en-PH"/>
              </w:rPr>
            </w:pPr>
            <w:r w:rsidRPr="00D1625C">
              <w:rPr>
                <w:rFonts w:ascii="Times New Roman" w:hAnsi="Times New Roman" w:cs="Times New Roman"/>
                <w:sz w:val="24"/>
                <w:szCs w:val="24"/>
                <w:lang w:eastAsia="en-PH"/>
              </w:rPr>
              <w:t>Average Mastery</w:t>
            </w:r>
          </w:p>
        </w:tc>
      </w:tr>
    </w:tbl>
    <w:p w14:paraId="1EFA7B5A" w14:textId="77777777" w:rsidR="00A410F6" w:rsidRDefault="00A410F6" w:rsidP="00A410F6">
      <w:pPr>
        <w:pStyle w:val="NoSpacing"/>
        <w:spacing w:line="360" w:lineRule="auto"/>
        <w:jc w:val="both"/>
        <w:rPr>
          <w:rFonts w:ascii="Times New Roman" w:hAnsi="Times New Roman" w:cs="Times New Roman"/>
          <w:b/>
          <w:sz w:val="24"/>
          <w:szCs w:val="24"/>
        </w:rPr>
      </w:pPr>
    </w:p>
    <w:p w14:paraId="425505A1" w14:textId="3B252892" w:rsidR="00F27AF1" w:rsidRPr="00740500" w:rsidRDefault="00F27AF1" w:rsidP="00F27AF1">
      <w:pPr>
        <w:spacing w:after="0" w:line="240" w:lineRule="auto"/>
        <w:jc w:val="both"/>
        <w:rPr>
          <w:rFonts w:ascii="Times New Roman" w:hAnsi="Times New Roman" w:cs="Times New Roman"/>
          <w:sz w:val="24"/>
          <w:szCs w:val="24"/>
        </w:rPr>
      </w:pPr>
      <w:r w:rsidRPr="000B010A">
        <w:rPr>
          <w:rFonts w:ascii="Times New Roman" w:hAnsi="Times New Roman" w:cs="Times New Roman"/>
          <w:sz w:val="24"/>
          <w:szCs w:val="24"/>
        </w:rPr>
        <w:t xml:space="preserve">Table </w:t>
      </w:r>
      <w:r w:rsidR="00576377">
        <w:rPr>
          <w:rFonts w:ascii="Times New Roman" w:hAnsi="Times New Roman" w:cs="Times New Roman"/>
          <w:sz w:val="24"/>
          <w:szCs w:val="24"/>
        </w:rPr>
        <w:t>4</w:t>
      </w:r>
      <w:r w:rsidRPr="000B010A">
        <w:rPr>
          <w:rFonts w:ascii="Times New Roman" w:hAnsi="Times New Roman" w:cs="Times New Roman"/>
          <w:sz w:val="24"/>
          <w:szCs w:val="24"/>
        </w:rPr>
        <w:t xml:space="preserve"> presents the mastery of competencies in chemical reactions based on the learners’ Mean Percentage Scores (MPS). Among the four competencies assessed, Balancing Chemical Equations obtained the lowest MPS of 22.31, which is interpreted as Low Mastery. This indicates that the learners experienced the greatest difficulty in this competency compared with the other competencies included in the assessment. Therefore, Balancing Chemical Equations was determined to be the least mastered competency among Grade 10 learners.</w:t>
      </w:r>
      <w:r>
        <w:rPr>
          <w:rFonts w:ascii="Times New Roman" w:hAnsi="Times New Roman" w:cs="Times New Roman"/>
          <w:sz w:val="24"/>
          <w:szCs w:val="24"/>
        </w:rPr>
        <w:t xml:space="preserve"> </w:t>
      </w:r>
      <w:r w:rsidRPr="000B010A">
        <w:rPr>
          <w:rFonts w:ascii="Times New Roman" w:hAnsi="Times New Roman" w:cs="Times New Roman"/>
          <w:sz w:val="24"/>
          <w:szCs w:val="24"/>
        </w:rPr>
        <w:t>This finding supports the study of Taber (2013)</w:t>
      </w:r>
      <w:r w:rsidR="00DF26F5">
        <w:rPr>
          <w:rFonts w:ascii="Times New Roman" w:hAnsi="Times New Roman" w:cs="Times New Roman"/>
          <w:sz w:val="24"/>
          <w:szCs w:val="24"/>
        </w:rPr>
        <w:t xml:space="preserve"> [12]</w:t>
      </w:r>
      <w:r w:rsidRPr="000B010A">
        <w:rPr>
          <w:rFonts w:ascii="Times New Roman" w:hAnsi="Times New Roman" w:cs="Times New Roman"/>
          <w:sz w:val="24"/>
          <w:szCs w:val="24"/>
        </w:rPr>
        <w:t xml:space="preserve">, who reported that learners commonly struggle with balancing chemical equations because the competency requires understanding the symbolic representation of chemical reactions and the principle of conservation of matter. Similarly, Johnstone (2000) </w:t>
      </w:r>
      <w:r w:rsidR="00DF26F5">
        <w:rPr>
          <w:rFonts w:ascii="Times New Roman" w:hAnsi="Times New Roman" w:cs="Times New Roman"/>
          <w:sz w:val="24"/>
          <w:szCs w:val="24"/>
        </w:rPr>
        <w:t xml:space="preserve">[4] </w:t>
      </w:r>
      <w:r w:rsidRPr="000B010A">
        <w:rPr>
          <w:rFonts w:ascii="Times New Roman" w:hAnsi="Times New Roman" w:cs="Times New Roman"/>
          <w:sz w:val="24"/>
          <w:szCs w:val="24"/>
        </w:rPr>
        <w:t xml:space="preserve">explained that chemistry concepts are often difficult for learners because they involve abstract ideas that require learners to connect macroscopic </w:t>
      </w:r>
      <w:r w:rsidRPr="000B010A">
        <w:rPr>
          <w:rFonts w:ascii="Times New Roman" w:hAnsi="Times New Roman" w:cs="Times New Roman"/>
          <w:sz w:val="24"/>
          <w:szCs w:val="24"/>
        </w:rPr>
        <w:lastRenderedPageBreak/>
        <w:t>observations, microscopic particles, and symbolic representations simultaneously.</w:t>
      </w:r>
      <w:r>
        <w:rPr>
          <w:rFonts w:ascii="Times New Roman" w:hAnsi="Times New Roman" w:cs="Times New Roman"/>
          <w:sz w:val="24"/>
          <w:szCs w:val="24"/>
        </w:rPr>
        <w:t xml:space="preserve"> </w:t>
      </w:r>
      <w:r w:rsidRPr="000B010A">
        <w:rPr>
          <w:rFonts w:ascii="Times New Roman" w:hAnsi="Times New Roman" w:cs="Times New Roman"/>
          <w:sz w:val="24"/>
          <w:szCs w:val="24"/>
        </w:rPr>
        <w:t>The competencies Types of Reaction and Examples of Chemical Reaction obtained MPS values of 24.62 and 24.67, respectively, both interpreted as Low Mastery. These results suggest that learners encountered difficulties in recognizing, classifying, and interpreting chemical reactions. The findings are consistent with Nakhleh (1992)</w:t>
      </w:r>
      <w:r w:rsidR="00DF26F5">
        <w:rPr>
          <w:rFonts w:ascii="Times New Roman" w:hAnsi="Times New Roman" w:cs="Times New Roman"/>
          <w:sz w:val="24"/>
          <w:szCs w:val="24"/>
        </w:rPr>
        <w:t xml:space="preserve"> [8]</w:t>
      </w:r>
      <w:r w:rsidRPr="000B010A">
        <w:rPr>
          <w:rFonts w:ascii="Times New Roman" w:hAnsi="Times New Roman" w:cs="Times New Roman"/>
          <w:sz w:val="24"/>
          <w:szCs w:val="24"/>
        </w:rPr>
        <w:t>, who found that misconceptions and incomplete conceptual understanding often affect learners’ performance in chemistry. Learners may recognize individual reactions but experience difficulty when required to classify them according to scientific principles and characteristics.</w:t>
      </w:r>
      <w:r>
        <w:rPr>
          <w:rFonts w:ascii="Times New Roman" w:hAnsi="Times New Roman" w:cs="Times New Roman"/>
          <w:sz w:val="24"/>
          <w:szCs w:val="24"/>
        </w:rPr>
        <w:t xml:space="preserve"> </w:t>
      </w:r>
      <w:r w:rsidRPr="000B010A">
        <w:rPr>
          <w:rFonts w:ascii="Times New Roman" w:hAnsi="Times New Roman" w:cs="Times New Roman"/>
          <w:sz w:val="24"/>
          <w:szCs w:val="24"/>
        </w:rPr>
        <w:t>Meanwhile, Conservation of Mass obtained the highest MPS of 25.07, with a descriptive equivalent of Average Mastery. This indicates that learners demonstrated relatively better performance in this competency compared with the other competencies assessed. Although this competency showed the highest mastery level, the result suggests that learners still have room for improvement in their understanding of the concept. According to Chang and Goldsby (2014)</w:t>
      </w:r>
      <w:r w:rsidR="00DF26F5">
        <w:rPr>
          <w:rFonts w:ascii="Times New Roman" w:hAnsi="Times New Roman" w:cs="Times New Roman"/>
          <w:sz w:val="24"/>
          <w:szCs w:val="24"/>
        </w:rPr>
        <w:t xml:space="preserve"> [3]</w:t>
      </w:r>
      <w:r w:rsidRPr="000B010A">
        <w:rPr>
          <w:rFonts w:ascii="Times New Roman" w:hAnsi="Times New Roman" w:cs="Times New Roman"/>
          <w:sz w:val="24"/>
          <w:szCs w:val="24"/>
        </w:rPr>
        <w:t>, understanding the law of conservation of mass is fundamental to learning chemical reactions and serves as a basis for balancing chemical equations and explaining chemical transformations.</w:t>
      </w:r>
      <w:r>
        <w:rPr>
          <w:rFonts w:ascii="Times New Roman" w:hAnsi="Times New Roman" w:cs="Times New Roman"/>
          <w:sz w:val="24"/>
          <w:szCs w:val="24"/>
        </w:rPr>
        <w:t xml:space="preserve"> </w:t>
      </w:r>
      <w:r w:rsidRPr="00740500">
        <w:rPr>
          <w:rFonts w:ascii="Times New Roman" w:hAnsi="Times New Roman" w:cs="Times New Roman"/>
          <w:sz w:val="24"/>
          <w:szCs w:val="24"/>
        </w:rPr>
        <w:t>Overall, the results show that most of the competencies were characterized by low mastery levels. The findings suggest that learners experience varying degrees of difficulty across the competencies in chemical reactions. This observation supports the findings of Martin and Mullis</w:t>
      </w:r>
      <w:r w:rsidR="00C5744B">
        <w:rPr>
          <w:rFonts w:ascii="Times New Roman" w:hAnsi="Times New Roman" w:cs="Times New Roman"/>
          <w:sz w:val="24"/>
          <w:szCs w:val="24"/>
        </w:rPr>
        <w:t xml:space="preserve"> </w:t>
      </w:r>
      <w:r w:rsidRPr="00740500">
        <w:rPr>
          <w:rFonts w:ascii="Times New Roman" w:hAnsi="Times New Roman" w:cs="Times New Roman"/>
          <w:sz w:val="24"/>
          <w:szCs w:val="24"/>
        </w:rPr>
        <w:t>(2013)</w:t>
      </w:r>
      <w:r w:rsidR="00C5744B">
        <w:rPr>
          <w:rFonts w:ascii="Times New Roman" w:hAnsi="Times New Roman" w:cs="Times New Roman"/>
          <w:sz w:val="24"/>
          <w:szCs w:val="24"/>
        </w:rPr>
        <w:t xml:space="preserve"> [6]</w:t>
      </w:r>
      <w:r w:rsidRPr="00740500">
        <w:rPr>
          <w:rFonts w:ascii="Times New Roman" w:hAnsi="Times New Roman" w:cs="Times New Roman"/>
          <w:sz w:val="24"/>
          <w:szCs w:val="24"/>
        </w:rPr>
        <w:t>, who reported that learners generally perform better in knowledge-based competencies than in competencies requiring application, reasoning, and conceptual understanding. Likewise, Bybee and McCrae (2011)</w:t>
      </w:r>
      <w:r w:rsidR="00DF26F5">
        <w:rPr>
          <w:rFonts w:ascii="Times New Roman" w:hAnsi="Times New Roman" w:cs="Times New Roman"/>
          <w:sz w:val="24"/>
          <w:szCs w:val="24"/>
        </w:rPr>
        <w:t xml:space="preserve"> [2], </w:t>
      </w:r>
      <w:r w:rsidRPr="00740500">
        <w:rPr>
          <w:rFonts w:ascii="Times New Roman" w:hAnsi="Times New Roman" w:cs="Times New Roman"/>
          <w:sz w:val="24"/>
          <w:szCs w:val="24"/>
        </w:rPr>
        <w:t xml:space="preserve">emphasized that learners often demonstrate lower performance in science competencies that require analysis, reasoning, and the application of scientific knowledge. </w:t>
      </w:r>
      <w:r w:rsidR="00C5744B">
        <w:rPr>
          <w:rFonts w:ascii="Times New Roman" w:hAnsi="Times New Roman" w:cs="Times New Roman"/>
          <w:sz w:val="24"/>
          <w:szCs w:val="24"/>
        </w:rPr>
        <w:t xml:space="preserve"> </w:t>
      </w:r>
    </w:p>
    <w:p w14:paraId="52C5D238" w14:textId="77777777" w:rsidR="00F27AF1" w:rsidRDefault="00F27AF1" w:rsidP="00F27AF1">
      <w:pPr>
        <w:spacing w:after="0" w:line="360" w:lineRule="auto"/>
        <w:rPr>
          <w:rFonts w:ascii="Times New Roman" w:hAnsi="Times New Roman" w:cs="Times New Roman"/>
          <w:b/>
          <w:bCs/>
          <w:sz w:val="24"/>
          <w:szCs w:val="24"/>
        </w:rPr>
      </w:pPr>
    </w:p>
    <w:p w14:paraId="27ED03FD" w14:textId="520E66D2" w:rsidR="00584A46" w:rsidRDefault="00C5065C" w:rsidP="00584A46">
      <w:pPr>
        <w:spacing w:after="0" w:line="240" w:lineRule="auto"/>
        <w:rPr>
          <w:rFonts w:ascii="Times New Roman" w:hAnsi="Times New Roman" w:cs="Times New Roman"/>
          <w:b/>
          <w:bCs/>
          <w:sz w:val="28"/>
          <w:szCs w:val="28"/>
        </w:rPr>
      </w:pPr>
      <w:r w:rsidRPr="008E2999">
        <w:rPr>
          <w:rFonts w:ascii="Times New Roman" w:hAnsi="Times New Roman" w:cs="Times New Roman"/>
          <w:b/>
          <w:bCs/>
          <w:sz w:val="28"/>
          <w:szCs w:val="28"/>
        </w:rPr>
        <w:t>CONCLUSION</w:t>
      </w:r>
    </w:p>
    <w:p w14:paraId="5F8A6959" w14:textId="753907CC" w:rsidR="00F27AF1" w:rsidRPr="006B1F43" w:rsidRDefault="00133433" w:rsidP="00584A46">
      <w:pPr>
        <w:spacing w:after="0" w:line="240" w:lineRule="auto"/>
        <w:jc w:val="both"/>
        <w:rPr>
          <w:rFonts w:ascii="Times New Roman" w:hAnsi="Times New Roman" w:cs="Times New Roman"/>
          <w:sz w:val="24"/>
          <w:szCs w:val="24"/>
        </w:rPr>
      </w:pPr>
      <w:r w:rsidRPr="007D2A93">
        <w:rPr>
          <w:rFonts w:ascii="Times New Roman" w:hAnsi="Times New Roman" w:cs="Times New Roman"/>
          <w:sz w:val="24"/>
          <w:szCs w:val="24"/>
        </w:rPr>
        <w:t>Based on the findings</w:t>
      </w:r>
      <w:r w:rsidR="00F27AF1">
        <w:rPr>
          <w:rFonts w:ascii="Times New Roman" w:hAnsi="Times New Roman" w:cs="Times New Roman"/>
          <w:sz w:val="24"/>
          <w:szCs w:val="24"/>
        </w:rPr>
        <w:t xml:space="preserve">, the study </w:t>
      </w:r>
      <w:r w:rsidR="00F27AF1" w:rsidRPr="006B1F43">
        <w:rPr>
          <w:rFonts w:ascii="Times New Roman" w:hAnsi="Times New Roman" w:cs="Times New Roman"/>
          <w:sz w:val="24"/>
          <w:szCs w:val="24"/>
        </w:rPr>
        <w:t>revealed that Balancing Chemical Equations was the least mastered competency among the Grade 10 learners. The competencies on Types of Reaction and Examples of Chemical Reactions were likewise characterized by low mastery, while Conservation of Mass demonstrated the highest level of mastery among the competencies assessed. These findings indicate that learners experienced varying levels of difficulty in understanding and applying the competencies in chemical reactions.</w:t>
      </w:r>
    </w:p>
    <w:p w14:paraId="2401DA5D" w14:textId="77777777" w:rsidR="00F27AF1" w:rsidRDefault="00F27AF1" w:rsidP="00F27AF1">
      <w:pPr>
        <w:spacing w:after="0" w:line="240" w:lineRule="auto"/>
        <w:jc w:val="both"/>
        <w:rPr>
          <w:rFonts w:ascii="Times New Roman" w:hAnsi="Times New Roman" w:cs="Times New Roman"/>
          <w:sz w:val="24"/>
          <w:szCs w:val="24"/>
        </w:rPr>
      </w:pPr>
    </w:p>
    <w:p w14:paraId="5BF85ED6" w14:textId="00504F61" w:rsidR="00F27AF1" w:rsidRPr="006B1F43" w:rsidRDefault="00F27AF1" w:rsidP="00F27AF1">
      <w:pPr>
        <w:spacing w:after="0" w:line="240" w:lineRule="auto"/>
        <w:jc w:val="both"/>
        <w:rPr>
          <w:rFonts w:ascii="Times New Roman" w:hAnsi="Times New Roman" w:cs="Times New Roman"/>
          <w:sz w:val="24"/>
          <w:szCs w:val="24"/>
        </w:rPr>
      </w:pPr>
      <w:r w:rsidRPr="006B1F43">
        <w:rPr>
          <w:rFonts w:ascii="Times New Roman" w:hAnsi="Times New Roman" w:cs="Times New Roman"/>
          <w:sz w:val="24"/>
          <w:szCs w:val="24"/>
        </w:rPr>
        <w:t xml:space="preserve">Moreover, the results showed a significant difference in the performance of Grade 10 learners among the competencies in chemical reactions, indicating that the learners did not demonstrate the same level of mastery in all competencies. </w:t>
      </w:r>
      <w:r>
        <w:rPr>
          <w:rFonts w:ascii="Times New Roman" w:hAnsi="Times New Roman" w:cs="Times New Roman"/>
          <w:sz w:val="24"/>
          <w:szCs w:val="24"/>
        </w:rPr>
        <w:t xml:space="preserve">Hence, the researcher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have enough evidence to accept the null hypothesis. </w:t>
      </w:r>
    </w:p>
    <w:p w14:paraId="31790A1B" w14:textId="77777777" w:rsidR="00F27AF1" w:rsidRDefault="00F27AF1" w:rsidP="00F27AF1">
      <w:pPr>
        <w:spacing w:after="0" w:line="240" w:lineRule="auto"/>
        <w:jc w:val="both"/>
        <w:rPr>
          <w:rFonts w:ascii="Times New Roman" w:hAnsi="Times New Roman" w:cs="Times New Roman"/>
          <w:sz w:val="24"/>
          <w:szCs w:val="24"/>
        </w:rPr>
      </w:pPr>
    </w:p>
    <w:p w14:paraId="625B19F9" w14:textId="7622D602" w:rsidR="00F27AF1" w:rsidRPr="006B1F43" w:rsidRDefault="00F27AF1" w:rsidP="00F27AF1">
      <w:pPr>
        <w:spacing w:after="0" w:line="240" w:lineRule="auto"/>
        <w:jc w:val="both"/>
        <w:rPr>
          <w:rFonts w:ascii="Times New Roman" w:hAnsi="Times New Roman" w:cs="Times New Roman"/>
          <w:sz w:val="24"/>
          <w:szCs w:val="24"/>
        </w:rPr>
      </w:pPr>
      <w:r w:rsidRPr="006B1F43">
        <w:rPr>
          <w:rFonts w:ascii="Times New Roman" w:hAnsi="Times New Roman" w:cs="Times New Roman"/>
          <w:sz w:val="24"/>
          <w:szCs w:val="24"/>
        </w:rPr>
        <w:t>In conclusion, the study successfully determined the least mastered competencies in chemical reactions among Grade 10 learners and provided valuable information regarding their competency mastery in the identified areas of chemistry.</w:t>
      </w:r>
    </w:p>
    <w:p w14:paraId="0DBC0DD8" w14:textId="5C004451" w:rsidR="00C5065C" w:rsidRPr="00980246" w:rsidRDefault="00C5065C" w:rsidP="00F27AF1">
      <w:pPr>
        <w:spacing w:after="0" w:line="240" w:lineRule="auto"/>
        <w:jc w:val="both"/>
        <w:rPr>
          <w:rFonts w:ascii="Times New Roman" w:hAnsi="Times New Roman" w:cs="Times New Roman"/>
          <w:sz w:val="24"/>
          <w:szCs w:val="24"/>
        </w:rPr>
      </w:pPr>
    </w:p>
    <w:p w14:paraId="0EE1AFC3" w14:textId="762A4591" w:rsidR="00F27AF1" w:rsidRDefault="00C5065C" w:rsidP="00F27AF1">
      <w:pPr>
        <w:spacing w:line="240" w:lineRule="auto"/>
        <w:rPr>
          <w:rFonts w:ascii="Times New Roman" w:hAnsi="Times New Roman" w:cs="Times New Roman"/>
          <w:b/>
          <w:bCs/>
          <w:sz w:val="28"/>
          <w:szCs w:val="28"/>
        </w:rPr>
      </w:pPr>
      <w:r w:rsidRPr="008E2999">
        <w:rPr>
          <w:rFonts w:ascii="Times New Roman" w:hAnsi="Times New Roman" w:cs="Times New Roman"/>
          <w:b/>
          <w:bCs/>
          <w:sz w:val="28"/>
          <w:szCs w:val="28"/>
        </w:rPr>
        <w:t>RECOMMENDATION</w:t>
      </w:r>
    </w:p>
    <w:p w14:paraId="24183E92" w14:textId="6F1189D5" w:rsidR="00F27AF1" w:rsidRPr="00F27AF1" w:rsidRDefault="00133433" w:rsidP="00F27AF1">
      <w:pPr>
        <w:spacing w:after="0" w:line="240" w:lineRule="auto"/>
        <w:jc w:val="both"/>
        <w:rPr>
          <w:rFonts w:ascii="Times New Roman" w:hAnsi="Times New Roman" w:cs="Times New Roman"/>
          <w:b/>
          <w:bCs/>
          <w:sz w:val="28"/>
          <w:szCs w:val="28"/>
        </w:rPr>
      </w:pPr>
      <w:r w:rsidRPr="00F27AF1">
        <w:rPr>
          <w:rFonts w:ascii="Times New Roman" w:hAnsi="Times New Roman" w:cs="Times New Roman"/>
          <w:sz w:val="24"/>
          <w:szCs w:val="24"/>
        </w:rPr>
        <w:t xml:space="preserve">Based on the findings of this study, </w:t>
      </w:r>
      <w:r w:rsidR="00F27AF1" w:rsidRPr="00F27AF1">
        <w:rPr>
          <w:rFonts w:ascii="Times New Roman" w:hAnsi="Times New Roman" w:cs="Times New Roman"/>
          <w:sz w:val="24"/>
          <w:szCs w:val="24"/>
        </w:rPr>
        <w:t xml:space="preserve">Chemistry teachers may give additional emphasis to competencies that demonstrated low mastery, particularly Balancing Chemical Equations, Types of Reaction, and Examples of Chemical Reactions, to enhance learners’ understanding of chemical reactions. </w:t>
      </w:r>
    </w:p>
    <w:p w14:paraId="75D54EF0" w14:textId="77777777" w:rsidR="00F27AF1" w:rsidRDefault="00F27AF1" w:rsidP="00F27AF1">
      <w:pPr>
        <w:spacing w:after="0" w:line="240" w:lineRule="auto"/>
        <w:jc w:val="both"/>
        <w:rPr>
          <w:rFonts w:ascii="Times New Roman" w:hAnsi="Times New Roman" w:cs="Times New Roman"/>
          <w:sz w:val="24"/>
          <w:szCs w:val="24"/>
        </w:rPr>
      </w:pPr>
    </w:p>
    <w:p w14:paraId="51251ABD" w14:textId="7F7991A4" w:rsidR="00F27AF1" w:rsidRPr="00F27AF1" w:rsidRDefault="00F27AF1" w:rsidP="00F27AF1">
      <w:pPr>
        <w:spacing w:after="0" w:line="240" w:lineRule="auto"/>
        <w:jc w:val="both"/>
        <w:rPr>
          <w:rFonts w:ascii="Times New Roman" w:hAnsi="Times New Roman" w:cs="Times New Roman"/>
          <w:sz w:val="24"/>
          <w:szCs w:val="24"/>
        </w:rPr>
      </w:pPr>
      <w:r w:rsidRPr="00F27AF1">
        <w:rPr>
          <w:rFonts w:ascii="Times New Roman" w:hAnsi="Times New Roman" w:cs="Times New Roman"/>
          <w:sz w:val="24"/>
          <w:szCs w:val="24"/>
        </w:rPr>
        <w:t xml:space="preserve">School administrators and curriculum planners may utilize the findings of the study as a basis for monitoring learners’ competency mastery and supporting the improvement of chemistry instruction. </w:t>
      </w:r>
    </w:p>
    <w:p w14:paraId="724C3F50" w14:textId="77777777" w:rsidR="00F27AF1" w:rsidRDefault="00F27AF1" w:rsidP="00F27AF1">
      <w:pPr>
        <w:spacing w:after="0" w:line="240" w:lineRule="auto"/>
        <w:jc w:val="both"/>
        <w:rPr>
          <w:rFonts w:ascii="Times New Roman" w:hAnsi="Times New Roman" w:cs="Times New Roman"/>
          <w:sz w:val="24"/>
          <w:szCs w:val="24"/>
        </w:rPr>
      </w:pPr>
    </w:p>
    <w:p w14:paraId="177FAB3D" w14:textId="134251E3" w:rsidR="00F27AF1" w:rsidRPr="00F27AF1" w:rsidRDefault="00F27AF1" w:rsidP="00F27AF1">
      <w:pPr>
        <w:spacing w:after="0" w:line="240" w:lineRule="auto"/>
        <w:jc w:val="both"/>
        <w:rPr>
          <w:rFonts w:ascii="Times New Roman" w:hAnsi="Times New Roman" w:cs="Times New Roman"/>
          <w:sz w:val="24"/>
          <w:szCs w:val="24"/>
        </w:rPr>
      </w:pPr>
      <w:r w:rsidRPr="00F27AF1">
        <w:rPr>
          <w:rFonts w:ascii="Times New Roman" w:hAnsi="Times New Roman" w:cs="Times New Roman"/>
          <w:sz w:val="24"/>
          <w:szCs w:val="24"/>
        </w:rPr>
        <w:t xml:space="preserve">The competency-based questionnaire developed in this study may be used, adapted, or further validated by teachers and researchers for assessing learners’ competencies in chemical reactions. </w:t>
      </w:r>
    </w:p>
    <w:p w14:paraId="308414C3" w14:textId="77777777" w:rsidR="00F27AF1" w:rsidRDefault="00F27AF1" w:rsidP="00F27AF1">
      <w:pPr>
        <w:spacing w:after="0" w:line="240" w:lineRule="auto"/>
        <w:jc w:val="both"/>
        <w:rPr>
          <w:rFonts w:ascii="Times New Roman" w:hAnsi="Times New Roman" w:cs="Times New Roman"/>
          <w:sz w:val="24"/>
          <w:szCs w:val="24"/>
        </w:rPr>
      </w:pPr>
    </w:p>
    <w:p w14:paraId="17D91030" w14:textId="7225D5B2" w:rsidR="00F27AF1" w:rsidRDefault="00F27AF1" w:rsidP="00F27AF1">
      <w:pPr>
        <w:spacing w:after="0" w:line="240" w:lineRule="auto"/>
        <w:jc w:val="both"/>
        <w:rPr>
          <w:rFonts w:ascii="Times New Roman" w:hAnsi="Times New Roman" w:cs="Times New Roman"/>
          <w:sz w:val="24"/>
          <w:szCs w:val="24"/>
        </w:rPr>
      </w:pPr>
      <w:r w:rsidRPr="00F27AF1">
        <w:rPr>
          <w:rFonts w:ascii="Times New Roman" w:hAnsi="Times New Roman" w:cs="Times New Roman"/>
          <w:sz w:val="24"/>
          <w:szCs w:val="24"/>
        </w:rPr>
        <w:t>Future researchers may conduct similar studies involving larger populations, different grade levels, and other chemistry topics to further examine learners’ competency mastery and compare results across various contexts.</w:t>
      </w:r>
    </w:p>
    <w:p w14:paraId="4074107F" w14:textId="77777777" w:rsidR="00F27AF1" w:rsidRPr="00F27AF1" w:rsidRDefault="00F27AF1" w:rsidP="00F27AF1">
      <w:pPr>
        <w:spacing w:after="0" w:line="360" w:lineRule="auto"/>
        <w:jc w:val="both"/>
        <w:rPr>
          <w:rFonts w:ascii="Times New Roman" w:hAnsi="Times New Roman" w:cs="Times New Roman"/>
          <w:sz w:val="24"/>
          <w:szCs w:val="24"/>
        </w:rPr>
      </w:pPr>
    </w:p>
    <w:p w14:paraId="53172F0A" w14:textId="77777777" w:rsidR="004131E4" w:rsidRDefault="004131E4" w:rsidP="00F27AF1">
      <w:pPr>
        <w:spacing w:after="0" w:line="240" w:lineRule="auto"/>
        <w:jc w:val="both"/>
        <w:rPr>
          <w:rFonts w:ascii="Times New Roman" w:hAnsi="Times New Roman" w:cs="Times New Roman"/>
          <w:b/>
          <w:bCs/>
          <w:sz w:val="28"/>
          <w:szCs w:val="28"/>
        </w:rPr>
      </w:pPr>
    </w:p>
    <w:p w14:paraId="7BA8F8AE" w14:textId="77777777" w:rsidR="004131E4" w:rsidRDefault="004131E4" w:rsidP="00F27AF1">
      <w:pPr>
        <w:spacing w:after="0" w:line="240" w:lineRule="auto"/>
        <w:jc w:val="both"/>
        <w:rPr>
          <w:rFonts w:ascii="Times New Roman" w:hAnsi="Times New Roman" w:cs="Times New Roman"/>
          <w:b/>
          <w:bCs/>
          <w:sz w:val="28"/>
          <w:szCs w:val="28"/>
        </w:rPr>
      </w:pPr>
    </w:p>
    <w:p w14:paraId="210EF3D9" w14:textId="77777777" w:rsidR="004131E4" w:rsidRDefault="004131E4" w:rsidP="00F27AF1">
      <w:pPr>
        <w:spacing w:after="0" w:line="240" w:lineRule="auto"/>
        <w:jc w:val="both"/>
        <w:rPr>
          <w:rFonts w:ascii="Times New Roman" w:hAnsi="Times New Roman" w:cs="Times New Roman"/>
          <w:b/>
          <w:bCs/>
          <w:sz w:val="28"/>
          <w:szCs w:val="28"/>
        </w:rPr>
      </w:pPr>
    </w:p>
    <w:p w14:paraId="69F37A9D" w14:textId="1C591889" w:rsidR="00F53C5F" w:rsidRPr="008E2999" w:rsidRDefault="00F53C5F" w:rsidP="00F27AF1">
      <w:pPr>
        <w:spacing w:after="0" w:line="240" w:lineRule="auto"/>
        <w:jc w:val="both"/>
        <w:rPr>
          <w:rFonts w:ascii="Times New Roman" w:hAnsi="Times New Roman" w:cs="Times New Roman"/>
          <w:b/>
          <w:bCs/>
          <w:sz w:val="28"/>
          <w:szCs w:val="28"/>
        </w:rPr>
      </w:pPr>
      <w:r w:rsidRPr="008E2999">
        <w:rPr>
          <w:rFonts w:ascii="Times New Roman" w:hAnsi="Times New Roman" w:cs="Times New Roman"/>
          <w:b/>
          <w:bCs/>
          <w:sz w:val="28"/>
          <w:szCs w:val="28"/>
        </w:rPr>
        <w:lastRenderedPageBreak/>
        <w:t>ACKNOWLEDGEMENT</w:t>
      </w:r>
    </w:p>
    <w:p w14:paraId="75128468" w14:textId="77777777"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The researcher sincerely acknowledges the invaluable contributions, support, and assistance of the individuals and institutions who made the successful completion of this study possible.</w:t>
      </w:r>
    </w:p>
    <w:p w14:paraId="626E81AA" w14:textId="43CCF694" w:rsidR="00F53C5F" w:rsidRPr="009802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 xml:space="preserve">Special appreciation is extended to the Grade </w:t>
      </w:r>
      <w:r w:rsidR="00F27AF1">
        <w:rPr>
          <w:rFonts w:ascii="Times New Roman" w:hAnsi="Times New Roman" w:cs="Times New Roman"/>
          <w:sz w:val="24"/>
          <w:szCs w:val="24"/>
        </w:rPr>
        <w:t>10</w:t>
      </w:r>
      <w:r w:rsidRPr="00980246">
        <w:rPr>
          <w:rFonts w:ascii="Times New Roman" w:hAnsi="Times New Roman" w:cs="Times New Roman"/>
          <w:sz w:val="24"/>
          <w:szCs w:val="24"/>
        </w:rPr>
        <w:t xml:space="preserve"> </w:t>
      </w:r>
      <w:r w:rsidR="00584A46">
        <w:rPr>
          <w:rFonts w:ascii="Times New Roman" w:hAnsi="Times New Roman" w:cs="Times New Roman"/>
          <w:sz w:val="24"/>
          <w:szCs w:val="24"/>
        </w:rPr>
        <w:t>learners</w:t>
      </w:r>
      <w:r w:rsidRPr="00980246">
        <w:rPr>
          <w:rFonts w:ascii="Times New Roman" w:hAnsi="Times New Roman" w:cs="Times New Roman"/>
          <w:sz w:val="24"/>
          <w:szCs w:val="24"/>
        </w:rPr>
        <w:t xml:space="preserve"> who participated in this study. Their willingness to share their time, effort, and responses provided the necessary data and valuable insights that significantly contributed to the accomplishment of this research.</w:t>
      </w:r>
    </w:p>
    <w:p w14:paraId="793E1D4B" w14:textId="77777777" w:rsidR="00584A46" w:rsidRDefault="00F53C5F" w:rsidP="00980246">
      <w:pPr>
        <w:spacing w:line="240" w:lineRule="auto"/>
        <w:jc w:val="both"/>
        <w:rPr>
          <w:rFonts w:ascii="Times New Roman" w:hAnsi="Times New Roman" w:cs="Times New Roman"/>
          <w:sz w:val="24"/>
          <w:szCs w:val="24"/>
        </w:rPr>
      </w:pPr>
      <w:r w:rsidRPr="00980246">
        <w:rPr>
          <w:rFonts w:ascii="Times New Roman" w:hAnsi="Times New Roman" w:cs="Times New Roman"/>
          <w:sz w:val="24"/>
          <w:szCs w:val="24"/>
        </w:rPr>
        <w:t>Above all, the researcher offers heartfelt gratitude to Almighty God for His endless guidance, wisdom, strength, and blessings throughout the conduct of this study. His divine providence sustained the researcher through every challenge and made the successful completion of this work possible. To Him be all the glory, honor, and praise.</w:t>
      </w:r>
    </w:p>
    <w:p w14:paraId="291E2025" w14:textId="4338E88C" w:rsidR="00F53C5F" w:rsidRPr="00584A46" w:rsidRDefault="00F53C5F" w:rsidP="00980246">
      <w:pPr>
        <w:spacing w:line="240" w:lineRule="auto"/>
        <w:jc w:val="both"/>
        <w:rPr>
          <w:rFonts w:ascii="Times New Roman" w:hAnsi="Times New Roman" w:cs="Times New Roman"/>
          <w:sz w:val="24"/>
          <w:szCs w:val="24"/>
        </w:rPr>
      </w:pPr>
      <w:r w:rsidRPr="008E2999">
        <w:rPr>
          <w:rFonts w:ascii="Times New Roman" w:hAnsi="Times New Roman" w:cs="Times New Roman"/>
          <w:b/>
          <w:bCs/>
          <w:sz w:val="28"/>
          <w:szCs w:val="28"/>
        </w:rPr>
        <w:t>REFERENCES</w:t>
      </w:r>
    </w:p>
    <w:p w14:paraId="7F8A5B12" w14:textId="019492B2" w:rsidR="005C77B4" w:rsidRDefault="005C77B4" w:rsidP="005C77B4">
      <w:pPr>
        <w:pStyle w:val="NoSpacing"/>
        <w:numPr>
          <w:ilvl w:val="0"/>
          <w:numId w:val="9"/>
        </w:numPr>
        <w:spacing w:line="276" w:lineRule="auto"/>
        <w:jc w:val="both"/>
        <w:rPr>
          <w:rFonts w:ascii="Times New Roman" w:hAnsi="Times New Roman" w:cs="Times New Roman"/>
          <w:bCs/>
          <w:sz w:val="24"/>
          <w:szCs w:val="24"/>
        </w:rPr>
      </w:pPr>
      <w:r w:rsidRPr="009A285C">
        <w:rPr>
          <w:rFonts w:ascii="Times New Roman" w:hAnsi="Times New Roman" w:cs="Times New Roman"/>
          <w:bCs/>
          <w:sz w:val="24"/>
          <w:szCs w:val="24"/>
        </w:rPr>
        <w:t xml:space="preserve">Bloom, B. S., Engelhart, M. D., Furst, E. J., Hill, W. H., &amp; Krathwohl, D. R. (1956). </w:t>
      </w:r>
      <w:r w:rsidRPr="009A285C">
        <w:rPr>
          <w:rFonts w:ascii="Times New Roman" w:hAnsi="Times New Roman" w:cs="Times New Roman"/>
          <w:bCs/>
          <w:i/>
          <w:iCs/>
          <w:sz w:val="24"/>
          <w:szCs w:val="24"/>
        </w:rPr>
        <w:t>Taxonomy</w:t>
      </w:r>
      <w:r>
        <w:rPr>
          <w:rFonts w:ascii="Times New Roman" w:hAnsi="Times New Roman" w:cs="Times New Roman"/>
          <w:bCs/>
          <w:i/>
          <w:iCs/>
          <w:sz w:val="24"/>
          <w:szCs w:val="24"/>
        </w:rPr>
        <w:tab/>
      </w:r>
      <w:r w:rsidRPr="009A285C">
        <w:rPr>
          <w:rFonts w:ascii="Times New Roman" w:hAnsi="Times New Roman" w:cs="Times New Roman"/>
          <w:bCs/>
          <w:i/>
          <w:iCs/>
          <w:sz w:val="24"/>
          <w:szCs w:val="24"/>
        </w:rPr>
        <w:t>of educational objectives: The classification of educational goals. Handbook I:</w:t>
      </w:r>
      <w:r>
        <w:rPr>
          <w:rFonts w:ascii="Times New Roman" w:hAnsi="Times New Roman" w:cs="Times New Roman"/>
          <w:bCs/>
          <w:i/>
          <w:iCs/>
          <w:sz w:val="24"/>
          <w:szCs w:val="24"/>
        </w:rPr>
        <w:tab/>
      </w:r>
      <w:r w:rsidRPr="009A285C">
        <w:rPr>
          <w:rFonts w:ascii="Times New Roman" w:hAnsi="Times New Roman" w:cs="Times New Roman"/>
          <w:bCs/>
          <w:i/>
          <w:iCs/>
          <w:sz w:val="24"/>
          <w:szCs w:val="24"/>
        </w:rPr>
        <w:t>Cognitive domain</w:t>
      </w:r>
      <w:r w:rsidRPr="009A285C">
        <w:rPr>
          <w:rFonts w:ascii="Times New Roman" w:hAnsi="Times New Roman" w:cs="Times New Roman"/>
          <w:bCs/>
          <w:sz w:val="24"/>
          <w:szCs w:val="24"/>
        </w:rPr>
        <w:t>. Longmans, Green and Co.</w:t>
      </w:r>
    </w:p>
    <w:p w14:paraId="79D4B513" w14:textId="77777777" w:rsidR="005C77B4" w:rsidRPr="00241D58" w:rsidRDefault="005C77B4" w:rsidP="005C77B4">
      <w:pPr>
        <w:pStyle w:val="NoSpacing"/>
        <w:spacing w:line="276" w:lineRule="auto"/>
        <w:jc w:val="both"/>
        <w:rPr>
          <w:rFonts w:ascii="Times New Roman" w:hAnsi="Times New Roman" w:cs="Times New Roman"/>
          <w:bCs/>
          <w:sz w:val="24"/>
          <w:szCs w:val="24"/>
        </w:rPr>
      </w:pPr>
    </w:p>
    <w:p w14:paraId="70339DB3" w14:textId="2420BC12" w:rsidR="005C77B4" w:rsidRDefault="005C77B4" w:rsidP="005C77B4">
      <w:pPr>
        <w:pStyle w:val="NoSpacing"/>
        <w:numPr>
          <w:ilvl w:val="0"/>
          <w:numId w:val="9"/>
        </w:numPr>
        <w:spacing w:line="276" w:lineRule="auto"/>
        <w:jc w:val="both"/>
        <w:rPr>
          <w:rFonts w:ascii="Times New Roman" w:hAnsi="Times New Roman" w:cs="Times New Roman"/>
          <w:bCs/>
          <w:sz w:val="24"/>
          <w:szCs w:val="24"/>
        </w:rPr>
      </w:pPr>
      <w:r w:rsidRPr="009A285C">
        <w:rPr>
          <w:rFonts w:ascii="Times New Roman" w:hAnsi="Times New Roman" w:cs="Times New Roman"/>
          <w:bCs/>
          <w:sz w:val="24"/>
          <w:szCs w:val="24"/>
        </w:rPr>
        <w:t>Bybee, R. W., &amp; McCrae, B. (2011). Scientific literacy and student attitudes: Perspectives from</w:t>
      </w:r>
      <w:r>
        <w:rPr>
          <w:rFonts w:ascii="Times New Roman" w:hAnsi="Times New Roman" w:cs="Times New Roman"/>
          <w:bCs/>
          <w:sz w:val="24"/>
          <w:szCs w:val="24"/>
        </w:rPr>
        <w:tab/>
      </w:r>
      <w:r w:rsidRPr="009A285C">
        <w:rPr>
          <w:rFonts w:ascii="Times New Roman" w:hAnsi="Times New Roman" w:cs="Times New Roman"/>
          <w:bCs/>
          <w:sz w:val="24"/>
          <w:szCs w:val="24"/>
        </w:rPr>
        <w:t xml:space="preserve">PISA 2006 science. </w:t>
      </w:r>
      <w:r w:rsidRPr="009A285C">
        <w:rPr>
          <w:rFonts w:ascii="Times New Roman" w:hAnsi="Times New Roman" w:cs="Times New Roman"/>
          <w:bCs/>
          <w:i/>
          <w:iCs/>
          <w:sz w:val="24"/>
          <w:szCs w:val="24"/>
        </w:rPr>
        <w:t>International Journal of Science Education, 33</w:t>
      </w:r>
      <w:r w:rsidRPr="009A285C">
        <w:rPr>
          <w:rFonts w:ascii="Times New Roman" w:hAnsi="Times New Roman" w:cs="Times New Roman"/>
          <w:bCs/>
          <w:sz w:val="24"/>
          <w:szCs w:val="24"/>
        </w:rPr>
        <w:t>(1), 7–26.</w:t>
      </w:r>
      <w:r>
        <w:rPr>
          <w:rFonts w:ascii="Times New Roman" w:hAnsi="Times New Roman" w:cs="Times New Roman"/>
          <w:bCs/>
          <w:sz w:val="24"/>
          <w:szCs w:val="24"/>
        </w:rPr>
        <w:t xml:space="preserve"> </w:t>
      </w:r>
      <w:r w:rsidRPr="009A285C">
        <w:rPr>
          <w:rFonts w:ascii="Times New Roman" w:hAnsi="Times New Roman" w:cs="Times New Roman"/>
          <w:bCs/>
          <w:sz w:val="24"/>
          <w:szCs w:val="24"/>
        </w:rPr>
        <w:t>https://doi.org/10.1080/09500693.2010.518644</w:t>
      </w:r>
    </w:p>
    <w:p w14:paraId="0735C95A" w14:textId="77777777" w:rsidR="005C77B4" w:rsidRDefault="005C77B4" w:rsidP="005C77B4">
      <w:pPr>
        <w:pStyle w:val="NoSpacing"/>
        <w:spacing w:line="276" w:lineRule="auto"/>
        <w:jc w:val="both"/>
        <w:rPr>
          <w:rFonts w:ascii="Times New Roman" w:hAnsi="Times New Roman" w:cs="Times New Roman"/>
          <w:bCs/>
          <w:sz w:val="24"/>
          <w:szCs w:val="24"/>
        </w:rPr>
      </w:pPr>
    </w:p>
    <w:p w14:paraId="357A35C5" w14:textId="636ED2FF" w:rsidR="005C77B4" w:rsidRPr="00DA2C56" w:rsidRDefault="005C77B4" w:rsidP="005C77B4">
      <w:pPr>
        <w:pStyle w:val="NoSpacing"/>
        <w:numPr>
          <w:ilvl w:val="0"/>
          <w:numId w:val="9"/>
        </w:numPr>
        <w:spacing w:line="276" w:lineRule="auto"/>
        <w:jc w:val="both"/>
        <w:rPr>
          <w:rFonts w:ascii="Times New Roman" w:hAnsi="Times New Roman" w:cs="Times New Roman"/>
          <w:bCs/>
          <w:sz w:val="24"/>
          <w:szCs w:val="24"/>
        </w:rPr>
      </w:pPr>
      <w:r w:rsidRPr="00F50D3E">
        <w:rPr>
          <w:rFonts w:ascii="Times New Roman" w:hAnsi="Times New Roman" w:cs="Times New Roman"/>
          <w:bCs/>
          <w:sz w:val="24"/>
          <w:szCs w:val="24"/>
        </w:rPr>
        <w:t xml:space="preserve">Chang, R., &amp; Goldsby, K. A. (2014). </w:t>
      </w:r>
      <w:r w:rsidRPr="00F50D3E">
        <w:rPr>
          <w:rFonts w:ascii="Times New Roman" w:hAnsi="Times New Roman" w:cs="Times New Roman"/>
          <w:bCs/>
          <w:i/>
          <w:iCs/>
          <w:sz w:val="24"/>
          <w:szCs w:val="24"/>
        </w:rPr>
        <w:t>Chemistry</w:t>
      </w:r>
      <w:r w:rsidRPr="00F50D3E">
        <w:rPr>
          <w:rFonts w:ascii="Times New Roman" w:hAnsi="Times New Roman" w:cs="Times New Roman"/>
          <w:bCs/>
          <w:sz w:val="24"/>
          <w:szCs w:val="24"/>
        </w:rPr>
        <w:t xml:space="preserve"> (11th ed.). McGraw-Hill Education.</w:t>
      </w:r>
    </w:p>
    <w:p w14:paraId="2C6DA9A0" w14:textId="77777777" w:rsidR="005C77B4" w:rsidRDefault="005C77B4" w:rsidP="005C77B4">
      <w:pPr>
        <w:pStyle w:val="NoSpacing"/>
        <w:spacing w:line="276" w:lineRule="auto"/>
        <w:jc w:val="both"/>
        <w:rPr>
          <w:rFonts w:ascii="Times New Roman" w:hAnsi="Times New Roman" w:cs="Times New Roman"/>
          <w:bCs/>
          <w:sz w:val="24"/>
          <w:szCs w:val="24"/>
        </w:rPr>
      </w:pPr>
    </w:p>
    <w:p w14:paraId="0611178D" w14:textId="2E3D9830" w:rsidR="005C77B4" w:rsidRDefault="005C77B4" w:rsidP="005C77B4">
      <w:pPr>
        <w:pStyle w:val="NoSpacing"/>
        <w:numPr>
          <w:ilvl w:val="0"/>
          <w:numId w:val="9"/>
        </w:numPr>
        <w:spacing w:line="276" w:lineRule="auto"/>
        <w:jc w:val="both"/>
        <w:rPr>
          <w:rFonts w:ascii="Times New Roman" w:hAnsi="Times New Roman" w:cs="Times New Roman"/>
          <w:bCs/>
          <w:sz w:val="24"/>
          <w:szCs w:val="24"/>
        </w:rPr>
      </w:pPr>
      <w:r w:rsidRPr="00F50D3E">
        <w:rPr>
          <w:rFonts w:ascii="Times New Roman" w:hAnsi="Times New Roman" w:cs="Times New Roman"/>
          <w:bCs/>
          <w:sz w:val="24"/>
          <w:szCs w:val="24"/>
        </w:rPr>
        <w:t xml:space="preserve">Johnstone, A. H. (2000). Teaching of chemistry—Logical or psychological? </w:t>
      </w:r>
      <w:r w:rsidRPr="00F50D3E">
        <w:rPr>
          <w:rFonts w:ascii="Times New Roman" w:hAnsi="Times New Roman" w:cs="Times New Roman"/>
          <w:bCs/>
          <w:i/>
          <w:iCs/>
          <w:sz w:val="24"/>
          <w:szCs w:val="24"/>
        </w:rPr>
        <w:t>Chemistry</w:t>
      </w:r>
      <w:r>
        <w:rPr>
          <w:rFonts w:ascii="Times New Roman" w:hAnsi="Times New Roman" w:cs="Times New Roman"/>
          <w:bCs/>
          <w:i/>
          <w:iCs/>
          <w:sz w:val="24"/>
          <w:szCs w:val="24"/>
        </w:rPr>
        <w:tab/>
      </w:r>
      <w:r w:rsidRPr="00F50D3E">
        <w:rPr>
          <w:rFonts w:ascii="Times New Roman" w:hAnsi="Times New Roman" w:cs="Times New Roman"/>
          <w:bCs/>
          <w:i/>
          <w:iCs/>
          <w:sz w:val="24"/>
          <w:szCs w:val="24"/>
        </w:rPr>
        <w:t>Education Research and Practice, 1</w:t>
      </w:r>
      <w:r w:rsidRPr="00F50D3E">
        <w:rPr>
          <w:rFonts w:ascii="Times New Roman" w:hAnsi="Times New Roman" w:cs="Times New Roman"/>
          <w:bCs/>
          <w:sz w:val="24"/>
          <w:szCs w:val="24"/>
        </w:rPr>
        <w:t>(1), 9–15. https://doi.org/10.1039/A9RP90001B</w:t>
      </w:r>
    </w:p>
    <w:p w14:paraId="58C12715" w14:textId="77777777" w:rsidR="005C77B4" w:rsidRPr="00DA2C56" w:rsidRDefault="005C77B4" w:rsidP="005C77B4">
      <w:pPr>
        <w:pStyle w:val="NoSpacing"/>
        <w:spacing w:line="276" w:lineRule="auto"/>
        <w:jc w:val="both"/>
        <w:rPr>
          <w:rFonts w:ascii="Times New Roman" w:hAnsi="Times New Roman" w:cs="Times New Roman"/>
          <w:bCs/>
          <w:sz w:val="24"/>
          <w:szCs w:val="24"/>
        </w:rPr>
      </w:pPr>
    </w:p>
    <w:p w14:paraId="05052693" w14:textId="4763A26F" w:rsidR="005C77B4" w:rsidRPr="005C77B4" w:rsidRDefault="005C77B4" w:rsidP="005C77B4">
      <w:pPr>
        <w:pStyle w:val="ListParagraph"/>
        <w:numPr>
          <w:ilvl w:val="0"/>
          <w:numId w:val="9"/>
        </w:numPr>
        <w:spacing w:after="0"/>
        <w:rPr>
          <w:rFonts w:ascii="Times New Roman" w:hAnsi="Times New Roman" w:cs="Times New Roman"/>
          <w:bCs/>
          <w:sz w:val="24"/>
          <w:szCs w:val="24"/>
        </w:rPr>
      </w:pPr>
      <w:proofErr w:type="spellStart"/>
      <w:r w:rsidRPr="005C77B4">
        <w:rPr>
          <w:rFonts w:ascii="Times New Roman" w:hAnsi="Times New Roman" w:cs="Times New Roman"/>
          <w:bCs/>
          <w:sz w:val="24"/>
          <w:szCs w:val="24"/>
        </w:rPr>
        <w:t>Magwilang</w:t>
      </w:r>
      <w:proofErr w:type="spellEnd"/>
      <w:r w:rsidRPr="005C77B4">
        <w:rPr>
          <w:rFonts w:ascii="Times New Roman" w:hAnsi="Times New Roman" w:cs="Times New Roman"/>
          <w:bCs/>
          <w:sz w:val="24"/>
          <w:szCs w:val="24"/>
        </w:rPr>
        <w:t xml:space="preserve">, E. B. (2016). </w:t>
      </w:r>
      <w:r w:rsidRPr="005C77B4">
        <w:rPr>
          <w:rFonts w:ascii="Times New Roman" w:hAnsi="Times New Roman" w:cs="Times New Roman"/>
          <w:bCs/>
          <w:i/>
          <w:iCs/>
          <w:sz w:val="24"/>
          <w:szCs w:val="24"/>
        </w:rPr>
        <w:t>Teaching chemistry in context: Its effects on students’ motivation,</w:t>
      </w:r>
      <w:r>
        <w:rPr>
          <w:rFonts w:ascii="Times New Roman" w:hAnsi="Times New Roman" w:cs="Times New Roman"/>
          <w:bCs/>
          <w:i/>
          <w:iCs/>
          <w:sz w:val="24"/>
          <w:szCs w:val="24"/>
        </w:rPr>
        <w:t xml:space="preserve"> </w:t>
      </w:r>
      <w:r w:rsidRPr="005C77B4">
        <w:rPr>
          <w:rFonts w:ascii="Times New Roman" w:hAnsi="Times New Roman" w:cs="Times New Roman"/>
          <w:bCs/>
          <w:i/>
          <w:iCs/>
          <w:sz w:val="24"/>
          <w:szCs w:val="24"/>
        </w:rPr>
        <w:t>attitudes and achievement in chemistry</w:t>
      </w:r>
      <w:r w:rsidRPr="005C77B4">
        <w:rPr>
          <w:rFonts w:ascii="Times New Roman" w:hAnsi="Times New Roman" w:cs="Times New Roman"/>
          <w:bCs/>
          <w:sz w:val="24"/>
          <w:szCs w:val="24"/>
        </w:rPr>
        <w:t xml:space="preserve">. </w:t>
      </w:r>
      <w:r w:rsidRPr="005C77B4">
        <w:rPr>
          <w:rFonts w:ascii="Times New Roman" w:hAnsi="Times New Roman" w:cs="Times New Roman"/>
          <w:bCs/>
          <w:i/>
          <w:iCs/>
          <w:sz w:val="24"/>
          <w:szCs w:val="24"/>
        </w:rPr>
        <w:t>International Journal of Learning, Teaching</w:t>
      </w:r>
      <w:r>
        <w:rPr>
          <w:rFonts w:ascii="Times New Roman" w:hAnsi="Times New Roman" w:cs="Times New Roman"/>
          <w:bCs/>
          <w:i/>
          <w:iCs/>
          <w:sz w:val="24"/>
          <w:szCs w:val="24"/>
        </w:rPr>
        <w:t xml:space="preserve"> </w:t>
      </w:r>
      <w:r w:rsidRPr="005C77B4">
        <w:rPr>
          <w:rFonts w:ascii="Times New Roman" w:hAnsi="Times New Roman" w:cs="Times New Roman"/>
          <w:bCs/>
          <w:i/>
          <w:iCs/>
          <w:sz w:val="24"/>
          <w:szCs w:val="24"/>
        </w:rPr>
        <w:t>and Educational Research, 15</w:t>
      </w:r>
      <w:r w:rsidRPr="005C77B4">
        <w:rPr>
          <w:rFonts w:ascii="Times New Roman" w:hAnsi="Times New Roman" w:cs="Times New Roman"/>
          <w:bCs/>
          <w:sz w:val="24"/>
          <w:szCs w:val="24"/>
        </w:rPr>
        <w:t>(4), 60–68.</w:t>
      </w:r>
      <w:r w:rsidRPr="005C77B4">
        <w:rPr>
          <w:rFonts w:ascii="Times New Roman" w:hAnsi="Times New Roman" w:cs="Times New Roman"/>
          <w:bCs/>
          <w:sz w:val="24"/>
          <w:szCs w:val="24"/>
        </w:rPr>
        <w:tab/>
      </w:r>
      <w:hyperlink r:id="rId8" w:history="1">
        <w:r w:rsidRPr="005C77B4">
          <w:rPr>
            <w:rStyle w:val="Hyperlink"/>
            <w:rFonts w:ascii="Times New Roman" w:hAnsi="Times New Roman" w:cs="Times New Roman"/>
            <w:bCs/>
            <w:color w:val="auto"/>
            <w:sz w:val="24"/>
            <w:szCs w:val="24"/>
            <w:u w:val="none"/>
          </w:rPr>
          <w:t>https://ijlter.net/index.php/ijlter/article/view/944</w:t>
        </w:r>
      </w:hyperlink>
    </w:p>
    <w:p w14:paraId="31A595FE" w14:textId="77777777" w:rsidR="005C77B4" w:rsidRDefault="005C77B4" w:rsidP="005C77B4">
      <w:pPr>
        <w:spacing w:after="0"/>
        <w:rPr>
          <w:rFonts w:ascii="Times New Roman" w:hAnsi="Times New Roman" w:cs="Times New Roman"/>
          <w:bCs/>
          <w:color w:val="EE0000"/>
          <w:sz w:val="24"/>
          <w:szCs w:val="24"/>
        </w:rPr>
      </w:pPr>
    </w:p>
    <w:p w14:paraId="3877FAC7" w14:textId="2E2362D5" w:rsidR="005C77B4" w:rsidRPr="005C77B4" w:rsidRDefault="005C77B4" w:rsidP="005C77B4">
      <w:pPr>
        <w:pStyle w:val="ListParagraph"/>
        <w:numPr>
          <w:ilvl w:val="0"/>
          <w:numId w:val="9"/>
        </w:numPr>
        <w:spacing w:after="0"/>
        <w:rPr>
          <w:rFonts w:ascii="Times New Roman" w:hAnsi="Times New Roman" w:cs="Times New Roman"/>
          <w:bCs/>
          <w:sz w:val="24"/>
          <w:szCs w:val="24"/>
        </w:rPr>
      </w:pPr>
      <w:r w:rsidRPr="005C77B4">
        <w:rPr>
          <w:rFonts w:ascii="Times New Roman" w:hAnsi="Times New Roman" w:cs="Times New Roman"/>
          <w:bCs/>
          <w:sz w:val="24"/>
          <w:szCs w:val="24"/>
        </w:rPr>
        <w:t xml:space="preserve">Martin, M. O., &amp; Mullis, I. V. S. (2013). </w:t>
      </w:r>
      <w:r w:rsidRPr="005C77B4">
        <w:rPr>
          <w:rFonts w:ascii="Times New Roman" w:hAnsi="Times New Roman" w:cs="Times New Roman"/>
          <w:bCs/>
          <w:i/>
          <w:iCs/>
          <w:sz w:val="24"/>
          <w:szCs w:val="24"/>
        </w:rPr>
        <w:t>TIMSS and PIRLS 2011: Relationships among</w:t>
      </w:r>
      <w:r w:rsidRPr="005C77B4">
        <w:rPr>
          <w:rFonts w:ascii="Times New Roman" w:hAnsi="Times New Roman" w:cs="Times New Roman"/>
          <w:bCs/>
          <w:i/>
          <w:iCs/>
          <w:sz w:val="24"/>
          <w:szCs w:val="24"/>
        </w:rPr>
        <w:tab/>
        <w:t>achievement, curriculum, and instruction</w:t>
      </w:r>
      <w:r w:rsidRPr="005C77B4">
        <w:rPr>
          <w:rFonts w:ascii="Times New Roman" w:hAnsi="Times New Roman" w:cs="Times New Roman"/>
          <w:bCs/>
          <w:sz w:val="24"/>
          <w:szCs w:val="24"/>
        </w:rPr>
        <w:t>. TIMSS &amp; PIRLS International Study</w:t>
      </w:r>
      <w:r w:rsidRPr="005C77B4">
        <w:rPr>
          <w:rFonts w:ascii="Times New Roman" w:hAnsi="Times New Roman" w:cs="Times New Roman"/>
          <w:bCs/>
          <w:sz w:val="24"/>
          <w:szCs w:val="24"/>
        </w:rPr>
        <w:tab/>
        <w:t>Center, Boston College.</w:t>
      </w:r>
    </w:p>
    <w:p w14:paraId="6DDC8566" w14:textId="77777777" w:rsidR="005C77B4" w:rsidRPr="00DA2C56" w:rsidRDefault="005C77B4" w:rsidP="005C77B4">
      <w:pPr>
        <w:spacing w:after="0"/>
        <w:rPr>
          <w:rFonts w:ascii="Times New Roman" w:hAnsi="Times New Roman" w:cs="Times New Roman"/>
          <w:bCs/>
          <w:sz w:val="24"/>
          <w:szCs w:val="24"/>
        </w:rPr>
      </w:pPr>
    </w:p>
    <w:p w14:paraId="3FF6837B" w14:textId="163DAE93" w:rsidR="005C77B4" w:rsidRDefault="005C77B4" w:rsidP="005C77B4">
      <w:pPr>
        <w:pStyle w:val="NoSpacing"/>
        <w:numPr>
          <w:ilvl w:val="0"/>
          <w:numId w:val="9"/>
        </w:numPr>
        <w:spacing w:line="276" w:lineRule="auto"/>
        <w:jc w:val="both"/>
        <w:rPr>
          <w:rFonts w:ascii="Times New Roman" w:hAnsi="Times New Roman" w:cs="Times New Roman"/>
          <w:bCs/>
          <w:sz w:val="24"/>
          <w:szCs w:val="24"/>
        </w:rPr>
      </w:pPr>
      <w:r w:rsidRPr="00F50D3E">
        <w:rPr>
          <w:rFonts w:ascii="Times New Roman" w:hAnsi="Times New Roman" w:cs="Times New Roman"/>
          <w:bCs/>
          <w:sz w:val="24"/>
          <w:szCs w:val="24"/>
        </w:rPr>
        <w:t xml:space="preserve">Mullis, I. V. S., Martin, M. O., Foy, P., &amp; Arora, A. (2012). </w:t>
      </w:r>
      <w:r w:rsidRPr="00F50D3E">
        <w:rPr>
          <w:rFonts w:ascii="Times New Roman" w:hAnsi="Times New Roman" w:cs="Times New Roman"/>
          <w:bCs/>
          <w:i/>
          <w:iCs/>
          <w:sz w:val="24"/>
          <w:szCs w:val="24"/>
        </w:rPr>
        <w:t>TIMSS 2011 international results</w:t>
      </w:r>
      <w:r>
        <w:rPr>
          <w:rFonts w:ascii="Times New Roman" w:hAnsi="Times New Roman" w:cs="Times New Roman"/>
          <w:bCs/>
          <w:i/>
          <w:iCs/>
          <w:sz w:val="24"/>
          <w:szCs w:val="24"/>
        </w:rPr>
        <w:tab/>
      </w:r>
      <w:r w:rsidRPr="00F50D3E">
        <w:rPr>
          <w:rFonts w:ascii="Times New Roman" w:hAnsi="Times New Roman" w:cs="Times New Roman"/>
          <w:bCs/>
          <w:i/>
          <w:iCs/>
          <w:sz w:val="24"/>
          <w:szCs w:val="24"/>
        </w:rPr>
        <w:t>in mathematics</w:t>
      </w:r>
      <w:r w:rsidRPr="00F50D3E">
        <w:rPr>
          <w:rFonts w:ascii="Times New Roman" w:hAnsi="Times New Roman" w:cs="Times New Roman"/>
          <w:bCs/>
          <w:sz w:val="24"/>
          <w:szCs w:val="24"/>
        </w:rPr>
        <w:t>. TIMSS &amp; PIRLS International Study Center, Boston College.</w:t>
      </w:r>
    </w:p>
    <w:p w14:paraId="6F1ECF09" w14:textId="77777777" w:rsidR="005C77B4" w:rsidRPr="00DA2C56" w:rsidRDefault="005C77B4" w:rsidP="005C77B4">
      <w:pPr>
        <w:pStyle w:val="NoSpacing"/>
        <w:spacing w:line="276" w:lineRule="auto"/>
        <w:jc w:val="both"/>
        <w:rPr>
          <w:rFonts w:ascii="Times New Roman" w:hAnsi="Times New Roman" w:cs="Times New Roman"/>
          <w:bCs/>
          <w:sz w:val="24"/>
          <w:szCs w:val="24"/>
        </w:rPr>
      </w:pPr>
    </w:p>
    <w:p w14:paraId="22DD58F2" w14:textId="4D1F90C9" w:rsidR="005C77B4" w:rsidRPr="005C77B4" w:rsidRDefault="005C77B4" w:rsidP="005C77B4">
      <w:pPr>
        <w:pStyle w:val="ListParagraph"/>
        <w:numPr>
          <w:ilvl w:val="0"/>
          <w:numId w:val="9"/>
        </w:numPr>
        <w:spacing w:after="0"/>
        <w:rPr>
          <w:rFonts w:ascii="Times New Roman" w:hAnsi="Times New Roman" w:cs="Times New Roman"/>
          <w:bCs/>
          <w:sz w:val="24"/>
          <w:szCs w:val="24"/>
        </w:rPr>
      </w:pPr>
      <w:r w:rsidRPr="005C77B4">
        <w:rPr>
          <w:rFonts w:ascii="Times New Roman" w:hAnsi="Times New Roman" w:cs="Times New Roman"/>
          <w:bCs/>
          <w:sz w:val="24"/>
          <w:szCs w:val="24"/>
        </w:rPr>
        <w:t>Nakhleh, M. B. (1992). Why some students don't learn chemistry: Chemical misconceptions.</w:t>
      </w:r>
      <w:r>
        <w:rPr>
          <w:rFonts w:ascii="Times New Roman" w:hAnsi="Times New Roman" w:cs="Times New Roman"/>
          <w:bCs/>
          <w:sz w:val="24"/>
          <w:szCs w:val="24"/>
        </w:rPr>
        <w:t xml:space="preserve"> </w:t>
      </w:r>
      <w:r w:rsidRPr="005C77B4">
        <w:rPr>
          <w:rFonts w:ascii="Times New Roman" w:hAnsi="Times New Roman" w:cs="Times New Roman"/>
          <w:bCs/>
          <w:i/>
          <w:iCs/>
          <w:sz w:val="24"/>
          <w:szCs w:val="24"/>
        </w:rPr>
        <w:t>Journal of Chemical Education, 69</w:t>
      </w:r>
      <w:r w:rsidRPr="005C77B4">
        <w:rPr>
          <w:rFonts w:ascii="Times New Roman" w:hAnsi="Times New Roman" w:cs="Times New Roman"/>
          <w:bCs/>
          <w:sz w:val="24"/>
          <w:szCs w:val="24"/>
        </w:rPr>
        <w:t xml:space="preserve">(3), 191–196. </w:t>
      </w:r>
      <w:hyperlink r:id="rId9" w:tgtFrame="_new" w:history="1">
        <w:r w:rsidRPr="005C77B4">
          <w:rPr>
            <w:rStyle w:val="Hyperlink"/>
            <w:rFonts w:ascii="Times New Roman" w:hAnsi="Times New Roman" w:cs="Times New Roman"/>
            <w:bCs/>
            <w:color w:val="auto"/>
            <w:sz w:val="24"/>
            <w:szCs w:val="24"/>
            <w:u w:val="none"/>
          </w:rPr>
          <w:t>https://doi.org/10.1021/ed069p191</w:t>
        </w:r>
      </w:hyperlink>
    </w:p>
    <w:p w14:paraId="20A9FF94" w14:textId="77777777" w:rsidR="005C77B4" w:rsidRPr="005C77B4" w:rsidRDefault="005C77B4" w:rsidP="005C77B4">
      <w:pPr>
        <w:pStyle w:val="ListParagraph"/>
        <w:rPr>
          <w:rFonts w:ascii="Times New Roman" w:hAnsi="Times New Roman" w:cs="Times New Roman"/>
          <w:bCs/>
          <w:sz w:val="24"/>
          <w:szCs w:val="24"/>
        </w:rPr>
      </w:pPr>
    </w:p>
    <w:p w14:paraId="4E4B1C59" w14:textId="7A081367" w:rsidR="005C77B4" w:rsidRPr="005C77B4" w:rsidRDefault="005C77B4" w:rsidP="005C77B4">
      <w:pPr>
        <w:pStyle w:val="ListParagraph"/>
        <w:numPr>
          <w:ilvl w:val="0"/>
          <w:numId w:val="9"/>
        </w:numPr>
        <w:spacing w:after="0"/>
        <w:rPr>
          <w:rFonts w:ascii="Times New Roman" w:hAnsi="Times New Roman" w:cs="Times New Roman"/>
          <w:bCs/>
          <w:sz w:val="24"/>
          <w:szCs w:val="24"/>
        </w:rPr>
      </w:pPr>
      <w:proofErr w:type="spellStart"/>
      <w:r w:rsidRPr="005C77B4">
        <w:rPr>
          <w:rFonts w:ascii="Times New Roman" w:hAnsi="Times New Roman" w:cs="Times New Roman"/>
          <w:bCs/>
          <w:sz w:val="24"/>
          <w:szCs w:val="24"/>
        </w:rPr>
        <w:t>Organisation</w:t>
      </w:r>
      <w:proofErr w:type="spellEnd"/>
      <w:r w:rsidRPr="005C77B4">
        <w:rPr>
          <w:rFonts w:ascii="Times New Roman" w:hAnsi="Times New Roman" w:cs="Times New Roman"/>
          <w:bCs/>
          <w:sz w:val="24"/>
          <w:szCs w:val="24"/>
        </w:rPr>
        <w:t xml:space="preserve"> for Economic Co-operation and Development (OECD). (2013). </w:t>
      </w:r>
      <w:r w:rsidRPr="005C77B4">
        <w:rPr>
          <w:rFonts w:ascii="Times New Roman" w:hAnsi="Times New Roman" w:cs="Times New Roman"/>
          <w:bCs/>
          <w:i/>
          <w:iCs/>
          <w:sz w:val="24"/>
          <w:szCs w:val="24"/>
        </w:rPr>
        <w:t>PISA 2012</w:t>
      </w:r>
      <w:r w:rsidRPr="005C77B4">
        <w:rPr>
          <w:rFonts w:ascii="Times New Roman" w:hAnsi="Times New Roman" w:cs="Times New Roman"/>
          <w:bCs/>
          <w:i/>
          <w:iCs/>
          <w:sz w:val="24"/>
          <w:szCs w:val="24"/>
        </w:rPr>
        <w:tab/>
        <w:t>assessment and analytical framework: Mathematics, reading, science, problem solving</w:t>
      </w:r>
      <w:r w:rsidRPr="005C77B4">
        <w:rPr>
          <w:rFonts w:ascii="Times New Roman" w:hAnsi="Times New Roman" w:cs="Times New Roman"/>
          <w:bCs/>
          <w:i/>
          <w:iCs/>
          <w:sz w:val="24"/>
          <w:szCs w:val="24"/>
        </w:rPr>
        <w:tab/>
        <w:t>and financial literacy</w:t>
      </w:r>
      <w:r w:rsidRPr="005C77B4">
        <w:rPr>
          <w:rFonts w:ascii="Times New Roman" w:hAnsi="Times New Roman" w:cs="Times New Roman"/>
          <w:bCs/>
          <w:sz w:val="24"/>
          <w:szCs w:val="24"/>
        </w:rPr>
        <w:t xml:space="preserve">. OECD Publishing. </w:t>
      </w:r>
      <w:hyperlink r:id="rId10" w:tgtFrame="_new" w:history="1">
        <w:r w:rsidRPr="005C77B4">
          <w:rPr>
            <w:rStyle w:val="Hyperlink"/>
            <w:rFonts w:ascii="Times New Roman" w:hAnsi="Times New Roman" w:cs="Times New Roman"/>
            <w:bCs/>
            <w:color w:val="auto"/>
            <w:sz w:val="24"/>
            <w:szCs w:val="24"/>
            <w:u w:val="none"/>
          </w:rPr>
          <w:t>https://doi.org/10.1787/9789264190511-en</w:t>
        </w:r>
      </w:hyperlink>
    </w:p>
    <w:p w14:paraId="328B73D9" w14:textId="77777777" w:rsidR="005C77B4" w:rsidRPr="00DA2C56" w:rsidRDefault="005C77B4" w:rsidP="005C77B4">
      <w:pPr>
        <w:pStyle w:val="NoSpacing"/>
        <w:spacing w:line="276" w:lineRule="auto"/>
        <w:jc w:val="both"/>
        <w:rPr>
          <w:rFonts w:ascii="Times New Roman" w:hAnsi="Times New Roman" w:cs="Times New Roman"/>
          <w:bCs/>
          <w:sz w:val="24"/>
          <w:szCs w:val="24"/>
        </w:rPr>
      </w:pPr>
    </w:p>
    <w:p w14:paraId="2AE82CCA" w14:textId="5C9D17D4" w:rsidR="005C77B4" w:rsidRDefault="005C77B4" w:rsidP="005C77B4">
      <w:pPr>
        <w:pStyle w:val="NoSpacing"/>
        <w:numPr>
          <w:ilvl w:val="0"/>
          <w:numId w:val="9"/>
        </w:numPr>
        <w:spacing w:line="276" w:lineRule="auto"/>
        <w:jc w:val="both"/>
        <w:rPr>
          <w:rFonts w:ascii="Times New Roman" w:hAnsi="Times New Roman" w:cs="Times New Roman"/>
          <w:bCs/>
          <w:sz w:val="24"/>
          <w:szCs w:val="24"/>
        </w:rPr>
      </w:pPr>
      <w:r w:rsidRPr="00F26F79">
        <w:rPr>
          <w:rFonts w:ascii="Times New Roman" w:hAnsi="Times New Roman" w:cs="Times New Roman"/>
          <w:bCs/>
          <w:sz w:val="24"/>
          <w:szCs w:val="24"/>
        </w:rPr>
        <w:t xml:space="preserve">Piaget, J. (1970). </w:t>
      </w:r>
      <w:r w:rsidRPr="00F26F79">
        <w:rPr>
          <w:rFonts w:ascii="Times New Roman" w:hAnsi="Times New Roman" w:cs="Times New Roman"/>
          <w:bCs/>
          <w:i/>
          <w:iCs/>
          <w:sz w:val="24"/>
          <w:szCs w:val="24"/>
        </w:rPr>
        <w:t>Science of education and the psychology of the child</w:t>
      </w:r>
      <w:r w:rsidRPr="00F26F79">
        <w:rPr>
          <w:rFonts w:ascii="Times New Roman" w:hAnsi="Times New Roman" w:cs="Times New Roman"/>
          <w:bCs/>
          <w:sz w:val="24"/>
          <w:szCs w:val="24"/>
        </w:rPr>
        <w:t>. Viking Press.</w:t>
      </w:r>
    </w:p>
    <w:p w14:paraId="280B1CDF" w14:textId="77777777" w:rsidR="005C77B4" w:rsidRPr="00DA2C56" w:rsidRDefault="005C77B4" w:rsidP="005C77B4">
      <w:pPr>
        <w:pStyle w:val="NoSpacing"/>
        <w:spacing w:line="276" w:lineRule="auto"/>
        <w:jc w:val="both"/>
        <w:rPr>
          <w:rFonts w:ascii="Times New Roman" w:hAnsi="Times New Roman" w:cs="Times New Roman"/>
          <w:bCs/>
          <w:sz w:val="24"/>
          <w:szCs w:val="24"/>
        </w:rPr>
      </w:pPr>
    </w:p>
    <w:p w14:paraId="4D5F6889" w14:textId="2683C828" w:rsidR="005C77B4" w:rsidRDefault="005C77B4" w:rsidP="005C77B4">
      <w:pPr>
        <w:pStyle w:val="NoSpacing"/>
        <w:numPr>
          <w:ilvl w:val="0"/>
          <w:numId w:val="9"/>
        </w:numPr>
        <w:spacing w:line="276" w:lineRule="auto"/>
        <w:jc w:val="both"/>
        <w:rPr>
          <w:rFonts w:ascii="Times New Roman" w:hAnsi="Times New Roman" w:cs="Times New Roman"/>
          <w:bCs/>
          <w:sz w:val="24"/>
          <w:szCs w:val="24"/>
        </w:rPr>
      </w:pPr>
      <w:r w:rsidRPr="00F26F79">
        <w:rPr>
          <w:rFonts w:ascii="Times New Roman" w:hAnsi="Times New Roman" w:cs="Times New Roman"/>
          <w:bCs/>
          <w:sz w:val="24"/>
          <w:szCs w:val="24"/>
        </w:rPr>
        <w:t xml:space="preserve">Spencer, L. M., &amp; Spencer, S. M. (1993). </w:t>
      </w:r>
      <w:r w:rsidRPr="00F26F79">
        <w:rPr>
          <w:rFonts w:ascii="Times New Roman" w:hAnsi="Times New Roman" w:cs="Times New Roman"/>
          <w:bCs/>
          <w:i/>
          <w:iCs/>
          <w:sz w:val="24"/>
          <w:szCs w:val="24"/>
        </w:rPr>
        <w:t>Competence at work: Models for superior</w:t>
      </w:r>
      <w:r>
        <w:rPr>
          <w:rFonts w:ascii="Times New Roman" w:hAnsi="Times New Roman" w:cs="Times New Roman"/>
          <w:bCs/>
          <w:i/>
          <w:iCs/>
          <w:sz w:val="24"/>
          <w:szCs w:val="24"/>
        </w:rPr>
        <w:t xml:space="preserve"> </w:t>
      </w:r>
      <w:r w:rsidRPr="00F26F79">
        <w:rPr>
          <w:rFonts w:ascii="Times New Roman" w:hAnsi="Times New Roman" w:cs="Times New Roman"/>
          <w:bCs/>
          <w:i/>
          <w:iCs/>
          <w:sz w:val="24"/>
          <w:szCs w:val="24"/>
        </w:rPr>
        <w:t>performance</w:t>
      </w:r>
      <w:r w:rsidRPr="00F26F79">
        <w:rPr>
          <w:rFonts w:ascii="Times New Roman" w:hAnsi="Times New Roman" w:cs="Times New Roman"/>
          <w:bCs/>
          <w:sz w:val="24"/>
          <w:szCs w:val="24"/>
        </w:rPr>
        <w:t>. John Wiley &amp; Sons.</w:t>
      </w:r>
    </w:p>
    <w:p w14:paraId="603A1B38" w14:textId="77777777" w:rsidR="005C77B4" w:rsidRPr="00DA2C56" w:rsidRDefault="005C77B4" w:rsidP="005C77B4">
      <w:pPr>
        <w:pStyle w:val="NoSpacing"/>
        <w:spacing w:line="276" w:lineRule="auto"/>
        <w:jc w:val="both"/>
        <w:rPr>
          <w:rFonts w:ascii="Times New Roman" w:hAnsi="Times New Roman" w:cs="Times New Roman"/>
          <w:bCs/>
          <w:sz w:val="24"/>
          <w:szCs w:val="24"/>
        </w:rPr>
      </w:pPr>
    </w:p>
    <w:p w14:paraId="27875D55" w14:textId="076EF8CC" w:rsidR="00F53C5F" w:rsidRPr="004131E4" w:rsidRDefault="005C77B4" w:rsidP="004131E4">
      <w:pPr>
        <w:pStyle w:val="NoSpacing"/>
        <w:numPr>
          <w:ilvl w:val="0"/>
          <w:numId w:val="9"/>
        </w:numPr>
        <w:spacing w:line="276" w:lineRule="auto"/>
        <w:jc w:val="both"/>
        <w:rPr>
          <w:rFonts w:ascii="Times New Roman" w:hAnsi="Times New Roman" w:cs="Times New Roman"/>
          <w:bCs/>
          <w:sz w:val="24"/>
          <w:szCs w:val="24"/>
        </w:rPr>
      </w:pPr>
      <w:r w:rsidRPr="006348F4">
        <w:rPr>
          <w:rFonts w:ascii="Times New Roman" w:hAnsi="Times New Roman" w:cs="Times New Roman"/>
          <w:bCs/>
          <w:sz w:val="24"/>
          <w:szCs w:val="24"/>
        </w:rPr>
        <w:t xml:space="preserve">Taber, K. S. (2013). </w:t>
      </w:r>
      <w:r w:rsidRPr="006348F4">
        <w:rPr>
          <w:rFonts w:ascii="Times New Roman" w:hAnsi="Times New Roman" w:cs="Times New Roman"/>
          <w:bCs/>
          <w:i/>
          <w:iCs/>
          <w:sz w:val="24"/>
          <w:szCs w:val="24"/>
        </w:rPr>
        <w:t>Chemical misconceptions: Prevention, diagnosis and cure</w:t>
      </w:r>
      <w:r w:rsidRPr="006348F4">
        <w:rPr>
          <w:rFonts w:ascii="Times New Roman" w:hAnsi="Times New Roman" w:cs="Times New Roman"/>
          <w:bCs/>
          <w:sz w:val="24"/>
          <w:szCs w:val="24"/>
        </w:rPr>
        <w:t>. Royal Society</w:t>
      </w:r>
      <w:r>
        <w:rPr>
          <w:rFonts w:ascii="Times New Roman" w:hAnsi="Times New Roman" w:cs="Times New Roman"/>
          <w:bCs/>
          <w:sz w:val="24"/>
          <w:szCs w:val="24"/>
        </w:rPr>
        <w:t xml:space="preserve"> </w:t>
      </w:r>
      <w:r w:rsidRPr="006348F4">
        <w:rPr>
          <w:rFonts w:ascii="Times New Roman" w:hAnsi="Times New Roman" w:cs="Times New Roman"/>
          <w:bCs/>
          <w:sz w:val="24"/>
          <w:szCs w:val="24"/>
        </w:rPr>
        <w:t>of Chemistry.</w:t>
      </w:r>
    </w:p>
    <w:sectPr w:rsidR="00F53C5F" w:rsidRPr="004131E4" w:rsidSect="00980246">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EB7F" w14:textId="77777777" w:rsidR="009371FD" w:rsidRDefault="009371FD" w:rsidP="000D39F0">
      <w:pPr>
        <w:spacing w:after="0" w:line="240" w:lineRule="auto"/>
      </w:pPr>
      <w:r>
        <w:separator/>
      </w:r>
    </w:p>
  </w:endnote>
  <w:endnote w:type="continuationSeparator" w:id="0">
    <w:p w14:paraId="5E38633F" w14:textId="77777777" w:rsidR="009371FD" w:rsidRDefault="009371FD" w:rsidP="000D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1F8D" w14:textId="77777777" w:rsidR="009371FD" w:rsidRDefault="009371FD" w:rsidP="000D39F0">
      <w:pPr>
        <w:spacing w:after="0" w:line="240" w:lineRule="auto"/>
      </w:pPr>
      <w:r>
        <w:separator/>
      </w:r>
    </w:p>
  </w:footnote>
  <w:footnote w:type="continuationSeparator" w:id="0">
    <w:p w14:paraId="3AB718C2" w14:textId="77777777" w:rsidR="009371FD" w:rsidRDefault="009371FD" w:rsidP="000D3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1A48"/>
    <w:multiLevelType w:val="hybridMultilevel"/>
    <w:tmpl w:val="6764C7B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8721F85"/>
    <w:multiLevelType w:val="multilevel"/>
    <w:tmpl w:val="DF2E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A0F52"/>
    <w:multiLevelType w:val="hybridMultilevel"/>
    <w:tmpl w:val="70D8A6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DB8586E"/>
    <w:multiLevelType w:val="multilevel"/>
    <w:tmpl w:val="5FA0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E0505"/>
    <w:multiLevelType w:val="hybridMultilevel"/>
    <w:tmpl w:val="815ABA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DF95C14"/>
    <w:multiLevelType w:val="multilevel"/>
    <w:tmpl w:val="5C383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6121C"/>
    <w:multiLevelType w:val="multilevel"/>
    <w:tmpl w:val="D7CA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EC799D"/>
    <w:multiLevelType w:val="multilevel"/>
    <w:tmpl w:val="9E46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801683"/>
    <w:multiLevelType w:val="hybridMultilevel"/>
    <w:tmpl w:val="A5FAEA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381320246">
    <w:abstractNumId w:val="7"/>
  </w:num>
  <w:num w:numId="2" w16cid:durableId="2133551256">
    <w:abstractNumId w:val="3"/>
  </w:num>
  <w:num w:numId="3" w16cid:durableId="171651068">
    <w:abstractNumId w:val="6"/>
  </w:num>
  <w:num w:numId="4" w16cid:durableId="291643922">
    <w:abstractNumId w:val="2"/>
  </w:num>
  <w:num w:numId="5" w16cid:durableId="1127891973">
    <w:abstractNumId w:val="1"/>
  </w:num>
  <w:num w:numId="6" w16cid:durableId="1898003452">
    <w:abstractNumId w:val="8"/>
  </w:num>
  <w:num w:numId="7" w16cid:durableId="1005939044">
    <w:abstractNumId w:val="5"/>
  </w:num>
  <w:num w:numId="8" w16cid:durableId="593788067">
    <w:abstractNumId w:val="4"/>
  </w:num>
  <w:num w:numId="9" w16cid:durableId="35732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52FF"/>
    <w:rsid w:val="00031188"/>
    <w:rsid w:val="000608CC"/>
    <w:rsid w:val="000D39F0"/>
    <w:rsid w:val="000E1C10"/>
    <w:rsid w:val="001325B7"/>
    <w:rsid w:val="00133433"/>
    <w:rsid w:val="001D1F66"/>
    <w:rsid w:val="002175C0"/>
    <w:rsid w:val="002600EA"/>
    <w:rsid w:val="004131E4"/>
    <w:rsid w:val="0042144B"/>
    <w:rsid w:val="004B5AB2"/>
    <w:rsid w:val="00533F85"/>
    <w:rsid w:val="00542482"/>
    <w:rsid w:val="00556378"/>
    <w:rsid w:val="00576377"/>
    <w:rsid w:val="00581C73"/>
    <w:rsid w:val="00584A46"/>
    <w:rsid w:val="005C77B4"/>
    <w:rsid w:val="005D27A0"/>
    <w:rsid w:val="00692424"/>
    <w:rsid w:val="00693C5D"/>
    <w:rsid w:val="006B16A0"/>
    <w:rsid w:val="007035E6"/>
    <w:rsid w:val="007107D4"/>
    <w:rsid w:val="00736789"/>
    <w:rsid w:val="0076721E"/>
    <w:rsid w:val="00897566"/>
    <w:rsid w:val="008E2999"/>
    <w:rsid w:val="008F219C"/>
    <w:rsid w:val="00915A6B"/>
    <w:rsid w:val="009371FD"/>
    <w:rsid w:val="00980246"/>
    <w:rsid w:val="009C7B10"/>
    <w:rsid w:val="00A16376"/>
    <w:rsid w:val="00A35ACE"/>
    <w:rsid w:val="00A410F6"/>
    <w:rsid w:val="00A47E01"/>
    <w:rsid w:val="00B0240B"/>
    <w:rsid w:val="00B55A77"/>
    <w:rsid w:val="00BD4272"/>
    <w:rsid w:val="00C3670B"/>
    <w:rsid w:val="00C5065C"/>
    <w:rsid w:val="00C5744B"/>
    <w:rsid w:val="00DA7AA9"/>
    <w:rsid w:val="00DF26F5"/>
    <w:rsid w:val="00E41C44"/>
    <w:rsid w:val="00ED65D7"/>
    <w:rsid w:val="00F27AF1"/>
    <w:rsid w:val="00F53C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700A"/>
  <w15:chartTrackingRefBased/>
  <w15:docId w15:val="{9D28DA3F-0E08-4F90-86F1-95FBC136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65C"/>
    <w:rPr>
      <w:rFonts w:eastAsiaTheme="majorEastAsia" w:cstheme="majorBidi"/>
      <w:color w:val="272727" w:themeColor="text1" w:themeTint="D8"/>
    </w:rPr>
  </w:style>
  <w:style w:type="paragraph" w:styleId="Title">
    <w:name w:val="Title"/>
    <w:basedOn w:val="Normal"/>
    <w:next w:val="Normal"/>
    <w:link w:val="TitleChar"/>
    <w:uiPriority w:val="10"/>
    <w:qFormat/>
    <w:rsid w:val="00C5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5C"/>
    <w:pPr>
      <w:spacing w:before="160"/>
      <w:jc w:val="center"/>
    </w:pPr>
    <w:rPr>
      <w:i/>
      <w:iCs/>
      <w:color w:val="404040" w:themeColor="text1" w:themeTint="BF"/>
    </w:rPr>
  </w:style>
  <w:style w:type="character" w:customStyle="1" w:styleId="QuoteChar">
    <w:name w:val="Quote Char"/>
    <w:basedOn w:val="DefaultParagraphFont"/>
    <w:link w:val="Quote"/>
    <w:uiPriority w:val="29"/>
    <w:rsid w:val="00C5065C"/>
    <w:rPr>
      <w:i/>
      <w:iCs/>
      <w:color w:val="404040" w:themeColor="text1" w:themeTint="BF"/>
    </w:rPr>
  </w:style>
  <w:style w:type="paragraph" w:styleId="ListParagraph">
    <w:name w:val="List Paragraph"/>
    <w:basedOn w:val="Normal"/>
    <w:uiPriority w:val="34"/>
    <w:qFormat/>
    <w:rsid w:val="00C5065C"/>
    <w:pPr>
      <w:ind w:left="720"/>
      <w:contextualSpacing/>
    </w:pPr>
  </w:style>
  <w:style w:type="character" w:styleId="IntenseEmphasis">
    <w:name w:val="Intense Emphasis"/>
    <w:basedOn w:val="DefaultParagraphFont"/>
    <w:uiPriority w:val="21"/>
    <w:qFormat/>
    <w:rsid w:val="00C5065C"/>
    <w:rPr>
      <w:i/>
      <w:iCs/>
      <w:color w:val="0F4761" w:themeColor="accent1" w:themeShade="BF"/>
    </w:rPr>
  </w:style>
  <w:style w:type="paragraph" w:styleId="IntenseQuote">
    <w:name w:val="Intense Quote"/>
    <w:basedOn w:val="Normal"/>
    <w:next w:val="Normal"/>
    <w:link w:val="IntenseQuoteChar"/>
    <w:uiPriority w:val="30"/>
    <w:qFormat/>
    <w:rsid w:val="00C50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65C"/>
    <w:rPr>
      <w:i/>
      <w:iCs/>
      <w:color w:val="0F4761" w:themeColor="accent1" w:themeShade="BF"/>
    </w:rPr>
  </w:style>
  <w:style w:type="character" w:styleId="IntenseReference">
    <w:name w:val="Intense Reference"/>
    <w:basedOn w:val="DefaultParagraphFont"/>
    <w:uiPriority w:val="32"/>
    <w:qFormat/>
    <w:rsid w:val="00C5065C"/>
    <w:rPr>
      <w:b/>
      <w:bCs/>
      <w:smallCaps/>
      <w:color w:val="0F4761" w:themeColor="accent1" w:themeShade="BF"/>
      <w:spacing w:val="5"/>
    </w:rPr>
  </w:style>
  <w:style w:type="character" w:styleId="Hyperlink">
    <w:name w:val="Hyperlink"/>
    <w:basedOn w:val="DefaultParagraphFont"/>
    <w:uiPriority w:val="99"/>
    <w:unhideWhenUsed/>
    <w:rsid w:val="00F53C5F"/>
    <w:rPr>
      <w:color w:val="467886" w:themeColor="hyperlink"/>
      <w:u w:val="single"/>
    </w:rPr>
  </w:style>
  <w:style w:type="paragraph" w:styleId="Header">
    <w:name w:val="header"/>
    <w:basedOn w:val="Normal"/>
    <w:link w:val="HeaderChar"/>
    <w:uiPriority w:val="99"/>
    <w:unhideWhenUsed/>
    <w:rsid w:val="000D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9F0"/>
  </w:style>
  <w:style w:type="paragraph" w:styleId="Footer">
    <w:name w:val="footer"/>
    <w:basedOn w:val="Normal"/>
    <w:link w:val="FooterChar"/>
    <w:uiPriority w:val="99"/>
    <w:unhideWhenUsed/>
    <w:rsid w:val="000D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9F0"/>
  </w:style>
  <w:style w:type="table" w:styleId="TableGrid">
    <w:name w:val="Table Grid"/>
    <w:basedOn w:val="TableNormal"/>
    <w:uiPriority w:val="59"/>
    <w:rsid w:val="00260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0F6"/>
    <w:pPr>
      <w:spacing w:after="0" w:line="240" w:lineRule="auto"/>
    </w:pPr>
    <w:rPr>
      <w:kern w:val="0"/>
      <w14:ligatures w14:val="none"/>
    </w:rPr>
  </w:style>
  <w:style w:type="paragraph" w:styleId="NormalWeb">
    <w:name w:val="Normal (Web)"/>
    <w:basedOn w:val="Normal"/>
    <w:uiPriority w:val="99"/>
    <w:unhideWhenUsed/>
    <w:rsid w:val="0076721E"/>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lter.net/index.php/ijlter/article/view/9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787/9789264190511-en" TargetMode="External"/><Relationship Id="rId4" Type="http://schemas.openxmlformats.org/officeDocument/2006/relationships/settings" Target="settings.xml"/><Relationship Id="rId9" Type="http://schemas.openxmlformats.org/officeDocument/2006/relationships/hyperlink" Target="https://doi.org/10.1021/ed069p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4EF6-8ACF-4282-B16B-D4929D20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ADZRIANA JARIUN</dc:creator>
  <cp:keywords/>
  <dc:description/>
  <cp:lastModifiedBy>ADZRIANA JARIUN</cp:lastModifiedBy>
  <cp:revision>12</cp:revision>
  <dcterms:created xsi:type="dcterms:W3CDTF">2026-06-11T04:21:00Z</dcterms:created>
  <dcterms:modified xsi:type="dcterms:W3CDTF">2026-06-12T01:19:00Z</dcterms:modified>
</cp:coreProperties>
</file>