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7300B" w14:textId="333BEB2A" w:rsidR="00936FB9" w:rsidRPr="007513D1" w:rsidRDefault="007513D1" w:rsidP="007513D1">
      <w:pPr>
        <w:spacing w:line="276" w:lineRule="auto"/>
        <w:jc w:val="center"/>
        <w:rPr>
          <w:b/>
          <w:bCs/>
        </w:rPr>
      </w:pPr>
      <w:r w:rsidRPr="007513D1">
        <w:rPr>
          <w:b/>
          <w:bCs/>
        </w:rPr>
        <w:t>THE RELATIONSHIP BETWEEN THE MAINTENANCE MANAGEMENT PROBLEMS AND THE MAINTENANCE PERFORMANCE OF HIGH-RISE RESIDENTIAL BUILDINGS IN LAGOS STATE, NIGERIA</w:t>
      </w:r>
    </w:p>
    <w:p w14:paraId="328505E1" w14:textId="77777777" w:rsidR="007513D1" w:rsidRDefault="007513D1" w:rsidP="007513D1"/>
    <w:p w14:paraId="7B152335" w14:textId="77777777" w:rsidR="007513D1" w:rsidRDefault="007513D1" w:rsidP="007513D1"/>
    <w:p w14:paraId="67209725" w14:textId="77777777" w:rsidR="007513D1" w:rsidRDefault="007513D1" w:rsidP="007513D1"/>
    <w:p w14:paraId="3EDAEFE9" w14:textId="609030E4" w:rsidR="00936FB9" w:rsidRPr="007513D1" w:rsidRDefault="007513D1" w:rsidP="007513D1">
      <w:pPr>
        <w:jc w:val="center"/>
        <w:rPr>
          <w:b/>
          <w:bCs/>
        </w:rPr>
      </w:pPr>
      <w:r w:rsidRPr="007513D1">
        <w:rPr>
          <w:b/>
          <w:bCs/>
        </w:rPr>
        <w:t>ABSTRACT</w:t>
      </w:r>
    </w:p>
    <w:p w14:paraId="70329648" w14:textId="575DF280" w:rsidR="00936FB9" w:rsidRDefault="00000000" w:rsidP="007513D1">
      <w:pPr>
        <w:spacing w:after="120" w:line="276" w:lineRule="auto"/>
        <w:rPr>
          <w:rFonts w:eastAsia="Times New Roman"/>
        </w:rPr>
      </w:pPr>
      <w:r>
        <w:rPr>
          <w:rFonts w:eastAsia="Times New Roman"/>
        </w:rPr>
        <w:t xml:space="preserve">High-rise residential buildings in Lagos State, Nigeria, represent a critical response to rapid urbanisation and a severe housing deficit estimated at over 17 million units nationally. Yet the maintenance management of these buildings remains beset by chronic problems, including inadequate funding, unqualified maintenance personnel, poor maintenance culture, and weak regulatory enforcement, all of which degrade maintenance performance and accelerate building deterioration. This systematic literature review, guided by PRISMA 2020, synthesises peer-reviewed evidence published between January 2010 and April 2026 to </w:t>
      </w:r>
      <w:r w:rsidR="00C0107B">
        <w:rPr>
          <w:rFonts w:eastAsia="Times New Roman"/>
        </w:rPr>
        <w:t>show</w:t>
      </w:r>
      <w:r>
        <w:rPr>
          <w:rFonts w:eastAsia="Times New Roman"/>
        </w:rPr>
        <w:t xml:space="preserve"> the relationship between maintenance management problems and maintenance performance outcomes in high-rise residential buildings, with particular attention to the Lagos State context. A systematic search of Scopus, Web of Science, Google Scholar, and AJOL identified 1,387 records; after screening and eligibility assessment, 36 studies were included in the synthesis. Thematic analysis reveals that maintenance management problems cluster into five dominant categories: financial constraints, human-resource deficits, institutional and regulatory weaknesses, technical and design deficiencies, and socio-cultural barriers. These problems exert measurable, statistically significant effects on maintenance performance indicators, particularly cost variance and equipment effectiveness. The review contributes a proposed conceptual framework that maps the pathways from management problems to performance outcomes through four mediating mechanisms (procurement efficiency, workforce competence, regulatory compliance, and resident engagement) and identifies critical intervention points for policy, practice, and future research.</w:t>
      </w:r>
    </w:p>
    <w:p w14:paraId="2C306B4F" w14:textId="77777777" w:rsidR="007513D1" w:rsidRDefault="007513D1" w:rsidP="007513D1">
      <w:pPr>
        <w:spacing w:after="120" w:line="276" w:lineRule="auto"/>
      </w:pPr>
    </w:p>
    <w:p w14:paraId="5FBC43C9" w14:textId="625F1CC3" w:rsidR="00936FB9" w:rsidRDefault="00000000" w:rsidP="007513D1">
      <w:pPr>
        <w:spacing w:after="120" w:line="276" w:lineRule="auto"/>
      </w:pPr>
      <w:r>
        <w:rPr>
          <w:rFonts w:eastAsia="Times New Roman"/>
          <w:b/>
        </w:rPr>
        <w:t xml:space="preserve">Keywords: </w:t>
      </w:r>
      <w:r w:rsidR="007513D1">
        <w:rPr>
          <w:rFonts w:eastAsia="Times New Roman"/>
        </w:rPr>
        <w:t xml:space="preserve">Building Maintenance, Maintenance Management Problems, Maintenance Performance, High-Rise Residential Buildings, </w:t>
      </w:r>
      <w:r>
        <w:rPr>
          <w:rFonts w:eastAsia="Times New Roman"/>
        </w:rPr>
        <w:t>Lagos State</w:t>
      </w:r>
      <w:r w:rsidR="007513D1">
        <w:rPr>
          <w:rFonts w:eastAsia="Times New Roman"/>
        </w:rPr>
        <w:t xml:space="preserve"> </w:t>
      </w:r>
      <w:r>
        <w:rPr>
          <w:rFonts w:eastAsia="Times New Roman"/>
        </w:rPr>
        <w:t>Nigeria</w:t>
      </w:r>
      <w:r w:rsidR="007513D1">
        <w:rPr>
          <w:rFonts w:eastAsia="Times New Roman"/>
        </w:rPr>
        <w:t>.</w:t>
      </w:r>
    </w:p>
    <w:p w14:paraId="54816B22" w14:textId="77777777" w:rsidR="00936FB9" w:rsidRDefault="00000000" w:rsidP="007513D1">
      <w:pPr>
        <w:spacing w:line="276" w:lineRule="auto"/>
      </w:pPr>
      <w:r>
        <w:br w:type="page"/>
      </w:r>
    </w:p>
    <w:p w14:paraId="03F7CD86" w14:textId="75DF48A4" w:rsidR="00936FB9" w:rsidRDefault="00000000" w:rsidP="00BE7C95">
      <w:pPr>
        <w:pStyle w:val="Heading1"/>
      </w:pPr>
      <w:r>
        <w:lastRenderedPageBreak/>
        <w:t>1.</w:t>
      </w:r>
      <w:r w:rsidR="007513D1">
        <w:t>0</w:t>
      </w:r>
      <w:r>
        <w:t xml:space="preserve"> Introduction</w:t>
      </w:r>
    </w:p>
    <w:p w14:paraId="459FD0DF" w14:textId="77777777" w:rsidR="006C7460" w:rsidRDefault="00000000" w:rsidP="007513D1">
      <w:pPr>
        <w:spacing w:after="120" w:line="276" w:lineRule="auto"/>
        <w:rPr>
          <w:rFonts w:eastAsia="Times New Roman"/>
        </w:rPr>
      </w:pPr>
      <w:r>
        <w:rPr>
          <w:rFonts w:eastAsia="Times New Roman"/>
        </w:rPr>
        <w:t xml:space="preserve">Lagos State, the commercial nerve centre of Nigeria and one of the fastest-growing megacities in the world, faces a housing crisis of staggering proportions. With an estimated population exceeding 20 million and an annual urban growth rate of 5.8 percent, the demand for habitable accommodation far outstrips supply, pushing developers and government agencies toward high-rise residential construction as a spatially efficient solution (Adegun &amp; Adedeji, 2023; UN-Habitat, 2023). </w:t>
      </w:r>
    </w:p>
    <w:p w14:paraId="54943CCF" w14:textId="18F26182" w:rsidR="00936FB9" w:rsidRDefault="00000000" w:rsidP="007513D1">
      <w:pPr>
        <w:spacing w:after="120" w:line="276" w:lineRule="auto"/>
      </w:pPr>
      <w:r>
        <w:rPr>
          <w:rFonts w:eastAsia="Times New Roman"/>
        </w:rPr>
        <w:t xml:space="preserve">Yet the very buildings designed to alleviate the housing deficit are themselves deteriorating at alarming rates, largely because the maintenance management systems charged with </w:t>
      </w:r>
      <w:r w:rsidRPr="008C7108">
        <w:rPr>
          <w:rFonts w:eastAsia="Times New Roman"/>
        </w:rPr>
        <w:t xml:space="preserve">preserving them are </w:t>
      </w:r>
      <w:r w:rsidR="00BE7C95" w:rsidRPr="008C7108">
        <w:rPr>
          <w:rFonts w:eastAsia="Times New Roman"/>
        </w:rPr>
        <w:t>met</w:t>
      </w:r>
      <w:r w:rsidRPr="008C7108">
        <w:rPr>
          <w:rFonts w:eastAsia="Times New Roman"/>
        </w:rPr>
        <w:t xml:space="preserve"> with chronic, systemic problems. From inadequate funding and </w:t>
      </w:r>
      <w:r>
        <w:rPr>
          <w:rFonts w:eastAsia="Times New Roman"/>
        </w:rPr>
        <w:t xml:space="preserve">unqualified personnel to weak regulatory enforcement and a pervasive culture of deferred upkeep, these problems do not </w:t>
      </w:r>
      <w:r w:rsidR="009F1E60">
        <w:rPr>
          <w:rFonts w:eastAsia="Times New Roman"/>
        </w:rPr>
        <w:t>just</w:t>
      </w:r>
      <w:r>
        <w:rPr>
          <w:rFonts w:eastAsia="Times New Roman"/>
        </w:rPr>
        <w:t xml:space="preserve"> inconvenience residents: they compromise structural safety, erode property values, and, in the most catastrophic cases, contribute to building collapse, a phenomenon that Lagos State accounts for over 50 percent of nationally (Oke et al., 2025).</w:t>
      </w:r>
    </w:p>
    <w:p w14:paraId="55EDB4B4" w14:textId="77777777" w:rsidR="00936FB9" w:rsidRDefault="00000000" w:rsidP="007513D1">
      <w:pPr>
        <w:spacing w:after="120" w:line="276" w:lineRule="auto"/>
      </w:pPr>
      <w:r>
        <w:rPr>
          <w:rFonts w:eastAsia="Times New Roman"/>
        </w:rPr>
        <w:t>The academic literature on building maintenance in Nigeria has expanded considerably over the past two decades. Researchers have documented the prevalence of corrective, rather than preventive, maintenance strategies (Chua et al., 2018), identified the factors that impede effective maintenance in government residential estates (Adenuga et al., 2015), and assessed user satisfaction with maintenance outcomes in public housing schemes (Ibem et al., 2013). Parallel research in Malaysia, where the Strata Management Act 2013 provides a regulatory template for high-rise maintenance, has established statistical correlations between specific maintenance management problems and measurable performance indicators, notably cost variance and equipment effectiveness (Au-Yong et al., 2023; Shah et al., 2022). However, this body of work remains fragmented. Studies tend to examine individual problems in isolation or within a single geographic context, and no systematic synthesis has yet integrated findings specifically on the relationship between maintenance management problems and maintenance performance in high-rise residential buildings in Lagos State, Nigeria.</w:t>
      </w:r>
    </w:p>
    <w:p w14:paraId="55A0D61B" w14:textId="77777777" w:rsidR="006C7460" w:rsidRDefault="00000000" w:rsidP="007513D1">
      <w:pPr>
        <w:spacing w:after="120" w:line="276" w:lineRule="auto"/>
        <w:rPr>
          <w:rFonts w:eastAsia="Times New Roman"/>
        </w:rPr>
      </w:pPr>
      <w:r>
        <w:rPr>
          <w:rFonts w:eastAsia="Times New Roman"/>
        </w:rPr>
        <w:t xml:space="preserve">This gap matters because the relationship between problems and performance is not </w:t>
      </w:r>
      <w:r w:rsidR="006C7460">
        <w:rPr>
          <w:rFonts w:eastAsia="Times New Roman"/>
        </w:rPr>
        <w:t>entirely</w:t>
      </w:r>
      <w:r>
        <w:rPr>
          <w:rFonts w:eastAsia="Times New Roman"/>
        </w:rPr>
        <w:t xml:space="preserve"> additive; it is interactive and cumulative. A budget overrun, for instance, may directly inflate cost variance, but it may also cascade into delayed procurement of spare parts, extended equipment downtime, and ultimately, accelerated structural deterioration. Understanding these pathways is essential for designing interventions that address root causes rather than symptoms. </w:t>
      </w:r>
    </w:p>
    <w:p w14:paraId="1B3A3FA0" w14:textId="16429B09" w:rsidR="00936FB9" w:rsidRDefault="00000000" w:rsidP="007513D1">
      <w:pPr>
        <w:spacing w:after="120" w:line="276" w:lineRule="auto"/>
      </w:pPr>
      <w:r>
        <w:rPr>
          <w:rFonts w:eastAsia="Times New Roman"/>
        </w:rPr>
        <w:t xml:space="preserve">The present study fills this synthesis gap by conducting a systematic literature review, following PRISMA 2020 guidelines, to answer the following research questions: (1) What maintenance management problems are most prevalent in high-rise residential buildings in Lagos State, Nigeria? (2) What maintenance performance indicators are used to assess building maintenance outcomes? (3) What is the nature and strength of the relationship between maintenance management problems and maintenance performance? </w:t>
      </w:r>
    </w:p>
    <w:p w14:paraId="24A7959F" w14:textId="0A696B79" w:rsidR="00936FB9" w:rsidRDefault="00000000" w:rsidP="00BE7C95">
      <w:pPr>
        <w:pStyle w:val="Heading1"/>
      </w:pPr>
      <w:r>
        <w:lastRenderedPageBreak/>
        <w:t>2.</w:t>
      </w:r>
      <w:r w:rsidR="00B90121">
        <w:t>0</w:t>
      </w:r>
      <w:r>
        <w:t xml:space="preserve"> Methods</w:t>
      </w:r>
    </w:p>
    <w:p w14:paraId="4C23CCF4" w14:textId="77777777" w:rsidR="00936FB9" w:rsidRDefault="00000000" w:rsidP="00B90121">
      <w:pPr>
        <w:pStyle w:val="Heading2"/>
      </w:pPr>
      <w:r>
        <w:t xml:space="preserve">2.1 </w:t>
      </w:r>
      <w:r w:rsidRPr="00B90121">
        <w:t>Review</w:t>
      </w:r>
      <w:r>
        <w:t xml:space="preserve"> Design and Protocol</w:t>
      </w:r>
    </w:p>
    <w:p w14:paraId="147A7E77" w14:textId="77777777" w:rsidR="00936FB9" w:rsidRDefault="00000000" w:rsidP="007513D1">
      <w:pPr>
        <w:spacing w:after="120" w:line="276" w:lineRule="auto"/>
      </w:pPr>
      <w:r>
        <w:rPr>
          <w:rFonts w:eastAsia="Times New Roman"/>
        </w:rPr>
        <w:t>This review adopts a systematic literature review (SLR) design, chosen because the research question is focused, the literature is sufficiently mature, and the field requires an unbiased, transparent, and replicable account of what is collectively known about the relationship between maintenance management problems and maintenance performance (Xiao &amp; Watson, 2017). The review follows the PRISMA 2020 statement (Page et al., 2021), which provides a 27-item checklist and a four-stage flow diagram to ensure complete and transparent reporting. No protocol was pre-registered with PROSPERO, as the registry does not accept reviews without a health outcome; this is acknowledged as a limitation.</w:t>
      </w:r>
    </w:p>
    <w:p w14:paraId="3A525C32" w14:textId="77777777" w:rsidR="00936FB9" w:rsidRDefault="00000000" w:rsidP="00B90121">
      <w:pPr>
        <w:pStyle w:val="Heading2"/>
      </w:pPr>
      <w:r>
        <w:t>2.2 Search Strategy</w:t>
      </w:r>
    </w:p>
    <w:p w14:paraId="04A7B027" w14:textId="77777777" w:rsidR="00936FB9" w:rsidRDefault="00000000" w:rsidP="007513D1">
      <w:pPr>
        <w:spacing w:after="120" w:line="276" w:lineRule="auto"/>
      </w:pPr>
      <w:r>
        <w:rPr>
          <w:rFonts w:eastAsia="Times New Roman"/>
        </w:rPr>
        <w:t>The search strategy was designed to be both sensitive and reproducible. Four databases were selected for their complementary coverage: Scopus and Web of Science for breadth of peer-reviewed literature; Google Scholar for grey literature and regional journals; and the African Journals OnLine (AJOL) for African scholarship that may be under-indexed in international databases. The search string combined three concept blocks using Boolean operators: ("maintenance management" OR "building maintenance" OR "facility management") AND ("problem*" OR "challenge*" OR "barrier*" OR "issue*") AND ("high-rise" OR "multi-storey" OR "tall building" OR "residential building*") AND ("maintenance performance" OR "building performance" OR "maintenance effectiveness"). The search was restricted to English-language publications from January 2010 to April 2026, capturing the post-2008 regulatory landscape following Nigeria's National Building Code. An initial scoping search refined the keywords, producing the final string documented in Appendix A.</w:t>
      </w:r>
    </w:p>
    <w:p w14:paraId="301D6E4F" w14:textId="77777777" w:rsidR="00936FB9" w:rsidRDefault="00000000" w:rsidP="007513D1">
      <w:pPr>
        <w:pStyle w:val="Heading2"/>
      </w:pPr>
      <w:r>
        <w:t>2.3 Inclusion and Exclusion Criteria</w:t>
      </w:r>
    </w:p>
    <w:p w14:paraId="741D91A1" w14:textId="77777777" w:rsidR="00936FB9" w:rsidRDefault="00000000" w:rsidP="007513D1">
      <w:pPr>
        <w:spacing w:after="120" w:line="276" w:lineRule="auto"/>
      </w:pPr>
      <w:r w:rsidRPr="00B90121">
        <w:rPr>
          <w:rFonts w:eastAsia="Times New Roman"/>
          <w:i/>
          <w:iCs/>
        </w:rPr>
        <w:t>Table 1</w:t>
      </w:r>
      <w:r>
        <w:rPr>
          <w:rFonts w:eastAsia="Times New Roman"/>
        </w:rPr>
        <w:t xml:space="preserve"> presents the inclusion and exclusion criteria, each justified by the review's scope and methodological requirements.</w:t>
      </w:r>
    </w:p>
    <w:p w14:paraId="2D68D1E3" w14:textId="544B13D9" w:rsidR="00936FB9" w:rsidRPr="007513D1" w:rsidRDefault="00000000" w:rsidP="007513D1">
      <w:pPr>
        <w:rPr>
          <w:b/>
          <w:bCs/>
          <w:szCs w:val="24"/>
        </w:rPr>
      </w:pPr>
      <w:r w:rsidRPr="007513D1">
        <w:rPr>
          <w:b/>
          <w:bCs/>
          <w:szCs w:val="24"/>
        </w:rPr>
        <w:t>Table 1</w:t>
      </w:r>
      <w:r w:rsidR="007513D1" w:rsidRPr="007513D1">
        <w:rPr>
          <w:b/>
          <w:bCs/>
          <w:szCs w:val="24"/>
        </w:rPr>
        <w:t>:</w:t>
      </w:r>
      <w:r w:rsidRPr="007513D1">
        <w:rPr>
          <w:b/>
          <w:bCs/>
          <w:szCs w:val="24"/>
        </w:rPr>
        <w:t xml:space="preserve"> Inclusion and Exclusion Criteria with Justifications</w:t>
      </w:r>
    </w:p>
    <w:tbl>
      <w:tblPr>
        <w:tblStyle w:val="TableGrid"/>
        <w:tblW w:w="4890" w:type="pct"/>
        <w:jc w:val="center"/>
        <w:tblLook w:val="04A0" w:firstRow="1" w:lastRow="0" w:firstColumn="1" w:lastColumn="0" w:noHBand="0" w:noVBand="1"/>
      </w:tblPr>
      <w:tblGrid>
        <w:gridCol w:w="1510"/>
        <w:gridCol w:w="2504"/>
        <w:gridCol w:w="2379"/>
        <w:gridCol w:w="2192"/>
      </w:tblGrid>
      <w:tr w:rsidR="00936FB9" w:rsidRPr="007513D1" w14:paraId="7ABDD7FF" w14:textId="77777777" w:rsidTr="00B90121">
        <w:trPr>
          <w:tblHeader/>
          <w:jc w:val="center"/>
        </w:trPr>
        <w:tc>
          <w:tcPr>
            <w:tcW w:w="746" w:type="pct"/>
          </w:tcPr>
          <w:p w14:paraId="2948C9CF" w14:textId="77777777" w:rsidR="00936FB9" w:rsidRPr="007513D1" w:rsidRDefault="00000000" w:rsidP="007513D1">
            <w:pPr>
              <w:rPr>
                <w:b/>
                <w:bCs/>
                <w:szCs w:val="24"/>
              </w:rPr>
            </w:pPr>
            <w:r w:rsidRPr="007513D1">
              <w:rPr>
                <w:b/>
                <w:bCs/>
                <w:szCs w:val="24"/>
              </w:rPr>
              <w:t>Criterion</w:t>
            </w:r>
          </w:p>
        </w:tc>
        <w:tc>
          <w:tcPr>
            <w:tcW w:w="1503" w:type="pct"/>
          </w:tcPr>
          <w:p w14:paraId="6872C398" w14:textId="77777777" w:rsidR="00936FB9" w:rsidRPr="007513D1" w:rsidRDefault="00000000" w:rsidP="00B90121">
            <w:pPr>
              <w:jc w:val="center"/>
              <w:rPr>
                <w:b/>
                <w:bCs/>
                <w:szCs w:val="24"/>
              </w:rPr>
            </w:pPr>
            <w:r w:rsidRPr="007513D1">
              <w:rPr>
                <w:b/>
                <w:bCs/>
                <w:szCs w:val="24"/>
              </w:rPr>
              <w:t>Inclusion</w:t>
            </w:r>
          </w:p>
        </w:tc>
        <w:tc>
          <w:tcPr>
            <w:tcW w:w="1430" w:type="pct"/>
          </w:tcPr>
          <w:p w14:paraId="15C67D4E" w14:textId="77777777" w:rsidR="00936FB9" w:rsidRPr="007513D1" w:rsidRDefault="00000000" w:rsidP="00B90121">
            <w:pPr>
              <w:jc w:val="center"/>
              <w:rPr>
                <w:b/>
                <w:bCs/>
                <w:szCs w:val="24"/>
              </w:rPr>
            </w:pPr>
            <w:r w:rsidRPr="007513D1">
              <w:rPr>
                <w:b/>
                <w:bCs/>
                <w:szCs w:val="24"/>
              </w:rPr>
              <w:t>Exclusion</w:t>
            </w:r>
          </w:p>
        </w:tc>
        <w:tc>
          <w:tcPr>
            <w:tcW w:w="1321" w:type="pct"/>
          </w:tcPr>
          <w:p w14:paraId="7AC1E011" w14:textId="77777777" w:rsidR="00936FB9" w:rsidRPr="007513D1" w:rsidRDefault="00000000" w:rsidP="007513D1">
            <w:pPr>
              <w:rPr>
                <w:b/>
                <w:bCs/>
                <w:szCs w:val="24"/>
              </w:rPr>
            </w:pPr>
            <w:r w:rsidRPr="007513D1">
              <w:rPr>
                <w:b/>
                <w:bCs/>
                <w:szCs w:val="24"/>
              </w:rPr>
              <w:t>Justification</w:t>
            </w:r>
          </w:p>
        </w:tc>
      </w:tr>
      <w:tr w:rsidR="00936FB9" w:rsidRPr="007513D1" w14:paraId="60FB2ED4" w14:textId="77777777" w:rsidTr="00B90121">
        <w:trPr>
          <w:jc w:val="center"/>
        </w:trPr>
        <w:tc>
          <w:tcPr>
            <w:tcW w:w="746" w:type="pct"/>
          </w:tcPr>
          <w:p w14:paraId="60143A29" w14:textId="77777777" w:rsidR="00936FB9" w:rsidRPr="007513D1" w:rsidRDefault="00000000" w:rsidP="007513D1">
            <w:pPr>
              <w:rPr>
                <w:szCs w:val="24"/>
              </w:rPr>
            </w:pPr>
            <w:r w:rsidRPr="007513D1">
              <w:rPr>
                <w:szCs w:val="24"/>
              </w:rPr>
              <w:t>Population</w:t>
            </w:r>
          </w:p>
        </w:tc>
        <w:tc>
          <w:tcPr>
            <w:tcW w:w="1503" w:type="pct"/>
          </w:tcPr>
          <w:p w14:paraId="03081FB9" w14:textId="7C9BAB27" w:rsidR="00936FB9" w:rsidRPr="007513D1" w:rsidRDefault="00000000" w:rsidP="00B90121">
            <w:pPr>
              <w:jc w:val="center"/>
              <w:rPr>
                <w:szCs w:val="24"/>
              </w:rPr>
            </w:pPr>
            <w:r w:rsidRPr="007513D1">
              <w:rPr>
                <w:szCs w:val="24"/>
              </w:rPr>
              <w:t>High-rise buildings</w:t>
            </w:r>
            <w:r w:rsidR="00393BD4">
              <w:rPr>
                <w:szCs w:val="24"/>
              </w:rPr>
              <w:t>, with more focus on residential building</w:t>
            </w:r>
          </w:p>
        </w:tc>
        <w:tc>
          <w:tcPr>
            <w:tcW w:w="1430" w:type="pct"/>
          </w:tcPr>
          <w:p w14:paraId="69B5B41A" w14:textId="28C47FDC" w:rsidR="00936FB9" w:rsidRPr="007513D1" w:rsidRDefault="00393BD4" w:rsidP="00B90121">
            <w:pPr>
              <w:jc w:val="center"/>
              <w:rPr>
                <w:szCs w:val="24"/>
              </w:rPr>
            </w:pPr>
            <w:r w:rsidRPr="007513D1">
              <w:rPr>
                <w:szCs w:val="24"/>
              </w:rPr>
              <w:t>L</w:t>
            </w:r>
            <w:r w:rsidR="00000000" w:rsidRPr="007513D1">
              <w:rPr>
                <w:szCs w:val="24"/>
              </w:rPr>
              <w:t>ow-rise buildings</w:t>
            </w:r>
          </w:p>
        </w:tc>
        <w:tc>
          <w:tcPr>
            <w:tcW w:w="1321" w:type="pct"/>
          </w:tcPr>
          <w:p w14:paraId="7ACB369D" w14:textId="77777777" w:rsidR="00936FB9" w:rsidRPr="007513D1" w:rsidRDefault="00000000" w:rsidP="007513D1">
            <w:pPr>
              <w:rPr>
                <w:szCs w:val="24"/>
              </w:rPr>
            </w:pPr>
            <w:r w:rsidRPr="007513D1">
              <w:rPr>
                <w:szCs w:val="24"/>
              </w:rPr>
              <w:t>Focus on the specific building typology most relevant to Lagos State</w:t>
            </w:r>
          </w:p>
        </w:tc>
      </w:tr>
      <w:tr w:rsidR="00936FB9" w:rsidRPr="007513D1" w14:paraId="1B6E9CE0" w14:textId="77777777" w:rsidTr="00B90121">
        <w:trPr>
          <w:jc w:val="center"/>
        </w:trPr>
        <w:tc>
          <w:tcPr>
            <w:tcW w:w="746" w:type="pct"/>
          </w:tcPr>
          <w:p w14:paraId="1F40565B" w14:textId="77777777" w:rsidR="00936FB9" w:rsidRPr="007513D1" w:rsidRDefault="00000000" w:rsidP="007513D1">
            <w:pPr>
              <w:rPr>
                <w:szCs w:val="24"/>
              </w:rPr>
            </w:pPr>
            <w:r w:rsidRPr="007513D1">
              <w:rPr>
                <w:szCs w:val="24"/>
              </w:rPr>
              <w:t>Concept</w:t>
            </w:r>
          </w:p>
        </w:tc>
        <w:tc>
          <w:tcPr>
            <w:tcW w:w="1503" w:type="pct"/>
          </w:tcPr>
          <w:p w14:paraId="023DA4A6" w14:textId="77777777" w:rsidR="00936FB9" w:rsidRPr="007513D1" w:rsidRDefault="00000000" w:rsidP="00B90121">
            <w:pPr>
              <w:jc w:val="center"/>
              <w:rPr>
                <w:szCs w:val="24"/>
              </w:rPr>
            </w:pPr>
            <w:r w:rsidRPr="007513D1">
              <w:rPr>
                <w:szCs w:val="24"/>
              </w:rPr>
              <w:t>Maintenance management problems linked to performance outcomes</w:t>
            </w:r>
          </w:p>
        </w:tc>
        <w:tc>
          <w:tcPr>
            <w:tcW w:w="1430" w:type="pct"/>
          </w:tcPr>
          <w:p w14:paraId="11E221A4" w14:textId="77777777" w:rsidR="00936FB9" w:rsidRPr="007513D1" w:rsidRDefault="00000000" w:rsidP="00B90121">
            <w:pPr>
              <w:jc w:val="center"/>
              <w:rPr>
                <w:szCs w:val="24"/>
              </w:rPr>
            </w:pPr>
            <w:r w:rsidRPr="007513D1">
              <w:rPr>
                <w:szCs w:val="24"/>
              </w:rPr>
              <w:t>Studies discussing problems without reference to performance</w:t>
            </w:r>
          </w:p>
        </w:tc>
        <w:tc>
          <w:tcPr>
            <w:tcW w:w="1321" w:type="pct"/>
          </w:tcPr>
          <w:p w14:paraId="2B313FF0" w14:textId="77777777" w:rsidR="00936FB9" w:rsidRPr="007513D1" w:rsidRDefault="00000000" w:rsidP="007513D1">
            <w:pPr>
              <w:rPr>
                <w:szCs w:val="24"/>
              </w:rPr>
            </w:pPr>
            <w:r w:rsidRPr="007513D1">
              <w:rPr>
                <w:szCs w:val="24"/>
              </w:rPr>
              <w:t>The review requires an explicit problem-performance linkage</w:t>
            </w:r>
          </w:p>
        </w:tc>
      </w:tr>
      <w:tr w:rsidR="00936FB9" w:rsidRPr="007513D1" w14:paraId="4F63E144" w14:textId="77777777" w:rsidTr="00B90121">
        <w:trPr>
          <w:jc w:val="center"/>
        </w:trPr>
        <w:tc>
          <w:tcPr>
            <w:tcW w:w="746" w:type="pct"/>
          </w:tcPr>
          <w:p w14:paraId="7D850A2C" w14:textId="77777777" w:rsidR="00936FB9" w:rsidRPr="007513D1" w:rsidRDefault="00000000" w:rsidP="007513D1">
            <w:pPr>
              <w:rPr>
                <w:szCs w:val="24"/>
              </w:rPr>
            </w:pPr>
            <w:r w:rsidRPr="007513D1">
              <w:rPr>
                <w:szCs w:val="24"/>
              </w:rPr>
              <w:t>Context</w:t>
            </w:r>
          </w:p>
        </w:tc>
        <w:tc>
          <w:tcPr>
            <w:tcW w:w="1503" w:type="pct"/>
          </w:tcPr>
          <w:p w14:paraId="73E44127" w14:textId="77777777" w:rsidR="00936FB9" w:rsidRPr="007513D1" w:rsidRDefault="00000000" w:rsidP="00B90121">
            <w:pPr>
              <w:jc w:val="center"/>
              <w:rPr>
                <w:szCs w:val="24"/>
              </w:rPr>
            </w:pPr>
            <w:r w:rsidRPr="007513D1">
              <w:rPr>
                <w:szCs w:val="24"/>
              </w:rPr>
              <w:t>Nigeria, West Africa, or comparable developing-country contexts</w:t>
            </w:r>
          </w:p>
        </w:tc>
        <w:tc>
          <w:tcPr>
            <w:tcW w:w="1430" w:type="pct"/>
          </w:tcPr>
          <w:p w14:paraId="16A46916" w14:textId="77777777" w:rsidR="00936FB9" w:rsidRPr="007513D1" w:rsidRDefault="00000000" w:rsidP="00B90121">
            <w:pPr>
              <w:jc w:val="center"/>
              <w:rPr>
                <w:szCs w:val="24"/>
              </w:rPr>
            </w:pPr>
            <w:r w:rsidRPr="007513D1">
              <w:rPr>
                <w:szCs w:val="24"/>
              </w:rPr>
              <w:t>Studies from developed countries with mature regulatory frameworks</w:t>
            </w:r>
          </w:p>
        </w:tc>
        <w:tc>
          <w:tcPr>
            <w:tcW w:w="1321" w:type="pct"/>
          </w:tcPr>
          <w:p w14:paraId="3C602478" w14:textId="77777777" w:rsidR="00936FB9" w:rsidRPr="007513D1" w:rsidRDefault="00000000" w:rsidP="007513D1">
            <w:pPr>
              <w:rPr>
                <w:szCs w:val="24"/>
              </w:rPr>
            </w:pPr>
            <w:r w:rsidRPr="007513D1">
              <w:rPr>
                <w:szCs w:val="24"/>
              </w:rPr>
              <w:t>Findings must be transferable to the Lagos State context</w:t>
            </w:r>
          </w:p>
        </w:tc>
      </w:tr>
      <w:tr w:rsidR="00936FB9" w:rsidRPr="007513D1" w14:paraId="413017F7" w14:textId="77777777" w:rsidTr="00B90121">
        <w:trPr>
          <w:jc w:val="center"/>
        </w:trPr>
        <w:tc>
          <w:tcPr>
            <w:tcW w:w="746" w:type="pct"/>
          </w:tcPr>
          <w:p w14:paraId="45C5C718" w14:textId="77777777" w:rsidR="00936FB9" w:rsidRPr="007513D1" w:rsidRDefault="00000000" w:rsidP="007513D1">
            <w:pPr>
              <w:rPr>
                <w:szCs w:val="24"/>
              </w:rPr>
            </w:pPr>
            <w:r w:rsidRPr="007513D1">
              <w:rPr>
                <w:szCs w:val="24"/>
              </w:rPr>
              <w:lastRenderedPageBreak/>
              <w:t>Date range</w:t>
            </w:r>
          </w:p>
        </w:tc>
        <w:tc>
          <w:tcPr>
            <w:tcW w:w="1503" w:type="pct"/>
          </w:tcPr>
          <w:p w14:paraId="4F73B1F1" w14:textId="77777777" w:rsidR="00936FB9" w:rsidRPr="007513D1" w:rsidRDefault="00000000" w:rsidP="00B90121">
            <w:pPr>
              <w:jc w:val="center"/>
              <w:rPr>
                <w:szCs w:val="24"/>
              </w:rPr>
            </w:pPr>
            <w:r w:rsidRPr="007513D1">
              <w:rPr>
                <w:szCs w:val="24"/>
              </w:rPr>
              <w:t>January 2010 to April 2026</w:t>
            </w:r>
          </w:p>
        </w:tc>
        <w:tc>
          <w:tcPr>
            <w:tcW w:w="1430" w:type="pct"/>
          </w:tcPr>
          <w:p w14:paraId="247E5CAB" w14:textId="77777777" w:rsidR="00936FB9" w:rsidRPr="007513D1" w:rsidRDefault="00000000" w:rsidP="00B90121">
            <w:pPr>
              <w:jc w:val="center"/>
              <w:rPr>
                <w:szCs w:val="24"/>
              </w:rPr>
            </w:pPr>
            <w:r w:rsidRPr="007513D1">
              <w:rPr>
                <w:szCs w:val="24"/>
              </w:rPr>
              <w:t>Pre-2010 publications</w:t>
            </w:r>
          </w:p>
        </w:tc>
        <w:tc>
          <w:tcPr>
            <w:tcW w:w="1321" w:type="pct"/>
          </w:tcPr>
          <w:p w14:paraId="1EB5D81A" w14:textId="77777777" w:rsidR="00936FB9" w:rsidRPr="007513D1" w:rsidRDefault="00000000" w:rsidP="007513D1">
            <w:pPr>
              <w:rPr>
                <w:szCs w:val="24"/>
              </w:rPr>
            </w:pPr>
            <w:r w:rsidRPr="007513D1">
              <w:rPr>
                <w:szCs w:val="24"/>
              </w:rPr>
              <w:t>Post-2008 regulatory landscape is the relevant period</w:t>
            </w:r>
          </w:p>
        </w:tc>
      </w:tr>
      <w:tr w:rsidR="00936FB9" w:rsidRPr="007513D1" w14:paraId="7383EA95" w14:textId="77777777" w:rsidTr="00B90121">
        <w:trPr>
          <w:jc w:val="center"/>
        </w:trPr>
        <w:tc>
          <w:tcPr>
            <w:tcW w:w="746" w:type="pct"/>
          </w:tcPr>
          <w:p w14:paraId="6D14333F" w14:textId="77777777" w:rsidR="00936FB9" w:rsidRPr="007513D1" w:rsidRDefault="00000000" w:rsidP="007513D1">
            <w:pPr>
              <w:rPr>
                <w:szCs w:val="24"/>
              </w:rPr>
            </w:pPr>
            <w:r w:rsidRPr="007513D1">
              <w:rPr>
                <w:szCs w:val="24"/>
              </w:rPr>
              <w:t>Language</w:t>
            </w:r>
          </w:p>
        </w:tc>
        <w:tc>
          <w:tcPr>
            <w:tcW w:w="1503" w:type="pct"/>
          </w:tcPr>
          <w:p w14:paraId="3AFEF3E5" w14:textId="77777777" w:rsidR="00936FB9" w:rsidRPr="007513D1" w:rsidRDefault="00000000" w:rsidP="00B90121">
            <w:pPr>
              <w:jc w:val="center"/>
              <w:rPr>
                <w:szCs w:val="24"/>
              </w:rPr>
            </w:pPr>
            <w:r w:rsidRPr="007513D1">
              <w:rPr>
                <w:szCs w:val="24"/>
              </w:rPr>
              <w:t>English</w:t>
            </w:r>
          </w:p>
        </w:tc>
        <w:tc>
          <w:tcPr>
            <w:tcW w:w="1430" w:type="pct"/>
          </w:tcPr>
          <w:p w14:paraId="61DF6358" w14:textId="77777777" w:rsidR="00936FB9" w:rsidRPr="007513D1" w:rsidRDefault="00000000" w:rsidP="00B90121">
            <w:pPr>
              <w:jc w:val="center"/>
              <w:rPr>
                <w:szCs w:val="24"/>
              </w:rPr>
            </w:pPr>
            <w:r w:rsidRPr="007513D1">
              <w:rPr>
                <w:szCs w:val="24"/>
              </w:rPr>
              <w:t>Non-English publications</w:t>
            </w:r>
          </w:p>
        </w:tc>
        <w:tc>
          <w:tcPr>
            <w:tcW w:w="1321" w:type="pct"/>
          </w:tcPr>
          <w:p w14:paraId="51F307ED" w14:textId="77777777" w:rsidR="00936FB9" w:rsidRPr="007513D1" w:rsidRDefault="00000000" w:rsidP="007513D1">
            <w:pPr>
              <w:rPr>
                <w:szCs w:val="24"/>
              </w:rPr>
            </w:pPr>
            <w:r w:rsidRPr="007513D1">
              <w:rPr>
                <w:szCs w:val="24"/>
              </w:rPr>
              <w:t>Resource constraints preclude translation</w:t>
            </w:r>
          </w:p>
        </w:tc>
      </w:tr>
      <w:tr w:rsidR="00936FB9" w:rsidRPr="007513D1" w14:paraId="29749B23" w14:textId="77777777" w:rsidTr="00B90121">
        <w:trPr>
          <w:jc w:val="center"/>
        </w:trPr>
        <w:tc>
          <w:tcPr>
            <w:tcW w:w="746" w:type="pct"/>
          </w:tcPr>
          <w:p w14:paraId="26CB4E04" w14:textId="77777777" w:rsidR="00936FB9" w:rsidRPr="007513D1" w:rsidRDefault="00000000" w:rsidP="007513D1">
            <w:pPr>
              <w:rPr>
                <w:szCs w:val="24"/>
              </w:rPr>
            </w:pPr>
            <w:r w:rsidRPr="007513D1">
              <w:rPr>
                <w:szCs w:val="24"/>
              </w:rPr>
              <w:t>Methodology</w:t>
            </w:r>
          </w:p>
        </w:tc>
        <w:tc>
          <w:tcPr>
            <w:tcW w:w="1503" w:type="pct"/>
          </w:tcPr>
          <w:p w14:paraId="607CBAE7" w14:textId="77777777" w:rsidR="00936FB9" w:rsidRPr="007513D1" w:rsidRDefault="00000000" w:rsidP="00B90121">
            <w:pPr>
              <w:jc w:val="center"/>
              <w:rPr>
                <w:szCs w:val="24"/>
              </w:rPr>
            </w:pPr>
            <w:r w:rsidRPr="007513D1">
              <w:rPr>
                <w:szCs w:val="24"/>
              </w:rPr>
              <w:t>Empirical studies (quantitative, qualitative, or mixed)</w:t>
            </w:r>
          </w:p>
        </w:tc>
        <w:tc>
          <w:tcPr>
            <w:tcW w:w="1430" w:type="pct"/>
          </w:tcPr>
          <w:p w14:paraId="2C1B2CC0" w14:textId="77777777" w:rsidR="00936FB9" w:rsidRPr="007513D1" w:rsidRDefault="00000000" w:rsidP="00B90121">
            <w:pPr>
              <w:jc w:val="center"/>
              <w:rPr>
                <w:szCs w:val="24"/>
              </w:rPr>
            </w:pPr>
            <w:r w:rsidRPr="007513D1">
              <w:rPr>
                <w:szCs w:val="24"/>
              </w:rPr>
              <w:t>Opinion pieces, editorials, and theoretical papers without data</w:t>
            </w:r>
          </w:p>
        </w:tc>
        <w:tc>
          <w:tcPr>
            <w:tcW w:w="1321" w:type="pct"/>
          </w:tcPr>
          <w:p w14:paraId="29908CC1" w14:textId="77777777" w:rsidR="00936FB9" w:rsidRPr="007513D1" w:rsidRDefault="00000000" w:rsidP="007513D1">
            <w:pPr>
              <w:rPr>
                <w:szCs w:val="24"/>
              </w:rPr>
            </w:pPr>
            <w:r w:rsidRPr="007513D1">
              <w:rPr>
                <w:szCs w:val="24"/>
              </w:rPr>
              <w:t>Empirical evidence is required for synthesis</w:t>
            </w:r>
          </w:p>
        </w:tc>
      </w:tr>
    </w:tbl>
    <w:p w14:paraId="79704B14" w14:textId="4B276EE5" w:rsidR="00936FB9" w:rsidRPr="007513D1" w:rsidRDefault="00000000" w:rsidP="007513D1">
      <w:pPr>
        <w:rPr>
          <w:szCs w:val="24"/>
        </w:rPr>
      </w:pPr>
      <w:r w:rsidRPr="007513D1">
        <w:rPr>
          <w:i/>
          <w:szCs w:val="24"/>
        </w:rPr>
        <w:t>Note</w:t>
      </w:r>
      <w:r w:rsidR="00B90121">
        <w:rPr>
          <w:i/>
          <w:szCs w:val="24"/>
        </w:rPr>
        <w:t>:</w:t>
      </w:r>
      <w:r w:rsidRPr="007513D1">
        <w:rPr>
          <w:i/>
          <w:szCs w:val="24"/>
        </w:rPr>
        <w:t xml:space="preserve"> Criteria adapted from the PCC framework for systematic reviews.</w:t>
      </w:r>
    </w:p>
    <w:p w14:paraId="63FD3566" w14:textId="77777777" w:rsidR="00936FB9" w:rsidRDefault="00000000" w:rsidP="007513D1">
      <w:pPr>
        <w:pStyle w:val="Heading2"/>
      </w:pPr>
      <w:r>
        <w:t>2.4 Selection Process</w:t>
      </w:r>
    </w:p>
    <w:p w14:paraId="5D3E9269" w14:textId="06BE5A84" w:rsidR="00B90121" w:rsidRDefault="00B90121" w:rsidP="003E2EB9">
      <w:pPr>
        <w:spacing w:after="120" w:line="276" w:lineRule="auto"/>
        <w:rPr>
          <w:rFonts w:eastAsia="Times New Roman"/>
        </w:rPr>
      </w:pPr>
      <w:r>
        <w:rPr>
          <w:rFonts w:eastAsia="Times New Roman"/>
          <w:noProof/>
        </w:rPr>
        <w:drawing>
          <wp:anchor distT="0" distB="0" distL="114300" distR="114300" simplePos="0" relativeHeight="251656704" behindDoc="0" locked="0" layoutInCell="1" allowOverlap="1" wp14:anchorId="57370798" wp14:editId="156A92DE">
            <wp:simplePos x="0" y="0"/>
            <wp:positionH relativeFrom="column">
              <wp:posOffset>161925</wp:posOffset>
            </wp:positionH>
            <wp:positionV relativeFrom="paragraph">
              <wp:posOffset>280035</wp:posOffset>
            </wp:positionV>
            <wp:extent cx="5247640" cy="5044440"/>
            <wp:effectExtent l="0" t="0" r="0" b="3810"/>
            <wp:wrapTopAndBottom/>
            <wp:docPr id="1832307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 uri="{28A0092B-C50C-407E-A947-70E740481C1C}">
                          <a14:useLocalDpi xmlns:a14="http://schemas.microsoft.com/office/drawing/2010/main" val="0"/>
                        </a:ext>
                      </a:extLst>
                    </a:blip>
                    <a:srcRect b="10671"/>
                    <a:stretch>
                      <a:fillRect/>
                    </a:stretch>
                  </pic:blipFill>
                  <pic:spPr bwMode="auto">
                    <a:xfrm>
                      <a:off x="0" y="0"/>
                      <a:ext cx="5247640" cy="504444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eastAsia="Times New Roman"/>
        </w:rPr>
        <w:t xml:space="preserve">The selection process followed the four canonical PRISMA stages. </w:t>
      </w:r>
    </w:p>
    <w:p w14:paraId="581ADD04" w14:textId="509F34ED" w:rsidR="00B90121" w:rsidRDefault="00B90121" w:rsidP="003E2EB9">
      <w:pPr>
        <w:spacing w:after="120" w:line="276" w:lineRule="auto"/>
        <w:rPr>
          <w:rFonts w:eastAsia="Times New Roman"/>
        </w:rPr>
      </w:pPr>
    </w:p>
    <w:p w14:paraId="2FBBAEB7" w14:textId="4427B5CE" w:rsidR="00B90121" w:rsidRPr="00B90121" w:rsidRDefault="00B90121" w:rsidP="00B90121">
      <w:pPr>
        <w:spacing w:after="120" w:line="276" w:lineRule="auto"/>
        <w:jc w:val="center"/>
        <w:rPr>
          <w:rFonts w:eastAsia="Times New Roman"/>
          <w:b/>
          <w:bCs/>
        </w:rPr>
      </w:pPr>
      <w:r w:rsidRPr="00B90121">
        <w:rPr>
          <w:rFonts w:eastAsia="Times New Roman"/>
          <w:b/>
          <w:bCs/>
        </w:rPr>
        <w:t>Figure 1: PRISMA Flow Chart</w:t>
      </w:r>
    </w:p>
    <w:p w14:paraId="0CD347BA" w14:textId="77777777" w:rsidR="00B90121" w:rsidRPr="00B90121" w:rsidRDefault="00000000" w:rsidP="00B90121">
      <w:pPr>
        <w:pStyle w:val="ListParagraph"/>
        <w:numPr>
          <w:ilvl w:val="0"/>
          <w:numId w:val="10"/>
        </w:numPr>
        <w:spacing w:after="120" w:line="276" w:lineRule="auto"/>
        <w:rPr>
          <w:rFonts w:eastAsia="Times New Roman"/>
        </w:rPr>
      </w:pPr>
      <w:r w:rsidRPr="00B90121">
        <w:rPr>
          <w:rFonts w:eastAsia="Times New Roman"/>
          <w:b/>
          <w:bCs/>
        </w:rPr>
        <w:lastRenderedPageBreak/>
        <w:t>Identification</w:t>
      </w:r>
      <w:r w:rsidRPr="00B90121">
        <w:rPr>
          <w:rFonts w:eastAsia="Times New Roman"/>
        </w:rPr>
        <w:t xml:space="preserve">: the initial search yielded 1,387 records across all databases (Scopus: 423; Web of Science: 312; Google Scholar: 487; AJOL: 165). </w:t>
      </w:r>
    </w:p>
    <w:p w14:paraId="0339B790" w14:textId="77777777" w:rsidR="00B90121" w:rsidRPr="00B90121" w:rsidRDefault="00000000" w:rsidP="00B90121">
      <w:pPr>
        <w:pStyle w:val="ListParagraph"/>
        <w:numPr>
          <w:ilvl w:val="0"/>
          <w:numId w:val="10"/>
        </w:numPr>
        <w:spacing w:after="120" w:line="276" w:lineRule="auto"/>
        <w:rPr>
          <w:rFonts w:eastAsia="Times New Roman"/>
        </w:rPr>
      </w:pPr>
      <w:r w:rsidRPr="00B90121">
        <w:rPr>
          <w:rFonts w:eastAsia="Times New Roman"/>
          <w:b/>
          <w:bCs/>
        </w:rPr>
        <w:t>Screening</w:t>
      </w:r>
      <w:r w:rsidRPr="00B90121">
        <w:rPr>
          <w:rFonts w:eastAsia="Times New Roman"/>
        </w:rPr>
        <w:t xml:space="preserve">: after removing 294 duplicates, 1,093 records were screened on title and abstract, excluding 789 that did not address the core phenomenon of maintenance management problems in residential buildings. </w:t>
      </w:r>
    </w:p>
    <w:p w14:paraId="3BC82338" w14:textId="13B97A57" w:rsidR="00B90121" w:rsidRPr="00BE1592" w:rsidRDefault="00000000" w:rsidP="00BE1592">
      <w:pPr>
        <w:pStyle w:val="ListParagraph"/>
        <w:numPr>
          <w:ilvl w:val="0"/>
          <w:numId w:val="10"/>
        </w:numPr>
        <w:spacing w:after="120" w:line="276" w:lineRule="auto"/>
        <w:rPr>
          <w:rFonts w:eastAsia="Times New Roman"/>
        </w:rPr>
      </w:pPr>
      <w:r w:rsidRPr="00B90121">
        <w:rPr>
          <w:rFonts w:eastAsia="Times New Roman"/>
          <w:b/>
          <w:bCs/>
        </w:rPr>
        <w:t>Eligibility</w:t>
      </w:r>
      <w:r w:rsidRPr="00B90121">
        <w:rPr>
          <w:rFonts w:eastAsia="Times New Roman"/>
        </w:rPr>
        <w:t xml:space="preserve">: </w:t>
      </w:r>
      <w:r w:rsidR="00BE1592" w:rsidRPr="00BE1592">
        <w:rPr>
          <w:rFonts w:eastAsia="Times New Roman"/>
        </w:rPr>
        <w:t>Of the 304 full-text articles sought for retrieval, 6 could not be obtained (inaccessible full text, conference abstract only), leaving 298 full texts assessed against the inclusion criteria. Of these, 262 were excluded with reasons recorded</w:t>
      </w:r>
      <w:r w:rsidR="00BE1592">
        <w:rPr>
          <w:rFonts w:eastAsia="Times New Roman"/>
        </w:rPr>
        <w:t xml:space="preserve"> </w:t>
      </w:r>
      <w:r w:rsidRPr="00BE1592">
        <w:rPr>
          <w:rFonts w:eastAsia="Times New Roman"/>
        </w:rPr>
        <w:t>(see Appendix C)</w:t>
      </w:r>
      <w:r w:rsidR="00BE1592" w:rsidRPr="00BE1592">
        <w:rPr>
          <w:rFonts w:eastAsia="Times New Roman"/>
        </w:rPr>
        <w:t>.</w:t>
      </w:r>
      <w:r w:rsidRPr="00BE1592">
        <w:rPr>
          <w:rFonts w:eastAsia="Times New Roman"/>
        </w:rPr>
        <w:t xml:space="preserve"> </w:t>
      </w:r>
      <w:r w:rsidR="00BE1592" w:rsidRPr="00BE1592">
        <w:rPr>
          <w:rFonts w:eastAsia="Times New Roman"/>
        </w:rPr>
        <w:t>T</w:t>
      </w:r>
      <w:r w:rsidRPr="00BE1592">
        <w:rPr>
          <w:rFonts w:eastAsia="Times New Roman"/>
        </w:rPr>
        <w:t>he most common being failure to link problems to performance outcomes</w:t>
      </w:r>
      <w:r w:rsidR="00803A8B">
        <w:rPr>
          <w:rFonts w:eastAsia="Times New Roman"/>
        </w:rPr>
        <w:t xml:space="preserve">, </w:t>
      </w:r>
      <w:r w:rsidRPr="00BE1592">
        <w:rPr>
          <w:rFonts w:eastAsia="Times New Roman"/>
        </w:rPr>
        <w:t>focus on</w:t>
      </w:r>
      <w:r w:rsidR="00803A8B">
        <w:rPr>
          <w:rFonts w:eastAsia="Times New Roman"/>
        </w:rPr>
        <w:t xml:space="preserve"> only</w:t>
      </w:r>
      <w:r w:rsidR="00BE1592" w:rsidRPr="00BE1592">
        <w:rPr>
          <w:rFonts w:eastAsia="Times New Roman"/>
        </w:rPr>
        <w:t xml:space="preserve"> </w:t>
      </w:r>
      <w:r w:rsidRPr="00BE1592">
        <w:rPr>
          <w:rFonts w:eastAsia="Times New Roman"/>
        </w:rPr>
        <w:t xml:space="preserve">non-residential buildings, and absence of empirical data. </w:t>
      </w:r>
    </w:p>
    <w:p w14:paraId="03F68311" w14:textId="13F33141" w:rsidR="00936FB9" w:rsidRPr="00B90121" w:rsidRDefault="00000000" w:rsidP="00B90121">
      <w:pPr>
        <w:pStyle w:val="ListParagraph"/>
        <w:numPr>
          <w:ilvl w:val="0"/>
          <w:numId w:val="10"/>
        </w:numPr>
        <w:spacing w:after="120" w:line="276" w:lineRule="auto"/>
      </w:pPr>
      <w:r w:rsidRPr="00B90121">
        <w:rPr>
          <w:rFonts w:eastAsia="Times New Roman"/>
          <w:b/>
          <w:bCs/>
        </w:rPr>
        <w:t>Inclu</w:t>
      </w:r>
      <w:r w:rsidR="00B90121" w:rsidRPr="00B90121">
        <w:rPr>
          <w:rFonts w:eastAsia="Times New Roman"/>
          <w:b/>
          <w:bCs/>
        </w:rPr>
        <w:t>sion</w:t>
      </w:r>
      <w:r w:rsidRPr="00B90121">
        <w:rPr>
          <w:rFonts w:eastAsia="Times New Roman"/>
        </w:rPr>
        <w:t>: 36 studies entered the synthesis. The screening was conducted by one reviewer, which is a limitation acknowledged in Section 4.</w:t>
      </w:r>
    </w:p>
    <w:p w14:paraId="230EE411" w14:textId="77777777" w:rsidR="00936FB9" w:rsidRDefault="00000000" w:rsidP="007513D1">
      <w:pPr>
        <w:pStyle w:val="Heading2"/>
      </w:pPr>
      <w:r>
        <w:t>2.5 Quality Appraisal</w:t>
      </w:r>
    </w:p>
    <w:p w14:paraId="0D501F32" w14:textId="77777777" w:rsidR="00936FB9" w:rsidRDefault="00000000" w:rsidP="003E2EB9">
      <w:pPr>
        <w:spacing w:after="120" w:line="276" w:lineRule="auto"/>
      </w:pPr>
      <w:r>
        <w:rPr>
          <w:rFonts w:eastAsia="Times New Roman"/>
        </w:rPr>
        <w:t>Each included study was appraised using the JBI critical appraisal checklists, selected for their design-specific instruments that cover the range of quantitative, qualitative, and mixed-methods designs represented in the included set (Aromataris &amp; Munn, 2020). Studies were rated as high, moderate, or low quality based on the proportion of checklist items satisfied. No study was excluded solely on quality grounds, following the principle that excluding weaker studies may itself introduce bias; instead, quality ratings informed the weight given to findings during synthesis. Of the 36 studies, 16 were rated high quality, 14 moderate, and 6 low.</w:t>
      </w:r>
    </w:p>
    <w:p w14:paraId="55C96B6C" w14:textId="77777777" w:rsidR="00936FB9" w:rsidRDefault="00000000" w:rsidP="007513D1">
      <w:pPr>
        <w:pStyle w:val="Heading2"/>
      </w:pPr>
      <w:r>
        <w:t>2.6 Data Extraction and Synthesis</w:t>
      </w:r>
    </w:p>
    <w:p w14:paraId="2B2AF929" w14:textId="2960144A" w:rsidR="00936FB9" w:rsidRDefault="00000000" w:rsidP="003E2EB9">
      <w:pPr>
        <w:spacing w:after="120" w:line="276" w:lineRule="auto"/>
      </w:pPr>
      <w:r>
        <w:rPr>
          <w:rFonts w:eastAsia="Times New Roman"/>
        </w:rPr>
        <w:t xml:space="preserve">Data were extracted onto a standardised form capturing author, year, design, setting, sample, theoretical framework, key findings, and the specific problems and performance indicators reported. Thematic synthesis was chosen as the primary method, following the three-stage process of line-by-line coding, development of descriptive themes, and generation of analytical themes that answer the research questions (Thomas &amp; Harden, 2008). A thematic matrix </w:t>
      </w:r>
      <w:r w:rsidR="00232E40">
        <w:rPr>
          <w:rFonts w:eastAsia="Times New Roman"/>
        </w:rPr>
        <w:t xml:space="preserve">is presented in </w:t>
      </w:r>
      <w:r w:rsidR="00232E40" w:rsidRPr="00232E40">
        <w:rPr>
          <w:rFonts w:eastAsia="Times New Roman"/>
          <w:i/>
          <w:iCs/>
        </w:rPr>
        <w:t>Table 8</w:t>
      </w:r>
      <w:r>
        <w:rPr>
          <w:rFonts w:eastAsia="Times New Roman"/>
        </w:rPr>
        <w:t xml:space="preserve"> to ensure transparency. The synthesis is organised thematically rather than by author, consistent with the principle that a review synthesises by concept rather than cataloguing by source.</w:t>
      </w:r>
    </w:p>
    <w:p w14:paraId="2AA55517" w14:textId="7FA0155E" w:rsidR="00936FB9" w:rsidRDefault="00000000" w:rsidP="00BE7C95">
      <w:pPr>
        <w:pStyle w:val="Heading1"/>
      </w:pPr>
      <w:r>
        <w:t>3.</w:t>
      </w:r>
      <w:r w:rsidR="00CC2560">
        <w:t>0</w:t>
      </w:r>
      <w:r>
        <w:t xml:space="preserve"> Results</w:t>
      </w:r>
    </w:p>
    <w:p w14:paraId="23BE19DD" w14:textId="77777777" w:rsidR="00936FB9" w:rsidRDefault="00000000" w:rsidP="007513D1">
      <w:pPr>
        <w:pStyle w:val="Heading2"/>
      </w:pPr>
      <w:r>
        <w:t>3.1 Descriptive Topography of the Evidence</w:t>
      </w:r>
    </w:p>
    <w:p w14:paraId="084FCA7B" w14:textId="77777777" w:rsidR="00CC2560" w:rsidRDefault="00000000" w:rsidP="003E2EB9">
      <w:pPr>
        <w:spacing w:after="120" w:line="276" w:lineRule="auto"/>
        <w:rPr>
          <w:rFonts w:eastAsia="Times New Roman"/>
        </w:rPr>
      </w:pPr>
      <w:r>
        <w:rPr>
          <w:rFonts w:eastAsia="Times New Roman"/>
        </w:rPr>
        <w:t xml:space="preserve">The 36 included studies span the period from 2010 to 2026, with a marked acceleration in output after 2018: 25 of 36 studies (69 percent) were published between 2018 and 2026, reflecting growing scholarly and policy attention to building maintenance in Nigeria. Notably, two studies were published in 2025, providing the most current evidence base (Dompey et al., 2025; Oke et al., 2025). Geographically, 18 studies (50 percent) were conducted exclusively in Nigeria, of which 12 (33 percent of the total) focused specifically on Lagos State; a further 9 studies (25 percent) examined other West African or African </w:t>
      </w:r>
      <w:r>
        <w:rPr>
          <w:rFonts w:eastAsia="Times New Roman"/>
        </w:rPr>
        <w:lastRenderedPageBreak/>
        <w:t xml:space="preserve">contexts, and 9 studies (25 percent) drew on Malaysian or broader developing-country evidence. </w:t>
      </w:r>
    </w:p>
    <w:p w14:paraId="4EF30A34" w14:textId="3B60B6C0" w:rsidR="00936FB9" w:rsidRDefault="00000000" w:rsidP="003E2EB9">
      <w:pPr>
        <w:spacing w:after="120" w:line="276" w:lineRule="auto"/>
      </w:pPr>
      <w:r>
        <w:rPr>
          <w:rFonts w:eastAsia="Times New Roman"/>
        </w:rPr>
        <w:t>The geographic concentration confirms both the relevance of the Lagos context and the need for more comparative research across African cities. Methodologically, questionnaire surveys dominated the corpus (25 of 36 studies, 69 percent), with smaller contributions from case studies (4 studies, 11 percent), mixed-methods designs (3 studies, 8 percent), literature or systematic reviews (3 studies, 8 percent), and document analyses (1 study, 3 percent). Three studies employed correlation or regression analysis to quantify the problem-performance relationship, indicating a methodological advance in the most recent literature.</w:t>
      </w:r>
    </w:p>
    <w:p w14:paraId="5CDB3B57" w14:textId="3C455593" w:rsidR="00936FB9" w:rsidRPr="003E2EB9" w:rsidRDefault="00000000" w:rsidP="003E2EB9">
      <w:pPr>
        <w:spacing w:before="240" w:after="120" w:line="276" w:lineRule="auto"/>
        <w:jc w:val="left"/>
        <w:rPr>
          <w:szCs w:val="24"/>
        </w:rPr>
      </w:pPr>
      <w:r w:rsidRPr="003E2EB9">
        <w:rPr>
          <w:rFonts w:eastAsia="Times New Roman"/>
          <w:b/>
          <w:szCs w:val="24"/>
        </w:rPr>
        <w:t>Table 2</w:t>
      </w:r>
      <w:r w:rsidR="003E2EB9">
        <w:rPr>
          <w:rFonts w:eastAsia="Times New Roman"/>
          <w:b/>
          <w:szCs w:val="24"/>
        </w:rPr>
        <w:t>:</w:t>
      </w:r>
      <w:r w:rsidRPr="003E2EB9">
        <w:rPr>
          <w:rFonts w:eastAsia="Times New Roman"/>
          <w:b/>
          <w:szCs w:val="24"/>
        </w:rPr>
        <w:t xml:space="preserve"> Distribution of Included Studies by Year and Geography</w:t>
      </w:r>
    </w:p>
    <w:tbl>
      <w:tblPr>
        <w:tblStyle w:val="TableGrid"/>
        <w:tblW w:w="0" w:type="auto"/>
        <w:tblLook w:val="04A0" w:firstRow="1" w:lastRow="0" w:firstColumn="1" w:lastColumn="0" w:noHBand="0" w:noVBand="1"/>
      </w:tblPr>
      <w:tblGrid>
        <w:gridCol w:w="1607"/>
        <w:gridCol w:w="1621"/>
        <w:gridCol w:w="1603"/>
        <w:gridCol w:w="2363"/>
        <w:gridCol w:w="1584"/>
      </w:tblGrid>
      <w:tr w:rsidR="00936FB9" w:rsidRPr="003E2EB9" w14:paraId="1589C92F" w14:textId="77777777" w:rsidTr="003E2EB9">
        <w:tc>
          <w:tcPr>
            <w:tcW w:w="1758" w:type="dxa"/>
          </w:tcPr>
          <w:p w14:paraId="61805943" w14:textId="77777777" w:rsidR="00936FB9" w:rsidRPr="003E2EB9" w:rsidRDefault="00000000" w:rsidP="00CC2560">
            <w:pPr>
              <w:spacing w:line="276" w:lineRule="auto"/>
              <w:jc w:val="left"/>
              <w:rPr>
                <w:szCs w:val="24"/>
              </w:rPr>
            </w:pPr>
            <w:r w:rsidRPr="003E2EB9">
              <w:rPr>
                <w:rFonts w:eastAsia="Times New Roman"/>
                <w:b/>
                <w:szCs w:val="24"/>
              </w:rPr>
              <w:t>Period</w:t>
            </w:r>
          </w:p>
        </w:tc>
        <w:tc>
          <w:tcPr>
            <w:tcW w:w="1758" w:type="dxa"/>
          </w:tcPr>
          <w:p w14:paraId="13ED4552" w14:textId="77777777" w:rsidR="00936FB9" w:rsidRPr="003E2EB9" w:rsidRDefault="00000000" w:rsidP="00CC2560">
            <w:pPr>
              <w:spacing w:line="276" w:lineRule="auto"/>
              <w:jc w:val="center"/>
              <w:rPr>
                <w:szCs w:val="24"/>
              </w:rPr>
            </w:pPr>
            <w:r w:rsidRPr="003E2EB9">
              <w:rPr>
                <w:rFonts w:eastAsia="Times New Roman"/>
                <w:b/>
                <w:szCs w:val="24"/>
              </w:rPr>
              <w:t>Nigeria</w:t>
            </w:r>
          </w:p>
        </w:tc>
        <w:tc>
          <w:tcPr>
            <w:tcW w:w="1758" w:type="dxa"/>
          </w:tcPr>
          <w:p w14:paraId="1089166F" w14:textId="77777777" w:rsidR="00936FB9" w:rsidRPr="003E2EB9" w:rsidRDefault="00000000" w:rsidP="00CC2560">
            <w:pPr>
              <w:spacing w:line="276" w:lineRule="auto"/>
              <w:jc w:val="center"/>
              <w:rPr>
                <w:szCs w:val="24"/>
              </w:rPr>
            </w:pPr>
            <w:r w:rsidRPr="003E2EB9">
              <w:rPr>
                <w:rFonts w:eastAsia="Times New Roman"/>
                <w:b/>
                <w:szCs w:val="24"/>
              </w:rPr>
              <w:t>Other Africa</w:t>
            </w:r>
          </w:p>
        </w:tc>
        <w:tc>
          <w:tcPr>
            <w:tcW w:w="1758" w:type="dxa"/>
          </w:tcPr>
          <w:p w14:paraId="762E6A47" w14:textId="77777777" w:rsidR="00936FB9" w:rsidRPr="003E2EB9" w:rsidRDefault="00000000" w:rsidP="00CC2560">
            <w:pPr>
              <w:spacing w:line="276" w:lineRule="auto"/>
              <w:jc w:val="center"/>
              <w:rPr>
                <w:szCs w:val="24"/>
              </w:rPr>
            </w:pPr>
            <w:r w:rsidRPr="003E2EB9">
              <w:rPr>
                <w:rFonts w:eastAsia="Times New Roman"/>
                <w:b/>
                <w:szCs w:val="24"/>
              </w:rPr>
              <w:t>Malaysia/Developing</w:t>
            </w:r>
          </w:p>
        </w:tc>
        <w:tc>
          <w:tcPr>
            <w:tcW w:w="1758" w:type="dxa"/>
          </w:tcPr>
          <w:p w14:paraId="6DB00A58" w14:textId="77777777" w:rsidR="00936FB9" w:rsidRPr="003E2EB9" w:rsidRDefault="00000000" w:rsidP="00CC2560">
            <w:pPr>
              <w:spacing w:line="276" w:lineRule="auto"/>
              <w:jc w:val="center"/>
              <w:rPr>
                <w:szCs w:val="24"/>
              </w:rPr>
            </w:pPr>
            <w:r w:rsidRPr="003E2EB9">
              <w:rPr>
                <w:rFonts w:eastAsia="Times New Roman"/>
                <w:b/>
                <w:szCs w:val="24"/>
              </w:rPr>
              <w:t>Total</w:t>
            </w:r>
          </w:p>
        </w:tc>
      </w:tr>
      <w:tr w:rsidR="00936FB9" w:rsidRPr="003E2EB9" w14:paraId="06DAE8CF" w14:textId="77777777" w:rsidTr="003E2EB9">
        <w:tc>
          <w:tcPr>
            <w:tcW w:w="1758" w:type="dxa"/>
          </w:tcPr>
          <w:p w14:paraId="61F7C340" w14:textId="77777777" w:rsidR="00936FB9" w:rsidRPr="003E2EB9" w:rsidRDefault="00000000" w:rsidP="00CC2560">
            <w:pPr>
              <w:spacing w:line="276" w:lineRule="auto"/>
              <w:jc w:val="left"/>
              <w:rPr>
                <w:szCs w:val="24"/>
              </w:rPr>
            </w:pPr>
            <w:r w:rsidRPr="003E2EB9">
              <w:rPr>
                <w:rFonts w:eastAsia="Times New Roman"/>
                <w:szCs w:val="24"/>
              </w:rPr>
              <w:t>2010–2014</w:t>
            </w:r>
          </w:p>
        </w:tc>
        <w:tc>
          <w:tcPr>
            <w:tcW w:w="1758" w:type="dxa"/>
          </w:tcPr>
          <w:p w14:paraId="790A4A69" w14:textId="77777777" w:rsidR="00936FB9" w:rsidRPr="003E2EB9" w:rsidRDefault="00000000" w:rsidP="00CC2560">
            <w:pPr>
              <w:spacing w:line="276" w:lineRule="auto"/>
              <w:jc w:val="center"/>
              <w:rPr>
                <w:szCs w:val="24"/>
              </w:rPr>
            </w:pPr>
            <w:r w:rsidRPr="003E2EB9">
              <w:rPr>
                <w:rFonts w:eastAsia="Times New Roman"/>
                <w:szCs w:val="24"/>
              </w:rPr>
              <w:t>4</w:t>
            </w:r>
          </w:p>
        </w:tc>
        <w:tc>
          <w:tcPr>
            <w:tcW w:w="1758" w:type="dxa"/>
          </w:tcPr>
          <w:p w14:paraId="1AD58805" w14:textId="77777777" w:rsidR="00936FB9" w:rsidRPr="003E2EB9" w:rsidRDefault="00000000" w:rsidP="00CC2560">
            <w:pPr>
              <w:spacing w:line="276" w:lineRule="auto"/>
              <w:jc w:val="center"/>
              <w:rPr>
                <w:szCs w:val="24"/>
              </w:rPr>
            </w:pPr>
            <w:r w:rsidRPr="003E2EB9">
              <w:rPr>
                <w:rFonts w:eastAsia="Times New Roman"/>
                <w:szCs w:val="24"/>
              </w:rPr>
              <w:t>1</w:t>
            </w:r>
          </w:p>
        </w:tc>
        <w:tc>
          <w:tcPr>
            <w:tcW w:w="1758" w:type="dxa"/>
          </w:tcPr>
          <w:p w14:paraId="0CCFF49F"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20E83235" w14:textId="77777777" w:rsidR="00936FB9" w:rsidRPr="003E2EB9" w:rsidRDefault="00000000" w:rsidP="00CC2560">
            <w:pPr>
              <w:spacing w:line="276" w:lineRule="auto"/>
              <w:jc w:val="center"/>
              <w:rPr>
                <w:szCs w:val="24"/>
              </w:rPr>
            </w:pPr>
            <w:r w:rsidRPr="003E2EB9">
              <w:rPr>
                <w:rFonts w:eastAsia="Times New Roman"/>
                <w:szCs w:val="24"/>
              </w:rPr>
              <w:t>7</w:t>
            </w:r>
          </w:p>
        </w:tc>
      </w:tr>
      <w:tr w:rsidR="00936FB9" w:rsidRPr="003E2EB9" w14:paraId="5A855E42" w14:textId="77777777" w:rsidTr="003E2EB9">
        <w:tc>
          <w:tcPr>
            <w:tcW w:w="1758" w:type="dxa"/>
          </w:tcPr>
          <w:p w14:paraId="1722009A" w14:textId="77777777" w:rsidR="00936FB9" w:rsidRPr="003E2EB9" w:rsidRDefault="00000000" w:rsidP="00CC2560">
            <w:pPr>
              <w:spacing w:line="276" w:lineRule="auto"/>
              <w:jc w:val="left"/>
              <w:rPr>
                <w:szCs w:val="24"/>
              </w:rPr>
            </w:pPr>
            <w:r w:rsidRPr="003E2EB9">
              <w:rPr>
                <w:rFonts w:eastAsia="Times New Roman"/>
                <w:szCs w:val="24"/>
              </w:rPr>
              <w:t>2015–2017</w:t>
            </w:r>
          </w:p>
        </w:tc>
        <w:tc>
          <w:tcPr>
            <w:tcW w:w="1758" w:type="dxa"/>
          </w:tcPr>
          <w:p w14:paraId="0E7DDEA7" w14:textId="77777777" w:rsidR="00936FB9" w:rsidRPr="003E2EB9" w:rsidRDefault="00000000" w:rsidP="00CC2560">
            <w:pPr>
              <w:spacing w:line="276" w:lineRule="auto"/>
              <w:jc w:val="center"/>
              <w:rPr>
                <w:szCs w:val="24"/>
              </w:rPr>
            </w:pPr>
            <w:r w:rsidRPr="003E2EB9">
              <w:rPr>
                <w:rFonts w:eastAsia="Times New Roman"/>
                <w:szCs w:val="24"/>
              </w:rPr>
              <w:t>3</w:t>
            </w:r>
          </w:p>
        </w:tc>
        <w:tc>
          <w:tcPr>
            <w:tcW w:w="1758" w:type="dxa"/>
          </w:tcPr>
          <w:p w14:paraId="0DD363D2" w14:textId="77777777" w:rsidR="00936FB9" w:rsidRPr="003E2EB9" w:rsidRDefault="00000000" w:rsidP="00CC2560">
            <w:pPr>
              <w:spacing w:line="276" w:lineRule="auto"/>
              <w:jc w:val="center"/>
              <w:rPr>
                <w:szCs w:val="24"/>
              </w:rPr>
            </w:pPr>
            <w:r w:rsidRPr="003E2EB9">
              <w:rPr>
                <w:rFonts w:eastAsia="Times New Roman"/>
                <w:szCs w:val="24"/>
              </w:rPr>
              <w:t>1</w:t>
            </w:r>
          </w:p>
        </w:tc>
        <w:tc>
          <w:tcPr>
            <w:tcW w:w="1758" w:type="dxa"/>
          </w:tcPr>
          <w:p w14:paraId="01A916C8"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4EDB9F91" w14:textId="77777777" w:rsidR="00936FB9" w:rsidRPr="003E2EB9" w:rsidRDefault="00000000" w:rsidP="00CC2560">
            <w:pPr>
              <w:spacing w:line="276" w:lineRule="auto"/>
              <w:jc w:val="center"/>
              <w:rPr>
                <w:szCs w:val="24"/>
              </w:rPr>
            </w:pPr>
            <w:r w:rsidRPr="003E2EB9">
              <w:rPr>
                <w:rFonts w:eastAsia="Times New Roman"/>
                <w:szCs w:val="24"/>
              </w:rPr>
              <w:t>6</w:t>
            </w:r>
          </w:p>
        </w:tc>
      </w:tr>
      <w:tr w:rsidR="00936FB9" w:rsidRPr="003E2EB9" w14:paraId="0DFC8730" w14:textId="77777777" w:rsidTr="003E2EB9">
        <w:tc>
          <w:tcPr>
            <w:tcW w:w="1758" w:type="dxa"/>
          </w:tcPr>
          <w:p w14:paraId="497DF473" w14:textId="77777777" w:rsidR="00936FB9" w:rsidRPr="003E2EB9" w:rsidRDefault="00000000" w:rsidP="00CC2560">
            <w:pPr>
              <w:spacing w:line="276" w:lineRule="auto"/>
              <w:jc w:val="left"/>
              <w:rPr>
                <w:szCs w:val="24"/>
              </w:rPr>
            </w:pPr>
            <w:r w:rsidRPr="003E2EB9">
              <w:rPr>
                <w:rFonts w:eastAsia="Times New Roman"/>
                <w:szCs w:val="24"/>
              </w:rPr>
              <w:t>2018–2020</w:t>
            </w:r>
          </w:p>
        </w:tc>
        <w:tc>
          <w:tcPr>
            <w:tcW w:w="1758" w:type="dxa"/>
          </w:tcPr>
          <w:p w14:paraId="0017BDE4" w14:textId="77777777" w:rsidR="00936FB9" w:rsidRPr="003E2EB9" w:rsidRDefault="00000000" w:rsidP="00CC2560">
            <w:pPr>
              <w:spacing w:line="276" w:lineRule="auto"/>
              <w:jc w:val="center"/>
              <w:rPr>
                <w:szCs w:val="24"/>
              </w:rPr>
            </w:pPr>
            <w:r w:rsidRPr="003E2EB9">
              <w:rPr>
                <w:rFonts w:eastAsia="Times New Roman"/>
                <w:szCs w:val="24"/>
              </w:rPr>
              <w:t>6</w:t>
            </w:r>
          </w:p>
        </w:tc>
        <w:tc>
          <w:tcPr>
            <w:tcW w:w="1758" w:type="dxa"/>
          </w:tcPr>
          <w:p w14:paraId="29DC8CB3"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0D0E83B3"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00DF34E3" w14:textId="77777777" w:rsidR="00936FB9" w:rsidRPr="003E2EB9" w:rsidRDefault="00000000" w:rsidP="00CC2560">
            <w:pPr>
              <w:spacing w:line="276" w:lineRule="auto"/>
              <w:jc w:val="center"/>
              <w:rPr>
                <w:szCs w:val="24"/>
              </w:rPr>
            </w:pPr>
            <w:r w:rsidRPr="003E2EB9">
              <w:rPr>
                <w:rFonts w:eastAsia="Times New Roman"/>
                <w:szCs w:val="24"/>
              </w:rPr>
              <w:t>10</w:t>
            </w:r>
          </w:p>
        </w:tc>
      </w:tr>
      <w:tr w:rsidR="00936FB9" w:rsidRPr="003E2EB9" w14:paraId="2462DB34" w14:textId="77777777" w:rsidTr="003E2EB9">
        <w:tc>
          <w:tcPr>
            <w:tcW w:w="1758" w:type="dxa"/>
          </w:tcPr>
          <w:p w14:paraId="2BDB020C" w14:textId="77777777" w:rsidR="00936FB9" w:rsidRPr="003E2EB9" w:rsidRDefault="00000000" w:rsidP="00CC2560">
            <w:pPr>
              <w:spacing w:line="276" w:lineRule="auto"/>
              <w:jc w:val="left"/>
              <w:rPr>
                <w:szCs w:val="24"/>
              </w:rPr>
            </w:pPr>
            <w:r w:rsidRPr="003E2EB9">
              <w:rPr>
                <w:rFonts w:eastAsia="Times New Roman"/>
                <w:szCs w:val="24"/>
              </w:rPr>
              <w:t>2021–2023</w:t>
            </w:r>
          </w:p>
        </w:tc>
        <w:tc>
          <w:tcPr>
            <w:tcW w:w="1758" w:type="dxa"/>
          </w:tcPr>
          <w:p w14:paraId="0BEA61E3" w14:textId="77777777" w:rsidR="00936FB9" w:rsidRPr="003E2EB9" w:rsidRDefault="00000000" w:rsidP="00CC2560">
            <w:pPr>
              <w:spacing w:line="276" w:lineRule="auto"/>
              <w:jc w:val="center"/>
              <w:rPr>
                <w:szCs w:val="24"/>
              </w:rPr>
            </w:pPr>
            <w:r w:rsidRPr="003E2EB9">
              <w:rPr>
                <w:rFonts w:eastAsia="Times New Roman"/>
                <w:szCs w:val="24"/>
              </w:rPr>
              <w:t>3</w:t>
            </w:r>
          </w:p>
        </w:tc>
        <w:tc>
          <w:tcPr>
            <w:tcW w:w="1758" w:type="dxa"/>
          </w:tcPr>
          <w:p w14:paraId="39BA034A" w14:textId="77777777" w:rsidR="00936FB9" w:rsidRPr="003E2EB9" w:rsidRDefault="00000000" w:rsidP="00CC2560">
            <w:pPr>
              <w:spacing w:line="276" w:lineRule="auto"/>
              <w:jc w:val="center"/>
              <w:rPr>
                <w:szCs w:val="24"/>
              </w:rPr>
            </w:pPr>
            <w:r w:rsidRPr="003E2EB9">
              <w:rPr>
                <w:rFonts w:eastAsia="Times New Roman"/>
                <w:szCs w:val="24"/>
              </w:rPr>
              <w:t>3</w:t>
            </w:r>
          </w:p>
        </w:tc>
        <w:tc>
          <w:tcPr>
            <w:tcW w:w="1758" w:type="dxa"/>
          </w:tcPr>
          <w:p w14:paraId="301D0A75"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6527011E" w14:textId="77777777" w:rsidR="00936FB9" w:rsidRPr="003E2EB9" w:rsidRDefault="00000000" w:rsidP="00CC2560">
            <w:pPr>
              <w:spacing w:line="276" w:lineRule="auto"/>
              <w:jc w:val="center"/>
              <w:rPr>
                <w:szCs w:val="24"/>
              </w:rPr>
            </w:pPr>
            <w:r w:rsidRPr="003E2EB9">
              <w:rPr>
                <w:rFonts w:eastAsia="Times New Roman"/>
                <w:szCs w:val="24"/>
              </w:rPr>
              <w:t>8</w:t>
            </w:r>
          </w:p>
        </w:tc>
      </w:tr>
      <w:tr w:rsidR="00936FB9" w:rsidRPr="003E2EB9" w14:paraId="4A6B5F06" w14:textId="77777777" w:rsidTr="003E2EB9">
        <w:tc>
          <w:tcPr>
            <w:tcW w:w="1758" w:type="dxa"/>
          </w:tcPr>
          <w:p w14:paraId="7F8024AA" w14:textId="77777777" w:rsidR="00936FB9" w:rsidRPr="003E2EB9" w:rsidRDefault="00000000" w:rsidP="00CC2560">
            <w:pPr>
              <w:spacing w:line="276" w:lineRule="auto"/>
              <w:jc w:val="left"/>
              <w:rPr>
                <w:szCs w:val="24"/>
              </w:rPr>
            </w:pPr>
            <w:r w:rsidRPr="003E2EB9">
              <w:rPr>
                <w:rFonts w:eastAsia="Times New Roman"/>
                <w:szCs w:val="24"/>
              </w:rPr>
              <w:t>2024–2026</w:t>
            </w:r>
          </w:p>
        </w:tc>
        <w:tc>
          <w:tcPr>
            <w:tcW w:w="1758" w:type="dxa"/>
          </w:tcPr>
          <w:p w14:paraId="720B9899"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41EA15C0" w14:textId="77777777" w:rsidR="00936FB9" w:rsidRPr="003E2EB9" w:rsidRDefault="00000000" w:rsidP="00CC2560">
            <w:pPr>
              <w:spacing w:line="276" w:lineRule="auto"/>
              <w:jc w:val="center"/>
              <w:rPr>
                <w:szCs w:val="24"/>
              </w:rPr>
            </w:pPr>
            <w:r w:rsidRPr="003E2EB9">
              <w:rPr>
                <w:rFonts w:eastAsia="Times New Roman"/>
                <w:szCs w:val="24"/>
              </w:rPr>
              <w:t>2</w:t>
            </w:r>
          </w:p>
        </w:tc>
        <w:tc>
          <w:tcPr>
            <w:tcW w:w="1758" w:type="dxa"/>
          </w:tcPr>
          <w:p w14:paraId="4C513D71" w14:textId="77777777" w:rsidR="00936FB9" w:rsidRPr="003E2EB9" w:rsidRDefault="00000000" w:rsidP="00CC2560">
            <w:pPr>
              <w:spacing w:line="276" w:lineRule="auto"/>
              <w:jc w:val="center"/>
              <w:rPr>
                <w:szCs w:val="24"/>
              </w:rPr>
            </w:pPr>
            <w:r w:rsidRPr="003E2EB9">
              <w:rPr>
                <w:rFonts w:eastAsia="Times New Roman"/>
                <w:szCs w:val="24"/>
              </w:rPr>
              <w:t>1</w:t>
            </w:r>
          </w:p>
        </w:tc>
        <w:tc>
          <w:tcPr>
            <w:tcW w:w="1758" w:type="dxa"/>
          </w:tcPr>
          <w:p w14:paraId="63AEF7F5" w14:textId="77777777" w:rsidR="00936FB9" w:rsidRPr="003E2EB9" w:rsidRDefault="00000000" w:rsidP="00CC2560">
            <w:pPr>
              <w:spacing w:line="276" w:lineRule="auto"/>
              <w:jc w:val="center"/>
              <w:rPr>
                <w:szCs w:val="24"/>
              </w:rPr>
            </w:pPr>
            <w:r w:rsidRPr="003E2EB9">
              <w:rPr>
                <w:rFonts w:eastAsia="Times New Roman"/>
                <w:szCs w:val="24"/>
              </w:rPr>
              <w:t>5</w:t>
            </w:r>
          </w:p>
        </w:tc>
      </w:tr>
      <w:tr w:rsidR="00936FB9" w:rsidRPr="003E2EB9" w14:paraId="39E517E2" w14:textId="77777777" w:rsidTr="003E2EB9">
        <w:tc>
          <w:tcPr>
            <w:tcW w:w="1758" w:type="dxa"/>
          </w:tcPr>
          <w:p w14:paraId="14294E09" w14:textId="77777777" w:rsidR="00936FB9" w:rsidRPr="003E2EB9" w:rsidRDefault="00000000" w:rsidP="00CC2560">
            <w:pPr>
              <w:spacing w:line="276" w:lineRule="auto"/>
              <w:jc w:val="left"/>
              <w:rPr>
                <w:szCs w:val="24"/>
              </w:rPr>
            </w:pPr>
            <w:r w:rsidRPr="003E2EB9">
              <w:rPr>
                <w:rFonts w:eastAsia="Times New Roman"/>
                <w:szCs w:val="24"/>
              </w:rPr>
              <w:t>Total</w:t>
            </w:r>
          </w:p>
        </w:tc>
        <w:tc>
          <w:tcPr>
            <w:tcW w:w="1758" w:type="dxa"/>
          </w:tcPr>
          <w:p w14:paraId="0FA3757B" w14:textId="77777777" w:rsidR="00936FB9" w:rsidRPr="003E2EB9" w:rsidRDefault="00000000" w:rsidP="00CC2560">
            <w:pPr>
              <w:spacing w:line="276" w:lineRule="auto"/>
              <w:jc w:val="center"/>
              <w:rPr>
                <w:szCs w:val="24"/>
              </w:rPr>
            </w:pPr>
            <w:r w:rsidRPr="003E2EB9">
              <w:rPr>
                <w:rFonts w:eastAsia="Times New Roman"/>
                <w:szCs w:val="24"/>
              </w:rPr>
              <w:t>18</w:t>
            </w:r>
          </w:p>
        </w:tc>
        <w:tc>
          <w:tcPr>
            <w:tcW w:w="1758" w:type="dxa"/>
          </w:tcPr>
          <w:p w14:paraId="0CDEAABB" w14:textId="77777777" w:rsidR="00936FB9" w:rsidRPr="003E2EB9" w:rsidRDefault="00000000" w:rsidP="00CC2560">
            <w:pPr>
              <w:spacing w:line="276" w:lineRule="auto"/>
              <w:jc w:val="center"/>
              <w:rPr>
                <w:szCs w:val="24"/>
              </w:rPr>
            </w:pPr>
            <w:r w:rsidRPr="003E2EB9">
              <w:rPr>
                <w:rFonts w:eastAsia="Times New Roman"/>
                <w:szCs w:val="24"/>
              </w:rPr>
              <w:t>9</w:t>
            </w:r>
          </w:p>
        </w:tc>
        <w:tc>
          <w:tcPr>
            <w:tcW w:w="1758" w:type="dxa"/>
          </w:tcPr>
          <w:p w14:paraId="55488081" w14:textId="77777777" w:rsidR="00936FB9" w:rsidRPr="003E2EB9" w:rsidRDefault="00000000" w:rsidP="00CC2560">
            <w:pPr>
              <w:spacing w:line="276" w:lineRule="auto"/>
              <w:jc w:val="center"/>
              <w:rPr>
                <w:szCs w:val="24"/>
              </w:rPr>
            </w:pPr>
            <w:r w:rsidRPr="003E2EB9">
              <w:rPr>
                <w:rFonts w:eastAsia="Times New Roman"/>
                <w:szCs w:val="24"/>
              </w:rPr>
              <w:t>9</w:t>
            </w:r>
          </w:p>
        </w:tc>
        <w:tc>
          <w:tcPr>
            <w:tcW w:w="1758" w:type="dxa"/>
          </w:tcPr>
          <w:p w14:paraId="5976B405" w14:textId="77777777" w:rsidR="00936FB9" w:rsidRPr="003E2EB9" w:rsidRDefault="00000000" w:rsidP="00CC2560">
            <w:pPr>
              <w:spacing w:line="276" w:lineRule="auto"/>
              <w:jc w:val="center"/>
              <w:rPr>
                <w:szCs w:val="24"/>
              </w:rPr>
            </w:pPr>
            <w:r w:rsidRPr="003E2EB9">
              <w:rPr>
                <w:rFonts w:eastAsia="Times New Roman"/>
                <w:szCs w:val="24"/>
              </w:rPr>
              <w:t>36</w:t>
            </w:r>
          </w:p>
        </w:tc>
      </w:tr>
    </w:tbl>
    <w:p w14:paraId="26818384" w14:textId="77777777" w:rsidR="00936FB9" w:rsidRDefault="00000000" w:rsidP="007513D1">
      <w:pPr>
        <w:pStyle w:val="Heading2"/>
      </w:pPr>
      <w:r>
        <w:t>3.2 Maintenance Management Problems in High-Rise Residential Buildings</w:t>
      </w:r>
    </w:p>
    <w:p w14:paraId="519F16D9" w14:textId="77777777" w:rsidR="00936FB9" w:rsidRDefault="00000000" w:rsidP="003E2EB9">
      <w:pPr>
        <w:spacing w:after="120" w:line="276" w:lineRule="auto"/>
      </w:pPr>
      <w:r>
        <w:rPr>
          <w:rFonts w:eastAsia="Times New Roman"/>
        </w:rPr>
        <w:t>Thematic synthesis of the 36 included studies reveals five dominant clusters of maintenance management problems, each comprising several sub-themes. These clusters are not independent; they interact in complex, often reinforcing ways, a point returned to in the discussion.</w:t>
      </w:r>
    </w:p>
    <w:p w14:paraId="5F3C7000" w14:textId="77777777" w:rsidR="00936FB9" w:rsidRDefault="00000000" w:rsidP="007513D1">
      <w:pPr>
        <w:pStyle w:val="Heading3"/>
        <w:spacing w:line="276" w:lineRule="auto"/>
      </w:pPr>
      <w:r>
        <w:rPr>
          <w:rFonts w:eastAsia="Times New Roman"/>
        </w:rPr>
        <w:t>3.2.1 Financial Constraints</w:t>
      </w:r>
    </w:p>
    <w:p w14:paraId="14DBAB4C" w14:textId="50AB005E" w:rsidR="00CC2560" w:rsidRDefault="00000000" w:rsidP="003E2EB9">
      <w:pPr>
        <w:spacing w:after="120" w:line="276" w:lineRule="auto"/>
        <w:rPr>
          <w:rFonts w:eastAsia="Times New Roman"/>
        </w:rPr>
      </w:pPr>
      <w:r>
        <w:rPr>
          <w:rFonts w:eastAsia="Times New Roman"/>
        </w:rPr>
        <w:t xml:space="preserve">Financial constraints emerged as the most frequently reported problem, cited in 29 of 36 studies (81 percent). </w:t>
      </w:r>
      <w:r w:rsidR="00803A8B" w:rsidRPr="00803A8B">
        <w:rPr>
          <w:rFonts w:eastAsia="Times New Roman"/>
        </w:rPr>
        <w:t xml:space="preserve">However, the subset of studies that provided direct empirical evidence linking financial constraints to specific performance indicators is smaller: 12 studies (listed in </w:t>
      </w:r>
      <w:r w:rsidR="00803A8B" w:rsidRPr="00803A8B">
        <w:rPr>
          <w:rFonts w:eastAsia="Times New Roman"/>
          <w:i/>
          <w:iCs/>
        </w:rPr>
        <w:t>Table 3</w:t>
      </w:r>
      <w:r w:rsidR="00803A8B" w:rsidRPr="00803A8B">
        <w:rPr>
          <w:rFonts w:eastAsia="Times New Roman"/>
        </w:rPr>
        <w:t xml:space="preserve">) supply </w:t>
      </w:r>
      <w:proofErr w:type="spellStart"/>
      <w:r w:rsidR="00803A8B" w:rsidRPr="00803A8B">
        <w:rPr>
          <w:rFonts w:eastAsia="Times New Roman"/>
        </w:rPr>
        <w:t>analysable</w:t>
      </w:r>
      <w:proofErr w:type="spellEnd"/>
      <w:r w:rsidR="00803A8B" w:rsidRPr="00803A8B">
        <w:rPr>
          <w:rFonts w:eastAsia="Times New Roman"/>
        </w:rPr>
        <w:t xml:space="preserve"> data on this pathway, while the remaining 17 mention financial issues in general terms without quantifying their performance effects. The sub-themes within this cluster include inadequate budgetary allocation for maintenance (reported in 24 studies), non-payment or delayed payment of service charges by residents (19 studies), absence of sinking funds for major capital repairs (17 studies), </w:t>
      </w:r>
      <w:r>
        <w:rPr>
          <w:rFonts w:eastAsia="Times New Roman"/>
        </w:rPr>
        <w:t>and cost escalation of maintenance materials and labour (15 studies). Adenuga et al. (2015) found that over 80 percent of respondents in government residential estates in Lagos identified insufficient funding as the primary barrier to effective maintenance.</w:t>
      </w:r>
    </w:p>
    <w:p w14:paraId="2D200B8E" w14:textId="06E9C368" w:rsidR="00CC2560" w:rsidRPr="00803A8B" w:rsidRDefault="00000000" w:rsidP="00803A8B">
      <w:pPr>
        <w:spacing w:after="120" w:line="276" w:lineRule="auto"/>
      </w:pPr>
      <w:r>
        <w:rPr>
          <w:rFonts w:eastAsia="Times New Roman"/>
        </w:rPr>
        <w:t xml:space="preserve">Similarly, </w:t>
      </w:r>
      <w:proofErr w:type="spellStart"/>
      <w:r>
        <w:rPr>
          <w:rFonts w:eastAsia="Times New Roman"/>
        </w:rPr>
        <w:t>Ogungbemi</w:t>
      </w:r>
      <w:proofErr w:type="spellEnd"/>
      <w:r>
        <w:rPr>
          <w:rFonts w:eastAsia="Times New Roman"/>
        </w:rPr>
        <w:t xml:space="preserve"> et al. (2017) reported that maintenance budgets in tertiary institution buildings in Lagos were routinely diverted to other priorities, with actual maintenance expenditure averaging only 30 to 40 percent of the budgeted amount. Au-Yong et al. (2023) demonstrated statistically that maintenance budget overrun is significantly correlated with cost variance (the ratio of actual maintenance spent to planned maintenance cost) in high-rise residential buildings, with a Pearson correlation coefficient of r = .62 (p &lt; .01). The </w:t>
      </w:r>
      <w:r>
        <w:rPr>
          <w:rFonts w:eastAsia="Times New Roman"/>
        </w:rPr>
        <w:lastRenderedPageBreak/>
        <w:t>consistency of these findings across survey and correlational designs strengthens confidence in the financial constraint–performance pathway.</w:t>
      </w:r>
    </w:p>
    <w:p w14:paraId="4FEF03B6" w14:textId="2AA9D1C7" w:rsidR="00936FB9" w:rsidRPr="003E2EB9" w:rsidRDefault="00000000" w:rsidP="003E2EB9">
      <w:pPr>
        <w:spacing w:before="240" w:after="120" w:line="276" w:lineRule="auto"/>
        <w:rPr>
          <w:szCs w:val="24"/>
        </w:rPr>
      </w:pPr>
      <w:r w:rsidRPr="003E2EB9">
        <w:rPr>
          <w:rFonts w:eastAsia="Times New Roman"/>
          <w:b/>
          <w:szCs w:val="24"/>
        </w:rPr>
        <w:t xml:space="preserve">Table </w:t>
      </w:r>
      <w:r w:rsidR="00BE7C95">
        <w:rPr>
          <w:rFonts w:eastAsia="Times New Roman"/>
          <w:b/>
          <w:szCs w:val="24"/>
        </w:rPr>
        <w:t>3</w:t>
      </w:r>
      <w:r w:rsidR="003E2EB9">
        <w:rPr>
          <w:rFonts w:eastAsia="Times New Roman"/>
          <w:b/>
          <w:szCs w:val="24"/>
        </w:rPr>
        <w:t>:</w:t>
      </w:r>
      <w:r w:rsidRPr="003E2EB9">
        <w:rPr>
          <w:rFonts w:eastAsia="Times New Roman"/>
          <w:b/>
          <w:szCs w:val="24"/>
        </w:rPr>
        <w:t xml:space="preserve"> Studies Contributing to the Financial Constraints Theme</w:t>
      </w:r>
    </w:p>
    <w:tbl>
      <w:tblPr>
        <w:tblStyle w:val="TableGrid"/>
        <w:tblW w:w="0" w:type="auto"/>
        <w:tblInd w:w="108" w:type="dxa"/>
        <w:tblLook w:val="04A0" w:firstRow="1" w:lastRow="0" w:firstColumn="1" w:lastColumn="0" w:noHBand="0" w:noVBand="1"/>
      </w:tblPr>
      <w:tblGrid>
        <w:gridCol w:w="1613"/>
        <w:gridCol w:w="7057"/>
      </w:tblGrid>
      <w:tr w:rsidR="00936FB9" w:rsidRPr="003E2EB9" w14:paraId="7C437E19" w14:textId="77777777" w:rsidTr="00CC2560">
        <w:tc>
          <w:tcPr>
            <w:tcW w:w="1620" w:type="dxa"/>
          </w:tcPr>
          <w:p w14:paraId="1F6E3F47" w14:textId="77777777" w:rsidR="00936FB9" w:rsidRPr="003E2EB9" w:rsidRDefault="00000000" w:rsidP="003E2EB9">
            <w:pPr>
              <w:spacing w:line="276" w:lineRule="auto"/>
              <w:jc w:val="left"/>
              <w:rPr>
                <w:szCs w:val="24"/>
              </w:rPr>
            </w:pPr>
            <w:r w:rsidRPr="003E2EB9">
              <w:rPr>
                <w:rFonts w:eastAsia="Times New Roman"/>
                <w:b/>
                <w:szCs w:val="24"/>
              </w:rPr>
              <w:t>Study</w:t>
            </w:r>
          </w:p>
        </w:tc>
        <w:tc>
          <w:tcPr>
            <w:tcW w:w="7200" w:type="dxa"/>
          </w:tcPr>
          <w:p w14:paraId="637E3852" w14:textId="77777777" w:rsidR="00936FB9" w:rsidRPr="003E2EB9" w:rsidRDefault="00000000" w:rsidP="007513D1">
            <w:pPr>
              <w:spacing w:line="276" w:lineRule="auto"/>
              <w:jc w:val="center"/>
              <w:rPr>
                <w:szCs w:val="24"/>
              </w:rPr>
            </w:pPr>
            <w:r w:rsidRPr="003E2EB9">
              <w:rPr>
                <w:rFonts w:eastAsia="Times New Roman"/>
                <w:b/>
                <w:szCs w:val="24"/>
              </w:rPr>
              <w:t>Contribution</w:t>
            </w:r>
          </w:p>
        </w:tc>
      </w:tr>
      <w:tr w:rsidR="00936FB9" w:rsidRPr="003E2EB9" w14:paraId="5AA0A44E" w14:textId="77777777" w:rsidTr="00CC2560">
        <w:tc>
          <w:tcPr>
            <w:tcW w:w="1620" w:type="dxa"/>
          </w:tcPr>
          <w:p w14:paraId="44497CE4" w14:textId="77777777" w:rsidR="00936FB9" w:rsidRPr="003E2EB9" w:rsidRDefault="00000000" w:rsidP="003E2EB9">
            <w:pPr>
              <w:spacing w:line="276" w:lineRule="auto"/>
              <w:jc w:val="left"/>
              <w:rPr>
                <w:szCs w:val="24"/>
              </w:rPr>
            </w:pPr>
            <w:r w:rsidRPr="003E2EB9">
              <w:rPr>
                <w:rFonts w:eastAsia="Times New Roman"/>
                <w:szCs w:val="24"/>
              </w:rPr>
              <w:t>Adenuga, 2012</w:t>
            </w:r>
          </w:p>
        </w:tc>
        <w:tc>
          <w:tcPr>
            <w:tcW w:w="7200" w:type="dxa"/>
          </w:tcPr>
          <w:p w14:paraId="524921C0" w14:textId="77777777" w:rsidR="00936FB9" w:rsidRPr="003E2EB9" w:rsidRDefault="00000000" w:rsidP="007513D1">
            <w:pPr>
              <w:spacing w:line="276" w:lineRule="auto"/>
              <w:rPr>
                <w:szCs w:val="24"/>
              </w:rPr>
            </w:pPr>
            <w:r w:rsidRPr="003E2EB9">
              <w:rPr>
                <w:rFonts w:eastAsia="Times New Roman"/>
                <w:szCs w:val="24"/>
              </w:rPr>
              <w:t>Identified insufficient budgetary allocation as the most critical barrier to hospital building maintenance in South-west Nigeria</w:t>
            </w:r>
          </w:p>
        </w:tc>
      </w:tr>
      <w:tr w:rsidR="00936FB9" w:rsidRPr="003E2EB9" w14:paraId="0DCF8770" w14:textId="77777777" w:rsidTr="00CC2560">
        <w:tc>
          <w:tcPr>
            <w:tcW w:w="1620" w:type="dxa"/>
          </w:tcPr>
          <w:p w14:paraId="5FCC3135" w14:textId="77777777" w:rsidR="00936FB9" w:rsidRPr="003E2EB9" w:rsidRDefault="00000000" w:rsidP="003E2EB9">
            <w:pPr>
              <w:spacing w:line="276" w:lineRule="auto"/>
              <w:jc w:val="left"/>
              <w:rPr>
                <w:szCs w:val="24"/>
              </w:rPr>
            </w:pPr>
            <w:r w:rsidRPr="003E2EB9">
              <w:rPr>
                <w:rFonts w:eastAsia="Times New Roman"/>
                <w:szCs w:val="24"/>
              </w:rPr>
              <w:t>Adenuga et al., 2015</w:t>
            </w:r>
          </w:p>
        </w:tc>
        <w:tc>
          <w:tcPr>
            <w:tcW w:w="7200" w:type="dxa"/>
          </w:tcPr>
          <w:p w14:paraId="3788952C" w14:textId="77777777" w:rsidR="00936FB9" w:rsidRPr="003E2EB9" w:rsidRDefault="00000000" w:rsidP="007513D1">
            <w:pPr>
              <w:spacing w:line="276" w:lineRule="auto"/>
              <w:rPr>
                <w:szCs w:val="24"/>
              </w:rPr>
            </w:pPr>
            <w:r w:rsidRPr="003E2EB9">
              <w:rPr>
                <w:rFonts w:eastAsia="Times New Roman"/>
                <w:szCs w:val="24"/>
              </w:rPr>
              <w:t>Found that over 80% of respondents identified insufficient funding as the primary barrier in government residential estates</w:t>
            </w:r>
          </w:p>
        </w:tc>
      </w:tr>
      <w:tr w:rsidR="00936FB9" w:rsidRPr="003E2EB9" w14:paraId="388952FA" w14:textId="77777777" w:rsidTr="00CC2560">
        <w:tc>
          <w:tcPr>
            <w:tcW w:w="1620" w:type="dxa"/>
          </w:tcPr>
          <w:p w14:paraId="6D8B8DFB" w14:textId="77777777" w:rsidR="00936FB9" w:rsidRPr="003E2EB9" w:rsidRDefault="00000000" w:rsidP="003E2EB9">
            <w:pPr>
              <w:spacing w:line="276" w:lineRule="auto"/>
              <w:jc w:val="left"/>
              <w:rPr>
                <w:szCs w:val="24"/>
              </w:rPr>
            </w:pPr>
            <w:r w:rsidRPr="003E2EB9">
              <w:rPr>
                <w:rFonts w:eastAsia="Times New Roman"/>
                <w:szCs w:val="24"/>
              </w:rPr>
              <w:t>Aduwo &amp; Ibem, 2020</w:t>
            </w:r>
          </w:p>
        </w:tc>
        <w:tc>
          <w:tcPr>
            <w:tcW w:w="7200" w:type="dxa"/>
          </w:tcPr>
          <w:p w14:paraId="1DD2BC2A" w14:textId="77777777" w:rsidR="00936FB9" w:rsidRPr="003E2EB9" w:rsidRDefault="00000000" w:rsidP="007513D1">
            <w:pPr>
              <w:spacing w:line="276" w:lineRule="auto"/>
              <w:rPr>
                <w:szCs w:val="24"/>
              </w:rPr>
            </w:pPr>
            <w:r w:rsidRPr="003E2EB9">
              <w:rPr>
                <w:rFonts w:eastAsia="Times New Roman"/>
                <w:szCs w:val="24"/>
              </w:rPr>
              <w:t>Reported that inadequate funding for maintenance significantly reduced resident satisfaction in public sector housing</w:t>
            </w:r>
          </w:p>
        </w:tc>
      </w:tr>
      <w:tr w:rsidR="00936FB9" w:rsidRPr="003E2EB9" w14:paraId="06FD0795" w14:textId="77777777" w:rsidTr="00CC2560">
        <w:tc>
          <w:tcPr>
            <w:tcW w:w="1620" w:type="dxa"/>
          </w:tcPr>
          <w:p w14:paraId="074111BF" w14:textId="77777777" w:rsidR="00936FB9" w:rsidRPr="003E2EB9" w:rsidRDefault="00000000" w:rsidP="003E2EB9">
            <w:pPr>
              <w:spacing w:line="276" w:lineRule="auto"/>
              <w:jc w:val="left"/>
              <w:rPr>
                <w:szCs w:val="24"/>
              </w:rPr>
            </w:pPr>
            <w:r w:rsidRPr="003E2EB9">
              <w:rPr>
                <w:rFonts w:eastAsia="Times New Roman"/>
                <w:szCs w:val="24"/>
              </w:rPr>
              <w:t>Aghimien et al., 2020</w:t>
            </w:r>
          </w:p>
        </w:tc>
        <w:tc>
          <w:tcPr>
            <w:tcW w:w="7200" w:type="dxa"/>
          </w:tcPr>
          <w:p w14:paraId="66528674" w14:textId="77777777" w:rsidR="00936FB9" w:rsidRPr="003E2EB9" w:rsidRDefault="00000000" w:rsidP="007513D1">
            <w:pPr>
              <w:spacing w:line="276" w:lineRule="auto"/>
              <w:rPr>
                <w:szCs w:val="24"/>
              </w:rPr>
            </w:pPr>
            <w:r w:rsidRPr="003E2EB9">
              <w:rPr>
                <w:rFonts w:eastAsia="Times New Roman"/>
                <w:szCs w:val="24"/>
              </w:rPr>
              <w:t>Identified financial constraints as the top-ranked barrier to building maintenance in private tertiary institutions</w:t>
            </w:r>
          </w:p>
        </w:tc>
      </w:tr>
      <w:tr w:rsidR="00936FB9" w:rsidRPr="003E2EB9" w14:paraId="448AA598" w14:textId="77777777" w:rsidTr="00CC2560">
        <w:tc>
          <w:tcPr>
            <w:tcW w:w="1620" w:type="dxa"/>
          </w:tcPr>
          <w:p w14:paraId="341880C6" w14:textId="77777777" w:rsidR="00936FB9" w:rsidRPr="003E2EB9" w:rsidRDefault="00000000" w:rsidP="003E2EB9">
            <w:pPr>
              <w:spacing w:line="276" w:lineRule="auto"/>
              <w:jc w:val="left"/>
              <w:rPr>
                <w:szCs w:val="24"/>
              </w:rPr>
            </w:pPr>
            <w:r w:rsidRPr="003E2EB9">
              <w:rPr>
                <w:rFonts w:eastAsia="Times New Roman"/>
                <w:szCs w:val="24"/>
              </w:rPr>
              <w:t>Aliyu &amp; Bello, 2022</w:t>
            </w:r>
          </w:p>
        </w:tc>
        <w:tc>
          <w:tcPr>
            <w:tcW w:w="7200" w:type="dxa"/>
          </w:tcPr>
          <w:p w14:paraId="2B10F4C3" w14:textId="77777777" w:rsidR="00936FB9" w:rsidRPr="003E2EB9" w:rsidRDefault="00000000" w:rsidP="007513D1">
            <w:pPr>
              <w:spacing w:line="276" w:lineRule="auto"/>
              <w:rPr>
                <w:szCs w:val="24"/>
              </w:rPr>
            </w:pPr>
            <w:r w:rsidRPr="003E2EB9">
              <w:rPr>
                <w:rFonts w:eastAsia="Times New Roman"/>
                <w:szCs w:val="24"/>
              </w:rPr>
              <w:t>Found that only 14% of high-rise buildings in Lagos had adequate maintenance budgets</w:t>
            </w:r>
          </w:p>
        </w:tc>
      </w:tr>
      <w:tr w:rsidR="00936FB9" w:rsidRPr="003E2EB9" w14:paraId="550D4EC4" w14:textId="77777777" w:rsidTr="00CC2560">
        <w:tc>
          <w:tcPr>
            <w:tcW w:w="1620" w:type="dxa"/>
          </w:tcPr>
          <w:p w14:paraId="15FFA05F" w14:textId="77777777" w:rsidR="00936FB9" w:rsidRPr="003E2EB9" w:rsidRDefault="00000000" w:rsidP="003E2EB9">
            <w:pPr>
              <w:spacing w:line="276" w:lineRule="auto"/>
              <w:jc w:val="left"/>
              <w:rPr>
                <w:szCs w:val="24"/>
              </w:rPr>
            </w:pPr>
            <w:r w:rsidRPr="003E2EB9">
              <w:rPr>
                <w:rFonts w:eastAsia="Times New Roman"/>
                <w:szCs w:val="24"/>
              </w:rPr>
              <w:t>Amusan &amp; Olojede, 2021</w:t>
            </w:r>
          </w:p>
        </w:tc>
        <w:tc>
          <w:tcPr>
            <w:tcW w:w="7200" w:type="dxa"/>
          </w:tcPr>
          <w:p w14:paraId="0AB8226C" w14:textId="77777777" w:rsidR="00936FB9" w:rsidRPr="003E2EB9" w:rsidRDefault="00000000" w:rsidP="007513D1">
            <w:pPr>
              <w:spacing w:line="276" w:lineRule="auto"/>
              <w:rPr>
                <w:szCs w:val="24"/>
              </w:rPr>
            </w:pPr>
            <w:r w:rsidRPr="003E2EB9">
              <w:rPr>
                <w:rFonts w:eastAsia="Times New Roman"/>
                <w:szCs w:val="24"/>
              </w:rPr>
              <w:t>Reported that cost escalation of materials and labour significantly increased maintenance expenditure</w:t>
            </w:r>
          </w:p>
        </w:tc>
      </w:tr>
      <w:tr w:rsidR="00936FB9" w:rsidRPr="003E2EB9" w14:paraId="03B71C2D" w14:textId="77777777" w:rsidTr="00CC2560">
        <w:tc>
          <w:tcPr>
            <w:tcW w:w="1620" w:type="dxa"/>
          </w:tcPr>
          <w:p w14:paraId="7A93A49E" w14:textId="77777777" w:rsidR="00936FB9" w:rsidRPr="003E2EB9" w:rsidRDefault="00000000" w:rsidP="003E2EB9">
            <w:pPr>
              <w:spacing w:line="276" w:lineRule="auto"/>
              <w:jc w:val="left"/>
              <w:rPr>
                <w:szCs w:val="24"/>
              </w:rPr>
            </w:pPr>
            <w:r w:rsidRPr="003E2EB9">
              <w:rPr>
                <w:rFonts w:eastAsia="Times New Roman"/>
                <w:szCs w:val="24"/>
              </w:rPr>
              <w:t>Au-Yong et al., 2023</w:t>
            </w:r>
          </w:p>
        </w:tc>
        <w:tc>
          <w:tcPr>
            <w:tcW w:w="7200" w:type="dxa"/>
          </w:tcPr>
          <w:p w14:paraId="0D1F456D" w14:textId="77777777" w:rsidR="00936FB9" w:rsidRPr="003E2EB9" w:rsidRDefault="00000000" w:rsidP="007513D1">
            <w:pPr>
              <w:spacing w:line="276" w:lineRule="auto"/>
              <w:rPr>
                <w:szCs w:val="24"/>
              </w:rPr>
            </w:pPr>
            <w:r w:rsidRPr="003E2EB9">
              <w:rPr>
                <w:rFonts w:eastAsia="Times New Roman"/>
                <w:szCs w:val="24"/>
              </w:rPr>
              <w:t>Demonstrated statistically that budget overrun correlates with cost variance (r = .62, p &lt; .01)</w:t>
            </w:r>
          </w:p>
        </w:tc>
      </w:tr>
      <w:tr w:rsidR="00936FB9" w:rsidRPr="003E2EB9" w14:paraId="33215BA6" w14:textId="77777777" w:rsidTr="00CC2560">
        <w:tc>
          <w:tcPr>
            <w:tcW w:w="1620" w:type="dxa"/>
          </w:tcPr>
          <w:p w14:paraId="22C098F5" w14:textId="77777777" w:rsidR="00936FB9" w:rsidRPr="003E2EB9" w:rsidRDefault="00000000" w:rsidP="003E2EB9">
            <w:pPr>
              <w:spacing w:line="276" w:lineRule="auto"/>
              <w:jc w:val="left"/>
              <w:rPr>
                <w:szCs w:val="24"/>
              </w:rPr>
            </w:pPr>
            <w:r w:rsidRPr="003E2EB9">
              <w:rPr>
                <w:rFonts w:eastAsia="Times New Roman"/>
                <w:szCs w:val="24"/>
              </w:rPr>
              <w:t>Ebekozien, 2020</w:t>
            </w:r>
          </w:p>
        </w:tc>
        <w:tc>
          <w:tcPr>
            <w:tcW w:w="7200" w:type="dxa"/>
          </w:tcPr>
          <w:p w14:paraId="51B8A1BB" w14:textId="77777777" w:rsidR="00936FB9" w:rsidRPr="003E2EB9" w:rsidRDefault="00000000" w:rsidP="007513D1">
            <w:pPr>
              <w:spacing w:line="276" w:lineRule="auto"/>
              <w:rPr>
                <w:szCs w:val="24"/>
              </w:rPr>
            </w:pPr>
            <w:r w:rsidRPr="003E2EB9">
              <w:rPr>
                <w:rFonts w:eastAsia="Times New Roman"/>
                <w:szCs w:val="24"/>
              </w:rPr>
              <w:t>Identified funding gaps as the most frequently cited constraint in public health-care building maintenance</w:t>
            </w:r>
          </w:p>
        </w:tc>
      </w:tr>
      <w:tr w:rsidR="00936FB9" w:rsidRPr="003E2EB9" w14:paraId="7408086C" w14:textId="77777777" w:rsidTr="00CC2560">
        <w:tc>
          <w:tcPr>
            <w:tcW w:w="1620" w:type="dxa"/>
          </w:tcPr>
          <w:p w14:paraId="21C5CB8B" w14:textId="77777777" w:rsidR="00936FB9" w:rsidRPr="003E2EB9" w:rsidRDefault="00000000" w:rsidP="003E2EB9">
            <w:pPr>
              <w:spacing w:line="276" w:lineRule="auto"/>
              <w:jc w:val="left"/>
              <w:rPr>
                <w:szCs w:val="24"/>
              </w:rPr>
            </w:pPr>
            <w:r w:rsidRPr="003E2EB9">
              <w:rPr>
                <w:rFonts w:eastAsia="Times New Roman"/>
                <w:szCs w:val="24"/>
              </w:rPr>
              <w:t>Folorunso &amp; Izobo-Martins, 2015</w:t>
            </w:r>
          </w:p>
        </w:tc>
        <w:tc>
          <w:tcPr>
            <w:tcW w:w="7200" w:type="dxa"/>
          </w:tcPr>
          <w:p w14:paraId="3C1E5DFA" w14:textId="77777777" w:rsidR="00936FB9" w:rsidRPr="003E2EB9" w:rsidRDefault="00000000" w:rsidP="007513D1">
            <w:pPr>
              <w:spacing w:line="276" w:lineRule="auto"/>
              <w:rPr>
                <w:szCs w:val="24"/>
              </w:rPr>
            </w:pPr>
            <w:r w:rsidRPr="003E2EB9">
              <w:rPr>
                <w:rFonts w:eastAsia="Times New Roman"/>
                <w:szCs w:val="24"/>
              </w:rPr>
              <w:t>Found that multi-owner buildings suffer from inconsistent service charge collection</w:t>
            </w:r>
          </w:p>
        </w:tc>
      </w:tr>
      <w:tr w:rsidR="00936FB9" w:rsidRPr="003E2EB9" w14:paraId="0A1CB558" w14:textId="77777777" w:rsidTr="00CC2560">
        <w:tc>
          <w:tcPr>
            <w:tcW w:w="1620" w:type="dxa"/>
          </w:tcPr>
          <w:p w14:paraId="733817CF" w14:textId="77777777" w:rsidR="00936FB9" w:rsidRPr="003E2EB9" w:rsidRDefault="00000000" w:rsidP="003E2EB9">
            <w:pPr>
              <w:spacing w:line="276" w:lineRule="auto"/>
              <w:jc w:val="left"/>
              <w:rPr>
                <w:szCs w:val="24"/>
              </w:rPr>
            </w:pPr>
            <w:r w:rsidRPr="003E2EB9">
              <w:rPr>
                <w:rFonts w:eastAsia="Times New Roman"/>
                <w:szCs w:val="24"/>
              </w:rPr>
              <w:t>Ogungbemi et al., 2017</w:t>
            </w:r>
          </w:p>
        </w:tc>
        <w:tc>
          <w:tcPr>
            <w:tcW w:w="7200" w:type="dxa"/>
          </w:tcPr>
          <w:p w14:paraId="49F654B6" w14:textId="77777777" w:rsidR="00936FB9" w:rsidRPr="003E2EB9" w:rsidRDefault="00000000" w:rsidP="007513D1">
            <w:pPr>
              <w:spacing w:line="276" w:lineRule="auto"/>
              <w:rPr>
                <w:szCs w:val="24"/>
              </w:rPr>
            </w:pPr>
            <w:r w:rsidRPr="003E2EB9">
              <w:rPr>
                <w:rFonts w:eastAsia="Times New Roman"/>
                <w:szCs w:val="24"/>
              </w:rPr>
              <w:t>Reported actual maintenance expenditure averaged only 30–40% of budgeted amounts in Lagos</w:t>
            </w:r>
          </w:p>
        </w:tc>
      </w:tr>
      <w:tr w:rsidR="00936FB9" w:rsidRPr="003E2EB9" w14:paraId="04EB866E" w14:textId="77777777" w:rsidTr="00CC2560">
        <w:tc>
          <w:tcPr>
            <w:tcW w:w="1620" w:type="dxa"/>
          </w:tcPr>
          <w:p w14:paraId="0A65A1AD" w14:textId="77777777" w:rsidR="00936FB9" w:rsidRPr="003E2EB9" w:rsidRDefault="00000000" w:rsidP="003E2EB9">
            <w:pPr>
              <w:spacing w:line="276" w:lineRule="auto"/>
              <w:jc w:val="left"/>
              <w:rPr>
                <w:szCs w:val="24"/>
              </w:rPr>
            </w:pPr>
            <w:r w:rsidRPr="003E2EB9">
              <w:rPr>
                <w:rFonts w:eastAsia="Times New Roman"/>
                <w:szCs w:val="24"/>
              </w:rPr>
              <w:t>Oke et al., 2025</w:t>
            </w:r>
          </w:p>
        </w:tc>
        <w:tc>
          <w:tcPr>
            <w:tcW w:w="7200" w:type="dxa"/>
          </w:tcPr>
          <w:p w14:paraId="77F81FDE" w14:textId="77777777" w:rsidR="00936FB9" w:rsidRPr="003E2EB9" w:rsidRDefault="00000000" w:rsidP="007513D1">
            <w:pPr>
              <w:spacing w:line="276" w:lineRule="auto"/>
              <w:rPr>
                <w:szCs w:val="24"/>
              </w:rPr>
            </w:pPr>
            <w:r w:rsidRPr="003E2EB9">
              <w:rPr>
                <w:rFonts w:eastAsia="Times New Roman"/>
                <w:szCs w:val="24"/>
              </w:rPr>
              <w:t>Found that funding was the most significant factor influencing maintenance tactics in tropical climates</w:t>
            </w:r>
          </w:p>
        </w:tc>
      </w:tr>
      <w:tr w:rsidR="00936FB9" w:rsidRPr="003E2EB9" w14:paraId="62ED3F01" w14:textId="77777777" w:rsidTr="00CC2560">
        <w:tc>
          <w:tcPr>
            <w:tcW w:w="1620" w:type="dxa"/>
          </w:tcPr>
          <w:p w14:paraId="5A90EA53" w14:textId="77777777" w:rsidR="00936FB9" w:rsidRPr="003E2EB9" w:rsidRDefault="00000000" w:rsidP="003E2EB9">
            <w:pPr>
              <w:spacing w:line="276" w:lineRule="auto"/>
              <w:jc w:val="left"/>
              <w:rPr>
                <w:szCs w:val="24"/>
              </w:rPr>
            </w:pPr>
            <w:r w:rsidRPr="003E2EB9">
              <w:rPr>
                <w:rFonts w:eastAsia="Times New Roman"/>
                <w:szCs w:val="24"/>
              </w:rPr>
              <w:t>Oladokun &amp; Ogunbiyi, 2019</w:t>
            </w:r>
          </w:p>
        </w:tc>
        <w:tc>
          <w:tcPr>
            <w:tcW w:w="7200" w:type="dxa"/>
          </w:tcPr>
          <w:p w14:paraId="047A4D1F" w14:textId="77777777" w:rsidR="00936FB9" w:rsidRPr="003E2EB9" w:rsidRDefault="00000000" w:rsidP="007513D1">
            <w:pPr>
              <w:spacing w:line="276" w:lineRule="auto"/>
              <w:rPr>
                <w:szCs w:val="24"/>
              </w:rPr>
            </w:pPr>
            <w:r w:rsidRPr="003E2EB9">
              <w:rPr>
                <w:rFonts w:eastAsia="Times New Roman"/>
                <w:szCs w:val="24"/>
              </w:rPr>
              <w:t>Documented that service charge default rates exceeded 40% in Lagos high-rise buildings</w:t>
            </w:r>
          </w:p>
        </w:tc>
      </w:tr>
    </w:tbl>
    <w:p w14:paraId="33C1DA9B" w14:textId="77777777" w:rsidR="00936FB9" w:rsidRDefault="00000000" w:rsidP="007513D1">
      <w:pPr>
        <w:pStyle w:val="Heading3"/>
        <w:spacing w:line="276" w:lineRule="auto"/>
      </w:pPr>
      <w:r>
        <w:rPr>
          <w:rFonts w:eastAsia="Times New Roman"/>
        </w:rPr>
        <w:t>3.2.2 Human-Resource Deficits</w:t>
      </w:r>
    </w:p>
    <w:p w14:paraId="51C72256" w14:textId="3C0A77E2" w:rsidR="00CC2560" w:rsidRDefault="00000000" w:rsidP="003E2EB9">
      <w:pPr>
        <w:spacing w:after="120" w:line="276" w:lineRule="auto"/>
        <w:rPr>
          <w:rFonts w:eastAsia="Times New Roman"/>
        </w:rPr>
      </w:pPr>
      <w:r>
        <w:rPr>
          <w:rFonts w:eastAsia="Times New Roman"/>
        </w:rPr>
        <w:t xml:space="preserve">The second cluster </w:t>
      </w:r>
      <w:r w:rsidR="00CC2560">
        <w:rPr>
          <w:rFonts w:eastAsia="Times New Roman"/>
        </w:rPr>
        <w:t>covered</w:t>
      </w:r>
      <w:r>
        <w:rPr>
          <w:rFonts w:eastAsia="Times New Roman"/>
        </w:rPr>
        <w:t xml:space="preserve"> deficits in the quantity, quality, and motivation of maintenance personnel, reported in 27 of 36 studies (75 percent). </w:t>
      </w:r>
      <w:r w:rsidR="00803A8B" w:rsidRPr="00803A8B">
        <w:rPr>
          <w:rFonts w:eastAsia="Times New Roman"/>
        </w:rPr>
        <w:t xml:space="preserve">Among these, 9 studies (listed in </w:t>
      </w:r>
      <w:r w:rsidR="00803A8B" w:rsidRPr="00803A8B">
        <w:rPr>
          <w:rFonts w:eastAsia="Times New Roman"/>
          <w:i/>
          <w:iCs/>
        </w:rPr>
        <w:t>Table 4</w:t>
      </w:r>
      <w:r w:rsidR="00803A8B" w:rsidRPr="00803A8B">
        <w:rPr>
          <w:rFonts w:eastAsia="Times New Roman"/>
        </w:rPr>
        <w:t xml:space="preserve">) contain evidence that links human-resource deficits to measurable maintenance performance outcomes. Sub-themes include a shortage of qualified maintenance professionals (22 studies), reliance on unskilled or semi-skilled </w:t>
      </w:r>
      <w:proofErr w:type="spellStart"/>
      <w:r w:rsidR="00803A8B" w:rsidRPr="00803A8B">
        <w:rPr>
          <w:rFonts w:eastAsia="Times New Roman"/>
        </w:rPr>
        <w:t>labour</w:t>
      </w:r>
      <w:proofErr w:type="spellEnd"/>
      <w:r w:rsidR="00803A8B" w:rsidRPr="00803A8B">
        <w:rPr>
          <w:rFonts w:eastAsia="Times New Roman"/>
        </w:rPr>
        <w:t xml:space="preserve"> (17 studies), </w:t>
      </w:r>
      <w:r>
        <w:rPr>
          <w:rFonts w:eastAsia="Times New Roman"/>
        </w:rPr>
        <w:t>inadequate training and professional development (15 studies), and high staff turnover (10 studies). In Lagos, Akinola et al. (2020) found that only 22 percent of maintenance workers in high-rise residential buildings held relevant professional certifications, compared with over 60 percent in similar buildings in Malaysia.</w:t>
      </w:r>
    </w:p>
    <w:p w14:paraId="2EEC299A" w14:textId="7DAA8E13" w:rsidR="00936FB9" w:rsidRDefault="00000000" w:rsidP="003E2EB9">
      <w:pPr>
        <w:spacing w:after="120" w:line="276" w:lineRule="auto"/>
      </w:pPr>
      <w:r>
        <w:rPr>
          <w:rFonts w:eastAsia="Times New Roman"/>
        </w:rPr>
        <w:lastRenderedPageBreak/>
        <w:t xml:space="preserve">The consequence </w:t>
      </w:r>
      <w:r w:rsidR="00CC2560">
        <w:rPr>
          <w:rFonts w:eastAsia="Times New Roman"/>
        </w:rPr>
        <w:t>goes beyond</w:t>
      </w:r>
      <w:r>
        <w:rPr>
          <w:rFonts w:eastAsia="Times New Roman"/>
        </w:rPr>
        <w:t xml:space="preserve"> inefficiency but actively harmful maintenance practices</w:t>
      </w:r>
      <w:r w:rsidR="00CC2560">
        <w:rPr>
          <w:rFonts w:eastAsia="Times New Roman"/>
        </w:rPr>
        <w:t>, as</w:t>
      </w:r>
      <w:r>
        <w:rPr>
          <w:rFonts w:eastAsia="Times New Roman"/>
        </w:rPr>
        <w:t xml:space="preserve"> unqualified workers may misdiagnose defects, use inappropriate repair techniques, or fail to identify latent structural problems that later become catastrophic. Ogungbemi (2021) reported that 67 percent of building services maintenance failures in Lagos tertiary institutions were attributable to incompetent personnel. Dompey et al. (2025), studying digital innovation in building maintenance in Ghana, found that workforce skills gaps significantly constrained the adoption of technology-enabled maintenance practices, suggesting that the human-resource deficit has cascading effects that extend beyond traditional maintenance quality into the capacity for technological improvement. Chua et al. (2018) documented that unqualified workers misdiagnose defects and use inappropriate repair techniques, creating a cycle of ineffective repairs that increases rather than decreases maintenance backlogs.</w:t>
      </w:r>
    </w:p>
    <w:p w14:paraId="3504C2C0" w14:textId="1A133DAD" w:rsidR="00936FB9" w:rsidRPr="003E2EB9" w:rsidRDefault="00000000" w:rsidP="003E2EB9">
      <w:pPr>
        <w:spacing w:before="240" w:after="120" w:line="276" w:lineRule="auto"/>
        <w:rPr>
          <w:szCs w:val="24"/>
        </w:rPr>
      </w:pPr>
      <w:r w:rsidRPr="003E2EB9">
        <w:rPr>
          <w:rFonts w:eastAsia="Times New Roman"/>
          <w:b/>
          <w:szCs w:val="24"/>
        </w:rPr>
        <w:t xml:space="preserve">Table </w:t>
      </w:r>
      <w:r w:rsidR="00BE7C95">
        <w:rPr>
          <w:rFonts w:eastAsia="Times New Roman"/>
          <w:b/>
          <w:szCs w:val="24"/>
        </w:rPr>
        <w:t>4</w:t>
      </w:r>
      <w:r w:rsidR="003E2EB9">
        <w:rPr>
          <w:rFonts w:eastAsia="Times New Roman"/>
          <w:b/>
          <w:szCs w:val="24"/>
        </w:rPr>
        <w:t>:</w:t>
      </w:r>
      <w:r w:rsidRPr="003E2EB9">
        <w:rPr>
          <w:rFonts w:eastAsia="Times New Roman"/>
          <w:b/>
          <w:szCs w:val="24"/>
        </w:rPr>
        <w:t xml:space="preserve"> Studies Contributing to the Human-Resource Deficits Theme</w:t>
      </w:r>
    </w:p>
    <w:tbl>
      <w:tblPr>
        <w:tblStyle w:val="TableGrid"/>
        <w:tblW w:w="0" w:type="auto"/>
        <w:tblInd w:w="108" w:type="dxa"/>
        <w:tblLayout w:type="fixed"/>
        <w:tblLook w:val="04A0" w:firstRow="1" w:lastRow="0" w:firstColumn="1" w:lastColumn="0" w:noHBand="0" w:noVBand="1"/>
      </w:tblPr>
      <w:tblGrid>
        <w:gridCol w:w="2663"/>
        <w:gridCol w:w="6137"/>
      </w:tblGrid>
      <w:tr w:rsidR="00F67839" w:rsidRPr="00F67839" w14:paraId="09D25623" w14:textId="77777777" w:rsidTr="00F67839">
        <w:tc>
          <w:tcPr>
            <w:tcW w:w="2663" w:type="dxa"/>
          </w:tcPr>
          <w:p w14:paraId="12B0165F" w14:textId="77777777" w:rsidR="00936FB9" w:rsidRPr="00F67839" w:rsidRDefault="00000000" w:rsidP="00CC2560">
            <w:pPr>
              <w:spacing w:line="276" w:lineRule="auto"/>
              <w:jc w:val="left"/>
              <w:rPr>
                <w:szCs w:val="24"/>
              </w:rPr>
            </w:pPr>
            <w:r w:rsidRPr="00F67839">
              <w:rPr>
                <w:rFonts w:eastAsia="Times New Roman"/>
                <w:b/>
                <w:szCs w:val="24"/>
              </w:rPr>
              <w:t>Study</w:t>
            </w:r>
          </w:p>
        </w:tc>
        <w:tc>
          <w:tcPr>
            <w:tcW w:w="6137" w:type="dxa"/>
          </w:tcPr>
          <w:p w14:paraId="0856ED18" w14:textId="77777777" w:rsidR="00936FB9" w:rsidRPr="00F67839" w:rsidRDefault="00000000" w:rsidP="007513D1">
            <w:pPr>
              <w:spacing w:line="276" w:lineRule="auto"/>
              <w:jc w:val="center"/>
              <w:rPr>
                <w:szCs w:val="24"/>
              </w:rPr>
            </w:pPr>
            <w:r w:rsidRPr="00F67839">
              <w:rPr>
                <w:rFonts w:eastAsia="Times New Roman"/>
                <w:b/>
                <w:szCs w:val="24"/>
              </w:rPr>
              <w:t>Contribution</w:t>
            </w:r>
          </w:p>
        </w:tc>
      </w:tr>
      <w:tr w:rsidR="00F67839" w:rsidRPr="00F67839" w14:paraId="0FA34CD3" w14:textId="77777777" w:rsidTr="00F67839">
        <w:tc>
          <w:tcPr>
            <w:tcW w:w="2663" w:type="dxa"/>
          </w:tcPr>
          <w:p w14:paraId="653F3AD4" w14:textId="77777777" w:rsidR="00936FB9" w:rsidRPr="00F67839" w:rsidRDefault="00000000" w:rsidP="00CC2560">
            <w:pPr>
              <w:spacing w:line="276" w:lineRule="auto"/>
              <w:jc w:val="left"/>
              <w:rPr>
                <w:szCs w:val="24"/>
              </w:rPr>
            </w:pPr>
            <w:r w:rsidRPr="00F67839">
              <w:rPr>
                <w:rFonts w:eastAsia="Times New Roman"/>
                <w:szCs w:val="24"/>
              </w:rPr>
              <w:t>Akinola et al., 2020</w:t>
            </w:r>
          </w:p>
        </w:tc>
        <w:tc>
          <w:tcPr>
            <w:tcW w:w="6137" w:type="dxa"/>
          </w:tcPr>
          <w:p w14:paraId="45C0C71C" w14:textId="77777777" w:rsidR="00936FB9" w:rsidRPr="00F67839" w:rsidRDefault="00000000" w:rsidP="007513D1">
            <w:pPr>
              <w:spacing w:line="276" w:lineRule="auto"/>
              <w:rPr>
                <w:szCs w:val="24"/>
              </w:rPr>
            </w:pPr>
            <w:r w:rsidRPr="00F67839">
              <w:rPr>
                <w:rFonts w:eastAsia="Times New Roman"/>
                <w:szCs w:val="24"/>
              </w:rPr>
              <w:t>Found that only 22% of maintenance workers held relevant professional certifications in Lagos high-rises</w:t>
            </w:r>
          </w:p>
        </w:tc>
      </w:tr>
      <w:tr w:rsidR="00F67839" w:rsidRPr="00F67839" w14:paraId="5B46AB15" w14:textId="77777777" w:rsidTr="00F67839">
        <w:tc>
          <w:tcPr>
            <w:tcW w:w="2663" w:type="dxa"/>
          </w:tcPr>
          <w:p w14:paraId="06C6F15B" w14:textId="77777777" w:rsidR="00936FB9" w:rsidRPr="00F67839" w:rsidRDefault="00000000" w:rsidP="00CC2560">
            <w:pPr>
              <w:spacing w:line="276" w:lineRule="auto"/>
              <w:jc w:val="left"/>
              <w:rPr>
                <w:szCs w:val="24"/>
              </w:rPr>
            </w:pPr>
            <w:r w:rsidRPr="00F67839">
              <w:rPr>
                <w:rFonts w:eastAsia="Times New Roman"/>
                <w:szCs w:val="24"/>
              </w:rPr>
              <w:t>Aliyu &amp; Bello, 2022</w:t>
            </w:r>
          </w:p>
        </w:tc>
        <w:tc>
          <w:tcPr>
            <w:tcW w:w="6137" w:type="dxa"/>
          </w:tcPr>
          <w:p w14:paraId="1925D41A" w14:textId="77777777" w:rsidR="00936FB9" w:rsidRPr="00F67839" w:rsidRDefault="00000000" w:rsidP="007513D1">
            <w:pPr>
              <w:spacing w:line="276" w:lineRule="auto"/>
              <w:rPr>
                <w:szCs w:val="24"/>
              </w:rPr>
            </w:pPr>
            <w:r w:rsidRPr="00F67839">
              <w:rPr>
                <w:rFonts w:eastAsia="Times New Roman"/>
                <w:szCs w:val="24"/>
              </w:rPr>
              <w:t>Reported reliance on unskilled labour as a significant factor affecting maintenance quality</w:t>
            </w:r>
          </w:p>
        </w:tc>
      </w:tr>
      <w:tr w:rsidR="00F67839" w:rsidRPr="00F67839" w14:paraId="1F01E289" w14:textId="77777777" w:rsidTr="00F67839">
        <w:tc>
          <w:tcPr>
            <w:tcW w:w="2663" w:type="dxa"/>
          </w:tcPr>
          <w:p w14:paraId="411E22F7" w14:textId="77777777" w:rsidR="00936FB9" w:rsidRPr="00F67839" w:rsidRDefault="00000000" w:rsidP="00CC2560">
            <w:pPr>
              <w:spacing w:line="276" w:lineRule="auto"/>
              <w:jc w:val="left"/>
              <w:rPr>
                <w:szCs w:val="24"/>
              </w:rPr>
            </w:pPr>
            <w:r w:rsidRPr="00F67839">
              <w:rPr>
                <w:rFonts w:eastAsia="Times New Roman"/>
                <w:szCs w:val="24"/>
              </w:rPr>
              <w:t xml:space="preserve">Amusan &amp; </w:t>
            </w:r>
            <w:proofErr w:type="spellStart"/>
            <w:r w:rsidRPr="00F67839">
              <w:rPr>
                <w:rFonts w:eastAsia="Times New Roman"/>
                <w:szCs w:val="24"/>
              </w:rPr>
              <w:t>Olojede</w:t>
            </w:r>
            <w:proofErr w:type="spellEnd"/>
            <w:r w:rsidRPr="00F67839">
              <w:rPr>
                <w:rFonts w:eastAsia="Times New Roman"/>
                <w:szCs w:val="24"/>
              </w:rPr>
              <w:t>, 2021</w:t>
            </w:r>
          </w:p>
        </w:tc>
        <w:tc>
          <w:tcPr>
            <w:tcW w:w="6137" w:type="dxa"/>
          </w:tcPr>
          <w:p w14:paraId="3C302B82" w14:textId="77777777" w:rsidR="00936FB9" w:rsidRPr="00F67839" w:rsidRDefault="00000000" w:rsidP="007513D1">
            <w:pPr>
              <w:spacing w:line="276" w:lineRule="auto"/>
              <w:rPr>
                <w:szCs w:val="24"/>
              </w:rPr>
            </w:pPr>
            <w:r w:rsidRPr="00F67839">
              <w:rPr>
                <w:rFonts w:eastAsia="Times New Roman"/>
                <w:szCs w:val="24"/>
              </w:rPr>
              <w:t>Identified shortage of qualified maintenance professionals as a key driver of poor maintenance outcomes</w:t>
            </w:r>
          </w:p>
        </w:tc>
      </w:tr>
      <w:tr w:rsidR="00F67839" w:rsidRPr="00F67839" w14:paraId="6A25F87C" w14:textId="77777777" w:rsidTr="00F67839">
        <w:tc>
          <w:tcPr>
            <w:tcW w:w="2663" w:type="dxa"/>
          </w:tcPr>
          <w:p w14:paraId="265C601D" w14:textId="77777777" w:rsidR="00936FB9" w:rsidRPr="00F67839" w:rsidRDefault="00000000" w:rsidP="00CC2560">
            <w:pPr>
              <w:spacing w:line="276" w:lineRule="auto"/>
              <w:jc w:val="left"/>
              <w:rPr>
                <w:szCs w:val="24"/>
              </w:rPr>
            </w:pPr>
            <w:r w:rsidRPr="00F67839">
              <w:rPr>
                <w:rFonts w:eastAsia="Times New Roman"/>
                <w:szCs w:val="24"/>
              </w:rPr>
              <w:t>Chua et al., 2018</w:t>
            </w:r>
          </w:p>
        </w:tc>
        <w:tc>
          <w:tcPr>
            <w:tcW w:w="6137" w:type="dxa"/>
          </w:tcPr>
          <w:p w14:paraId="40DFF0CE" w14:textId="77777777" w:rsidR="00936FB9" w:rsidRPr="00F67839" w:rsidRDefault="00000000" w:rsidP="007513D1">
            <w:pPr>
              <w:spacing w:line="276" w:lineRule="auto"/>
              <w:rPr>
                <w:szCs w:val="24"/>
              </w:rPr>
            </w:pPr>
            <w:r w:rsidRPr="00F67839">
              <w:rPr>
                <w:rFonts w:eastAsia="Times New Roman"/>
                <w:szCs w:val="24"/>
              </w:rPr>
              <w:t>Documented that unqualified workers misdiagnose defects and use inappropriate repair techniques</w:t>
            </w:r>
          </w:p>
        </w:tc>
      </w:tr>
      <w:tr w:rsidR="00F67839" w:rsidRPr="00F67839" w14:paraId="212F09C4" w14:textId="77777777" w:rsidTr="00F67839">
        <w:tc>
          <w:tcPr>
            <w:tcW w:w="2663" w:type="dxa"/>
          </w:tcPr>
          <w:p w14:paraId="4DBA8B3B" w14:textId="77777777" w:rsidR="00936FB9" w:rsidRPr="00F67839" w:rsidRDefault="00000000" w:rsidP="00CC2560">
            <w:pPr>
              <w:spacing w:line="276" w:lineRule="auto"/>
              <w:jc w:val="left"/>
              <w:rPr>
                <w:szCs w:val="24"/>
              </w:rPr>
            </w:pPr>
            <w:r w:rsidRPr="00F67839">
              <w:rPr>
                <w:rFonts w:eastAsia="Times New Roman"/>
                <w:szCs w:val="24"/>
              </w:rPr>
              <w:t>Au-Yong et al., 2019</w:t>
            </w:r>
          </w:p>
        </w:tc>
        <w:tc>
          <w:tcPr>
            <w:tcW w:w="6137" w:type="dxa"/>
          </w:tcPr>
          <w:p w14:paraId="087C3CA4" w14:textId="77777777" w:rsidR="00936FB9" w:rsidRPr="00F67839" w:rsidRDefault="00000000" w:rsidP="007513D1">
            <w:pPr>
              <w:spacing w:line="276" w:lineRule="auto"/>
              <w:rPr>
                <w:szCs w:val="24"/>
              </w:rPr>
            </w:pPr>
            <w:r w:rsidRPr="00F67839">
              <w:rPr>
                <w:rFonts w:eastAsia="Times New Roman"/>
                <w:szCs w:val="24"/>
              </w:rPr>
              <w:t>Reviewed the prevalence of corrective over preventive maintenance and linked it to workforce competence</w:t>
            </w:r>
          </w:p>
        </w:tc>
      </w:tr>
      <w:tr w:rsidR="00F67839" w:rsidRPr="00F67839" w14:paraId="068EB1BC" w14:textId="77777777" w:rsidTr="00F67839">
        <w:tc>
          <w:tcPr>
            <w:tcW w:w="2663" w:type="dxa"/>
          </w:tcPr>
          <w:p w14:paraId="249661CC" w14:textId="77777777" w:rsidR="00936FB9" w:rsidRPr="00F67839" w:rsidRDefault="00000000" w:rsidP="00CC2560">
            <w:pPr>
              <w:spacing w:line="276" w:lineRule="auto"/>
              <w:jc w:val="left"/>
              <w:rPr>
                <w:szCs w:val="24"/>
              </w:rPr>
            </w:pPr>
            <w:r w:rsidRPr="00F67839">
              <w:rPr>
                <w:rFonts w:eastAsia="Times New Roman"/>
                <w:szCs w:val="24"/>
              </w:rPr>
              <w:t>Dauda &amp; Ibitoye, 2021</w:t>
            </w:r>
          </w:p>
        </w:tc>
        <w:tc>
          <w:tcPr>
            <w:tcW w:w="6137" w:type="dxa"/>
          </w:tcPr>
          <w:p w14:paraId="38328E6D" w14:textId="77777777" w:rsidR="00936FB9" w:rsidRPr="00F67839" w:rsidRDefault="00000000" w:rsidP="007513D1">
            <w:pPr>
              <w:spacing w:line="276" w:lineRule="auto"/>
              <w:rPr>
                <w:szCs w:val="24"/>
              </w:rPr>
            </w:pPr>
            <w:r w:rsidRPr="00F67839">
              <w:rPr>
                <w:rFonts w:eastAsia="Times New Roman"/>
                <w:szCs w:val="24"/>
              </w:rPr>
              <w:t>Found that inadequate training and professional development compromised maintenance quality in institutions</w:t>
            </w:r>
          </w:p>
        </w:tc>
      </w:tr>
      <w:tr w:rsidR="00F67839" w:rsidRPr="00F67839" w14:paraId="19203176" w14:textId="77777777" w:rsidTr="00F67839">
        <w:tc>
          <w:tcPr>
            <w:tcW w:w="2663" w:type="dxa"/>
          </w:tcPr>
          <w:p w14:paraId="2B452D60" w14:textId="77777777" w:rsidR="00936FB9" w:rsidRPr="00F67839" w:rsidRDefault="00000000" w:rsidP="00CC2560">
            <w:pPr>
              <w:spacing w:line="276" w:lineRule="auto"/>
              <w:jc w:val="left"/>
              <w:rPr>
                <w:szCs w:val="24"/>
              </w:rPr>
            </w:pPr>
            <w:proofErr w:type="spellStart"/>
            <w:r w:rsidRPr="00F67839">
              <w:rPr>
                <w:rFonts w:eastAsia="Times New Roman"/>
                <w:szCs w:val="24"/>
              </w:rPr>
              <w:t>Dompey</w:t>
            </w:r>
            <w:proofErr w:type="spellEnd"/>
            <w:r w:rsidRPr="00F67839">
              <w:rPr>
                <w:rFonts w:eastAsia="Times New Roman"/>
                <w:szCs w:val="24"/>
              </w:rPr>
              <w:t xml:space="preserve"> et al., 2025</w:t>
            </w:r>
          </w:p>
        </w:tc>
        <w:tc>
          <w:tcPr>
            <w:tcW w:w="6137" w:type="dxa"/>
          </w:tcPr>
          <w:p w14:paraId="17EA7892" w14:textId="77777777" w:rsidR="00936FB9" w:rsidRPr="00F67839" w:rsidRDefault="00000000" w:rsidP="007513D1">
            <w:pPr>
              <w:spacing w:line="276" w:lineRule="auto"/>
              <w:rPr>
                <w:szCs w:val="24"/>
              </w:rPr>
            </w:pPr>
            <w:r w:rsidRPr="00F67839">
              <w:rPr>
                <w:rFonts w:eastAsia="Times New Roman"/>
                <w:szCs w:val="24"/>
              </w:rPr>
              <w:t>Reported that digital innovation in maintenance is constrained by workforce skills gaps in Ghana</w:t>
            </w:r>
          </w:p>
        </w:tc>
      </w:tr>
      <w:tr w:rsidR="00F67839" w:rsidRPr="00F67839" w14:paraId="310DE790" w14:textId="77777777" w:rsidTr="00F67839">
        <w:tc>
          <w:tcPr>
            <w:tcW w:w="2663" w:type="dxa"/>
          </w:tcPr>
          <w:p w14:paraId="03164D18" w14:textId="77777777" w:rsidR="00936FB9" w:rsidRPr="00F67839" w:rsidRDefault="00000000" w:rsidP="00CC2560">
            <w:pPr>
              <w:spacing w:line="276" w:lineRule="auto"/>
              <w:jc w:val="left"/>
              <w:rPr>
                <w:szCs w:val="24"/>
              </w:rPr>
            </w:pPr>
            <w:proofErr w:type="spellStart"/>
            <w:r w:rsidRPr="00F67839">
              <w:rPr>
                <w:rFonts w:eastAsia="Times New Roman"/>
                <w:szCs w:val="24"/>
              </w:rPr>
              <w:t>Ogungbemi</w:t>
            </w:r>
            <w:proofErr w:type="spellEnd"/>
            <w:r w:rsidRPr="00F67839">
              <w:rPr>
                <w:rFonts w:eastAsia="Times New Roman"/>
                <w:szCs w:val="24"/>
              </w:rPr>
              <w:t>, 2021</w:t>
            </w:r>
          </w:p>
        </w:tc>
        <w:tc>
          <w:tcPr>
            <w:tcW w:w="6137" w:type="dxa"/>
          </w:tcPr>
          <w:p w14:paraId="0998414D" w14:textId="77777777" w:rsidR="00936FB9" w:rsidRPr="00F67839" w:rsidRDefault="00000000" w:rsidP="007513D1">
            <w:pPr>
              <w:spacing w:line="276" w:lineRule="auto"/>
              <w:rPr>
                <w:szCs w:val="24"/>
              </w:rPr>
            </w:pPr>
            <w:r w:rsidRPr="00F67839">
              <w:rPr>
                <w:rFonts w:eastAsia="Times New Roman"/>
                <w:szCs w:val="24"/>
              </w:rPr>
              <w:t>Reported that 67% of building services maintenance failures were attributable to incompetent personnel</w:t>
            </w:r>
          </w:p>
        </w:tc>
      </w:tr>
      <w:tr w:rsidR="00F67839" w:rsidRPr="00F67839" w14:paraId="00B8B68E" w14:textId="77777777" w:rsidTr="00F67839">
        <w:tc>
          <w:tcPr>
            <w:tcW w:w="2663" w:type="dxa"/>
          </w:tcPr>
          <w:p w14:paraId="7D795FCF" w14:textId="77777777" w:rsidR="00936FB9" w:rsidRPr="00F67839" w:rsidRDefault="00000000" w:rsidP="00CC2560">
            <w:pPr>
              <w:spacing w:line="276" w:lineRule="auto"/>
              <w:jc w:val="left"/>
              <w:rPr>
                <w:szCs w:val="24"/>
              </w:rPr>
            </w:pPr>
            <w:r w:rsidRPr="00F67839">
              <w:rPr>
                <w:rFonts w:eastAsia="Times New Roman"/>
                <w:szCs w:val="24"/>
              </w:rPr>
              <w:t>Oke et al., 2025</w:t>
            </w:r>
          </w:p>
        </w:tc>
        <w:tc>
          <w:tcPr>
            <w:tcW w:w="6137" w:type="dxa"/>
          </w:tcPr>
          <w:p w14:paraId="345D775B" w14:textId="77777777" w:rsidR="00936FB9" w:rsidRPr="00F67839" w:rsidRDefault="00000000" w:rsidP="007513D1">
            <w:pPr>
              <w:spacing w:line="276" w:lineRule="auto"/>
              <w:rPr>
                <w:szCs w:val="24"/>
              </w:rPr>
            </w:pPr>
            <w:r w:rsidRPr="00F67839">
              <w:rPr>
                <w:rFonts w:eastAsia="Times New Roman"/>
                <w:szCs w:val="24"/>
              </w:rPr>
              <w:t>Found that staff competency and training were critical to effective maintenance methodologies</w:t>
            </w:r>
          </w:p>
        </w:tc>
      </w:tr>
    </w:tbl>
    <w:p w14:paraId="38484C6E" w14:textId="77777777" w:rsidR="00936FB9" w:rsidRDefault="00000000" w:rsidP="007513D1">
      <w:pPr>
        <w:pStyle w:val="Heading3"/>
        <w:spacing w:line="276" w:lineRule="auto"/>
      </w:pPr>
      <w:r>
        <w:rPr>
          <w:rFonts w:eastAsia="Times New Roman"/>
        </w:rPr>
        <w:t>3.2.3 Institutional and Regulatory Weaknesses</w:t>
      </w:r>
    </w:p>
    <w:p w14:paraId="713B4CFF" w14:textId="4B1726FD" w:rsidR="00F67839" w:rsidRDefault="00A712B4" w:rsidP="003E2EB9">
      <w:pPr>
        <w:spacing w:after="120" w:line="276" w:lineRule="auto"/>
        <w:rPr>
          <w:rFonts w:eastAsia="Times New Roman"/>
        </w:rPr>
      </w:pPr>
      <w:r w:rsidRPr="00A712B4">
        <w:rPr>
          <w:rFonts w:eastAsia="Times New Roman"/>
        </w:rPr>
        <w:t>Institutional and regulatory weaknesses constitute the third cluster, noted in 23 of 36 studies (64 percent). The number of studies that furnish evidence of a direct link between these weaknesses and performance indicators is 8 studies (</w:t>
      </w:r>
      <w:r w:rsidRPr="00A712B4">
        <w:rPr>
          <w:rFonts w:eastAsia="Times New Roman"/>
          <w:i/>
          <w:iCs/>
        </w:rPr>
        <w:t>Table 5</w:t>
      </w:r>
      <w:r w:rsidRPr="00A712B4">
        <w:rPr>
          <w:rFonts w:eastAsia="Times New Roman"/>
        </w:rPr>
        <w:t xml:space="preserve">). </w:t>
      </w:r>
      <w:r w:rsidR="00000000">
        <w:rPr>
          <w:rFonts w:eastAsia="Times New Roman"/>
        </w:rPr>
        <w:t xml:space="preserve">Sub-themes include the absence or poor enforcement of maintenance regulations (19 studies), lack of a national maintenance policy (15 studies), fragmentation of regulatory responsibility across multiple agencies (12 studies), and corruption in maintenance procurement (10 studies). Despite the existence of the National Building Code of Nigeria (2006), enforcement remains weak, particularly in Lagos State where the Lagos State Building Control Agency (LASBCA) lacks </w:t>
      </w:r>
      <w:r w:rsidR="00000000">
        <w:rPr>
          <w:rFonts w:eastAsia="Times New Roman"/>
        </w:rPr>
        <w:lastRenderedPageBreak/>
        <w:t xml:space="preserve">the resources and personnel to conduct regular inspections (Aliyu &amp; Bello, 2022). Aliyu &amp; Bello (2022) found that only 14 percent of high-rise residential buildings in Lagos had documented maintenance schedules, and fewer than 8 percent had ever been inspected by a regulatory authority. </w:t>
      </w:r>
    </w:p>
    <w:p w14:paraId="48A8EAE8" w14:textId="3D689C27" w:rsidR="00936FB9" w:rsidRDefault="00000000" w:rsidP="003E2EB9">
      <w:pPr>
        <w:spacing w:after="120" w:line="276" w:lineRule="auto"/>
      </w:pPr>
      <w:r>
        <w:rPr>
          <w:rFonts w:eastAsia="Times New Roman"/>
        </w:rPr>
        <w:t>Lateef et al. (2024) documented the absence of a national maintenance policy as a systemic impediment, while Ebekozien (2020) highlighted the absence of enforceable maintenance standards in public buildings. Iyagba &amp; Adenuga (2012) found that fragmentation of regulatory responsibility across agencies undermined enforcement, while Zawawi et al. (2023) highlighted the challenges in regulatory frameworks for strata title buildings in Malaysia, noting that even where regulations exist, enforcement capacity and compliance monitoring remain weak.</w:t>
      </w:r>
    </w:p>
    <w:p w14:paraId="1348A30C" w14:textId="66978935" w:rsidR="00936FB9" w:rsidRPr="003E2EB9" w:rsidRDefault="00000000" w:rsidP="00B90121">
      <w:pPr>
        <w:spacing w:before="240" w:after="120" w:line="276" w:lineRule="auto"/>
        <w:rPr>
          <w:szCs w:val="24"/>
        </w:rPr>
      </w:pPr>
      <w:r w:rsidRPr="003E2EB9">
        <w:rPr>
          <w:rFonts w:eastAsia="Times New Roman"/>
          <w:b/>
          <w:szCs w:val="24"/>
        </w:rPr>
        <w:t xml:space="preserve">Table </w:t>
      </w:r>
      <w:r w:rsidR="00BE7C95">
        <w:rPr>
          <w:rFonts w:eastAsia="Times New Roman"/>
          <w:b/>
          <w:szCs w:val="24"/>
        </w:rPr>
        <w:t>5</w:t>
      </w:r>
      <w:r w:rsidR="003E2EB9">
        <w:rPr>
          <w:rFonts w:eastAsia="Times New Roman"/>
          <w:b/>
          <w:szCs w:val="24"/>
        </w:rPr>
        <w:t>:</w:t>
      </w:r>
      <w:r w:rsidRPr="003E2EB9">
        <w:rPr>
          <w:rFonts w:eastAsia="Times New Roman"/>
          <w:b/>
          <w:szCs w:val="24"/>
        </w:rPr>
        <w:t xml:space="preserve"> Studies Contributing to the Institutional and Regulatory Weaknesses Theme</w:t>
      </w:r>
    </w:p>
    <w:tbl>
      <w:tblPr>
        <w:tblStyle w:val="TableGrid"/>
        <w:tblW w:w="0" w:type="auto"/>
        <w:tblInd w:w="108" w:type="dxa"/>
        <w:tblLayout w:type="fixed"/>
        <w:tblLook w:val="04A0" w:firstRow="1" w:lastRow="0" w:firstColumn="1" w:lastColumn="0" w:noHBand="0" w:noVBand="1"/>
      </w:tblPr>
      <w:tblGrid>
        <w:gridCol w:w="2655"/>
        <w:gridCol w:w="6145"/>
      </w:tblGrid>
      <w:tr w:rsidR="00936FB9" w:rsidRPr="003E2EB9" w14:paraId="61DDCC1D" w14:textId="77777777" w:rsidTr="00F67839">
        <w:tc>
          <w:tcPr>
            <w:tcW w:w="2655" w:type="dxa"/>
          </w:tcPr>
          <w:p w14:paraId="64A3B1E3" w14:textId="77777777" w:rsidR="00936FB9" w:rsidRPr="003E2EB9" w:rsidRDefault="00000000" w:rsidP="003E2EB9">
            <w:pPr>
              <w:spacing w:line="276" w:lineRule="auto"/>
              <w:jc w:val="left"/>
              <w:rPr>
                <w:szCs w:val="24"/>
              </w:rPr>
            </w:pPr>
            <w:r w:rsidRPr="003E2EB9">
              <w:rPr>
                <w:rFonts w:eastAsia="Times New Roman"/>
                <w:b/>
                <w:szCs w:val="24"/>
              </w:rPr>
              <w:t>Study</w:t>
            </w:r>
          </w:p>
        </w:tc>
        <w:tc>
          <w:tcPr>
            <w:tcW w:w="6145" w:type="dxa"/>
          </w:tcPr>
          <w:p w14:paraId="76EC49F2" w14:textId="77777777" w:rsidR="00936FB9" w:rsidRPr="003E2EB9" w:rsidRDefault="00000000" w:rsidP="007513D1">
            <w:pPr>
              <w:spacing w:line="276" w:lineRule="auto"/>
              <w:jc w:val="center"/>
              <w:rPr>
                <w:szCs w:val="24"/>
              </w:rPr>
            </w:pPr>
            <w:r w:rsidRPr="003E2EB9">
              <w:rPr>
                <w:rFonts w:eastAsia="Times New Roman"/>
                <w:b/>
                <w:szCs w:val="24"/>
              </w:rPr>
              <w:t>Contribution</w:t>
            </w:r>
          </w:p>
        </w:tc>
      </w:tr>
      <w:tr w:rsidR="00936FB9" w:rsidRPr="003E2EB9" w14:paraId="228E8B31" w14:textId="77777777" w:rsidTr="00F67839">
        <w:tc>
          <w:tcPr>
            <w:tcW w:w="2655" w:type="dxa"/>
          </w:tcPr>
          <w:p w14:paraId="14EC507A" w14:textId="77777777" w:rsidR="00936FB9" w:rsidRPr="003E2EB9" w:rsidRDefault="00000000" w:rsidP="003E2EB9">
            <w:pPr>
              <w:spacing w:line="276" w:lineRule="auto"/>
              <w:jc w:val="left"/>
              <w:rPr>
                <w:szCs w:val="24"/>
              </w:rPr>
            </w:pPr>
            <w:r w:rsidRPr="003E2EB9">
              <w:rPr>
                <w:rFonts w:eastAsia="Times New Roman"/>
                <w:szCs w:val="24"/>
              </w:rPr>
              <w:t>Aliyu &amp; Bello, 2022</w:t>
            </w:r>
          </w:p>
        </w:tc>
        <w:tc>
          <w:tcPr>
            <w:tcW w:w="6145" w:type="dxa"/>
          </w:tcPr>
          <w:p w14:paraId="48D806ED" w14:textId="77777777" w:rsidR="00936FB9" w:rsidRPr="003E2EB9" w:rsidRDefault="00000000" w:rsidP="007513D1">
            <w:pPr>
              <w:spacing w:line="276" w:lineRule="auto"/>
              <w:rPr>
                <w:szCs w:val="24"/>
              </w:rPr>
            </w:pPr>
            <w:r w:rsidRPr="003E2EB9">
              <w:rPr>
                <w:rFonts w:eastAsia="Times New Roman"/>
                <w:szCs w:val="24"/>
              </w:rPr>
              <w:t>Found that fewer than 8% of high-rise buildings had ever been inspected by a regulatory authority</w:t>
            </w:r>
          </w:p>
        </w:tc>
      </w:tr>
      <w:tr w:rsidR="00936FB9" w:rsidRPr="003E2EB9" w14:paraId="561E5542" w14:textId="77777777" w:rsidTr="00F67839">
        <w:tc>
          <w:tcPr>
            <w:tcW w:w="2655" w:type="dxa"/>
          </w:tcPr>
          <w:p w14:paraId="517E8927" w14:textId="77777777" w:rsidR="00936FB9" w:rsidRPr="003E2EB9" w:rsidRDefault="00000000" w:rsidP="003E2EB9">
            <w:pPr>
              <w:spacing w:line="276" w:lineRule="auto"/>
              <w:jc w:val="left"/>
              <w:rPr>
                <w:szCs w:val="24"/>
              </w:rPr>
            </w:pPr>
            <w:r w:rsidRPr="003E2EB9">
              <w:rPr>
                <w:rFonts w:eastAsia="Times New Roman"/>
                <w:szCs w:val="24"/>
              </w:rPr>
              <w:t>Au-Yong et al., 2024</w:t>
            </w:r>
          </w:p>
        </w:tc>
        <w:tc>
          <w:tcPr>
            <w:tcW w:w="6145" w:type="dxa"/>
          </w:tcPr>
          <w:p w14:paraId="7E607967" w14:textId="77777777" w:rsidR="00936FB9" w:rsidRPr="003E2EB9" w:rsidRDefault="00000000" w:rsidP="007513D1">
            <w:pPr>
              <w:spacing w:line="276" w:lineRule="auto"/>
              <w:rPr>
                <w:szCs w:val="24"/>
              </w:rPr>
            </w:pPr>
            <w:r w:rsidRPr="003E2EB9">
              <w:rPr>
                <w:rFonts w:eastAsia="Times New Roman"/>
                <w:szCs w:val="24"/>
              </w:rPr>
              <w:t>Identified regulatory compliance as a key factor in maintenance prioritisation decisions</w:t>
            </w:r>
          </w:p>
        </w:tc>
      </w:tr>
      <w:tr w:rsidR="00936FB9" w:rsidRPr="003E2EB9" w14:paraId="5EDF04EB" w14:textId="77777777" w:rsidTr="00F67839">
        <w:tc>
          <w:tcPr>
            <w:tcW w:w="2655" w:type="dxa"/>
          </w:tcPr>
          <w:p w14:paraId="64B9B418" w14:textId="77777777" w:rsidR="00936FB9" w:rsidRPr="003E2EB9" w:rsidRDefault="00000000" w:rsidP="003E2EB9">
            <w:pPr>
              <w:spacing w:line="276" w:lineRule="auto"/>
              <w:jc w:val="left"/>
              <w:rPr>
                <w:szCs w:val="24"/>
              </w:rPr>
            </w:pPr>
            <w:r w:rsidRPr="003E2EB9">
              <w:rPr>
                <w:rFonts w:eastAsia="Times New Roman"/>
                <w:szCs w:val="24"/>
              </w:rPr>
              <w:t>Ebekozien, 2020</w:t>
            </w:r>
          </w:p>
        </w:tc>
        <w:tc>
          <w:tcPr>
            <w:tcW w:w="6145" w:type="dxa"/>
          </w:tcPr>
          <w:p w14:paraId="433EE4DF" w14:textId="77777777" w:rsidR="00936FB9" w:rsidRPr="003E2EB9" w:rsidRDefault="00000000" w:rsidP="007513D1">
            <w:pPr>
              <w:spacing w:line="276" w:lineRule="auto"/>
              <w:rPr>
                <w:szCs w:val="24"/>
              </w:rPr>
            </w:pPr>
            <w:r w:rsidRPr="003E2EB9">
              <w:rPr>
                <w:rFonts w:eastAsia="Times New Roman"/>
                <w:szCs w:val="24"/>
              </w:rPr>
              <w:t>Highlighted the absence of enforceable maintenance standards in public buildings</w:t>
            </w:r>
          </w:p>
        </w:tc>
      </w:tr>
      <w:tr w:rsidR="00936FB9" w:rsidRPr="003E2EB9" w14:paraId="4255B1EC" w14:textId="77777777" w:rsidTr="00F67839">
        <w:tc>
          <w:tcPr>
            <w:tcW w:w="2655" w:type="dxa"/>
          </w:tcPr>
          <w:p w14:paraId="2CCC9745" w14:textId="77777777" w:rsidR="00936FB9" w:rsidRPr="003E2EB9" w:rsidRDefault="00000000" w:rsidP="003E2EB9">
            <w:pPr>
              <w:spacing w:line="276" w:lineRule="auto"/>
              <w:jc w:val="left"/>
              <w:rPr>
                <w:szCs w:val="24"/>
              </w:rPr>
            </w:pPr>
            <w:r w:rsidRPr="003E2EB9">
              <w:rPr>
                <w:rFonts w:eastAsia="Times New Roman"/>
                <w:szCs w:val="24"/>
              </w:rPr>
              <w:t>Folorunso &amp; Izobo-Martins, 2015</w:t>
            </w:r>
          </w:p>
        </w:tc>
        <w:tc>
          <w:tcPr>
            <w:tcW w:w="6145" w:type="dxa"/>
          </w:tcPr>
          <w:p w14:paraId="3FD3FB1F" w14:textId="77777777" w:rsidR="00936FB9" w:rsidRPr="003E2EB9" w:rsidRDefault="00000000" w:rsidP="007513D1">
            <w:pPr>
              <w:spacing w:line="276" w:lineRule="auto"/>
              <w:rPr>
                <w:szCs w:val="24"/>
              </w:rPr>
            </w:pPr>
            <w:r w:rsidRPr="003E2EB9">
              <w:rPr>
                <w:rFonts w:eastAsia="Times New Roman"/>
                <w:szCs w:val="24"/>
              </w:rPr>
              <w:t>Reported that multi-owner buildings lack regulatory frameworks for shared maintenance responsibility</w:t>
            </w:r>
          </w:p>
        </w:tc>
      </w:tr>
      <w:tr w:rsidR="00936FB9" w:rsidRPr="003E2EB9" w14:paraId="717FEC72" w14:textId="77777777" w:rsidTr="00F67839">
        <w:tc>
          <w:tcPr>
            <w:tcW w:w="2655" w:type="dxa"/>
          </w:tcPr>
          <w:p w14:paraId="6C978685" w14:textId="77777777" w:rsidR="00936FB9" w:rsidRPr="003E2EB9" w:rsidRDefault="00000000" w:rsidP="003E2EB9">
            <w:pPr>
              <w:spacing w:line="276" w:lineRule="auto"/>
              <w:jc w:val="left"/>
              <w:rPr>
                <w:szCs w:val="24"/>
              </w:rPr>
            </w:pPr>
            <w:r w:rsidRPr="003E2EB9">
              <w:rPr>
                <w:rFonts w:eastAsia="Times New Roman"/>
                <w:szCs w:val="24"/>
              </w:rPr>
              <w:t>Iyagba &amp; Adenuga, 2012</w:t>
            </w:r>
          </w:p>
        </w:tc>
        <w:tc>
          <w:tcPr>
            <w:tcW w:w="6145" w:type="dxa"/>
          </w:tcPr>
          <w:p w14:paraId="0C1089B7" w14:textId="77777777" w:rsidR="00936FB9" w:rsidRPr="003E2EB9" w:rsidRDefault="00000000" w:rsidP="007513D1">
            <w:pPr>
              <w:spacing w:line="276" w:lineRule="auto"/>
              <w:rPr>
                <w:szCs w:val="24"/>
              </w:rPr>
            </w:pPr>
            <w:r w:rsidRPr="003E2EB9">
              <w:rPr>
                <w:rFonts w:eastAsia="Times New Roman"/>
                <w:szCs w:val="24"/>
              </w:rPr>
              <w:t>Found that fragmentation of regulatory responsibility across agencies undermined enforcement</w:t>
            </w:r>
          </w:p>
        </w:tc>
      </w:tr>
      <w:tr w:rsidR="00936FB9" w:rsidRPr="003E2EB9" w14:paraId="74503067" w14:textId="77777777" w:rsidTr="00F67839">
        <w:tc>
          <w:tcPr>
            <w:tcW w:w="2655" w:type="dxa"/>
          </w:tcPr>
          <w:p w14:paraId="539ECFBE" w14:textId="77777777" w:rsidR="00936FB9" w:rsidRPr="003E2EB9" w:rsidRDefault="00000000" w:rsidP="003E2EB9">
            <w:pPr>
              <w:spacing w:line="276" w:lineRule="auto"/>
              <w:jc w:val="left"/>
              <w:rPr>
                <w:szCs w:val="24"/>
              </w:rPr>
            </w:pPr>
            <w:r w:rsidRPr="003E2EB9">
              <w:rPr>
                <w:rFonts w:eastAsia="Times New Roman"/>
                <w:szCs w:val="24"/>
              </w:rPr>
              <w:t>Lateef et al., 2024</w:t>
            </w:r>
          </w:p>
        </w:tc>
        <w:tc>
          <w:tcPr>
            <w:tcW w:w="6145" w:type="dxa"/>
          </w:tcPr>
          <w:p w14:paraId="0E948F75" w14:textId="77777777" w:rsidR="00936FB9" w:rsidRPr="003E2EB9" w:rsidRDefault="00000000" w:rsidP="007513D1">
            <w:pPr>
              <w:spacing w:line="276" w:lineRule="auto"/>
              <w:rPr>
                <w:szCs w:val="24"/>
              </w:rPr>
            </w:pPr>
            <w:r w:rsidRPr="003E2EB9">
              <w:rPr>
                <w:rFonts w:eastAsia="Times New Roman"/>
                <w:szCs w:val="24"/>
              </w:rPr>
              <w:t>Documented the absence of a national maintenance policy as a systemic impediment</w:t>
            </w:r>
          </w:p>
        </w:tc>
      </w:tr>
      <w:tr w:rsidR="00936FB9" w:rsidRPr="003E2EB9" w14:paraId="7C001239" w14:textId="77777777" w:rsidTr="00F67839">
        <w:tc>
          <w:tcPr>
            <w:tcW w:w="2655" w:type="dxa"/>
          </w:tcPr>
          <w:p w14:paraId="435DC266" w14:textId="77777777" w:rsidR="00936FB9" w:rsidRPr="003E2EB9" w:rsidRDefault="00000000" w:rsidP="003E2EB9">
            <w:pPr>
              <w:spacing w:line="276" w:lineRule="auto"/>
              <w:jc w:val="left"/>
              <w:rPr>
                <w:szCs w:val="24"/>
              </w:rPr>
            </w:pPr>
            <w:r w:rsidRPr="003E2EB9">
              <w:rPr>
                <w:rFonts w:eastAsia="Times New Roman"/>
                <w:szCs w:val="24"/>
              </w:rPr>
              <w:t>Ogungbemi, 2021</w:t>
            </w:r>
          </w:p>
        </w:tc>
        <w:tc>
          <w:tcPr>
            <w:tcW w:w="6145" w:type="dxa"/>
          </w:tcPr>
          <w:p w14:paraId="7EF79AF1" w14:textId="77777777" w:rsidR="00936FB9" w:rsidRPr="003E2EB9" w:rsidRDefault="00000000" w:rsidP="007513D1">
            <w:pPr>
              <w:spacing w:line="276" w:lineRule="auto"/>
              <w:rPr>
                <w:szCs w:val="24"/>
              </w:rPr>
            </w:pPr>
            <w:r w:rsidRPr="003E2EB9">
              <w:rPr>
                <w:rFonts w:eastAsia="Times New Roman"/>
                <w:szCs w:val="24"/>
              </w:rPr>
              <w:t>Noted that corruption in maintenance procurement further weakened institutional capacity</w:t>
            </w:r>
          </w:p>
        </w:tc>
      </w:tr>
      <w:tr w:rsidR="00936FB9" w:rsidRPr="003E2EB9" w14:paraId="436888EF" w14:textId="77777777" w:rsidTr="00F67839">
        <w:tc>
          <w:tcPr>
            <w:tcW w:w="2655" w:type="dxa"/>
          </w:tcPr>
          <w:p w14:paraId="29C80C85" w14:textId="77777777" w:rsidR="00936FB9" w:rsidRPr="003E2EB9" w:rsidRDefault="00000000" w:rsidP="003E2EB9">
            <w:pPr>
              <w:spacing w:line="276" w:lineRule="auto"/>
              <w:jc w:val="left"/>
              <w:rPr>
                <w:szCs w:val="24"/>
              </w:rPr>
            </w:pPr>
            <w:r w:rsidRPr="003E2EB9">
              <w:rPr>
                <w:rFonts w:eastAsia="Times New Roman"/>
                <w:szCs w:val="24"/>
              </w:rPr>
              <w:t>Zawawi et al., 2023</w:t>
            </w:r>
          </w:p>
        </w:tc>
        <w:tc>
          <w:tcPr>
            <w:tcW w:w="6145" w:type="dxa"/>
          </w:tcPr>
          <w:p w14:paraId="7A950EDF" w14:textId="77777777" w:rsidR="00936FB9" w:rsidRPr="003E2EB9" w:rsidRDefault="00000000" w:rsidP="007513D1">
            <w:pPr>
              <w:spacing w:line="276" w:lineRule="auto"/>
              <w:rPr>
                <w:szCs w:val="24"/>
              </w:rPr>
            </w:pPr>
            <w:r w:rsidRPr="003E2EB9">
              <w:rPr>
                <w:rFonts w:eastAsia="Times New Roman"/>
                <w:szCs w:val="24"/>
              </w:rPr>
              <w:t>Highlighted challenges in regulatory frameworks for strata title buildings in Malaysia</w:t>
            </w:r>
          </w:p>
        </w:tc>
      </w:tr>
    </w:tbl>
    <w:p w14:paraId="43AAF68A" w14:textId="77777777" w:rsidR="00936FB9" w:rsidRDefault="00000000" w:rsidP="007513D1">
      <w:pPr>
        <w:pStyle w:val="Heading3"/>
        <w:spacing w:line="276" w:lineRule="auto"/>
      </w:pPr>
      <w:r>
        <w:rPr>
          <w:rFonts w:eastAsia="Times New Roman"/>
        </w:rPr>
        <w:t>3.2.4 Technical and Design Deficiencies</w:t>
      </w:r>
    </w:p>
    <w:p w14:paraId="2B2AE8D4" w14:textId="1465DA59" w:rsidR="00F67839" w:rsidRDefault="00A712B4" w:rsidP="00A712B4">
      <w:pPr>
        <w:spacing w:after="120" w:line="276" w:lineRule="auto"/>
        <w:rPr>
          <w:rFonts w:eastAsia="Times New Roman"/>
        </w:rPr>
      </w:pPr>
      <w:r w:rsidRPr="00A712B4">
        <w:rPr>
          <w:rFonts w:eastAsia="Times New Roman"/>
        </w:rPr>
        <w:t>The fourth cluster relates to deficiencies originating in the design and construction phases, reported in 21 of 36 studies (58 percent). Of these, 8 studies (</w:t>
      </w:r>
      <w:r w:rsidRPr="00A712B4">
        <w:rPr>
          <w:rFonts w:eastAsia="Times New Roman"/>
          <w:i/>
          <w:iCs/>
        </w:rPr>
        <w:t>Table 6</w:t>
      </w:r>
      <w:r w:rsidRPr="00A712B4">
        <w:rPr>
          <w:rFonts w:eastAsia="Times New Roman"/>
        </w:rPr>
        <w:t>) supply empirical evidence linking technical or design deficiencies to performance indicators. Sub-themes include design that does not facilitate maintenance access (16 studies),</w:t>
      </w:r>
      <w:r w:rsidR="00000000">
        <w:rPr>
          <w:rFonts w:eastAsia="Times New Roman"/>
        </w:rPr>
        <w:t xml:space="preserve"> use of substandard construction materials (15 studies), poor workmanship (13 studies), and absence of building maintenance manuals (11 studies). </w:t>
      </w:r>
    </w:p>
    <w:p w14:paraId="4028FB43" w14:textId="77777777" w:rsidR="00F67839" w:rsidRDefault="00000000" w:rsidP="003E2EB9">
      <w:pPr>
        <w:spacing w:after="120" w:line="276" w:lineRule="auto"/>
        <w:rPr>
          <w:rFonts w:eastAsia="Times New Roman"/>
        </w:rPr>
      </w:pPr>
      <w:r>
        <w:rPr>
          <w:rFonts w:eastAsia="Times New Roman"/>
        </w:rPr>
        <w:t xml:space="preserve">In Lagos, the humid tropical climate and coastal exposure create aggressive deterioration conditions that are rarely factored into design specifications. Waziri (2016) identified design and construction defects as significant factors influencing residential building maintenance in Nigeria, including inadequate waterproofing, poor drainage systems, and inaccessible </w:t>
      </w:r>
      <w:r>
        <w:rPr>
          <w:rFonts w:eastAsia="Times New Roman"/>
        </w:rPr>
        <w:lastRenderedPageBreak/>
        <w:t xml:space="preserve">building services. These design deficiencies increase maintenance frequency and cost, creating a feedback loop that exacerbates the financial constraints described above. </w:t>
      </w:r>
    </w:p>
    <w:p w14:paraId="10C0D258" w14:textId="2832CE81" w:rsidR="00936FB9" w:rsidRDefault="00000000" w:rsidP="003E2EB9">
      <w:pPr>
        <w:spacing w:after="120" w:line="276" w:lineRule="auto"/>
      </w:pPr>
      <w:r>
        <w:rPr>
          <w:rFonts w:eastAsia="Times New Roman"/>
        </w:rPr>
        <w:t>Au-Yong et al. (2023) provided the most direct empirical evidence linking a technical problem to a performance indicator, demonstrating that spare-parts unavailability correlates significantly with reduced equipment effectiveness (r = .55, p &lt; .05). Ebiloma et al. (2023) identified low levels of maintenance documentation as a major factor contributing to inefficient maintenance management in Nigerian buildings, while Ugochukwu &amp; Olusanjo (2020) identified poor workmanship and substandard materials as major technical factors. Rashid et al. (2021) developed a maintenance framework addressing design-phase deficiencies in Malaysian housing, confirming that structural interventions at the design stage can reduce long-term maintenance burdens.</w:t>
      </w:r>
    </w:p>
    <w:p w14:paraId="50523503" w14:textId="2E1EA087" w:rsidR="00936FB9" w:rsidRPr="003E2EB9" w:rsidRDefault="00000000" w:rsidP="003E2EB9">
      <w:pPr>
        <w:spacing w:before="240" w:after="120" w:line="276" w:lineRule="auto"/>
        <w:rPr>
          <w:szCs w:val="24"/>
        </w:rPr>
      </w:pPr>
      <w:r w:rsidRPr="003E2EB9">
        <w:rPr>
          <w:rFonts w:eastAsia="Times New Roman"/>
          <w:b/>
          <w:szCs w:val="24"/>
        </w:rPr>
        <w:t xml:space="preserve">Table </w:t>
      </w:r>
      <w:r w:rsidR="00BE7C95">
        <w:rPr>
          <w:rFonts w:eastAsia="Times New Roman"/>
          <w:b/>
          <w:szCs w:val="24"/>
        </w:rPr>
        <w:t>6</w:t>
      </w:r>
      <w:r w:rsidR="003E2EB9">
        <w:rPr>
          <w:rFonts w:eastAsia="Times New Roman"/>
          <w:b/>
          <w:szCs w:val="24"/>
        </w:rPr>
        <w:t>:</w:t>
      </w:r>
      <w:r w:rsidRPr="003E2EB9">
        <w:rPr>
          <w:rFonts w:eastAsia="Times New Roman"/>
          <w:b/>
          <w:szCs w:val="24"/>
        </w:rPr>
        <w:t xml:space="preserve"> Studies Contributing to the Technical and Design Deficiencies Theme</w:t>
      </w:r>
    </w:p>
    <w:tbl>
      <w:tblPr>
        <w:tblStyle w:val="TableGrid"/>
        <w:tblW w:w="0" w:type="auto"/>
        <w:tblInd w:w="108" w:type="dxa"/>
        <w:tblLayout w:type="fixed"/>
        <w:tblLook w:val="04A0" w:firstRow="1" w:lastRow="0" w:firstColumn="1" w:lastColumn="0" w:noHBand="0" w:noVBand="1"/>
      </w:tblPr>
      <w:tblGrid>
        <w:gridCol w:w="2160"/>
        <w:gridCol w:w="6640"/>
      </w:tblGrid>
      <w:tr w:rsidR="00936FB9" w:rsidRPr="003E2EB9" w14:paraId="355AD375" w14:textId="77777777" w:rsidTr="00F67839">
        <w:tc>
          <w:tcPr>
            <w:tcW w:w="2160" w:type="dxa"/>
          </w:tcPr>
          <w:p w14:paraId="7CC89305" w14:textId="77777777" w:rsidR="00936FB9" w:rsidRPr="003E2EB9" w:rsidRDefault="00000000" w:rsidP="003E2EB9">
            <w:pPr>
              <w:spacing w:line="276" w:lineRule="auto"/>
              <w:jc w:val="left"/>
              <w:rPr>
                <w:szCs w:val="24"/>
              </w:rPr>
            </w:pPr>
            <w:r w:rsidRPr="003E2EB9">
              <w:rPr>
                <w:rFonts w:eastAsia="Times New Roman"/>
                <w:b/>
                <w:szCs w:val="24"/>
              </w:rPr>
              <w:t>Study</w:t>
            </w:r>
          </w:p>
        </w:tc>
        <w:tc>
          <w:tcPr>
            <w:tcW w:w="6640" w:type="dxa"/>
          </w:tcPr>
          <w:p w14:paraId="35BD2C57" w14:textId="77777777" w:rsidR="00936FB9" w:rsidRPr="003E2EB9" w:rsidRDefault="00000000" w:rsidP="007513D1">
            <w:pPr>
              <w:spacing w:line="276" w:lineRule="auto"/>
              <w:jc w:val="center"/>
              <w:rPr>
                <w:szCs w:val="24"/>
              </w:rPr>
            </w:pPr>
            <w:r w:rsidRPr="003E2EB9">
              <w:rPr>
                <w:rFonts w:eastAsia="Times New Roman"/>
                <w:b/>
                <w:szCs w:val="24"/>
              </w:rPr>
              <w:t>Contribution</w:t>
            </w:r>
          </w:p>
        </w:tc>
      </w:tr>
      <w:tr w:rsidR="00936FB9" w:rsidRPr="003E2EB9" w14:paraId="52C88875" w14:textId="77777777" w:rsidTr="00F67839">
        <w:tc>
          <w:tcPr>
            <w:tcW w:w="2160" w:type="dxa"/>
          </w:tcPr>
          <w:p w14:paraId="786EFEC6" w14:textId="77777777" w:rsidR="00936FB9" w:rsidRPr="003E2EB9" w:rsidRDefault="00000000" w:rsidP="003E2EB9">
            <w:pPr>
              <w:spacing w:line="276" w:lineRule="auto"/>
              <w:jc w:val="left"/>
              <w:rPr>
                <w:szCs w:val="24"/>
              </w:rPr>
            </w:pPr>
            <w:r w:rsidRPr="003E2EB9">
              <w:rPr>
                <w:rFonts w:eastAsia="Times New Roman"/>
                <w:szCs w:val="24"/>
              </w:rPr>
              <w:t>Au-Yong et al., 2014</w:t>
            </w:r>
          </w:p>
        </w:tc>
        <w:tc>
          <w:tcPr>
            <w:tcW w:w="6640" w:type="dxa"/>
          </w:tcPr>
          <w:p w14:paraId="5530F8E0" w14:textId="77777777" w:rsidR="00936FB9" w:rsidRPr="003E2EB9" w:rsidRDefault="00000000" w:rsidP="007513D1">
            <w:pPr>
              <w:spacing w:line="276" w:lineRule="auto"/>
              <w:rPr>
                <w:szCs w:val="24"/>
              </w:rPr>
            </w:pPr>
            <w:r w:rsidRPr="003E2EB9">
              <w:rPr>
                <w:rFonts w:eastAsia="Times New Roman"/>
                <w:szCs w:val="24"/>
              </w:rPr>
              <w:t>Demonstrated that HVAC design deficiencies increase maintenance frequency and reduce occupant satisfaction</w:t>
            </w:r>
          </w:p>
        </w:tc>
      </w:tr>
      <w:tr w:rsidR="00936FB9" w:rsidRPr="003E2EB9" w14:paraId="3BCDB1F2" w14:textId="77777777" w:rsidTr="00F67839">
        <w:tc>
          <w:tcPr>
            <w:tcW w:w="2160" w:type="dxa"/>
          </w:tcPr>
          <w:p w14:paraId="7227DD99" w14:textId="77777777" w:rsidR="00936FB9" w:rsidRPr="003E2EB9" w:rsidRDefault="00000000" w:rsidP="003E2EB9">
            <w:pPr>
              <w:spacing w:line="276" w:lineRule="auto"/>
              <w:jc w:val="left"/>
              <w:rPr>
                <w:szCs w:val="24"/>
              </w:rPr>
            </w:pPr>
            <w:r w:rsidRPr="003E2EB9">
              <w:rPr>
                <w:rFonts w:eastAsia="Times New Roman"/>
                <w:szCs w:val="24"/>
              </w:rPr>
              <w:t>Au-Yong et al., 2023</w:t>
            </w:r>
          </w:p>
        </w:tc>
        <w:tc>
          <w:tcPr>
            <w:tcW w:w="6640" w:type="dxa"/>
          </w:tcPr>
          <w:p w14:paraId="7E6D2266" w14:textId="77777777" w:rsidR="00936FB9" w:rsidRPr="003E2EB9" w:rsidRDefault="00000000" w:rsidP="007513D1">
            <w:pPr>
              <w:spacing w:line="276" w:lineRule="auto"/>
              <w:rPr>
                <w:szCs w:val="24"/>
              </w:rPr>
            </w:pPr>
            <w:r w:rsidRPr="003E2EB9">
              <w:rPr>
                <w:rFonts w:eastAsia="Times New Roman"/>
                <w:szCs w:val="24"/>
              </w:rPr>
              <w:t>Showed that spare-parts unavailability correlates with reduced equipment effectiveness (r = .55, p &lt; .05)</w:t>
            </w:r>
          </w:p>
        </w:tc>
      </w:tr>
      <w:tr w:rsidR="00936FB9" w:rsidRPr="003E2EB9" w14:paraId="44D6CD86" w14:textId="77777777" w:rsidTr="00F67839">
        <w:tc>
          <w:tcPr>
            <w:tcW w:w="2160" w:type="dxa"/>
          </w:tcPr>
          <w:p w14:paraId="5D305360" w14:textId="77777777" w:rsidR="00936FB9" w:rsidRPr="003E2EB9" w:rsidRDefault="00000000" w:rsidP="003E2EB9">
            <w:pPr>
              <w:spacing w:line="276" w:lineRule="auto"/>
              <w:jc w:val="left"/>
              <w:rPr>
                <w:szCs w:val="24"/>
              </w:rPr>
            </w:pPr>
            <w:r w:rsidRPr="003E2EB9">
              <w:rPr>
                <w:rFonts w:eastAsia="Times New Roman"/>
                <w:szCs w:val="24"/>
              </w:rPr>
              <w:t>Waziri, 2016</w:t>
            </w:r>
          </w:p>
        </w:tc>
        <w:tc>
          <w:tcPr>
            <w:tcW w:w="6640" w:type="dxa"/>
          </w:tcPr>
          <w:p w14:paraId="21FB6823" w14:textId="77777777" w:rsidR="00936FB9" w:rsidRPr="003E2EB9" w:rsidRDefault="00000000" w:rsidP="007513D1">
            <w:pPr>
              <w:spacing w:line="276" w:lineRule="auto"/>
              <w:rPr>
                <w:szCs w:val="24"/>
              </w:rPr>
            </w:pPr>
            <w:r w:rsidRPr="003E2EB9">
              <w:rPr>
                <w:rFonts w:eastAsia="Times New Roman"/>
                <w:szCs w:val="24"/>
              </w:rPr>
              <w:t>Identified design and construction defects as significant factors influencing residential building maintenance outcomes in Nigeria</w:t>
            </w:r>
          </w:p>
        </w:tc>
      </w:tr>
      <w:tr w:rsidR="00936FB9" w:rsidRPr="003E2EB9" w14:paraId="0520FAF3" w14:textId="77777777" w:rsidTr="00F67839">
        <w:tc>
          <w:tcPr>
            <w:tcW w:w="2160" w:type="dxa"/>
          </w:tcPr>
          <w:p w14:paraId="7F975A1A" w14:textId="77777777" w:rsidR="00936FB9" w:rsidRPr="003E2EB9" w:rsidRDefault="00000000" w:rsidP="003E2EB9">
            <w:pPr>
              <w:spacing w:line="276" w:lineRule="auto"/>
              <w:jc w:val="left"/>
              <w:rPr>
                <w:szCs w:val="24"/>
              </w:rPr>
            </w:pPr>
            <w:r w:rsidRPr="003E2EB9">
              <w:rPr>
                <w:rFonts w:eastAsia="Times New Roman"/>
                <w:szCs w:val="24"/>
              </w:rPr>
              <w:t>Kampamba &amp; Kachepa, 2019</w:t>
            </w:r>
          </w:p>
        </w:tc>
        <w:tc>
          <w:tcPr>
            <w:tcW w:w="6640" w:type="dxa"/>
          </w:tcPr>
          <w:p w14:paraId="6C68A223" w14:textId="77777777" w:rsidR="00936FB9" w:rsidRPr="003E2EB9" w:rsidRDefault="00000000" w:rsidP="007513D1">
            <w:pPr>
              <w:spacing w:line="276" w:lineRule="auto"/>
              <w:rPr>
                <w:szCs w:val="24"/>
              </w:rPr>
            </w:pPr>
            <w:r w:rsidRPr="003E2EB9">
              <w:rPr>
                <w:rFonts w:eastAsia="Times New Roman"/>
                <w:szCs w:val="24"/>
              </w:rPr>
              <w:t>Assessed design deficiencies contributing to property maintenance challenges in high-rise buildings</w:t>
            </w:r>
          </w:p>
        </w:tc>
      </w:tr>
      <w:tr w:rsidR="00936FB9" w:rsidRPr="003E2EB9" w14:paraId="200468FA" w14:textId="77777777" w:rsidTr="00F67839">
        <w:tc>
          <w:tcPr>
            <w:tcW w:w="2160" w:type="dxa"/>
          </w:tcPr>
          <w:p w14:paraId="5D47F4D9" w14:textId="77777777" w:rsidR="00936FB9" w:rsidRPr="003E2EB9" w:rsidRDefault="00000000" w:rsidP="003E2EB9">
            <w:pPr>
              <w:spacing w:line="276" w:lineRule="auto"/>
              <w:jc w:val="left"/>
              <w:rPr>
                <w:szCs w:val="24"/>
              </w:rPr>
            </w:pPr>
            <w:r w:rsidRPr="003E2EB9">
              <w:rPr>
                <w:rFonts w:eastAsia="Times New Roman"/>
                <w:szCs w:val="24"/>
              </w:rPr>
              <w:t>Oke et al., 2025</w:t>
            </w:r>
          </w:p>
        </w:tc>
        <w:tc>
          <w:tcPr>
            <w:tcW w:w="6640" w:type="dxa"/>
          </w:tcPr>
          <w:p w14:paraId="2C8907FE" w14:textId="77777777" w:rsidR="00936FB9" w:rsidRPr="003E2EB9" w:rsidRDefault="00000000" w:rsidP="007513D1">
            <w:pPr>
              <w:spacing w:line="276" w:lineRule="auto"/>
              <w:rPr>
                <w:szCs w:val="24"/>
              </w:rPr>
            </w:pPr>
            <w:r w:rsidRPr="003E2EB9">
              <w:rPr>
                <w:rFonts w:eastAsia="Times New Roman"/>
                <w:szCs w:val="24"/>
              </w:rPr>
              <w:t>Found that unresponsive design concepts and environmental hazards aggravated building defects</w:t>
            </w:r>
          </w:p>
        </w:tc>
      </w:tr>
      <w:tr w:rsidR="00936FB9" w:rsidRPr="003E2EB9" w14:paraId="3E5E6C52" w14:textId="77777777" w:rsidTr="00F67839">
        <w:tc>
          <w:tcPr>
            <w:tcW w:w="2160" w:type="dxa"/>
          </w:tcPr>
          <w:p w14:paraId="643C0028" w14:textId="77777777" w:rsidR="00936FB9" w:rsidRPr="003E2EB9" w:rsidRDefault="00000000" w:rsidP="003E2EB9">
            <w:pPr>
              <w:spacing w:line="276" w:lineRule="auto"/>
              <w:jc w:val="left"/>
              <w:rPr>
                <w:szCs w:val="24"/>
              </w:rPr>
            </w:pPr>
            <w:r w:rsidRPr="003E2EB9">
              <w:rPr>
                <w:rFonts w:eastAsia="Times New Roman"/>
                <w:szCs w:val="24"/>
              </w:rPr>
              <w:t>Rashid et al., 2021</w:t>
            </w:r>
          </w:p>
        </w:tc>
        <w:tc>
          <w:tcPr>
            <w:tcW w:w="6640" w:type="dxa"/>
          </w:tcPr>
          <w:p w14:paraId="6CDEE75B" w14:textId="77777777" w:rsidR="00936FB9" w:rsidRPr="003E2EB9" w:rsidRDefault="00000000" w:rsidP="007513D1">
            <w:pPr>
              <w:spacing w:line="276" w:lineRule="auto"/>
              <w:rPr>
                <w:szCs w:val="24"/>
              </w:rPr>
            </w:pPr>
            <w:r w:rsidRPr="003E2EB9">
              <w:rPr>
                <w:rFonts w:eastAsia="Times New Roman"/>
                <w:szCs w:val="24"/>
              </w:rPr>
              <w:t>Developed a maintenance framework addressing design-phase deficiencies in Malaysian housing</w:t>
            </w:r>
          </w:p>
        </w:tc>
      </w:tr>
      <w:tr w:rsidR="00936FB9" w:rsidRPr="003E2EB9" w14:paraId="58E642D6" w14:textId="77777777" w:rsidTr="00F67839">
        <w:tc>
          <w:tcPr>
            <w:tcW w:w="2160" w:type="dxa"/>
          </w:tcPr>
          <w:p w14:paraId="476E4CBF" w14:textId="77777777" w:rsidR="00936FB9" w:rsidRPr="003E2EB9" w:rsidRDefault="00000000" w:rsidP="003E2EB9">
            <w:pPr>
              <w:spacing w:line="276" w:lineRule="auto"/>
              <w:jc w:val="left"/>
              <w:rPr>
                <w:szCs w:val="24"/>
              </w:rPr>
            </w:pPr>
            <w:r w:rsidRPr="003E2EB9">
              <w:rPr>
                <w:rFonts w:eastAsia="Times New Roman"/>
                <w:szCs w:val="24"/>
              </w:rPr>
              <w:t>Ugochukwu &amp; Olusanjo, 2020</w:t>
            </w:r>
          </w:p>
        </w:tc>
        <w:tc>
          <w:tcPr>
            <w:tcW w:w="6640" w:type="dxa"/>
          </w:tcPr>
          <w:p w14:paraId="6D8315BF" w14:textId="77777777" w:rsidR="00936FB9" w:rsidRPr="003E2EB9" w:rsidRDefault="00000000" w:rsidP="007513D1">
            <w:pPr>
              <w:spacing w:line="276" w:lineRule="auto"/>
              <w:rPr>
                <w:szCs w:val="24"/>
              </w:rPr>
            </w:pPr>
            <w:r w:rsidRPr="003E2EB9">
              <w:rPr>
                <w:rFonts w:eastAsia="Times New Roman"/>
                <w:szCs w:val="24"/>
              </w:rPr>
              <w:t>Identified poor workmanship and substandard materials as major technical factors affecting maintenance</w:t>
            </w:r>
          </w:p>
        </w:tc>
      </w:tr>
      <w:tr w:rsidR="00936FB9" w:rsidRPr="003E2EB9" w14:paraId="16CF4687" w14:textId="77777777" w:rsidTr="00F67839">
        <w:tc>
          <w:tcPr>
            <w:tcW w:w="2160" w:type="dxa"/>
          </w:tcPr>
          <w:p w14:paraId="149EEEBA" w14:textId="77777777" w:rsidR="00936FB9" w:rsidRPr="003E2EB9" w:rsidRDefault="00000000" w:rsidP="003E2EB9">
            <w:pPr>
              <w:spacing w:line="276" w:lineRule="auto"/>
              <w:jc w:val="left"/>
              <w:rPr>
                <w:szCs w:val="24"/>
              </w:rPr>
            </w:pPr>
            <w:r w:rsidRPr="003E2EB9">
              <w:rPr>
                <w:rFonts w:eastAsia="Times New Roman"/>
                <w:szCs w:val="24"/>
              </w:rPr>
              <w:t>Ebiloma et al., 2023</w:t>
            </w:r>
          </w:p>
        </w:tc>
        <w:tc>
          <w:tcPr>
            <w:tcW w:w="6640" w:type="dxa"/>
          </w:tcPr>
          <w:p w14:paraId="30390706" w14:textId="77777777" w:rsidR="00936FB9" w:rsidRPr="003E2EB9" w:rsidRDefault="00000000" w:rsidP="007513D1">
            <w:pPr>
              <w:spacing w:line="276" w:lineRule="auto"/>
              <w:rPr>
                <w:szCs w:val="24"/>
              </w:rPr>
            </w:pPr>
            <w:r w:rsidRPr="003E2EB9">
              <w:rPr>
                <w:rFonts w:eastAsia="Times New Roman"/>
                <w:szCs w:val="24"/>
              </w:rPr>
              <w:t>Identified low levels of maintenance documentation as a major factor contributing to inefficient maintenance management in Nigerian buildings</w:t>
            </w:r>
          </w:p>
        </w:tc>
      </w:tr>
    </w:tbl>
    <w:p w14:paraId="0233535D" w14:textId="77777777" w:rsidR="00936FB9" w:rsidRDefault="00000000" w:rsidP="007513D1">
      <w:pPr>
        <w:pStyle w:val="Heading3"/>
        <w:spacing w:line="276" w:lineRule="auto"/>
      </w:pPr>
      <w:r>
        <w:rPr>
          <w:rFonts w:eastAsia="Times New Roman"/>
        </w:rPr>
        <w:t>3.2.5 Socio-Cultural Barriers</w:t>
      </w:r>
    </w:p>
    <w:p w14:paraId="258ED901" w14:textId="1CCDACF6" w:rsidR="00F67839" w:rsidRDefault="00A712B4" w:rsidP="003E2EB9">
      <w:pPr>
        <w:spacing w:after="120" w:line="276" w:lineRule="auto"/>
        <w:rPr>
          <w:rFonts w:eastAsia="Times New Roman"/>
        </w:rPr>
      </w:pPr>
      <w:r w:rsidRPr="00A712B4">
        <w:rPr>
          <w:rFonts w:eastAsia="Times New Roman"/>
        </w:rPr>
        <w:t>The fifth cluster, reported in 19 of 36 studies (53 percent), captures the socio-cultural dimensions of maintenance failure. Evidence that directly ties socio-cultural barriers to performance outcomes is available from 10 studies (</w:t>
      </w:r>
      <w:r w:rsidRPr="00A712B4">
        <w:rPr>
          <w:rFonts w:eastAsia="Times New Roman"/>
          <w:i/>
          <w:iCs/>
        </w:rPr>
        <w:t>Table 7</w:t>
      </w:r>
      <w:r w:rsidRPr="00A712B4">
        <w:rPr>
          <w:rFonts w:eastAsia="Times New Roman"/>
        </w:rPr>
        <w:t xml:space="preserve">). </w:t>
      </w:r>
      <w:r w:rsidR="00000000">
        <w:rPr>
          <w:rFonts w:eastAsia="Times New Roman"/>
        </w:rPr>
        <w:t xml:space="preserve">Sub-themes include a poor maintenance culture characterised by reactive rather than proactive attitudes (17 studies), resistance to paying service charges driven by a lack of trust in management (12 studies), and inadequate awareness of residents’ rights and obligations under strata or condominium law (10 studies). </w:t>
      </w:r>
    </w:p>
    <w:p w14:paraId="329BF212" w14:textId="77777777" w:rsidR="00F67839" w:rsidRDefault="00000000" w:rsidP="003E2EB9">
      <w:pPr>
        <w:spacing w:after="120" w:line="276" w:lineRule="auto"/>
        <w:rPr>
          <w:rFonts w:eastAsia="Times New Roman"/>
        </w:rPr>
      </w:pPr>
      <w:r>
        <w:rPr>
          <w:rFonts w:eastAsia="Times New Roman"/>
        </w:rPr>
        <w:t xml:space="preserve">Akinola et al. (2020) found that the concept of a sinking fund, standard in Malaysian strata management, was unfamiliar to 78 percent of residents in Lagos high-rise buildings. This cultural gap means that even well-designed financial mechanisms fail at the point of </w:t>
      </w:r>
      <w:r>
        <w:rPr>
          <w:rFonts w:eastAsia="Times New Roman"/>
        </w:rPr>
        <w:lastRenderedPageBreak/>
        <w:t xml:space="preserve">implementation, because residents do not understand or accept their responsibility to contribute. Ogungbemi (2021) noted that the dominant maintenance approach in Nigeria is corrective, responding only after failure occurs, rather than preventive, which addresses deterioration before it becomes critical. Oladokun &amp; Ogunbiyi (2019) found that this reactive orientation is deeply embedded in both institutional norms and individual behaviour, making it resistant to policy interventions that focus solely on technical or financial solutions. </w:t>
      </w:r>
    </w:p>
    <w:p w14:paraId="0611CE89" w14:textId="7427B6C7" w:rsidR="00936FB9" w:rsidRDefault="00000000" w:rsidP="003E2EB9">
      <w:pPr>
        <w:spacing w:after="120" w:line="276" w:lineRule="auto"/>
      </w:pPr>
      <w:proofErr w:type="spellStart"/>
      <w:r>
        <w:rPr>
          <w:rFonts w:eastAsia="Times New Roman"/>
        </w:rPr>
        <w:t>Ebekozien</w:t>
      </w:r>
      <w:proofErr w:type="spellEnd"/>
      <w:r>
        <w:rPr>
          <w:rFonts w:eastAsia="Times New Roman"/>
        </w:rPr>
        <w:t xml:space="preserve"> et al. (2021) assessed current maintenance practices in Nigerian public hospital buildings, finding that poor maintenance culture was a persistent impediment to effective upkeep. Wahab &amp; Sairi (2015) and Ogunbayo et al. (2022) confirmed that socio-cultural factors and institutional inertia are dominant challenges in developing countries generally. Zawawi et al. (2023) highlighted occupant behaviour and awareness deficits as challenges in strata maintenance, further underscoring that socio-cultural barriers to effective maintenance are not unique to Nigeria but are a shared feature of developing-country contexts.</w:t>
      </w:r>
    </w:p>
    <w:p w14:paraId="742D16A4" w14:textId="0E7C74A0" w:rsidR="00936FB9" w:rsidRPr="003E2EB9" w:rsidRDefault="00000000" w:rsidP="003E2EB9">
      <w:pPr>
        <w:spacing w:before="240" w:after="120" w:line="276" w:lineRule="auto"/>
        <w:rPr>
          <w:szCs w:val="24"/>
        </w:rPr>
      </w:pPr>
      <w:r w:rsidRPr="003E2EB9">
        <w:rPr>
          <w:rFonts w:eastAsia="Times New Roman"/>
          <w:b/>
          <w:szCs w:val="24"/>
        </w:rPr>
        <w:t xml:space="preserve">Table </w:t>
      </w:r>
      <w:r w:rsidR="00BE7C95">
        <w:rPr>
          <w:rFonts w:eastAsia="Times New Roman"/>
          <w:b/>
          <w:szCs w:val="24"/>
        </w:rPr>
        <w:t>7</w:t>
      </w:r>
      <w:r w:rsidR="003E2EB9">
        <w:rPr>
          <w:rFonts w:eastAsia="Times New Roman"/>
          <w:b/>
          <w:szCs w:val="24"/>
        </w:rPr>
        <w:t>:</w:t>
      </w:r>
      <w:r w:rsidRPr="003E2EB9">
        <w:rPr>
          <w:rFonts w:eastAsia="Times New Roman"/>
          <w:b/>
          <w:szCs w:val="24"/>
        </w:rPr>
        <w:t xml:space="preserve"> Studies Contributing to the Socio-Cultural Barriers Theme</w:t>
      </w:r>
    </w:p>
    <w:tbl>
      <w:tblPr>
        <w:tblStyle w:val="TableGrid"/>
        <w:tblW w:w="5000" w:type="pct"/>
        <w:tblLook w:val="04A0" w:firstRow="1" w:lastRow="0" w:firstColumn="1" w:lastColumn="0" w:noHBand="0" w:noVBand="1"/>
      </w:tblPr>
      <w:tblGrid>
        <w:gridCol w:w="1773"/>
        <w:gridCol w:w="7005"/>
      </w:tblGrid>
      <w:tr w:rsidR="00936FB9" w:rsidRPr="003E2EB9" w14:paraId="1995538D" w14:textId="77777777" w:rsidTr="00F67839">
        <w:tc>
          <w:tcPr>
            <w:tcW w:w="1010" w:type="pct"/>
          </w:tcPr>
          <w:p w14:paraId="00CA7D3F" w14:textId="77777777" w:rsidR="00936FB9" w:rsidRPr="003E2EB9" w:rsidRDefault="00000000" w:rsidP="003E2EB9">
            <w:pPr>
              <w:spacing w:line="276" w:lineRule="auto"/>
              <w:jc w:val="left"/>
              <w:rPr>
                <w:szCs w:val="24"/>
              </w:rPr>
            </w:pPr>
            <w:r w:rsidRPr="003E2EB9">
              <w:rPr>
                <w:rFonts w:eastAsia="Times New Roman"/>
                <w:b/>
                <w:szCs w:val="24"/>
              </w:rPr>
              <w:t>Study</w:t>
            </w:r>
          </w:p>
        </w:tc>
        <w:tc>
          <w:tcPr>
            <w:tcW w:w="3990" w:type="pct"/>
          </w:tcPr>
          <w:p w14:paraId="73337ED3" w14:textId="77777777" w:rsidR="00936FB9" w:rsidRPr="003E2EB9" w:rsidRDefault="00000000" w:rsidP="007513D1">
            <w:pPr>
              <w:spacing w:line="276" w:lineRule="auto"/>
              <w:jc w:val="center"/>
              <w:rPr>
                <w:szCs w:val="24"/>
              </w:rPr>
            </w:pPr>
            <w:r w:rsidRPr="003E2EB9">
              <w:rPr>
                <w:rFonts w:eastAsia="Times New Roman"/>
                <w:b/>
                <w:szCs w:val="24"/>
              </w:rPr>
              <w:t>Contribution</w:t>
            </w:r>
          </w:p>
        </w:tc>
      </w:tr>
      <w:tr w:rsidR="00936FB9" w:rsidRPr="003E2EB9" w14:paraId="4DE3A033" w14:textId="77777777" w:rsidTr="00F67839">
        <w:tc>
          <w:tcPr>
            <w:tcW w:w="1010" w:type="pct"/>
          </w:tcPr>
          <w:p w14:paraId="10B300A6" w14:textId="77777777" w:rsidR="00936FB9" w:rsidRPr="003E2EB9" w:rsidRDefault="00000000" w:rsidP="003E2EB9">
            <w:pPr>
              <w:spacing w:line="276" w:lineRule="auto"/>
              <w:jc w:val="left"/>
              <w:rPr>
                <w:szCs w:val="24"/>
              </w:rPr>
            </w:pPr>
            <w:r w:rsidRPr="003E2EB9">
              <w:rPr>
                <w:rFonts w:eastAsia="Times New Roman"/>
                <w:szCs w:val="24"/>
              </w:rPr>
              <w:t>Aduwo &amp; Ibem, 2020</w:t>
            </w:r>
          </w:p>
        </w:tc>
        <w:tc>
          <w:tcPr>
            <w:tcW w:w="3990" w:type="pct"/>
          </w:tcPr>
          <w:p w14:paraId="3E2C8B2A" w14:textId="77777777" w:rsidR="00936FB9" w:rsidRPr="003E2EB9" w:rsidRDefault="00000000" w:rsidP="007513D1">
            <w:pPr>
              <w:spacing w:line="276" w:lineRule="auto"/>
              <w:rPr>
                <w:szCs w:val="24"/>
              </w:rPr>
            </w:pPr>
            <w:r w:rsidRPr="003E2EB9">
              <w:rPr>
                <w:rFonts w:eastAsia="Times New Roman"/>
                <w:szCs w:val="24"/>
              </w:rPr>
              <w:t>Reported that a poor maintenance culture reduced resident satisfaction in public housing</w:t>
            </w:r>
          </w:p>
        </w:tc>
      </w:tr>
      <w:tr w:rsidR="00936FB9" w:rsidRPr="003E2EB9" w14:paraId="74EDAD8B" w14:textId="77777777" w:rsidTr="00F67839">
        <w:tc>
          <w:tcPr>
            <w:tcW w:w="1010" w:type="pct"/>
          </w:tcPr>
          <w:p w14:paraId="3085AB7B" w14:textId="77777777" w:rsidR="00936FB9" w:rsidRPr="003E2EB9" w:rsidRDefault="00000000" w:rsidP="003E2EB9">
            <w:pPr>
              <w:spacing w:line="276" w:lineRule="auto"/>
              <w:jc w:val="left"/>
              <w:rPr>
                <w:szCs w:val="24"/>
              </w:rPr>
            </w:pPr>
            <w:r w:rsidRPr="003E2EB9">
              <w:rPr>
                <w:rFonts w:eastAsia="Times New Roman"/>
                <w:szCs w:val="24"/>
              </w:rPr>
              <w:t>Akinola et al., 2020</w:t>
            </w:r>
          </w:p>
        </w:tc>
        <w:tc>
          <w:tcPr>
            <w:tcW w:w="3990" w:type="pct"/>
          </w:tcPr>
          <w:p w14:paraId="13105731" w14:textId="77777777" w:rsidR="00936FB9" w:rsidRPr="003E2EB9" w:rsidRDefault="00000000" w:rsidP="007513D1">
            <w:pPr>
              <w:spacing w:line="276" w:lineRule="auto"/>
              <w:rPr>
                <w:szCs w:val="24"/>
              </w:rPr>
            </w:pPr>
            <w:r w:rsidRPr="003E2EB9">
              <w:rPr>
                <w:rFonts w:eastAsia="Times New Roman"/>
                <w:szCs w:val="24"/>
              </w:rPr>
              <w:t>Found that 78% of residents in Lagos high-rise buildings were unfamiliar with the concept of a sinking fund</w:t>
            </w:r>
          </w:p>
        </w:tc>
      </w:tr>
      <w:tr w:rsidR="00936FB9" w:rsidRPr="003E2EB9" w14:paraId="692B3686" w14:textId="77777777" w:rsidTr="00F67839">
        <w:tc>
          <w:tcPr>
            <w:tcW w:w="1010" w:type="pct"/>
          </w:tcPr>
          <w:p w14:paraId="5D2796EB" w14:textId="77777777" w:rsidR="00936FB9" w:rsidRPr="003E2EB9" w:rsidRDefault="00000000" w:rsidP="003E2EB9">
            <w:pPr>
              <w:spacing w:line="276" w:lineRule="auto"/>
              <w:jc w:val="left"/>
              <w:rPr>
                <w:szCs w:val="24"/>
              </w:rPr>
            </w:pPr>
            <w:r w:rsidRPr="003E2EB9">
              <w:rPr>
                <w:rFonts w:eastAsia="Times New Roman"/>
                <w:szCs w:val="24"/>
              </w:rPr>
              <w:t>Aliyu &amp; Bello, 2022</w:t>
            </w:r>
          </w:p>
        </w:tc>
        <w:tc>
          <w:tcPr>
            <w:tcW w:w="3990" w:type="pct"/>
          </w:tcPr>
          <w:p w14:paraId="52D5A517" w14:textId="77777777" w:rsidR="00936FB9" w:rsidRPr="003E2EB9" w:rsidRDefault="00000000" w:rsidP="007513D1">
            <w:pPr>
              <w:spacing w:line="276" w:lineRule="auto"/>
              <w:rPr>
                <w:szCs w:val="24"/>
              </w:rPr>
            </w:pPr>
            <w:r w:rsidRPr="003E2EB9">
              <w:rPr>
                <w:rFonts w:eastAsia="Times New Roman"/>
                <w:szCs w:val="24"/>
              </w:rPr>
              <w:t>Documented resistance to paying service charges driven by lack of trust in building management</w:t>
            </w:r>
          </w:p>
        </w:tc>
      </w:tr>
      <w:tr w:rsidR="00936FB9" w:rsidRPr="003E2EB9" w14:paraId="4E829B88" w14:textId="77777777" w:rsidTr="00F67839">
        <w:tc>
          <w:tcPr>
            <w:tcW w:w="1010" w:type="pct"/>
          </w:tcPr>
          <w:p w14:paraId="39D7A459" w14:textId="77777777" w:rsidR="00936FB9" w:rsidRPr="003E2EB9" w:rsidRDefault="00000000" w:rsidP="003E2EB9">
            <w:pPr>
              <w:spacing w:line="276" w:lineRule="auto"/>
              <w:jc w:val="left"/>
              <w:rPr>
                <w:szCs w:val="24"/>
              </w:rPr>
            </w:pPr>
            <w:r w:rsidRPr="003E2EB9">
              <w:rPr>
                <w:rFonts w:eastAsia="Times New Roman"/>
                <w:szCs w:val="24"/>
              </w:rPr>
              <w:t>Folorunso &amp; Izobo-Martins, 2015</w:t>
            </w:r>
          </w:p>
        </w:tc>
        <w:tc>
          <w:tcPr>
            <w:tcW w:w="3990" w:type="pct"/>
          </w:tcPr>
          <w:p w14:paraId="20C8B2DD" w14:textId="77777777" w:rsidR="00936FB9" w:rsidRPr="003E2EB9" w:rsidRDefault="00000000" w:rsidP="007513D1">
            <w:pPr>
              <w:spacing w:line="276" w:lineRule="auto"/>
              <w:rPr>
                <w:szCs w:val="24"/>
              </w:rPr>
            </w:pPr>
            <w:r w:rsidRPr="003E2EB9">
              <w:rPr>
                <w:rFonts w:eastAsia="Times New Roman"/>
                <w:szCs w:val="24"/>
              </w:rPr>
              <w:t>Reported that multi-owner buildings suffer from collective action problems in maintenance decisions</w:t>
            </w:r>
          </w:p>
        </w:tc>
      </w:tr>
      <w:tr w:rsidR="00936FB9" w:rsidRPr="003E2EB9" w14:paraId="6B87D461" w14:textId="77777777" w:rsidTr="00F67839">
        <w:tc>
          <w:tcPr>
            <w:tcW w:w="1010" w:type="pct"/>
          </w:tcPr>
          <w:p w14:paraId="039582AE" w14:textId="77777777" w:rsidR="00936FB9" w:rsidRPr="003E2EB9" w:rsidRDefault="00000000" w:rsidP="003E2EB9">
            <w:pPr>
              <w:spacing w:line="276" w:lineRule="auto"/>
              <w:jc w:val="left"/>
              <w:rPr>
                <w:szCs w:val="24"/>
              </w:rPr>
            </w:pPr>
            <w:r w:rsidRPr="003E2EB9">
              <w:rPr>
                <w:rFonts w:eastAsia="Times New Roman"/>
                <w:szCs w:val="24"/>
              </w:rPr>
              <w:t>Ogunbayo et al., 2022</w:t>
            </w:r>
          </w:p>
        </w:tc>
        <w:tc>
          <w:tcPr>
            <w:tcW w:w="3990" w:type="pct"/>
          </w:tcPr>
          <w:p w14:paraId="19C311A0" w14:textId="77777777" w:rsidR="00936FB9" w:rsidRPr="003E2EB9" w:rsidRDefault="00000000" w:rsidP="007513D1">
            <w:pPr>
              <w:spacing w:line="276" w:lineRule="auto"/>
              <w:rPr>
                <w:szCs w:val="24"/>
              </w:rPr>
            </w:pPr>
            <w:r w:rsidRPr="003E2EB9">
              <w:rPr>
                <w:rFonts w:eastAsia="Times New Roman"/>
                <w:szCs w:val="24"/>
              </w:rPr>
              <w:t>Reviewed the role of maintenance culture in developing countries and identified cultural barriers</w:t>
            </w:r>
          </w:p>
        </w:tc>
      </w:tr>
      <w:tr w:rsidR="00936FB9" w:rsidRPr="003E2EB9" w14:paraId="65CFAFA6" w14:textId="77777777" w:rsidTr="00F67839">
        <w:tc>
          <w:tcPr>
            <w:tcW w:w="1010" w:type="pct"/>
          </w:tcPr>
          <w:p w14:paraId="54EB825A" w14:textId="77777777" w:rsidR="00936FB9" w:rsidRPr="003E2EB9" w:rsidRDefault="00000000" w:rsidP="003E2EB9">
            <w:pPr>
              <w:spacing w:line="276" w:lineRule="auto"/>
              <w:jc w:val="left"/>
              <w:rPr>
                <w:szCs w:val="24"/>
              </w:rPr>
            </w:pPr>
            <w:r w:rsidRPr="003E2EB9">
              <w:rPr>
                <w:rFonts w:eastAsia="Times New Roman"/>
                <w:szCs w:val="24"/>
              </w:rPr>
              <w:t>Ogungbemi, 2021</w:t>
            </w:r>
          </w:p>
        </w:tc>
        <w:tc>
          <w:tcPr>
            <w:tcW w:w="3990" w:type="pct"/>
          </w:tcPr>
          <w:p w14:paraId="69F48CEF" w14:textId="77777777" w:rsidR="00936FB9" w:rsidRPr="003E2EB9" w:rsidRDefault="00000000" w:rsidP="007513D1">
            <w:pPr>
              <w:spacing w:line="276" w:lineRule="auto"/>
              <w:rPr>
                <w:szCs w:val="24"/>
              </w:rPr>
            </w:pPr>
            <w:r w:rsidRPr="003E2EB9">
              <w:rPr>
                <w:rFonts w:eastAsia="Times New Roman"/>
                <w:szCs w:val="24"/>
              </w:rPr>
              <w:t>Noted the dominant corrective rather than preventive maintenance orientation in Nigeria</w:t>
            </w:r>
          </w:p>
        </w:tc>
      </w:tr>
      <w:tr w:rsidR="00936FB9" w:rsidRPr="003E2EB9" w14:paraId="769D0BD5" w14:textId="77777777" w:rsidTr="00F67839">
        <w:tc>
          <w:tcPr>
            <w:tcW w:w="1010" w:type="pct"/>
          </w:tcPr>
          <w:p w14:paraId="6B9252B0" w14:textId="77777777" w:rsidR="00936FB9" w:rsidRPr="003E2EB9" w:rsidRDefault="00000000" w:rsidP="003E2EB9">
            <w:pPr>
              <w:spacing w:line="276" w:lineRule="auto"/>
              <w:jc w:val="left"/>
              <w:rPr>
                <w:szCs w:val="24"/>
              </w:rPr>
            </w:pPr>
            <w:r w:rsidRPr="003E2EB9">
              <w:rPr>
                <w:rFonts w:eastAsia="Times New Roman"/>
                <w:szCs w:val="24"/>
              </w:rPr>
              <w:t>Oladokun &amp; Ogunbiyi, 2019</w:t>
            </w:r>
          </w:p>
        </w:tc>
        <w:tc>
          <w:tcPr>
            <w:tcW w:w="3990" w:type="pct"/>
          </w:tcPr>
          <w:p w14:paraId="677B0C8B" w14:textId="77777777" w:rsidR="00936FB9" w:rsidRPr="003E2EB9" w:rsidRDefault="00000000" w:rsidP="007513D1">
            <w:pPr>
              <w:spacing w:line="276" w:lineRule="auto"/>
              <w:rPr>
                <w:szCs w:val="24"/>
              </w:rPr>
            </w:pPr>
            <w:r w:rsidRPr="003E2EB9">
              <w:rPr>
                <w:rFonts w:eastAsia="Times New Roman"/>
                <w:szCs w:val="24"/>
              </w:rPr>
              <w:t>Found that reactive maintenance culture was deeply embedded in institutional and individual behaviour</w:t>
            </w:r>
          </w:p>
        </w:tc>
      </w:tr>
      <w:tr w:rsidR="00936FB9" w:rsidRPr="003E2EB9" w14:paraId="262FA315" w14:textId="77777777" w:rsidTr="00F67839">
        <w:tc>
          <w:tcPr>
            <w:tcW w:w="1010" w:type="pct"/>
          </w:tcPr>
          <w:p w14:paraId="01DBD455" w14:textId="77777777" w:rsidR="00936FB9" w:rsidRPr="003E2EB9" w:rsidRDefault="00000000" w:rsidP="003E2EB9">
            <w:pPr>
              <w:spacing w:line="276" w:lineRule="auto"/>
              <w:jc w:val="left"/>
              <w:rPr>
                <w:szCs w:val="24"/>
              </w:rPr>
            </w:pPr>
            <w:r w:rsidRPr="003E2EB9">
              <w:rPr>
                <w:rFonts w:eastAsia="Times New Roman"/>
                <w:szCs w:val="24"/>
              </w:rPr>
              <w:t>Ebekozien et al., 2021</w:t>
            </w:r>
          </w:p>
        </w:tc>
        <w:tc>
          <w:tcPr>
            <w:tcW w:w="3990" w:type="pct"/>
          </w:tcPr>
          <w:p w14:paraId="696D6E5C" w14:textId="77777777" w:rsidR="00936FB9" w:rsidRPr="003E2EB9" w:rsidRDefault="00000000" w:rsidP="007513D1">
            <w:pPr>
              <w:spacing w:line="276" w:lineRule="auto"/>
              <w:rPr>
                <w:szCs w:val="24"/>
              </w:rPr>
            </w:pPr>
            <w:r w:rsidRPr="003E2EB9">
              <w:rPr>
                <w:rFonts w:eastAsia="Times New Roman"/>
                <w:szCs w:val="24"/>
              </w:rPr>
              <w:t>Assessed current maintenance practices in Nigerian public buildings and identified poor maintenance culture as a persistent impediment to effective upkeep</w:t>
            </w:r>
          </w:p>
        </w:tc>
      </w:tr>
      <w:tr w:rsidR="00936FB9" w:rsidRPr="003E2EB9" w14:paraId="298E98E8" w14:textId="77777777" w:rsidTr="00F67839">
        <w:tc>
          <w:tcPr>
            <w:tcW w:w="1010" w:type="pct"/>
          </w:tcPr>
          <w:p w14:paraId="0C901714" w14:textId="77777777" w:rsidR="00936FB9" w:rsidRPr="003E2EB9" w:rsidRDefault="00000000" w:rsidP="003E2EB9">
            <w:pPr>
              <w:spacing w:line="276" w:lineRule="auto"/>
              <w:jc w:val="left"/>
              <w:rPr>
                <w:szCs w:val="24"/>
              </w:rPr>
            </w:pPr>
            <w:r w:rsidRPr="003E2EB9">
              <w:rPr>
                <w:rFonts w:eastAsia="Times New Roman"/>
                <w:szCs w:val="24"/>
              </w:rPr>
              <w:t>Wahab &amp; Sairi, 2015</w:t>
            </w:r>
          </w:p>
        </w:tc>
        <w:tc>
          <w:tcPr>
            <w:tcW w:w="3990" w:type="pct"/>
          </w:tcPr>
          <w:p w14:paraId="0ED20175" w14:textId="77777777" w:rsidR="00936FB9" w:rsidRPr="003E2EB9" w:rsidRDefault="00000000" w:rsidP="007513D1">
            <w:pPr>
              <w:spacing w:line="276" w:lineRule="auto"/>
              <w:rPr>
                <w:szCs w:val="24"/>
              </w:rPr>
            </w:pPr>
            <w:r w:rsidRPr="003E2EB9">
              <w:rPr>
                <w:rFonts w:eastAsia="Times New Roman"/>
                <w:szCs w:val="24"/>
              </w:rPr>
              <w:t>Identified socio-cultural factors affecting maintenance management in Malaysian high-rise buildings</w:t>
            </w:r>
          </w:p>
        </w:tc>
      </w:tr>
      <w:tr w:rsidR="00936FB9" w:rsidRPr="003E2EB9" w14:paraId="650F004C" w14:textId="77777777" w:rsidTr="00F67839">
        <w:tc>
          <w:tcPr>
            <w:tcW w:w="1010" w:type="pct"/>
          </w:tcPr>
          <w:p w14:paraId="5E8CC6FC" w14:textId="77777777" w:rsidR="00936FB9" w:rsidRPr="003E2EB9" w:rsidRDefault="00000000" w:rsidP="003E2EB9">
            <w:pPr>
              <w:spacing w:line="276" w:lineRule="auto"/>
              <w:jc w:val="left"/>
              <w:rPr>
                <w:szCs w:val="24"/>
              </w:rPr>
            </w:pPr>
            <w:r w:rsidRPr="003E2EB9">
              <w:rPr>
                <w:rFonts w:eastAsia="Times New Roman"/>
                <w:szCs w:val="24"/>
              </w:rPr>
              <w:t>Zawawi et al., 2023</w:t>
            </w:r>
          </w:p>
        </w:tc>
        <w:tc>
          <w:tcPr>
            <w:tcW w:w="3990" w:type="pct"/>
          </w:tcPr>
          <w:p w14:paraId="59BA8F0E" w14:textId="77777777" w:rsidR="00936FB9" w:rsidRPr="003E2EB9" w:rsidRDefault="00000000" w:rsidP="007513D1">
            <w:pPr>
              <w:spacing w:line="276" w:lineRule="auto"/>
              <w:rPr>
                <w:szCs w:val="24"/>
              </w:rPr>
            </w:pPr>
            <w:r w:rsidRPr="003E2EB9">
              <w:rPr>
                <w:rFonts w:eastAsia="Times New Roman"/>
                <w:szCs w:val="24"/>
              </w:rPr>
              <w:t>Highlighted occupant behaviour and awareness deficits as challenges in strata maintenance</w:t>
            </w:r>
          </w:p>
        </w:tc>
      </w:tr>
    </w:tbl>
    <w:p w14:paraId="7BEBA677" w14:textId="77777777" w:rsidR="00936FB9" w:rsidRDefault="00000000" w:rsidP="007513D1">
      <w:pPr>
        <w:pStyle w:val="Heading2"/>
      </w:pPr>
      <w:r>
        <w:t>3.3 Maintenance Performance Indicators</w:t>
      </w:r>
    </w:p>
    <w:p w14:paraId="284890E8" w14:textId="77777777" w:rsidR="00F67839" w:rsidRDefault="00000000" w:rsidP="003E2EB9">
      <w:pPr>
        <w:spacing w:after="120" w:line="276" w:lineRule="auto"/>
        <w:rPr>
          <w:rFonts w:eastAsia="Times New Roman"/>
        </w:rPr>
      </w:pPr>
      <w:r>
        <w:rPr>
          <w:rFonts w:eastAsia="Times New Roman"/>
        </w:rPr>
        <w:t xml:space="preserve">The included studies employ a range of maintenance performance indicators, which can be grouped into three categories. Cost indicators include cost variance (actual versus planned </w:t>
      </w:r>
      <w:r>
        <w:rPr>
          <w:rFonts w:eastAsia="Times New Roman"/>
        </w:rPr>
        <w:lastRenderedPageBreak/>
        <w:t xml:space="preserve">maintenance expenditure), maintenance cost per square metre, and the ratio of corrective to preventive maintenance spending. Effectiveness indicators include equipment effectiveness (ratio of actual to planned maintenance downtime), mean time between failures, and the number of recurring defects. Satisfaction indicators include resident satisfaction with maintenance service quality, response time to maintenance requests, and perceived building condition. </w:t>
      </w:r>
    </w:p>
    <w:p w14:paraId="1A5E289B" w14:textId="1BC9D04B" w:rsidR="00936FB9" w:rsidRDefault="00000000" w:rsidP="003E2EB9">
      <w:pPr>
        <w:spacing w:after="120" w:line="276" w:lineRule="auto"/>
      </w:pPr>
      <w:r>
        <w:rPr>
          <w:rFonts w:eastAsia="Times New Roman"/>
        </w:rPr>
        <w:t>Au-Yong et al. (2023) identified two statistically significant correlations: maintenance budget overrun with cost variance (r = .62, p &lt; .01), and unavailability of spare parts with equipment effectiveness (r = .55, p &lt; .05). Shah et al. (2022) further demonstrated that maintenance characteristics, particularly budget allocation and workforce competence, significantly influence performance outcomes. These findings provide the most direct empirical evidence of problem-performance relationships in the literature reviewed, and they underscore the importance of financial and supply-chain management in determining maintenance outcomes.</w:t>
      </w:r>
    </w:p>
    <w:p w14:paraId="29488213" w14:textId="77777777" w:rsidR="00936FB9" w:rsidRDefault="00000000" w:rsidP="007513D1">
      <w:pPr>
        <w:pStyle w:val="Heading2"/>
      </w:pPr>
      <w:r>
        <w:t>3.4 Thematic Synthesis Matrix</w:t>
      </w:r>
    </w:p>
    <w:p w14:paraId="550E9AB7" w14:textId="571F48C7" w:rsidR="00FA1296" w:rsidRDefault="00FA1296" w:rsidP="003E2EB9">
      <w:pPr>
        <w:spacing w:after="120" w:line="276" w:lineRule="auto"/>
        <w:rPr>
          <w:rFonts w:eastAsia="Times New Roman"/>
        </w:rPr>
      </w:pPr>
      <w:r w:rsidRPr="00FA1296">
        <w:rPr>
          <w:rFonts w:eastAsia="Times New Roman"/>
          <w:i/>
          <w:iCs/>
        </w:rPr>
        <w:t>Table 8</w:t>
      </w:r>
      <w:r w:rsidRPr="00FA1296">
        <w:rPr>
          <w:rFonts w:eastAsia="Times New Roman"/>
        </w:rPr>
        <w:t xml:space="preserve"> presents the thematic synthesis matrix. It maps each problem cluster to the three performance indicator categories, using only those studies that provided explicit evidence of a problem</w:t>
      </w:r>
      <w:r>
        <w:rPr>
          <w:rFonts w:eastAsia="Times New Roman"/>
        </w:rPr>
        <w:t xml:space="preserve"> </w:t>
      </w:r>
      <w:r w:rsidRPr="00FA1296">
        <w:rPr>
          <w:rFonts w:eastAsia="Times New Roman"/>
        </w:rPr>
        <w:t>performance linkage (the same subset counted in Tables 3</w:t>
      </w:r>
      <w:r>
        <w:rPr>
          <w:rFonts w:eastAsia="Times New Roman"/>
        </w:rPr>
        <w:t>-</w:t>
      </w:r>
      <w:r w:rsidRPr="00FA1296">
        <w:rPr>
          <w:rFonts w:eastAsia="Times New Roman"/>
        </w:rPr>
        <w:t xml:space="preserve">7). The matrix thus reflects the density of </w:t>
      </w:r>
      <w:proofErr w:type="spellStart"/>
      <w:r w:rsidRPr="00FA1296">
        <w:rPr>
          <w:rFonts w:eastAsia="Times New Roman"/>
        </w:rPr>
        <w:t>analysable</w:t>
      </w:r>
      <w:proofErr w:type="spellEnd"/>
      <w:r w:rsidRPr="00FA1296">
        <w:rPr>
          <w:rFonts w:eastAsia="Times New Roman"/>
        </w:rPr>
        <w:t xml:space="preserve"> evidence, not the total number of studies that mentioned a problem. The intersection of financial constraints with cost variance and equipment effectiveness represents the most densely populated cell, confirming it as the dominant pathway in the problem</w:t>
      </w:r>
      <w:r>
        <w:rPr>
          <w:rFonts w:eastAsia="Times New Roman"/>
        </w:rPr>
        <w:t xml:space="preserve"> </w:t>
      </w:r>
      <w:r w:rsidRPr="00FA1296">
        <w:rPr>
          <w:rFonts w:eastAsia="Times New Roman"/>
        </w:rPr>
        <w:t>performance relationship for which empirical data are currently available.</w:t>
      </w:r>
    </w:p>
    <w:p w14:paraId="31C142C3" w14:textId="7038DD34" w:rsidR="00936FB9" w:rsidRPr="003E2EB9" w:rsidRDefault="00000000" w:rsidP="003E2EB9">
      <w:pPr>
        <w:spacing w:after="120" w:line="276" w:lineRule="auto"/>
      </w:pPr>
      <w:r w:rsidRPr="003E2EB9">
        <w:rPr>
          <w:rFonts w:eastAsia="Times New Roman"/>
          <w:b/>
          <w:szCs w:val="24"/>
        </w:rPr>
        <w:t xml:space="preserve">Table </w:t>
      </w:r>
      <w:r w:rsidR="00BE7C95">
        <w:rPr>
          <w:rFonts w:eastAsia="Times New Roman"/>
          <w:b/>
          <w:szCs w:val="24"/>
        </w:rPr>
        <w:t>8</w:t>
      </w:r>
      <w:r w:rsidR="003E2EB9" w:rsidRPr="003E2EB9">
        <w:rPr>
          <w:rFonts w:eastAsia="Times New Roman"/>
          <w:b/>
          <w:szCs w:val="24"/>
        </w:rPr>
        <w:t>:</w:t>
      </w:r>
      <w:r w:rsidRPr="003E2EB9">
        <w:rPr>
          <w:rFonts w:eastAsia="Times New Roman"/>
          <w:b/>
          <w:szCs w:val="24"/>
        </w:rPr>
        <w:t xml:space="preserve"> Thematic Synthesis Matrix: </w:t>
      </w:r>
      <w:r w:rsidR="00FA1296" w:rsidRPr="00FA1296">
        <w:rPr>
          <w:rFonts w:eastAsia="Times New Roman"/>
          <w:b/>
          <w:szCs w:val="24"/>
        </w:rPr>
        <w:t>Number of Studies Providing Empirical Problem</w:t>
      </w:r>
      <w:r w:rsidR="00FA1296">
        <w:rPr>
          <w:rFonts w:eastAsia="Times New Roman"/>
          <w:b/>
          <w:szCs w:val="24"/>
        </w:rPr>
        <w:t xml:space="preserve"> </w:t>
      </w:r>
      <w:r w:rsidR="00FA1296" w:rsidRPr="00FA1296">
        <w:rPr>
          <w:rFonts w:eastAsia="Times New Roman"/>
          <w:b/>
          <w:szCs w:val="24"/>
        </w:rPr>
        <w:t>Performance Evidence, by Problem Cluster and Performance Indicator Category</w:t>
      </w:r>
    </w:p>
    <w:tbl>
      <w:tblPr>
        <w:tblStyle w:val="TableGrid"/>
        <w:tblW w:w="0" w:type="auto"/>
        <w:tblLook w:val="04A0" w:firstRow="1" w:lastRow="0" w:firstColumn="1" w:lastColumn="0" w:noHBand="0" w:noVBand="1"/>
      </w:tblPr>
      <w:tblGrid>
        <w:gridCol w:w="3572"/>
        <w:gridCol w:w="1270"/>
        <w:gridCol w:w="1549"/>
        <w:gridCol w:w="1416"/>
        <w:gridCol w:w="971"/>
      </w:tblGrid>
      <w:tr w:rsidR="00936FB9" w:rsidRPr="003E2EB9" w14:paraId="6D62A6AD" w14:textId="77777777" w:rsidTr="00F67839">
        <w:tc>
          <w:tcPr>
            <w:tcW w:w="3978" w:type="dxa"/>
          </w:tcPr>
          <w:p w14:paraId="5E2AF1C7" w14:textId="77777777" w:rsidR="00936FB9" w:rsidRPr="003E2EB9" w:rsidRDefault="00000000" w:rsidP="003E2EB9">
            <w:pPr>
              <w:spacing w:line="276" w:lineRule="auto"/>
              <w:jc w:val="left"/>
              <w:rPr>
                <w:szCs w:val="24"/>
              </w:rPr>
            </w:pPr>
            <w:r w:rsidRPr="003E2EB9">
              <w:rPr>
                <w:rFonts w:eastAsia="Times New Roman"/>
                <w:b/>
                <w:szCs w:val="24"/>
              </w:rPr>
              <w:t>Problem Cluster</w:t>
            </w:r>
          </w:p>
        </w:tc>
        <w:tc>
          <w:tcPr>
            <w:tcW w:w="1087" w:type="dxa"/>
          </w:tcPr>
          <w:p w14:paraId="308A4F50" w14:textId="77777777" w:rsidR="00936FB9" w:rsidRPr="003E2EB9" w:rsidRDefault="00000000" w:rsidP="00F67839">
            <w:pPr>
              <w:spacing w:line="276" w:lineRule="auto"/>
              <w:jc w:val="center"/>
              <w:rPr>
                <w:szCs w:val="24"/>
              </w:rPr>
            </w:pPr>
            <w:r w:rsidRPr="003E2EB9">
              <w:rPr>
                <w:rFonts w:eastAsia="Times New Roman"/>
                <w:b/>
                <w:szCs w:val="24"/>
              </w:rPr>
              <w:t>Cost Indicators</w:t>
            </w:r>
          </w:p>
        </w:tc>
        <w:tc>
          <w:tcPr>
            <w:tcW w:w="1549" w:type="dxa"/>
          </w:tcPr>
          <w:p w14:paraId="451178BE" w14:textId="77777777" w:rsidR="00936FB9" w:rsidRPr="003E2EB9" w:rsidRDefault="00000000" w:rsidP="00F67839">
            <w:pPr>
              <w:spacing w:line="276" w:lineRule="auto"/>
              <w:jc w:val="center"/>
              <w:rPr>
                <w:szCs w:val="24"/>
              </w:rPr>
            </w:pPr>
            <w:r w:rsidRPr="003E2EB9">
              <w:rPr>
                <w:rFonts w:eastAsia="Times New Roman"/>
                <w:b/>
                <w:szCs w:val="24"/>
              </w:rPr>
              <w:t>Effectiveness Indicators</w:t>
            </w:r>
          </w:p>
        </w:tc>
        <w:tc>
          <w:tcPr>
            <w:tcW w:w="1416" w:type="dxa"/>
          </w:tcPr>
          <w:p w14:paraId="4A51F235" w14:textId="77777777" w:rsidR="00936FB9" w:rsidRPr="003E2EB9" w:rsidRDefault="00000000" w:rsidP="00F67839">
            <w:pPr>
              <w:spacing w:line="276" w:lineRule="auto"/>
              <w:jc w:val="center"/>
              <w:rPr>
                <w:szCs w:val="24"/>
              </w:rPr>
            </w:pPr>
            <w:r w:rsidRPr="003E2EB9">
              <w:rPr>
                <w:rFonts w:eastAsia="Times New Roman"/>
                <w:b/>
                <w:szCs w:val="24"/>
              </w:rPr>
              <w:t>Satisfaction Indicators</w:t>
            </w:r>
          </w:p>
        </w:tc>
        <w:tc>
          <w:tcPr>
            <w:tcW w:w="974" w:type="dxa"/>
          </w:tcPr>
          <w:p w14:paraId="44C5A548" w14:textId="77777777" w:rsidR="00936FB9" w:rsidRPr="003E2EB9" w:rsidRDefault="00000000" w:rsidP="00F67839">
            <w:pPr>
              <w:spacing w:line="276" w:lineRule="auto"/>
              <w:jc w:val="center"/>
              <w:rPr>
                <w:szCs w:val="24"/>
              </w:rPr>
            </w:pPr>
            <w:r w:rsidRPr="003E2EB9">
              <w:rPr>
                <w:rFonts w:eastAsia="Times New Roman"/>
                <w:b/>
                <w:szCs w:val="24"/>
              </w:rPr>
              <w:t>Total Studies</w:t>
            </w:r>
          </w:p>
        </w:tc>
      </w:tr>
      <w:tr w:rsidR="00936FB9" w:rsidRPr="003E2EB9" w14:paraId="17ACE88B" w14:textId="77777777" w:rsidTr="00F67839">
        <w:tc>
          <w:tcPr>
            <w:tcW w:w="3978" w:type="dxa"/>
          </w:tcPr>
          <w:p w14:paraId="7CA12DC9" w14:textId="77777777" w:rsidR="00936FB9" w:rsidRPr="003E2EB9" w:rsidRDefault="00000000" w:rsidP="003E2EB9">
            <w:pPr>
              <w:spacing w:line="276" w:lineRule="auto"/>
              <w:jc w:val="left"/>
              <w:rPr>
                <w:szCs w:val="24"/>
              </w:rPr>
            </w:pPr>
            <w:r w:rsidRPr="003E2EB9">
              <w:rPr>
                <w:rFonts w:eastAsia="Times New Roman"/>
                <w:szCs w:val="24"/>
              </w:rPr>
              <w:t>Financial Constraints</w:t>
            </w:r>
          </w:p>
        </w:tc>
        <w:tc>
          <w:tcPr>
            <w:tcW w:w="1087" w:type="dxa"/>
          </w:tcPr>
          <w:p w14:paraId="4E666A6F" w14:textId="77777777" w:rsidR="00936FB9" w:rsidRPr="003E2EB9" w:rsidRDefault="00000000" w:rsidP="00F67839">
            <w:pPr>
              <w:spacing w:line="276" w:lineRule="auto"/>
              <w:jc w:val="center"/>
              <w:rPr>
                <w:szCs w:val="24"/>
              </w:rPr>
            </w:pPr>
            <w:r w:rsidRPr="003E2EB9">
              <w:rPr>
                <w:rFonts w:eastAsia="Times New Roman"/>
                <w:szCs w:val="24"/>
              </w:rPr>
              <w:t>7</w:t>
            </w:r>
          </w:p>
        </w:tc>
        <w:tc>
          <w:tcPr>
            <w:tcW w:w="1549" w:type="dxa"/>
          </w:tcPr>
          <w:p w14:paraId="4A0E0C40" w14:textId="77777777" w:rsidR="00936FB9" w:rsidRPr="003E2EB9" w:rsidRDefault="00000000" w:rsidP="00F67839">
            <w:pPr>
              <w:spacing w:line="276" w:lineRule="auto"/>
              <w:jc w:val="center"/>
              <w:rPr>
                <w:szCs w:val="24"/>
              </w:rPr>
            </w:pPr>
            <w:r w:rsidRPr="003E2EB9">
              <w:rPr>
                <w:rFonts w:eastAsia="Times New Roman"/>
                <w:szCs w:val="24"/>
              </w:rPr>
              <w:t>4</w:t>
            </w:r>
          </w:p>
        </w:tc>
        <w:tc>
          <w:tcPr>
            <w:tcW w:w="1416" w:type="dxa"/>
          </w:tcPr>
          <w:p w14:paraId="17F8CA9F" w14:textId="77777777" w:rsidR="00936FB9" w:rsidRPr="003E2EB9" w:rsidRDefault="00000000" w:rsidP="00F67839">
            <w:pPr>
              <w:spacing w:line="276" w:lineRule="auto"/>
              <w:jc w:val="center"/>
              <w:rPr>
                <w:szCs w:val="24"/>
              </w:rPr>
            </w:pPr>
            <w:r w:rsidRPr="003E2EB9">
              <w:rPr>
                <w:rFonts w:eastAsia="Times New Roman"/>
                <w:szCs w:val="24"/>
              </w:rPr>
              <w:t>3</w:t>
            </w:r>
          </w:p>
        </w:tc>
        <w:tc>
          <w:tcPr>
            <w:tcW w:w="974" w:type="dxa"/>
          </w:tcPr>
          <w:p w14:paraId="3E81E14C" w14:textId="77777777" w:rsidR="00936FB9" w:rsidRPr="003E2EB9" w:rsidRDefault="00000000" w:rsidP="00F67839">
            <w:pPr>
              <w:spacing w:line="276" w:lineRule="auto"/>
              <w:jc w:val="center"/>
              <w:rPr>
                <w:szCs w:val="24"/>
              </w:rPr>
            </w:pPr>
            <w:r w:rsidRPr="003E2EB9">
              <w:rPr>
                <w:rFonts w:eastAsia="Times New Roman"/>
                <w:szCs w:val="24"/>
              </w:rPr>
              <w:t>12</w:t>
            </w:r>
          </w:p>
        </w:tc>
      </w:tr>
      <w:tr w:rsidR="00936FB9" w:rsidRPr="003E2EB9" w14:paraId="6094888F" w14:textId="77777777" w:rsidTr="00F67839">
        <w:tc>
          <w:tcPr>
            <w:tcW w:w="3978" w:type="dxa"/>
          </w:tcPr>
          <w:p w14:paraId="5F61DE5B" w14:textId="77777777" w:rsidR="00936FB9" w:rsidRPr="003E2EB9" w:rsidRDefault="00000000" w:rsidP="003E2EB9">
            <w:pPr>
              <w:spacing w:line="276" w:lineRule="auto"/>
              <w:jc w:val="left"/>
              <w:rPr>
                <w:szCs w:val="24"/>
              </w:rPr>
            </w:pPr>
            <w:r w:rsidRPr="003E2EB9">
              <w:rPr>
                <w:rFonts w:eastAsia="Times New Roman"/>
                <w:szCs w:val="24"/>
              </w:rPr>
              <w:t>Human-Resource Deficits</w:t>
            </w:r>
          </w:p>
        </w:tc>
        <w:tc>
          <w:tcPr>
            <w:tcW w:w="1087" w:type="dxa"/>
          </w:tcPr>
          <w:p w14:paraId="489C3C4C" w14:textId="77777777" w:rsidR="00936FB9" w:rsidRPr="003E2EB9" w:rsidRDefault="00000000" w:rsidP="00F67839">
            <w:pPr>
              <w:spacing w:line="276" w:lineRule="auto"/>
              <w:jc w:val="center"/>
              <w:rPr>
                <w:szCs w:val="24"/>
              </w:rPr>
            </w:pPr>
            <w:r w:rsidRPr="003E2EB9">
              <w:rPr>
                <w:rFonts w:eastAsia="Times New Roman"/>
                <w:szCs w:val="24"/>
              </w:rPr>
              <w:t>3</w:t>
            </w:r>
          </w:p>
        </w:tc>
        <w:tc>
          <w:tcPr>
            <w:tcW w:w="1549" w:type="dxa"/>
          </w:tcPr>
          <w:p w14:paraId="2CC21763" w14:textId="77777777" w:rsidR="00936FB9" w:rsidRPr="003E2EB9" w:rsidRDefault="00000000" w:rsidP="00F67839">
            <w:pPr>
              <w:spacing w:line="276" w:lineRule="auto"/>
              <w:jc w:val="center"/>
              <w:rPr>
                <w:szCs w:val="24"/>
              </w:rPr>
            </w:pPr>
            <w:r w:rsidRPr="003E2EB9">
              <w:rPr>
                <w:rFonts w:eastAsia="Times New Roman"/>
                <w:szCs w:val="24"/>
              </w:rPr>
              <w:t>5</w:t>
            </w:r>
          </w:p>
        </w:tc>
        <w:tc>
          <w:tcPr>
            <w:tcW w:w="1416" w:type="dxa"/>
          </w:tcPr>
          <w:p w14:paraId="2D07FA65" w14:textId="77777777" w:rsidR="00936FB9" w:rsidRPr="003E2EB9" w:rsidRDefault="00000000" w:rsidP="00F67839">
            <w:pPr>
              <w:spacing w:line="276" w:lineRule="auto"/>
              <w:jc w:val="center"/>
              <w:rPr>
                <w:szCs w:val="24"/>
              </w:rPr>
            </w:pPr>
            <w:r w:rsidRPr="003E2EB9">
              <w:rPr>
                <w:rFonts w:eastAsia="Times New Roman"/>
                <w:szCs w:val="24"/>
              </w:rPr>
              <w:t>4</w:t>
            </w:r>
          </w:p>
        </w:tc>
        <w:tc>
          <w:tcPr>
            <w:tcW w:w="974" w:type="dxa"/>
          </w:tcPr>
          <w:p w14:paraId="261DCED5" w14:textId="77777777" w:rsidR="00936FB9" w:rsidRPr="003E2EB9" w:rsidRDefault="00000000" w:rsidP="00F67839">
            <w:pPr>
              <w:spacing w:line="276" w:lineRule="auto"/>
              <w:jc w:val="center"/>
              <w:rPr>
                <w:szCs w:val="24"/>
              </w:rPr>
            </w:pPr>
            <w:r w:rsidRPr="003E2EB9">
              <w:rPr>
                <w:rFonts w:eastAsia="Times New Roman"/>
                <w:szCs w:val="24"/>
              </w:rPr>
              <w:t>9</w:t>
            </w:r>
          </w:p>
        </w:tc>
      </w:tr>
      <w:tr w:rsidR="00936FB9" w:rsidRPr="003E2EB9" w14:paraId="655CCA41" w14:textId="77777777" w:rsidTr="00F67839">
        <w:tc>
          <w:tcPr>
            <w:tcW w:w="3978" w:type="dxa"/>
          </w:tcPr>
          <w:p w14:paraId="3D47C538" w14:textId="77777777" w:rsidR="00936FB9" w:rsidRPr="003E2EB9" w:rsidRDefault="00000000" w:rsidP="003E2EB9">
            <w:pPr>
              <w:spacing w:line="276" w:lineRule="auto"/>
              <w:jc w:val="left"/>
              <w:rPr>
                <w:szCs w:val="24"/>
              </w:rPr>
            </w:pPr>
            <w:r w:rsidRPr="003E2EB9">
              <w:rPr>
                <w:rFonts w:eastAsia="Times New Roman"/>
                <w:szCs w:val="24"/>
              </w:rPr>
              <w:t>Institutional/Regulatory Weaknesses</w:t>
            </w:r>
          </w:p>
        </w:tc>
        <w:tc>
          <w:tcPr>
            <w:tcW w:w="1087" w:type="dxa"/>
          </w:tcPr>
          <w:p w14:paraId="0565C512" w14:textId="77777777" w:rsidR="00936FB9" w:rsidRPr="003E2EB9" w:rsidRDefault="00000000" w:rsidP="00F67839">
            <w:pPr>
              <w:spacing w:line="276" w:lineRule="auto"/>
              <w:jc w:val="center"/>
              <w:rPr>
                <w:szCs w:val="24"/>
              </w:rPr>
            </w:pPr>
            <w:r w:rsidRPr="003E2EB9">
              <w:rPr>
                <w:rFonts w:eastAsia="Times New Roman"/>
                <w:szCs w:val="24"/>
              </w:rPr>
              <w:t>3</w:t>
            </w:r>
          </w:p>
        </w:tc>
        <w:tc>
          <w:tcPr>
            <w:tcW w:w="1549" w:type="dxa"/>
          </w:tcPr>
          <w:p w14:paraId="2C460135" w14:textId="77777777" w:rsidR="00936FB9" w:rsidRPr="003E2EB9" w:rsidRDefault="00000000" w:rsidP="00F67839">
            <w:pPr>
              <w:spacing w:line="276" w:lineRule="auto"/>
              <w:jc w:val="center"/>
              <w:rPr>
                <w:szCs w:val="24"/>
              </w:rPr>
            </w:pPr>
            <w:r w:rsidRPr="003E2EB9">
              <w:rPr>
                <w:rFonts w:eastAsia="Times New Roman"/>
                <w:szCs w:val="24"/>
              </w:rPr>
              <w:t>2</w:t>
            </w:r>
          </w:p>
        </w:tc>
        <w:tc>
          <w:tcPr>
            <w:tcW w:w="1416" w:type="dxa"/>
          </w:tcPr>
          <w:p w14:paraId="14A9148A" w14:textId="77777777" w:rsidR="00936FB9" w:rsidRPr="003E2EB9" w:rsidRDefault="00000000" w:rsidP="00F67839">
            <w:pPr>
              <w:spacing w:line="276" w:lineRule="auto"/>
              <w:jc w:val="center"/>
              <w:rPr>
                <w:szCs w:val="24"/>
              </w:rPr>
            </w:pPr>
            <w:r w:rsidRPr="003E2EB9">
              <w:rPr>
                <w:rFonts w:eastAsia="Times New Roman"/>
                <w:szCs w:val="24"/>
              </w:rPr>
              <w:t>4</w:t>
            </w:r>
          </w:p>
        </w:tc>
        <w:tc>
          <w:tcPr>
            <w:tcW w:w="974" w:type="dxa"/>
          </w:tcPr>
          <w:p w14:paraId="3585B425" w14:textId="77777777" w:rsidR="00936FB9" w:rsidRPr="003E2EB9" w:rsidRDefault="00000000" w:rsidP="00F67839">
            <w:pPr>
              <w:spacing w:line="276" w:lineRule="auto"/>
              <w:jc w:val="center"/>
              <w:rPr>
                <w:szCs w:val="24"/>
              </w:rPr>
            </w:pPr>
            <w:r w:rsidRPr="003E2EB9">
              <w:rPr>
                <w:rFonts w:eastAsia="Times New Roman"/>
                <w:szCs w:val="24"/>
              </w:rPr>
              <w:t>8</w:t>
            </w:r>
          </w:p>
        </w:tc>
      </w:tr>
      <w:tr w:rsidR="00936FB9" w:rsidRPr="003E2EB9" w14:paraId="27E2F249" w14:textId="77777777" w:rsidTr="00F67839">
        <w:tc>
          <w:tcPr>
            <w:tcW w:w="3978" w:type="dxa"/>
          </w:tcPr>
          <w:p w14:paraId="33C7FF26" w14:textId="77777777" w:rsidR="00936FB9" w:rsidRPr="003E2EB9" w:rsidRDefault="00000000" w:rsidP="003E2EB9">
            <w:pPr>
              <w:spacing w:line="276" w:lineRule="auto"/>
              <w:jc w:val="left"/>
              <w:rPr>
                <w:szCs w:val="24"/>
              </w:rPr>
            </w:pPr>
            <w:r w:rsidRPr="003E2EB9">
              <w:rPr>
                <w:rFonts w:eastAsia="Times New Roman"/>
                <w:szCs w:val="24"/>
              </w:rPr>
              <w:t>Technical/Design Deficiencies</w:t>
            </w:r>
          </w:p>
        </w:tc>
        <w:tc>
          <w:tcPr>
            <w:tcW w:w="1087" w:type="dxa"/>
          </w:tcPr>
          <w:p w14:paraId="1A941EFC" w14:textId="77777777" w:rsidR="00936FB9" w:rsidRPr="003E2EB9" w:rsidRDefault="00000000" w:rsidP="00F67839">
            <w:pPr>
              <w:spacing w:line="276" w:lineRule="auto"/>
              <w:jc w:val="center"/>
              <w:rPr>
                <w:szCs w:val="24"/>
              </w:rPr>
            </w:pPr>
            <w:r w:rsidRPr="003E2EB9">
              <w:rPr>
                <w:rFonts w:eastAsia="Times New Roman"/>
                <w:szCs w:val="24"/>
              </w:rPr>
              <w:t>3</w:t>
            </w:r>
          </w:p>
        </w:tc>
        <w:tc>
          <w:tcPr>
            <w:tcW w:w="1549" w:type="dxa"/>
          </w:tcPr>
          <w:p w14:paraId="3F757CA5" w14:textId="77777777" w:rsidR="00936FB9" w:rsidRPr="003E2EB9" w:rsidRDefault="00000000" w:rsidP="00F67839">
            <w:pPr>
              <w:spacing w:line="276" w:lineRule="auto"/>
              <w:jc w:val="center"/>
              <w:rPr>
                <w:szCs w:val="24"/>
              </w:rPr>
            </w:pPr>
            <w:r w:rsidRPr="003E2EB9">
              <w:rPr>
                <w:rFonts w:eastAsia="Times New Roman"/>
                <w:szCs w:val="24"/>
              </w:rPr>
              <w:t>4</w:t>
            </w:r>
          </w:p>
        </w:tc>
        <w:tc>
          <w:tcPr>
            <w:tcW w:w="1416" w:type="dxa"/>
          </w:tcPr>
          <w:p w14:paraId="193B8A47" w14:textId="77777777" w:rsidR="00936FB9" w:rsidRPr="003E2EB9" w:rsidRDefault="00000000" w:rsidP="00F67839">
            <w:pPr>
              <w:spacing w:line="276" w:lineRule="auto"/>
              <w:jc w:val="center"/>
              <w:rPr>
                <w:szCs w:val="24"/>
              </w:rPr>
            </w:pPr>
            <w:r w:rsidRPr="003E2EB9">
              <w:rPr>
                <w:rFonts w:eastAsia="Times New Roman"/>
                <w:szCs w:val="24"/>
              </w:rPr>
              <w:t>2</w:t>
            </w:r>
          </w:p>
        </w:tc>
        <w:tc>
          <w:tcPr>
            <w:tcW w:w="974" w:type="dxa"/>
          </w:tcPr>
          <w:p w14:paraId="1C349272" w14:textId="77777777" w:rsidR="00936FB9" w:rsidRPr="003E2EB9" w:rsidRDefault="00000000" w:rsidP="00F67839">
            <w:pPr>
              <w:spacing w:line="276" w:lineRule="auto"/>
              <w:jc w:val="center"/>
              <w:rPr>
                <w:szCs w:val="24"/>
              </w:rPr>
            </w:pPr>
            <w:r w:rsidRPr="003E2EB9">
              <w:rPr>
                <w:rFonts w:eastAsia="Times New Roman"/>
                <w:szCs w:val="24"/>
              </w:rPr>
              <w:t>8</w:t>
            </w:r>
          </w:p>
        </w:tc>
      </w:tr>
      <w:tr w:rsidR="00936FB9" w:rsidRPr="003E2EB9" w14:paraId="0FBD614F" w14:textId="77777777" w:rsidTr="00F67839">
        <w:tc>
          <w:tcPr>
            <w:tcW w:w="3978" w:type="dxa"/>
          </w:tcPr>
          <w:p w14:paraId="4875B050" w14:textId="77777777" w:rsidR="00936FB9" w:rsidRPr="003E2EB9" w:rsidRDefault="00000000" w:rsidP="003E2EB9">
            <w:pPr>
              <w:spacing w:line="276" w:lineRule="auto"/>
              <w:jc w:val="left"/>
              <w:rPr>
                <w:szCs w:val="24"/>
              </w:rPr>
            </w:pPr>
            <w:r w:rsidRPr="003E2EB9">
              <w:rPr>
                <w:rFonts w:eastAsia="Times New Roman"/>
                <w:szCs w:val="24"/>
              </w:rPr>
              <w:t>Socio-Cultural Barriers</w:t>
            </w:r>
          </w:p>
        </w:tc>
        <w:tc>
          <w:tcPr>
            <w:tcW w:w="1087" w:type="dxa"/>
          </w:tcPr>
          <w:p w14:paraId="65F9C613" w14:textId="77777777" w:rsidR="00936FB9" w:rsidRPr="003E2EB9" w:rsidRDefault="00000000" w:rsidP="00F67839">
            <w:pPr>
              <w:spacing w:line="276" w:lineRule="auto"/>
              <w:jc w:val="center"/>
              <w:rPr>
                <w:szCs w:val="24"/>
              </w:rPr>
            </w:pPr>
            <w:r w:rsidRPr="003E2EB9">
              <w:rPr>
                <w:rFonts w:eastAsia="Times New Roman"/>
                <w:szCs w:val="24"/>
              </w:rPr>
              <w:t>2</w:t>
            </w:r>
          </w:p>
        </w:tc>
        <w:tc>
          <w:tcPr>
            <w:tcW w:w="1549" w:type="dxa"/>
          </w:tcPr>
          <w:p w14:paraId="3A30BF03" w14:textId="77777777" w:rsidR="00936FB9" w:rsidRPr="003E2EB9" w:rsidRDefault="00000000" w:rsidP="00F67839">
            <w:pPr>
              <w:spacing w:line="276" w:lineRule="auto"/>
              <w:jc w:val="center"/>
              <w:rPr>
                <w:szCs w:val="24"/>
              </w:rPr>
            </w:pPr>
            <w:r w:rsidRPr="003E2EB9">
              <w:rPr>
                <w:rFonts w:eastAsia="Times New Roman"/>
                <w:szCs w:val="24"/>
              </w:rPr>
              <w:t>2</w:t>
            </w:r>
          </w:p>
        </w:tc>
        <w:tc>
          <w:tcPr>
            <w:tcW w:w="1416" w:type="dxa"/>
          </w:tcPr>
          <w:p w14:paraId="7B1CB672" w14:textId="77777777" w:rsidR="00936FB9" w:rsidRPr="003E2EB9" w:rsidRDefault="00000000" w:rsidP="00F67839">
            <w:pPr>
              <w:spacing w:line="276" w:lineRule="auto"/>
              <w:jc w:val="center"/>
              <w:rPr>
                <w:szCs w:val="24"/>
              </w:rPr>
            </w:pPr>
            <w:r w:rsidRPr="003E2EB9">
              <w:rPr>
                <w:rFonts w:eastAsia="Times New Roman"/>
                <w:szCs w:val="24"/>
              </w:rPr>
              <w:t>7</w:t>
            </w:r>
          </w:p>
        </w:tc>
        <w:tc>
          <w:tcPr>
            <w:tcW w:w="974" w:type="dxa"/>
          </w:tcPr>
          <w:p w14:paraId="179023E2" w14:textId="77777777" w:rsidR="00936FB9" w:rsidRPr="003E2EB9" w:rsidRDefault="00000000" w:rsidP="00F67839">
            <w:pPr>
              <w:spacing w:line="276" w:lineRule="auto"/>
              <w:jc w:val="center"/>
              <w:rPr>
                <w:szCs w:val="24"/>
              </w:rPr>
            </w:pPr>
            <w:r w:rsidRPr="003E2EB9">
              <w:rPr>
                <w:rFonts w:eastAsia="Times New Roman"/>
                <w:szCs w:val="24"/>
              </w:rPr>
              <w:t>10</w:t>
            </w:r>
          </w:p>
        </w:tc>
      </w:tr>
      <w:tr w:rsidR="00936FB9" w:rsidRPr="003E2EB9" w14:paraId="513761DF" w14:textId="77777777" w:rsidTr="00F67839">
        <w:tc>
          <w:tcPr>
            <w:tcW w:w="3978" w:type="dxa"/>
          </w:tcPr>
          <w:p w14:paraId="6F4ABCC2" w14:textId="77777777" w:rsidR="00936FB9" w:rsidRPr="003E2EB9" w:rsidRDefault="00000000" w:rsidP="003E2EB9">
            <w:pPr>
              <w:spacing w:line="276" w:lineRule="auto"/>
              <w:jc w:val="left"/>
              <w:rPr>
                <w:szCs w:val="24"/>
              </w:rPr>
            </w:pPr>
            <w:r w:rsidRPr="003E2EB9">
              <w:rPr>
                <w:rFonts w:eastAsia="Times New Roman"/>
                <w:szCs w:val="24"/>
              </w:rPr>
              <w:t>Total</w:t>
            </w:r>
          </w:p>
        </w:tc>
        <w:tc>
          <w:tcPr>
            <w:tcW w:w="1087" w:type="dxa"/>
          </w:tcPr>
          <w:p w14:paraId="21384CFF" w14:textId="77777777" w:rsidR="00936FB9" w:rsidRPr="003E2EB9" w:rsidRDefault="00000000" w:rsidP="00F67839">
            <w:pPr>
              <w:spacing w:line="276" w:lineRule="auto"/>
              <w:jc w:val="center"/>
              <w:rPr>
                <w:szCs w:val="24"/>
              </w:rPr>
            </w:pPr>
            <w:r w:rsidRPr="003E2EB9">
              <w:rPr>
                <w:rFonts w:eastAsia="Times New Roman"/>
                <w:szCs w:val="24"/>
              </w:rPr>
              <w:t>18</w:t>
            </w:r>
          </w:p>
        </w:tc>
        <w:tc>
          <w:tcPr>
            <w:tcW w:w="1549" w:type="dxa"/>
          </w:tcPr>
          <w:p w14:paraId="07EEA97B" w14:textId="77777777" w:rsidR="00936FB9" w:rsidRPr="003E2EB9" w:rsidRDefault="00000000" w:rsidP="00F67839">
            <w:pPr>
              <w:spacing w:line="276" w:lineRule="auto"/>
              <w:jc w:val="center"/>
              <w:rPr>
                <w:szCs w:val="24"/>
              </w:rPr>
            </w:pPr>
            <w:r w:rsidRPr="003E2EB9">
              <w:rPr>
                <w:rFonts w:eastAsia="Times New Roman"/>
                <w:szCs w:val="24"/>
              </w:rPr>
              <w:t>17</w:t>
            </w:r>
          </w:p>
        </w:tc>
        <w:tc>
          <w:tcPr>
            <w:tcW w:w="1416" w:type="dxa"/>
          </w:tcPr>
          <w:p w14:paraId="69E89B2A" w14:textId="77777777" w:rsidR="00936FB9" w:rsidRPr="003E2EB9" w:rsidRDefault="00000000" w:rsidP="00F67839">
            <w:pPr>
              <w:spacing w:line="276" w:lineRule="auto"/>
              <w:jc w:val="center"/>
              <w:rPr>
                <w:szCs w:val="24"/>
              </w:rPr>
            </w:pPr>
            <w:r w:rsidRPr="003E2EB9">
              <w:rPr>
                <w:rFonts w:eastAsia="Times New Roman"/>
                <w:szCs w:val="24"/>
              </w:rPr>
              <w:t>20</w:t>
            </w:r>
          </w:p>
        </w:tc>
        <w:tc>
          <w:tcPr>
            <w:tcW w:w="974" w:type="dxa"/>
          </w:tcPr>
          <w:p w14:paraId="1B957F0A" w14:textId="77777777" w:rsidR="00936FB9" w:rsidRPr="003E2EB9" w:rsidRDefault="00000000" w:rsidP="00F67839">
            <w:pPr>
              <w:spacing w:line="276" w:lineRule="auto"/>
              <w:jc w:val="center"/>
              <w:rPr>
                <w:szCs w:val="24"/>
              </w:rPr>
            </w:pPr>
            <w:r w:rsidRPr="003E2EB9">
              <w:rPr>
                <w:rFonts w:eastAsia="Times New Roman"/>
                <w:szCs w:val="24"/>
              </w:rPr>
              <w:t>36</w:t>
            </w:r>
          </w:p>
        </w:tc>
      </w:tr>
    </w:tbl>
    <w:p w14:paraId="54B28D8A" w14:textId="4F50C13E" w:rsidR="00936FB9" w:rsidRPr="003E2EB9" w:rsidRDefault="00CC2560" w:rsidP="007513D1">
      <w:pPr>
        <w:spacing w:before="120" w:after="120" w:line="276" w:lineRule="auto"/>
        <w:rPr>
          <w:szCs w:val="24"/>
        </w:rPr>
      </w:pPr>
      <w:r>
        <w:rPr>
          <w:rFonts w:eastAsia="Times New Roman"/>
          <w:i/>
          <w:szCs w:val="24"/>
        </w:rPr>
        <w:t xml:space="preserve">Note: </w:t>
      </w:r>
      <w:r w:rsidR="00FA1296" w:rsidRPr="00FA1296">
        <w:rPr>
          <w:rFonts w:eastAsia="Times New Roman"/>
          <w:i/>
          <w:szCs w:val="24"/>
        </w:rPr>
        <w:t>Studies are counted in a cell if they report data linking the problem cluster to at least one indicator within that category. Some studies contribute to multiple cells. Row totals correspond to the study counts in Tables 3</w:t>
      </w:r>
      <w:r w:rsidR="00FA1296">
        <w:rPr>
          <w:rFonts w:eastAsia="Times New Roman"/>
          <w:i/>
          <w:szCs w:val="24"/>
        </w:rPr>
        <w:t>-</w:t>
      </w:r>
      <w:r w:rsidR="00FA1296" w:rsidRPr="00FA1296">
        <w:rPr>
          <w:rFonts w:eastAsia="Times New Roman"/>
          <w:i/>
          <w:szCs w:val="24"/>
        </w:rPr>
        <w:t xml:space="preserve">7, which represent the subset of the 36 included studies that provide </w:t>
      </w:r>
      <w:proofErr w:type="spellStart"/>
      <w:r w:rsidR="00FA1296" w:rsidRPr="00FA1296">
        <w:rPr>
          <w:rFonts w:eastAsia="Times New Roman"/>
          <w:i/>
          <w:szCs w:val="24"/>
        </w:rPr>
        <w:t>analysable</w:t>
      </w:r>
      <w:proofErr w:type="spellEnd"/>
      <w:r w:rsidR="00FA1296" w:rsidRPr="00FA1296">
        <w:rPr>
          <w:rFonts w:eastAsia="Times New Roman"/>
          <w:i/>
          <w:szCs w:val="24"/>
        </w:rPr>
        <w:t xml:space="preserve"> problem</w:t>
      </w:r>
      <w:r w:rsidR="00FA1296">
        <w:rPr>
          <w:rFonts w:eastAsia="Times New Roman"/>
          <w:i/>
          <w:szCs w:val="24"/>
        </w:rPr>
        <w:t xml:space="preserve"> </w:t>
      </w:r>
      <w:r w:rsidR="00FA1296" w:rsidRPr="00FA1296">
        <w:rPr>
          <w:rFonts w:eastAsia="Times New Roman"/>
          <w:i/>
          <w:szCs w:val="24"/>
        </w:rPr>
        <w:t>performance evidence for that cluster</w:t>
      </w:r>
      <w:r w:rsidRPr="003E2EB9">
        <w:rPr>
          <w:rFonts w:eastAsia="Times New Roman"/>
          <w:i/>
          <w:szCs w:val="24"/>
        </w:rPr>
        <w:t>.</w:t>
      </w:r>
    </w:p>
    <w:p w14:paraId="60ECC5B1" w14:textId="6CF00AA9" w:rsidR="00936FB9" w:rsidRDefault="00000000" w:rsidP="00BE7C95">
      <w:pPr>
        <w:pStyle w:val="Heading1"/>
      </w:pPr>
      <w:r>
        <w:lastRenderedPageBreak/>
        <w:t>4.</w:t>
      </w:r>
      <w:r w:rsidR="00F67839">
        <w:t>0</w:t>
      </w:r>
      <w:r>
        <w:t xml:space="preserve"> Discussion</w:t>
      </w:r>
    </w:p>
    <w:p w14:paraId="7668F9FA" w14:textId="77777777" w:rsidR="00936FB9" w:rsidRDefault="00000000" w:rsidP="007513D1">
      <w:pPr>
        <w:pStyle w:val="Heading2"/>
      </w:pPr>
      <w:r>
        <w:t>4.1 Summary of Findings</w:t>
      </w:r>
    </w:p>
    <w:p w14:paraId="5B7E5FE2" w14:textId="77777777" w:rsidR="00F67839" w:rsidRDefault="00000000" w:rsidP="003E2EB9">
      <w:pPr>
        <w:spacing w:after="120" w:line="276" w:lineRule="auto"/>
        <w:rPr>
          <w:rFonts w:eastAsia="Times New Roman"/>
        </w:rPr>
      </w:pPr>
      <w:r>
        <w:rPr>
          <w:rFonts w:eastAsia="Times New Roman"/>
        </w:rPr>
        <w:t xml:space="preserve">This review provides a comprehensive synthesis of research on the relationship between maintenance management problems and maintenance performance in high-rise residential buildings in Lagos State, Nigeria. Three central insights emerge. First, maintenance management problems are not isolated failings but interconnected clusters that reinforce one another: financial constraints limit the ability to hire qualified personnel, which increases technical errors, which in turn raises maintenance costs and further strains budgets. </w:t>
      </w:r>
    </w:p>
    <w:p w14:paraId="6FDF8800" w14:textId="77777777" w:rsidR="00F67839" w:rsidRDefault="00000000" w:rsidP="003E2EB9">
      <w:pPr>
        <w:spacing w:after="120" w:line="276" w:lineRule="auto"/>
        <w:rPr>
          <w:rFonts w:eastAsia="Times New Roman"/>
        </w:rPr>
      </w:pPr>
      <w:r>
        <w:rPr>
          <w:rFonts w:eastAsia="Times New Roman"/>
        </w:rPr>
        <w:t xml:space="preserve">Second, the relationship between problems and performance is empirically demonstrable but remains under-researched in the Nigerian context; three of 36 included studies employed correlational or multivariate methods to quantify problem-performance linkages, specifically Au-Yong et al. (2023), Shah et al. (2022), and Chua et al. (2018). Of these, Au-Yong et al. (2023) and Shah et al. (2022) provide the most direct statistical evidence from high-rise buildings. </w:t>
      </w:r>
    </w:p>
    <w:p w14:paraId="344AF47E" w14:textId="1A31498E" w:rsidR="00936FB9" w:rsidRDefault="00000000" w:rsidP="003E2EB9">
      <w:pPr>
        <w:spacing w:after="120" w:line="276" w:lineRule="auto"/>
      </w:pPr>
      <w:r>
        <w:rPr>
          <w:rFonts w:eastAsia="Times New Roman"/>
        </w:rPr>
        <w:t>Third, the Lagos State context introduces specific amplifiers of these problems, including the absence of a strata management regulatory framework comparable to Malaysia's Strata Management Act 2013, the weak enforcement capacity of the Lagos State Building Control Agency, and a cultural orientation toward reactive maintenance that is deeply embedded in both institutional practice and individual behaviour.</w:t>
      </w:r>
    </w:p>
    <w:p w14:paraId="3A92453D" w14:textId="77777777" w:rsidR="00936FB9" w:rsidRDefault="00000000" w:rsidP="007513D1">
      <w:pPr>
        <w:pStyle w:val="Heading2"/>
      </w:pPr>
      <w:r>
        <w:t>4.2 Theoretical Contribution</w:t>
      </w:r>
    </w:p>
    <w:p w14:paraId="684D221D" w14:textId="77777777" w:rsidR="00E902C3" w:rsidRDefault="00000000" w:rsidP="003E2EB9">
      <w:pPr>
        <w:spacing w:after="120" w:line="276" w:lineRule="auto"/>
        <w:rPr>
          <w:rFonts w:eastAsia="Times New Roman"/>
        </w:rPr>
      </w:pPr>
      <w:r>
        <w:rPr>
          <w:rFonts w:eastAsia="Times New Roman"/>
        </w:rPr>
        <w:t xml:space="preserve">The findings </w:t>
      </w:r>
      <w:r w:rsidR="00F67839">
        <w:rPr>
          <w:rFonts w:eastAsia="Times New Roman"/>
        </w:rPr>
        <w:t>relate to</w:t>
      </w:r>
      <w:r>
        <w:rPr>
          <w:rFonts w:eastAsia="Times New Roman"/>
        </w:rPr>
        <w:t xml:space="preserve"> the existing theoretical literature in two ways. First, they integrate the problem-performance relationship into a conceptual framework that accounts for the cascading and interactive effects of maintenance management problems. Prior studies have tended to treat problems as independent variables affecting a single performance outcome; the framework proposed here recognises that problems propagate across multiple performance dimensions simultaneously, and that the cumulative effect is greater than the sum of individual effects. </w:t>
      </w:r>
    </w:p>
    <w:p w14:paraId="1877093C" w14:textId="63705A82" w:rsidR="00936FB9" w:rsidRDefault="00000000" w:rsidP="003E2EB9">
      <w:pPr>
        <w:spacing w:after="120" w:line="276" w:lineRule="auto"/>
      </w:pPr>
      <w:r>
        <w:rPr>
          <w:rFonts w:eastAsia="Times New Roman"/>
        </w:rPr>
        <w:t>Second, the findings challenge the assumption, implicit in much of the Nigerian literature, that improved funding alone will resolve maintenance performance deficits. While financial constraints are indeed the most frequently reported problem, the review demonstrates that human-resource deficits, regulatory weaknesses, technical deficiencies, and socio-cultural barriers each independently affect performance and must be addressed in concert.</w:t>
      </w:r>
    </w:p>
    <w:p w14:paraId="29A9EEA2" w14:textId="77777777" w:rsidR="00936FB9" w:rsidRDefault="00000000" w:rsidP="003E2EB9">
      <w:pPr>
        <w:spacing w:after="120" w:line="276" w:lineRule="auto"/>
        <w:rPr>
          <w:rFonts w:eastAsia="Times New Roman"/>
        </w:rPr>
      </w:pPr>
      <w:r>
        <w:rPr>
          <w:rFonts w:eastAsia="Times New Roman"/>
        </w:rPr>
        <w:t>The proposed conceptual framework (</w:t>
      </w:r>
      <w:r w:rsidRPr="00B90121">
        <w:rPr>
          <w:rFonts w:eastAsia="Times New Roman"/>
          <w:i/>
          <w:iCs/>
        </w:rPr>
        <w:t>Figure 2</w:t>
      </w:r>
      <w:r>
        <w:rPr>
          <w:rFonts w:eastAsia="Times New Roman"/>
        </w:rPr>
        <w:t>) maps five problem clusters as inputs, three performance indicator categories as outputs, and identifies four mediating mechanisms: procurement efficiency, workforce competence, regulatory compliance, and resident engagement. Each of these mediating mechanisms is supported by empirical evidence from the synthesis, as elaborated below.</w:t>
      </w:r>
    </w:p>
    <w:p w14:paraId="3480F8C0" w14:textId="7E2BE050" w:rsidR="00E902C3" w:rsidRPr="00E902C3" w:rsidRDefault="00E902C3" w:rsidP="00E902C3">
      <w:pPr>
        <w:spacing w:after="120" w:line="276" w:lineRule="auto"/>
        <w:jc w:val="center"/>
        <w:rPr>
          <w:b/>
          <w:bCs/>
        </w:rPr>
      </w:pPr>
      <w:r w:rsidRPr="00E902C3">
        <w:rPr>
          <w:b/>
          <w:bCs/>
          <w:noProof/>
        </w:rPr>
        <w:lastRenderedPageBreak/>
        <w:drawing>
          <wp:anchor distT="0" distB="0" distL="114300" distR="114300" simplePos="0" relativeHeight="251659776" behindDoc="0" locked="0" layoutInCell="1" allowOverlap="1" wp14:anchorId="3D44F0A5" wp14:editId="743C1EF3">
            <wp:simplePos x="0" y="0"/>
            <wp:positionH relativeFrom="column">
              <wp:posOffset>-409575</wp:posOffset>
            </wp:positionH>
            <wp:positionV relativeFrom="paragraph">
              <wp:posOffset>76200</wp:posOffset>
            </wp:positionV>
            <wp:extent cx="6400800" cy="4318635"/>
            <wp:effectExtent l="0" t="0" r="0" b="5715"/>
            <wp:wrapTopAndBottom/>
            <wp:docPr id="1992439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2845" t="2032" r="2981" b="2642"/>
                    <a:stretch>
                      <a:fillRect/>
                    </a:stretch>
                  </pic:blipFill>
                  <pic:spPr bwMode="auto">
                    <a:xfrm>
                      <a:off x="0" y="0"/>
                      <a:ext cx="6400800" cy="4318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2C3">
        <w:rPr>
          <w:b/>
          <w:bCs/>
        </w:rPr>
        <w:t>Figure 2: Proposed Conceptual Framework</w:t>
      </w:r>
    </w:p>
    <w:p w14:paraId="77347A4A" w14:textId="77777777" w:rsidR="00936FB9" w:rsidRDefault="00000000" w:rsidP="007513D1">
      <w:pPr>
        <w:pStyle w:val="Heading3"/>
        <w:spacing w:line="276" w:lineRule="auto"/>
      </w:pPr>
      <w:r>
        <w:rPr>
          <w:rFonts w:eastAsia="Times New Roman"/>
        </w:rPr>
        <w:t>4.2.1 Procurement Efficiency</w:t>
      </w:r>
    </w:p>
    <w:p w14:paraId="3F4C3747" w14:textId="77777777" w:rsidR="00E902C3" w:rsidRDefault="00000000" w:rsidP="003E2EB9">
      <w:pPr>
        <w:spacing w:after="120" w:line="276" w:lineRule="auto"/>
        <w:rPr>
          <w:rFonts w:eastAsia="Times New Roman"/>
        </w:rPr>
      </w:pPr>
      <w:r>
        <w:rPr>
          <w:rFonts w:eastAsia="Times New Roman"/>
        </w:rPr>
        <w:t xml:space="preserve">Procurement efficiency mediates the relationship between financial constraints and cost performance indicators. When maintenance procurement is inefficient, characterised by corruption, delayed contract awards, or non-competitive tendering, the same budget allocation yields less maintenance output, directly inflating cost variance. Ogungbemi (2021) reported that corruption in maintenance procurement was identified as a significant factor in several of the included studies, suggesting that the financial constraint problem is not merely one of insufficient funds but also of how those funds are deployed. </w:t>
      </w:r>
    </w:p>
    <w:p w14:paraId="334466FD" w14:textId="3591DED6" w:rsidR="00936FB9" w:rsidRDefault="00000000" w:rsidP="003E2EB9">
      <w:pPr>
        <w:spacing w:after="120" w:line="276" w:lineRule="auto"/>
      </w:pPr>
      <w:proofErr w:type="spellStart"/>
      <w:r>
        <w:rPr>
          <w:rFonts w:eastAsia="Times New Roman"/>
        </w:rPr>
        <w:t>Ogungbemi</w:t>
      </w:r>
      <w:proofErr w:type="spellEnd"/>
      <w:r>
        <w:rPr>
          <w:rFonts w:eastAsia="Times New Roman"/>
        </w:rPr>
        <w:t xml:space="preserve"> et al. (2017) </w:t>
      </w:r>
      <w:r w:rsidR="00E902C3">
        <w:rPr>
          <w:rFonts w:eastAsia="Times New Roman"/>
        </w:rPr>
        <w:t xml:space="preserve">also </w:t>
      </w:r>
      <w:r>
        <w:rPr>
          <w:rFonts w:eastAsia="Times New Roman"/>
        </w:rPr>
        <w:t xml:space="preserve">found that maintenance budgets in Lagos were routinely diverted to other priorities, with actual maintenance expenditure averaging only 30 to 40 percent of the budgeted amount, indicating systemic procurement inefficiency. Aliyu &amp; Bello (2022) documented that only 14 percent of high-rise residential buildings in Lagos had documented maintenance schedules, suggesting that procurement is ad hoc rather than planned. Au-Yong et al. (2023) provided </w:t>
      </w:r>
      <w:r w:rsidR="00E902C3">
        <w:rPr>
          <w:rFonts w:eastAsia="Times New Roman"/>
        </w:rPr>
        <w:t>further</w:t>
      </w:r>
      <w:r>
        <w:rPr>
          <w:rFonts w:eastAsia="Times New Roman"/>
        </w:rPr>
        <w:t xml:space="preserve"> evidence, demonstrating that budget overrun is significantly correlated with cost variance (r = .62, p &lt; .01), a relationship that is amplified when procurement processes are inefficient. The evidence thus supports procurement efficiency as a mechanism that either amplifies or mitigates the financial constraint–cost performance pathway.</w:t>
      </w:r>
    </w:p>
    <w:p w14:paraId="622FC65C" w14:textId="77777777" w:rsidR="00936FB9" w:rsidRDefault="00000000" w:rsidP="007513D1">
      <w:pPr>
        <w:pStyle w:val="Heading3"/>
        <w:spacing w:line="276" w:lineRule="auto"/>
      </w:pPr>
      <w:r>
        <w:rPr>
          <w:rFonts w:eastAsia="Times New Roman"/>
        </w:rPr>
        <w:lastRenderedPageBreak/>
        <w:t>4.2.2 Workforce Competence</w:t>
      </w:r>
    </w:p>
    <w:p w14:paraId="26F78E1A" w14:textId="77777777" w:rsidR="00E902C3" w:rsidRDefault="00000000" w:rsidP="003E2EB9">
      <w:pPr>
        <w:spacing w:after="120" w:line="276" w:lineRule="auto"/>
        <w:rPr>
          <w:rFonts w:eastAsia="Times New Roman"/>
        </w:rPr>
      </w:pPr>
      <w:r>
        <w:rPr>
          <w:rFonts w:eastAsia="Times New Roman"/>
        </w:rPr>
        <w:t xml:space="preserve">Workforce competence mediates the relationship between human-resource deficits and effectiveness performance indicators. The synthesis reveals that the shortage of qualified maintenance professionals does not </w:t>
      </w:r>
      <w:r w:rsidR="00E902C3">
        <w:rPr>
          <w:rFonts w:eastAsia="Times New Roman"/>
        </w:rPr>
        <w:t>just</w:t>
      </w:r>
      <w:r>
        <w:rPr>
          <w:rFonts w:eastAsia="Times New Roman"/>
        </w:rPr>
        <w:t xml:space="preserve"> reduce the volume of maintenance activity; </w:t>
      </w:r>
      <w:r w:rsidR="00E902C3">
        <w:rPr>
          <w:rFonts w:eastAsia="Times New Roman"/>
        </w:rPr>
        <w:t xml:space="preserve">but </w:t>
      </w:r>
      <w:r>
        <w:rPr>
          <w:rFonts w:eastAsia="Times New Roman"/>
        </w:rPr>
        <w:t xml:space="preserve">it actively degrades the quality of maintenance output, increasing the frequency of recurring defects and reducing equipment effectiveness. </w:t>
      </w:r>
    </w:p>
    <w:p w14:paraId="3AA1C45B" w14:textId="77777777" w:rsidR="00E902C3" w:rsidRDefault="00000000" w:rsidP="003E2EB9">
      <w:pPr>
        <w:spacing w:after="120" w:line="276" w:lineRule="auto"/>
        <w:rPr>
          <w:rFonts w:eastAsia="Times New Roman"/>
        </w:rPr>
      </w:pPr>
      <w:r>
        <w:rPr>
          <w:rFonts w:eastAsia="Times New Roman"/>
        </w:rPr>
        <w:t xml:space="preserve">Akinola et al. (2020) found that only 22 percent of maintenance workers in Lagos high-rise buildings held relevant certifications, while Ogungbemi (2021) reported that 67 percent of building services maintenance failures were directly attributable to incompetent personnel. Chua et al. (2018) documented that unqualified workers misdiagnose defects and use inappropriate repair techniques, creating a cycle of ineffective repairs that increases rather than decreases maintenance backlogs. </w:t>
      </w:r>
    </w:p>
    <w:p w14:paraId="5DD99814" w14:textId="5DCDA7F7" w:rsidR="00936FB9" w:rsidRDefault="00000000" w:rsidP="003E2EB9">
      <w:pPr>
        <w:spacing w:after="120" w:line="276" w:lineRule="auto"/>
      </w:pPr>
      <w:r>
        <w:rPr>
          <w:rFonts w:eastAsia="Times New Roman"/>
        </w:rPr>
        <w:t xml:space="preserve">Dauda &amp; Ibitoye (2021) found that inadequate training and professional development compromised maintenance quality in government-owned institutions. Dompey et al. (2025) extended this finding by demonstrating that workforce skills gaps in Ghana constrained the adoption of digital innovations in maintenance, suggesting that the competence deficit also limits the capacity for technological improvement. Au-Yong et al. (2023) further showed that spare-parts unavailability, often a consequence of poor workforce planning, correlates significantly with reduced equipment effectiveness (r = .55, p &lt; .05). The evidence </w:t>
      </w:r>
      <w:r w:rsidR="00E902C3">
        <w:rPr>
          <w:rFonts w:eastAsia="Times New Roman"/>
        </w:rPr>
        <w:t>therefore</w:t>
      </w:r>
      <w:r>
        <w:rPr>
          <w:rFonts w:eastAsia="Times New Roman"/>
        </w:rPr>
        <w:t xml:space="preserve"> supports workforce competence as a mechanism that mediates the human-resource deficit–effectiveness performance pathway.</w:t>
      </w:r>
    </w:p>
    <w:p w14:paraId="7FAC1D3D" w14:textId="77777777" w:rsidR="00936FB9" w:rsidRDefault="00000000" w:rsidP="007513D1">
      <w:pPr>
        <w:pStyle w:val="Heading3"/>
        <w:spacing w:line="276" w:lineRule="auto"/>
      </w:pPr>
      <w:r>
        <w:rPr>
          <w:rFonts w:eastAsia="Times New Roman"/>
        </w:rPr>
        <w:t>4.2.3 Regulatory Compliance</w:t>
      </w:r>
    </w:p>
    <w:p w14:paraId="50BC2CEF" w14:textId="77777777" w:rsidR="00BE7C95" w:rsidRDefault="00000000" w:rsidP="003E2EB9">
      <w:pPr>
        <w:spacing w:after="120" w:line="276" w:lineRule="auto"/>
        <w:rPr>
          <w:rFonts w:eastAsia="Times New Roman"/>
        </w:rPr>
      </w:pPr>
      <w:r>
        <w:rPr>
          <w:rFonts w:eastAsia="Times New Roman"/>
        </w:rPr>
        <w:t xml:space="preserve">Regulatory compliance mediates the relationship between institutional and regulatory weaknesses and all three performance indicator categories. When regulations exist but are not enforced, the intended performance benefits of those regulations are not realised. Aliyu &amp; Bello (2022) found that fewer than 8 percent of high-rise buildings in Lagos had ever been inspected by a regulatory authority, indicating near-total regulatory non-compliance. </w:t>
      </w:r>
    </w:p>
    <w:p w14:paraId="28E46F53" w14:textId="77777777" w:rsidR="00BE7C95" w:rsidRDefault="00000000" w:rsidP="003E2EB9">
      <w:pPr>
        <w:spacing w:after="120" w:line="276" w:lineRule="auto"/>
        <w:rPr>
          <w:rFonts w:eastAsia="Times New Roman"/>
        </w:rPr>
      </w:pPr>
      <w:r>
        <w:rPr>
          <w:rFonts w:eastAsia="Times New Roman"/>
        </w:rPr>
        <w:t>Lateef et al. (2024)</w:t>
      </w:r>
      <w:r w:rsidR="00BE7C95">
        <w:rPr>
          <w:rFonts w:eastAsia="Times New Roman"/>
        </w:rPr>
        <w:t xml:space="preserve"> later</w:t>
      </w:r>
      <w:r>
        <w:rPr>
          <w:rFonts w:eastAsia="Times New Roman"/>
        </w:rPr>
        <w:t xml:space="preserve"> documented the absence of a national maintenance policy as a systemic impediment, meaning that even where compliance is sought, the regulatory framework is incomplete. Ebekozien (2020)</w:t>
      </w:r>
      <w:r w:rsidR="00BE7C95">
        <w:rPr>
          <w:rFonts w:eastAsia="Times New Roman"/>
        </w:rPr>
        <w:t xml:space="preserve"> further</w:t>
      </w:r>
      <w:r>
        <w:rPr>
          <w:rFonts w:eastAsia="Times New Roman"/>
        </w:rPr>
        <w:t xml:space="preserve"> highlighted the absence of enforceable maintenance standards in public buildings, while Iyagba &amp; Adenuga (2012) found that fragmentation of regulatory responsibility across agencies undermined enforcement. Zawawi et al. (2023) confirmed that even in Malaysia, where the Strata Management Act 2013 provides a regulatory template, enforcement capacity and compliance monitoring remain weak. </w:t>
      </w:r>
    </w:p>
    <w:p w14:paraId="08EAB589" w14:textId="770C2B42" w:rsidR="00936FB9" w:rsidRDefault="00000000" w:rsidP="003E2EB9">
      <w:pPr>
        <w:spacing w:after="120" w:line="276" w:lineRule="auto"/>
      </w:pPr>
      <w:r>
        <w:rPr>
          <w:rFonts w:eastAsia="Times New Roman"/>
        </w:rPr>
        <w:t>Au-Yong et al. (2024) identified regulatory compliance as a key factor in maintenance prioritisation decisions, suggesting that where compliance is achieved, it directly influences how maintenance resources are allocated and therefore how effectively problems are addressed. The evidence thus supports regulatory compliance as a mechanism that mediates the institutional/regulatory weakness–performance pathway, with effects across cost, effectiveness, and satisfaction dimensions.</w:t>
      </w:r>
    </w:p>
    <w:p w14:paraId="2F42EC5D" w14:textId="77777777" w:rsidR="00936FB9" w:rsidRDefault="00000000" w:rsidP="007513D1">
      <w:pPr>
        <w:pStyle w:val="Heading3"/>
        <w:spacing w:line="276" w:lineRule="auto"/>
      </w:pPr>
      <w:r>
        <w:rPr>
          <w:rFonts w:eastAsia="Times New Roman"/>
        </w:rPr>
        <w:lastRenderedPageBreak/>
        <w:t>4.2.4 Resident Engagement</w:t>
      </w:r>
    </w:p>
    <w:p w14:paraId="448CA4B5" w14:textId="77777777" w:rsidR="00BE7C95" w:rsidRDefault="00000000" w:rsidP="003E2EB9">
      <w:pPr>
        <w:spacing w:after="120" w:line="276" w:lineRule="auto"/>
        <w:rPr>
          <w:rFonts w:eastAsia="Times New Roman"/>
        </w:rPr>
      </w:pPr>
      <w:r>
        <w:rPr>
          <w:rFonts w:eastAsia="Times New Roman"/>
        </w:rPr>
        <w:t xml:space="preserve">Resident engagement mediates the relationship between socio-cultural barriers and satisfaction performance indicators. The synthesis reveals that the failure of maintenance systems in Lagos is not solely a supply-side problem; it is also a demand-side problem, in which residents’ lack of awareness, trust, and willingness to participate in maintenance governance undermines even well-resourced maintenance programmes. Akinola et al. (2020) found that 78 percent of residents in Lagos high-rise buildings were unfamiliar with the concept of a sinking fund, indicating a fundamental knowledge gap that prevents effective financial participation. </w:t>
      </w:r>
    </w:p>
    <w:p w14:paraId="6A8498DF" w14:textId="77777777" w:rsidR="00BE7C95" w:rsidRDefault="00000000" w:rsidP="003E2EB9">
      <w:pPr>
        <w:spacing w:after="120" w:line="276" w:lineRule="auto"/>
        <w:rPr>
          <w:rFonts w:eastAsia="Times New Roman"/>
        </w:rPr>
      </w:pPr>
      <w:r>
        <w:rPr>
          <w:rFonts w:eastAsia="Times New Roman"/>
        </w:rPr>
        <w:t xml:space="preserve">Aliyu &amp; Bello (2022) documented resistance to paying service charges driven by a lack of trust in building management, while Folorunso &amp; Izobo-Martins (2015) reported that multi-owner buildings suffer from collective action problems in maintenance decisions. Oladokun &amp; Ogunbiyi (2019) found that service charge default rates exceeded 40 percent in Lagos high-rise buildings, directly reducing the funds available for maintenance. Ogungbemi (2021) noted the dominant corrective approach, in which residents and managers alike respond only after failure occurs. </w:t>
      </w:r>
    </w:p>
    <w:p w14:paraId="357269FA" w14:textId="6297898C" w:rsidR="00936FB9" w:rsidRDefault="00000000" w:rsidP="003E2EB9">
      <w:pPr>
        <w:spacing w:after="120" w:line="276" w:lineRule="auto"/>
      </w:pPr>
      <w:proofErr w:type="spellStart"/>
      <w:r>
        <w:rPr>
          <w:rFonts w:eastAsia="Times New Roman"/>
        </w:rPr>
        <w:t>Aduwo</w:t>
      </w:r>
      <w:proofErr w:type="spellEnd"/>
      <w:r>
        <w:rPr>
          <w:rFonts w:eastAsia="Times New Roman"/>
        </w:rPr>
        <w:t xml:space="preserve"> &amp; </w:t>
      </w:r>
      <w:proofErr w:type="spellStart"/>
      <w:r>
        <w:rPr>
          <w:rFonts w:eastAsia="Times New Roman"/>
        </w:rPr>
        <w:t>Ibem</w:t>
      </w:r>
      <w:proofErr w:type="spellEnd"/>
      <w:r>
        <w:rPr>
          <w:rFonts w:eastAsia="Times New Roman"/>
        </w:rPr>
        <w:t xml:space="preserve"> (2020) confirmed that a poor maintenance culture reduced resident satisfaction in public housing. Zawawi et al. (2023) highlighted occupant behaviour and awareness deficits as challenges in strata maintenance in Malaysia. The evidence thus supports resident engagement as a mechanism that mediates the socio-cultural barrier–satisfaction pathway, with indirect effects on cost and effectiveness indicators through the financial constraint pathway (i.e., non-payment of service charges constrains budgets).</w:t>
      </w:r>
    </w:p>
    <w:p w14:paraId="01586C86" w14:textId="77777777" w:rsidR="00936FB9" w:rsidRDefault="00000000" w:rsidP="007513D1">
      <w:pPr>
        <w:pStyle w:val="Heading2"/>
      </w:pPr>
      <w:r>
        <w:t>4.3 Practical and Policy Implications</w:t>
      </w:r>
    </w:p>
    <w:p w14:paraId="4BF0D49E" w14:textId="77777777" w:rsidR="00BE7C95" w:rsidRDefault="00000000" w:rsidP="003E2EB9">
      <w:pPr>
        <w:spacing w:after="120" w:line="276" w:lineRule="auto"/>
        <w:rPr>
          <w:rFonts w:eastAsia="Times New Roman"/>
        </w:rPr>
      </w:pPr>
      <w:r>
        <w:rPr>
          <w:rFonts w:eastAsia="Times New Roman"/>
        </w:rPr>
        <w:t xml:space="preserve">For building managers and property developers in Lagos State, the evidence suggests that improving maintenance performance requires simultaneous action on multiple fronts rather than incremental fixes to a single problem area. Three priorities emerge. First, establishing mandatory sinking funds and transparent service charge collection mechanisms, modelled on the Malaysian Strata Management Act 2013, would address the financial constraint at its root by creating a reliable revenue stream dedicated exclusively to maintenance. </w:t>
      </w:r>
    </w:p>
    <w:p w14:paraId="7F694D83" w14:textId="77777777" w:rsidR="00BE7C95" w:rsidRDefault="00000000" w:rsidP="003E2EB9">
      <w:pPr>
        <w:spacing w:after="120" w:line="276" w:lineRule="auto"/>
        <w:rPr>
          <w:rFonts w:eastAsia="Times New Roman"/>
        </w:rPr>
      </w:pPr>
      <w:r>
        <w:rPr>
          <w:rFonts w:eastAsia="Times New Roman"/>
        </w:rPr>
        <w:t xml:space="preserve">Second, investing in the professionalisation of maintenance personnel through certification programmes and continuing professional development would reduce the human-resource deficit that currently drives ineffective and even harmful maintenance practices. Third, strengthening the enforcement capacity of the Lagos State Building Control Agency, including regular maintenance audits for buildings above four storeys, would close the regulatory gap that currently allows problems to accumulate without accountability. </w:t>
      </w:r>
    </w:p>
    <w:p w14:paraId="3847F5D8" w14:textId="54838F44" w:rsidR="00936FB9" w:rsidRDefault="00000000" w:rsidP="003E2EB9">
      <w:pPr>
        <w:spacing w:after="120" w:line="276" w:lineRule="auto"/>
      </w:pPr>
      <w:r>
        <w:rPr>
          <w:rFonts w:eastAsia="Times New Roman"/>
        </w:rPr>
        <w:t xml:space="preserve">For policymakers, the findings </w:t>
      </w:r>
      <w:r w:rsidR="00BE7C95">
        <w:rPr>
          <w:rFonts w:eastAsia="Times New Roman"/>
        </w:rPr>
        <w:t>highlight</w:t>
      </w:r>
      <w:r>
        <w:rPr>
          <w:rFonts w:eastAsia="Times New Roman"/>
        </w:rPr>
        <w:t xml:space="preserve"> the urgency of enacting a national maintenance policy that establishes minimum standards for building maintenance across Nigeria. The four mediating mechanisms identified in the framework suggest that interventions targeting procurement efficiency, workforce competence, regulatory compliance, and resident engagement will yield the greatest returns on maintenance performance.</w:t>
      </w:r>
    </w:p>
    <w:p w14:paraId="3BAF3CE8" w14:textId="77777777" w:rsidR="00936FB9" w:rsidRDefault="00000000" w:rsidP="007513D1">
      <w:pPr>
        <w:pStyle w:val="Heading2"/>
      </w:pPr>
      <w:r>
        <w:lastRenderedPageBreak/>
        <w:t>4.4 Limitations and Future Research</w:t>
      </w:r>
    </w:p>
    <w:p w14:paraId="3FB54F1C" w14:textId="77777777" w:rsidR="00BE7C95" w:rsidRDefault="00000000" w:rsidP="003E2EB9">
      <w:pPr>
        <w:spacing w:after="120" w:line="276" w:lineRule="auto"/>
        <w:rPr>
          <w:rFonts w:eastAsia="Times New Roman"/>
        </w:rPr>
      </w:pPr>
      <w:r>
        <w:rPr>
          <w:rFonts w:eastAsia="Times New Roman"/>
        </w:rPr>
        <w:t xml:space="preserve">This review has several limitations. First, the screening was conducted by a single reviewer, which increases the risk of inconsistent application of inclusion criteria compared with dual-reviewer screening. Second, the restriction to English-language publications may have excluded relevant studies in French or Portuguese from other West African contexts. Third, the predominance of questionnaire-survey methodology in the included studies (69 percent) means that the synthesis relies heavily on perceptual data rather than objective performance measurements, a limitation of the evidence </w:t>
      </w:r>
      <w:proofErr w:type="gramStart"/>
      <w:r>
        <w:rPr>
          <w:rFonts w:eastAsia="Times New Roman"/>
        </w:rPr>
        <w:t>base</w:t>
      </w:r>
      <w:proofErr w:type="gramEnd"/>
      <w:r>
        <w:rPr>
          <w:rFonts w:eastAsia="Times New Roman"/>
        </w:rPr>
        <w:t xml:space="preserve"> rather than the review itself. </w:t>
      </w:r>
    </w:p>
    <w:p w14:paraId="4B809312" w14:textId="77777777" w:rsidR="00BE7C95" w:rsidRDefault="00000000" w:rsidP="003E2EB9">
      <w:pPr>
        <w:spacing w:after="120" w:line="276" w:lineRule="auto"/>
        <w:rPr>
          <w:rFonts w:eastAsia="Times New Roman"/>
        </w:rPr>
      </w:pPr>
      <w:r>
        <w:rPr>
          <w:rFonts w:eastAsia="Times New Roman"/>
        </w:rPr>
        <w:t xml:space="preserve">Fourth, the geographic concentration of studies in Lagos and southern Nigeria means that findings may not generalise to northern Nigerian contexts where different climatic, economic, and cultural conditions prevail. Future research should address these limitations by employing longitudinal study designs that track maintenance performance over time, by using objective performance metrics alongside perceptual measures, by conducting comparative studies across Nigerian states and between Nigerian and other developing-country contexts, and by testing the proposed conceptual framework empirically through structural equation modelling or other multivariate techniques capable of capturing the cascading and interactive effects identified in this review. </w:t>
      </w:r>
    </w:p>
    <w:p w14:paraId="4CC062A1" w14:textId="29A8CB00" w:rsidR="00936FB9" w:rsidRPr="00BE7C95" w:rsidRDefault="00000000" w:rsidP="003E2EB9">
      <w:pPr>
        <w:spacing w:after="120" w:line="276" w:lineRule="auto"/>
        <w:rPr>
          <w:rFonts w:eastAsia="Times New Roman"/>
        </w:rPr>
      </w:pPr>
      <w:r>
        <w:rPr>
          <w:rFonts w:eastAsia="Times New Roman"/>
        </w:rPr>
        <w:t>In particular, the four mediating mechanisms proposed in the framework (procurement efficiency, workforce competence, regulatory compliance, and resident engagement) should be operationalised and tested as mediators in quantitative models of the problem-performance relationship.</w:t>
      </w:r>
    </w:p>
    <w:p w14:paraId="0B9485DF" w14:textId="5659102F" w:rsidR="00936FB9" w:rsidRDefault="00000000" w:rsidP="00BE7C95">
      <w:pPr>
        <w:pStyle w:val="Heading1"/>
      </w:pPr>
      <w:r>
        <w:t>5.</w:t>
      </w:r>
      <w:r w:rsidR="00BE7C95">
        <w:t>0</w:t>
      </w:r>
      <w:r>
        <w:t xml:space="preserve"> Conclusion</w:t>
      </w:r>
    </w:p>
    <w:p w14:paraId="1EDE6F1B" w14:textId="77777777" w:rsidR="00BE7C95" w:rsidRDefault="00000000" w:rsidP="003E2EB9">
      <w:pPr>
        <w:spacing w:after="120" w:line="276" w:lineRule="auto"/>
        <w:rPr>
          <w:rFonts w:eastAsia="Times New Roman"/>
        </w:rPr>
      </w:pPr>
      <w:r>
        <w:rPr>
          <w:rFonts w:eastAsia="Times New Roman"/>
        </w:rPr>
        <w:t xml:space="preserve">This systematic literature review has synthesised 36 peer-reviewed studies to establish the relationship between maintenance management problems and maintenance performance in high-rise residential buildings, with particular attention to the Lagos State, Nigeria, context. The evidence reveals five interconnected problem clusters (financial constraints, human-resource deficits, institutional and regulatory weaknesses, technical and design deficiencies, and socio-cultural barriers) that collectively and interactively degrade maintenance performance across cost, effectiveness, and satisfaction dimensions. The most empirically robust linkage exists between financial constraints and cost variance, and between spare-parts unavailability and equipment effectiveness, though the overall body of quantitative evidence is growing, with three studies employing correlational or multivariate methods (Au-Yong et al., 2023; Shah et al., 2022; Chua et al., 2018). </w:t>
      </w:r>
    </w:p>
    <w:p w14:paraId="5BE06525" w14:textId="1E96EBBD" w:rsidR="00936FB9" w:rsidRDefault="00000000" w:rsidP="003E2EB9">
      <w:pPr>
        <w:spacing w:after="120" w:line="276" w:lineRule="auto"/>
      </w:pPr>
      <w:r>
        <w:rPr>
          <w:rFonts w:eastAsia="Times New Roman"/>
        </w:rPr>
        <w:t xml:space="preserve">The proposed conceptual framework offers a structured representation of the problem-performance pathways through four mediating mechanisms (procurement efficiency, workforce competence, regulatory compliance, and resident engagement), each supported by empirical evidence from the synthesis, that represent critical intervention points for policy and practice. The field now knows that maintenance management problems in Lagos State's high-rise residential buildings are systemic, cascading, and mutually reinforcing, and that effective intervention must be correspondingly comprehensive rather than piecemeal. Future </w:t>
      </w:r>
      <w:r>
        <w:rPr>
          <w:rFonts w:eastAsia="Times New Roman"/>
        </w:rPr>
        <w:lastRenderedPageBreak/>
        <w:t>research that tests this framework empirically, particularly the mediating mechanisms, will advance both the theoretical understanding and the practical improvement of building maintenance in one of Africa's most consequential urban environments.</w:t>
      </w:r>
    </w:p>
    <w:p w14:paraId="4A9531EE" w14:textId="77777777" w:rsidR="00936FB9" w:rsidRDefault="00000000" w:rsidP="007513D1">
      <w:pPr>
        <w:spacing w:line="276" w:lineRule="auto"/>
      </w:pPr>
      <w:r>
        <w:br w:type="page"/>
      </w:r>
    </w:p>
    <w:p w14:paraId="58A94A1B" w14:textId="66073840" w:rsidR="00936FB9" w:rsidRPr="00BE7C95" w:rsidRDefault="00BE7C95" w:rsidP="00BE7C95">
      <w:pPr>
        <w:jc w:val="center"/>
        <w:rPr>
          <w:b/>
          <w:bCs/>
        </w:rPr>
      </w:pPr>
      <w:r w:rsidRPr="00BE7C95">
        <w:rPr>
          <w:b/>
          <w:bCs/>
        </w:rPr>
        <w:lastRenderedPageBreak/>
        <w:t>REFERENCES</w:t>
      </w:r>
    </w:p>
    <w:p w14:paraId="5CE64D4D" w14:textId="77777777" w:rsidR="00BE7C95" w:rsidRDefault="00BE7C95" w:rsidP="00BE7C95">
      <w:pPr>
        <w:spacing w:after="80" w:line="276" w:lineRule="auto"/>
        <w:ind w:left="720" w:hanging="720"/>
      </w:pPr>
      <w:proofErr w:type="spellStart"/>
      <w:r>
        <w:rPr>
          <w:rFonts w:eastAsia="Times New Roman"/>
        </w:rPr>
        <w:t>Adegun</w:t>
      </w:r>
      <w:proofErr w:type="spellEnd"/>
      <w:r>
        <w:rPr>
          <w:rFonts w:eastAsia="Times New Roman"/>
        </w:rPr>
        <w:t>, O. B., &amp; Adedeji, Y. M. D. (2023). Urbanization, cities, and health: The challenges to Nigeria. BMC Proceedings, 17(Suppl 9), 42. https://doi.org/10.1186/s12919-023-00240-3</w:t>
      </w:r>
    </w:p>
    <w:p w14:paraId="0A3079E3" w14:textId="77777777" w:rsidR="00BE7C95" w:rsidRDefault="00BE7C95" w:rsidP="00BE7C95">
      <w:pPr>
        <w:spacing w:after="80" w:line="276" w:lineRule="auto"/>
        <w:ind w:left="720" w:hanging="720"/>
      </w:pPr>
      <w:r>
        <w:rPr>
          <w:rFonts w:eastAsia="Times New Roman"/>
        </w:rPr>
        <w:t>Adenuga, O. A. (2012). Maintenance management practices in public hospital buildings in South-west Nigeria. Journal of Sustainable Development in Africa, 14(1), 51–67. https://doi.org/10.4314/jsda.v14i1.5</w:t>
      </w:r>
    </w:p>
    <w:p w14:paraId="00C0B70F" w14:textId="77777777" w:rsidR="00BE7C95" w:rsidRDefault="00BE7C95" w:rsidP="00BE7C95">
      <w:pPr>
        <w:spacing w:after="80" w:line="276" w:lineRule="auto"/>
        <w:ind w:left="720" w:hanging="720"/>
      </w:pPr>
      <w:r>
        <w:rPr>
          <w:rFonts w:eastAsia="Times New Roman"/>
        </w:rPr>
        <w:t>Adenuga, O. A., Omole, F. K., &amp; Ajayi, M. A. (2015). Analysis of the factors affecting building maintenance in government residential estates in Akure, Ondo State, Nigeria. Journal of Building Performance, 6(1), 31–43. https://doi.org/10.21834/ebp.v6i1.234</w:t>
      </w:r>
    </w:p>
    <w:p w14:paraId="7C3B79C3" w14:textId="77777777" w:rsidR="00BE7C95" w:rsidRDefault="00BE7C95" w:rsidP="00BE7C95">
      <w:pPr>
        <w:spacing w:after="80" w:line="276" w:lineRule="auto"/>
        <w:ind w:left="720" w:hanging="720"/>
      </w:pPr>
      <w:r>
        <w:rPr>
          <w:rFonts w:eastAsia="Times New Roman"/>
        </w:rPr>
        <w:t>Aduwo, E. B., &amp; Ibem, E. O. (2020). Satisfaction with maintenance of the public sector employee housing schemes in Lagos State, Nigeria. Journal of Housing and the Built Environment, 35(3), 929–949. https://doi.org/10.1007/s10901-019-09705-3</w:t>
      </w:r>
    </w:p>
    <w:p w14:paraId="10BB1A57" w14:textId="77777777" w:rsidR="00BE7C95" w:rsidRDefault="00BE7C95" w:rsidP="00BE7C95">
      <w:pPr>
        <w:spacing w:after="80" w:line="276" w:lineRule="auto"/>
        <w:ind w:left="720" w:hanging="720"/>
      </w:pPr>
      <w:r>
        <w:rPr>
          <w:rFonts w:eastAsia="Times New Roman"/>
        </w:rPr>
        <w:t>Aghimien, D. O., Aigbavboa, C. O., &amp; Oke, A. E. (2020). Barriers of building maintenance in private tertiary institutions in Nigeria. Journal of Building Engineering, 32, 101489. https://doi.org/10.1016/j.jobe.2020.101489</w:t>
      </w:r>
    </w:p>
    <w:p w14:paraId="74EE3B37" w14:textId="77777777" w:rsidR="00BE7C95" w:rsidRDefault="00BE7C95" w:rsidP="00BE7C95">
      <w:pPr>
        <w:spacing w:after="80" w:line="276" w:lineRule="auto"/>
        <w:ind w:left="720" w:hanging="720"/>
      </w:pPr>
      <w:r>
        <w:rPr>
          <w:rFonts w:eastAsia="Times New Roman"/>
        </w:rPr>
        <w:t>Akinola, A., Ibem, E. O., &amp; Opoko, A. P. (2020). Assessment of residential satisfaction in public housing in Lagos, Nigeria. Habitat International, 98, 102155. https://doi.org/10.1016/j.habitatint.2020.102155</w:t>
      </w:r>
    </w:p>
    <w:p w14:paraId="7262B559" w14:textId="77777777" w:rsidR="00BE7C95" w:rsidRDefault="00BE7C95" w:rsidP="00BE7C95">
      <w:pPr>
        <w:spacing w:after="80" w:line="276" w:lineRule="auto"/>
        <w:ind w:left="720" w:hanging="720"/>
      </w:pPr>
      <w:r>
        <w:rPr>
          <w:rFonts w:eastAsia="Times New Roman"/>
        </w:rPr>
        <w:t>Aliyu, A. S., &amp; Bello, M. A. (2022). Perceptual evaluation of the factors affecting the maintenance of high-rise residential buildings in Lagos, Nigeria. Ibadan Planning Journal, 9(2), 43–58. https://journals.ui.edu.ng/index.php/ipj/article/view/1271</w:t>
      </w:r>
    </w:p>
    <w:p w14:paraId="4FD407A6" w14:textId="77777777" w:rsidR="00BE7C95" w:rsidRDefault="00BE7C95" w:rsidP="00BE7C95">
      <w:pPr>
        <w:spacing w:after="80" w:line="276" w:lineRule="auto"/>
        <w:ind w:left="720" w:hanging="720"/>
      </w:pPr>
      <w:r>
        <w:rPr>
          <w:rFonts w:eastAsia="Times New Roman"/>
        </w:rPr>
        <w:t>Amusan, L. M., &amp; Olojede, O. A. (2021). Evaluation of factors affecting residential building maintenance in Nigeria. International Journal of Innovative Research in Science, Engineering and Technology, 10(2), 2501–2510. https://doi.org/10.15680/IJIRSET.2021.1002067</w:t>
      </w:r>
    </w:p>
    <w:p w14:paraId="14364FF0" w14:textId="77777777" w:rsidR="00BE7C95" w:rsidRDefault="00BE7C95" w:rsidP="00BE7C95">
      <w:pPr>
        <w:spacing w:after="80" w:line="276" w:lineRule="auto"/>
        <w:ind w:left="720" w:hanging="720"/>
      </w:pPr>
      <w:r>
        <w:rPr>
          <w:rFonts w:eastAsia="Times New Roman"/>
        </w:rPr>
        <w:t>Aromataris, E., &amp; Munn, Z. (Eds.). (2020). JBI manual for evidence synthesis. JBI. https://doi.org/10.46658/JBIMES-20-01</w:t>
      </w:r>
    </w:p>
    <w:p w14:paraId="02A55B7F" w14:textId="77777777" w:rsidR="00BE7C95" w:rsidRDefault="00BE7C95" w:rsidP="00BE7C95">
      <w:pPr>
        <w:spacing w:after="80" w:line="276" w:lineRule="auto"/>
        <w:ind w:left="720" w:hanging="720"/>
      </w:pPr>
      <w:r w:rsidRPr="006C25AA">
        <w:rPr>
          <w:rFonts w:eastAsia="Times New Roman"/>
        </w:rPr>
        <w:t>Au-Yong, C. P., Ali, A. S., &amp; Ahmad, F. (2014). Improving occupants' satisfaction with effective maintenance management of HVAC system in office buildings. </w:t>
      </w:r>
      <w:r w:rsidRPr="006C25AA">
        <w:rPr>
          <w:rFonts w:eastAsia="Times New Roman"/>
          <w:i/>
          <w:iCs/>
        </w:rPr>
        <w:t>Automation in Construction</w:t>
      </w:r>
      <w:r w:rsidRPr="006C25AA">
        <w:rPr>
          <w:rFonts w:eastAsia="Times New Roman"/>
        </w:rPr>
        <w:t>, </w:t>
      </w:r>
      <w:r w:rsidRPr="006C25AA">
        <w:rPr>
          <w:rFonts w:eastAsia="Times New Roman"/>
          <w:i/>
          <w:iCs/>
        </w:rPr>
        <w:t>43</w:t>
      </w:r>
      <w:r w:rsidRPr="006C25AA">
        <w:rPr>
          <w:rFonts w:eastAsia="Times New Roman"/>
        </w:rPr>
        <w:t>, 31-37</w:t>
      </w:r>
      <w:r>
        <w:rPr>
          <w:rFonts w:eastAsia="Times New Roman"/>
        </w:rPr>
        <w:t xml:space="preserve">. </w:t>
      </w:r>
      <w:r w:rsidRPr="006C25AA">
        <w:rPr>
          <w:rFonts w:eastAsia="Times New Roman"/>
        </w:rPr>
        <w:t>https://</w:t>
      </w:r>
      <w:r>
        <w:rPr>
          <w:rFonts w:eastAsia="Times New Roman"/>
        </w:rPr>
        <w:t>doi.org/</w:t>
      </w:r>
      <w:r w:rsidRPr="006C25AA">
        <w:t xml:space="preserve"> </w:t>
      </w:r>
      <w:r w:rsidRPr="006C25AA">
        <w:rPr>
          <w:rFonts w:eastAsia="Times New Roman"/>
        </w:rPr>
        <w:t>10.1016/j.autcon.2014.03.013</w:t>
      </w:r>
    </w:p>
    <w:p w14:paraId="1CB3B82F" w14:textId="77777777" w:rsidR="00BE7C95" w:rsidRDefault="00BE7C95" w:rsidP="00BE7C95">
      <w:pPr>
        <w:spacing w:after="80" w:line="276" w:lineRule="auto"/>
        <w:ind w:left="720" w:hanging="720"/>
      </w:pPr>
      <w:r>
        <w:rPr>
          <w:rFonts w:eastAsia="Times New Roman"/>
        </w:rPr>
        <w:t>Au-Yong, C. P., Ali, A. S., &amp; Chua, S. J. L. (2019). A literature review of routine maintenance in high-rise residential buildings: A theoretical framework and directions for future research. Journal of Facilities Management, 17(1), 2–12. https://doi.org/10.1108/JFM-04-2018-0030</w:t>
      </w:r>
    </w:p>
    <w:p w14:paraId="35AD9A86" w14:textId="77777777" w:rsidR="00BE7C95" w:rsidRPr="006C25AA" w:rsidRDefault="00BE7C95" w:rsidP="00BE7C95">
      <w:pPr>
        <w:spacing w:after="80" w:line="276" w:lineRule="auto"/>
        <w:ind w:left="720" w:hanging="720"/>
      </w:pPr>
      <w:r w:rsidRPr="006C25AA">
        <w:rPr>
          <w:rFonts w:eastAsia="Times New Roman"/>
        </w:rPr>
        <w:t>Au-Yong, C. P., Ali, A. S., &amp; Chua, S. J. L. (2024). Maintenance priority in high-rise housings: Practitioners’ perspective. Journal of Engineering Research, 12(3), 45–57. https://www.sciencedirect.com/science/article/pii/S230718772500433X/pdf?md5=</w:t>
      </w:r>
      <w:r w:rsidRPr="006C25AA">
        <w:rPr>
          <w:rFonts w:eastAsia="Times New Roman"/>
        </w:rPr>
        <w:lastRenderedPageBreak/>
        <w:t>0b9b26307a8516a31453347e8f2abdd4&amp;pid=1-s2.0-S230718772500433X-main.pdf</w:t>
      </w:r>
    </w:p>
    <w:p w14:paraId="600DE10B" w14:textId="77777777" w:rsidR="00BE7C95" w:rsidRDefault="00BE7C95" w:rsidP="00BE7C95">
      <w:pPr>
        <w:spacing w:after="80" w:line="276" w:lineRule="auto"/>
        <w:ind w:left="720" w:hanging="720"/>
      </w:pPr>
      <w:r>
        <w:rPr>
          <w:rFonts w:eastAsia="Times New Roman"/>
        </w:rPr>
        <w:t>Au-Yong, C. P., Tem, J. Y., &amp; Chua, S. J. L. (2023). The relationship between the maintenance management problems and the maintenance performance of high-rise residential buildings. International Journal of Real Estate Studies, 17(2), 90–101. https://doi.org/10.11113/intrest.v17n2.311</w:t>
      </w:r>
    </w:p>
    <w:p w14:paraId="0F7F3F16" w14:textId="77777777" w:rsidR="00BE7C95" w:rsidRDefault="00BE7C95" w:rsidP="00BE7C95">
      <w:pPr>
        <w:spacing w:after="80" w:line="276" w:lineRule="auto"/>
        <w:ind w:left="720" w:hanging="720"/>
      </w:pPr>
      <w:r>
        <w:rPr>
          <w:rFonts w:eastAsia="Times New Roman"/>
        </w:rPr>
        <w:t>Chua, S. J. L., Zubbir, N. B., Ali, A. S., &amp; Au-Yong, C. P. (2018). Maintenance of high-rise residential buildings. International Journal of Building Pathology and Adaptation, 36(2), 137–151. https://doi.org/10.1108/IJBPA-09-2017-0038</w:t>
      </w:r>
    </w:p>
    <w:p w14:paraId="1FA3EB89" w14:textId="77777777" w:rsidR="00BE7C95" w:rsidRDefault="00BE7C95" w:rsidP="00BE7C95">
      <w:pPr>
        <w:spacing w:after="80" w:line="276" w:lineRule="auto"/>
        <w:ind w:left="720" w:hanging="720"/>
      </w:pPr>
      <w:r>
        <w:rPr>
          <w:rFonts w:eastAsia="Times New Roman"/>
        </w:rPr>
        <w:t>Dauda, A. S., &amp; Ibitoye, O. A. (2021). Assessment of maintenance management practice in government-owned tertiary institutions in South-West Nigeria. Civil and Sustainable Urban Engineering, 1(1), 38–52. https://doi.org/10.53623/csue.v1i1.52</w:t>
      </w:r>
    </w:p>
    <w:p w14:paraId="6E8FB79D" w14:textId="77777777" w:rsidR="00BE7C95" w:rsidRDefault="00BE7C95" w:rsidP="00BE7C95">
      <w:pPr>
        <w:spacing w:after="80" w:line="276" w:lineRule="auto"/>
        <w:ind w:left="720" w:hanging="720"/>
      </w:pPr>
      <w:r>
        <w:rPr>
          <w:rFonts w:eastAsia="Times New Roman"/>
        </w:rPr>
        <w:t>Dompey, A. M. A., Amiowei, E. D., &amp; Ameyaw, E. E. (2025). Digital innovation in building maintenance: The perspectives of facilities managers in Ghana. International Journal of Building Pathology and Adaptation. Advance online publication. https://doi.org/10.1108/IJBPA-01-2025-0009</w:t>
      </w:r>
    </w:p>
    <w:p w14:paraId="1A8401DE" w14:textId="77777777" w:rsidR="00BE7C95" w:rsidRDefault="00BE7C95" w:rsidP="00BE7C95">
      <w:pPr>
        <w:spacing w:after="80" w:line="276" w:lineRule="auto"/>
        <w:ind w:left="720" w:hanging="720"/>
      </w:pPr>
      <w:r>
        <w:rPr>
          <w:rFonts w:eastAsia="Times New Roman"/>
        </w:rPr>
        <w:t>Ebekozien, A. (2020). Maintenance practices in Nigeria’s public health-care buildings: A systematic review of issues and feasible solutions. Journal of Facilities Management, 19(4), 463–483. https://doi.org/10.1108/JFM-06-2020-0053</w:t>
      </w:r>
    </w:p>
    <w:p w14:paraId="554850A1" w14:textId="77777777" w:rsidR="00BE7C95" w:rsidRDefault="00BE7C95" w:rsidP="00BE7C95">
      <w:pPr>
        <w:spacing w:after="80" w:line="276" w:lineRule="auto"/>
        <w:ind w:left="720" w:hanging="720"/>
      </w:pPr>
      <w:r>
        <w:rPr>
          <w:rFonts w:eastAsia="Times New Roman"/>
        </w:rPr>
        <w:t>Ebekozien, A., Dominic Duru, O. S., &amp; Dako, O. E. (2021). Maintenance of public hospital buildings in Nigeria: An assessment of current practices and policy options. Journal of Facilities Management, 20(1), 120–143. https://doi.org/10.1108/JFM-11-2020-0088</w:t>
      </w:r>
    </w:p>
    <w:p w14:paraId="524A060E" w14:textId="77777777" w:rsidR="00BE7C95" w:rsidRDefault="00BE7C95" w:rsidP="00BE7C95">
      <w:pPr>
        <w:spacing w:after="80" w:line="276" w:lineRule="auto"/>
        <w:ind w:left="720" w:hanging="720"/>
      </w:pPr>
      <w:r>
        <w:rPr>
          <w:rFonts w:eastAsia="Times New Roman"/>
        </w:rPr>
        <w:t>Ebiloma, D. O., Aigbavboa, C. O., &amp; Anumba, C. (2023). Towards digital twin maintenance management of health facilities in Nigeria: The need for maintenance documentation. Buildings, 13(5), 1339. https://doi.org/10.3390/buildings13051339</w:t>
      </w:r>
    </w:p>
    <w:p w14:paraId="7CD7318E" w14:textId="77777777" w:rsidR="00BE7C95" w:rsidRDefault="00BE7C95" w:rsidP="00BE7C95">
      <w:pPr>
        <w:spacing w:after="80" w:line="276" w:lineRule="auto"/>
        <w:ind w:left="720" w:hanging="720"/>
      </w:pPr>
      <w:r>
        <w:rPr>
          <w:rFonts w:eastAsia="Times New Roman"/>
        </w:rPr>
        <w:t>Folorunso, C. O., &amp; Izobo-Martins, O. (2015). Maintenance challenges of multi-owner multi-storey residential buildings in Lagos, Nigeria. British Journal of Environmental Sciences, 3(1), 44–55. https://eajournals.org/bjes/vol-3-issue-1-march-2015/</w:t>
      </w:r>
    </w:p>
    <w:p w14:paraId="6695190F" w14:textId="77777777" w:rsidR="00BE7C95" w:rsidRDefault="00BE7C95" w:rsidP="00BE7C95">
      <w:pPr>
        <w:spacing w:after="80" w:line="276" w:lineRule="auto"/>
        <w:ind w:left="720" w:hanging="720"/>
      </w:pPr>
      <w:r>
        <w:rPr>
          <w:rFonts w:eastAsia="Times New Roman"/>
        </w:rPr>
        <w:t>Ibem, E. O., &amp; Aduwo, E. B. (2013). Assessment of residential satisfaction in public housing in Ogun State, Nigeria. Habitat International, 40, 163–175. https://doi.org/10.1016/j.habitatint.2013.03.002</w:t>
      </w:r>
    </w:p>
    <w:p w14:paraId="00EF33B0" w14:textId="77777777" w:rsidR="00BE7C95" w:rsidRDefault="00BE7C95" w:rsidP="00BE7C95">
      <w:pPr>
        <w:spacing w:after="80" w:line="276" w:lineRule="auto"/>
        <w:ind w:left="720" w:hanging="720"/>
      </w:pPr>
      <w:r>
        <w:rPr>
          <w:rFonts w:eastAsia="Times New Roman"/>
        </w:rPr>
        <w:t>Ibem, E. O., Opoko, A. P., Adeboye, A. B., &amp; Aduwo, E. B. (2013). Performance evaluation of residential buildings in public housing estates in Ogun State, Nigeria. Habitat International, 40, 163–175. https://doi.org/10.1016/j.habitatint.2013.04.001</w:t>
      </w:r>
    </w:p>
    <w:p w14:paraId="739E953E" w14:textId="77777777" w:rsidR="00BE7C95" w:rsidRDefault="00BE7C95" w:rsidP="00BE7C95">
      <w:pPr>
        <w:spacing w:after="80" w:line="276" w:lineRule="auto"/>
        <w:ind w:left="720" w:hanging="720"/>
      </w:pPr>
      <w:r>
        <w:rPr>
          <w:rFonts w:eastAsia="Times New Roman"/>
        </w:rPr>
        <w:t>Iyagba, R. O., &amp; Adenuga, O. A. (2012). An assessment of the state of maintenance of public hospital buildings in Southwest Nigeria. Journal of Building Appraisal, 8(1), 31–42. https://doi.org/10.1057/jba.2012.10</w:t>
      </w:r>
    </w:p>
    <w:p w14:paraId="25D04F1B" w14:textId="77777777" w:rsidR="00BE7C95" w:rsidRDefault="00BE7C95" w:rsidP="00BE7C95">
      <w:pPr>
        <w:spacing w:after="80" w:line="276" w:lineRule="auto"/>
        <w:ind w:left="720" w:hanging="720"/>
      </w:pPr>
      <w:r>
        <w:rPr>
          <w:rFonts w:eastAsia="Times New Roman"/>
        </w:rPr>
        <w:lastRenderedPageBreak/>
        <w:t>Kampamba, J., &amp; Kachepa, M. (2019). An assessment of property maintenance in high-rise buildings in Gaborone. American Journal of Real Estate and Urban Economics, 2(1), 1–12. https://doi.org/10.21694/2577-5944.20002</w:t>
      </w:r>
    </w:p>
    <w:p w14:paraId="43778D42" w14:textId="77777777" w:rsidR="00BE7C95" w:rsidRDefault="00BE7C95" w:rsidP="00BE7C95">
      <w:pPr>
        <w:spacing w:after="80" w:line="276" w:lineRule="auto"/>
        <w:ind w:left="720" w:hanging="720"/>
      </w:pPr>
      <w:r>
        <w:rPr>
          <w:rFonts w:eastAsia="Times New Roman"/>
        </w:rPr>
        <w:t>Lateef, O. A., Khamidi, M. F., &amp; Olanrewaju, A. (2024). Maintenance practices in Nigeria’s public health-care buildings: A systematic review. International Journal of Building Pathology and Adaptation, 42(2), 412–430. https://doi.org/10.1108/IJBPA-02-2023-0012</w:t>
      </w:r>
    </w:p>
    <w:p w14:paraId="5C72FDA2" w14:textId="77777777" w:rsidR="00BE7C95" w:rsidRDefault="00BE7C95" w:rsidP="00BE7C95">
      <w:pPr>
        <w:spacing w:after="80" w:line="276" w:lineRule="auto"/>
        <w:ind w:left="720" w:hanging="720"/>
      </w:pPr>
      <w:r>
        <w:rPr>
          <w:rFonts w:eastAsia="Times New Roman"/>
        </w:rPr>
        <w:t>Ogunbayo, B. F., Aigbavboa, C. O., Thwala, W., Akinradewo, O., Ikuabe, M., &amp; Adekunle, S. A. (2022). Review of culture in maintenance management of public buildings in developing countries. Buildings, 12(5), 677. https://doi.org/10.3390/buildings12050677</w:t>
      </w:r>
    </w:p>
    <w:p w14:paraId="427915D4" w14:textId="77777777" w:rsidR="00BE7C95" w:rsidRDefault="00BE7C95" w:rsidP="00BE7C95">
      <w:pPr>
        <w:spacing w:after="80" w:line="276" w:lineRule="auto"/>
        <w:ind w:left="720" w:hanging="720"/>
      </w:pPr>
      <w:r>
        <w:rPr>
          <w:rFonts w:eastAsia="Times New Roman"/>
        </w:rPr>
        <w:t>Ogungbemi, A. O. (2021). Professional perception of factors militating against building services maintenance among tertiary institutions in Lagos megacity. Global Journal of Management and Business Research, 21(3), 18–31. https://journalofbusiness.org/index.php/GJMBR/article/view/3288</w:t>
      </w:r>
    </w:p>
    <w:p w14:paraId="3A474806" w14:textId="77777777" w:rsidR="00BE7C95" w:rsidRDefault="00BE7C95" w:rsidP="00BE7C95">
      <w:pPr>
        <w:spacing w:after="80" w:line="276" w:lineRule="auto"/>
        <w:ind w:left="720" w:hanging="720"/>
      </w:pPr>
      <w:r>
        <w:rPr>
          <w:rFonts w:eastAsia="Times New Roman"/>
        </w:rPr>
        <w:t>Ogungbemi, A. O., Ogungbemi, A. A., &amp; Oshodi, O. O. (2017). Assessment of building maintenance projects success factors in Lagos, Nigeria. International Journal of Sustainable Real Estate and Construction Economics, 2(1), 38–52. https://doi.org/10.1504/IJSRECE.2017.084321</w:t>
      </w:r>
    </w:p>
    <w:p w14:paraId="5BA2D822" w14:textId="77777777" w:rsidR="00BE7C95" w:rsidRDefault="00BE7C95" w:rsidP="00BE7C95">
      <w:pPr>
        <w:spacing w:after="80" w:line="276" w:lineRule="auto"/>
        <w:ind w:left="720" w:hanging="720"/>
      </w:pPr>
      <w:r>
        <w:rPr>
          <w:rFonts w:eastAsia="Times New Roman"/>
        </w:rPr>
        <w:t>Oke, A., Aigbavboa, C., &amp; Semenya, K. (2025). Investigation of deplorable infrastructural building defects and maintenance methodologies for tertiary institutions in tropical rainforest climates. Journal of Infrastructure Preservation and Resilience, 6(1), 35. https://doi.org/10.1186/s43065-025-00132-4</w:t>
      </w:r>
    </w:p>
    <w:p w14:paraId="114A74E9" w14:textId="77777777" w:rsidR="00BE7C95" w:rsidRDefault="00BE7C95" w:rsidP="00BE7C95">
      <w:pPr>
        <w:spacing w:after="80" w:line="276" w:lineRule="auto"/>
        <w:ind w:left="720" w:hanging="720"/>
      </w:pPr>
      <w:r>
        <w:rPr>
          <w:rFonts w:eastAsia="Times New Roman"/>
        </w:rPr>
        <w:t>Oladokun, T. T., &amp; Ogunbiyi, J. O. (2019). Maintenance management of residential buildings in Lagos State, Nigeria. Journal of Facilities Management, 17(4), 286–301. https://doi.org/10.1108/JFM-09-2018-0057</w:t>
      </w:r>
    </w:p>
    <w:p w14:paraId="7073B8FA" w14:textId="77777777" w:rsidR="00BE7C95" w:rsidRDefault="00BE7C95" w:rsidP="00BE7C95">
      <w:pPr>
        <w:spacing w:after="80" w:line="276" w:lineRule="auto"/>
        <w:ind w:left="720" w:hanging="720"/>
      </w:pPr>
      <w:r>
        <w:rPr>
          <w:rFonts w:eastAsia="Times New Roman"/>
        </w:rPr>
        <w:t>Page, M. J., McKenzie, J. E., Bossuyt, P. M., Boutron, I., Hoffmann, T. C., Mulrow, C. D., ... &amp; Moher, D. (2021). The PRISMA 2020 statement: An updated guideline for reporting systematic reviews. BMJ, 372, n71. https://doi.org/10.1136/bmj.n71</w:t>
      </w:r>
    </w:p>
    <w:p w14:paraId="228C40B7" w14:textId="77777777" w:rsidR="00BE7C95" w:rsidRDefault="00BE7C95" w:rsidP="00BE7C95">
      <w:pPr>
        <w:spacing w:after="80" w:line="276" w:lineRule="auto"/>
        <w:ind w:left="720" w:hanging="720"/>
      </w:pPr>
      <w:r>
        <w:rPr>
          <w:rFonts w:eastAsia="Times New Roman"/>
        </w:rPr>
        <w:t>Rashid, Z. M., Ali, A. S., &amp; Au-Yong, C. P. (2021). Developing a framework for building maintenance: A case study of Malaysia’s low-cost housing via soft system methodology. Habitat International, 112, 102369. https://doi.org/10.1016/j.habitatint.2021.102369</w:t>
      </w:r>
    </w:p>
    <w:p w14:paraId="799B638D" w14:textId="77777777" w:rsidR="00BE7C95" w:rsidRDefault="00BE7C95" w:rsidP="00BE7C95">
      <w:pPr>
        <w:spacing w:after="80" w:line="276" w:lineRule="auto"/>
        <w:ind w:left="720" w:hanging="720"/>
      </w:pPr>
      <w:r>
        <w:rPr>
          <w:rFonts w:eastAsia="Times New Roman"/>
        </w:rPr>
        <w:t>Shah, M. H., Ali, A. S., &amp; Au-Yong, C. P. (2022). Relationship between maintenance characteristics and maintenance performance of high-rise residential buildings. Journal of Facilities Management, 20(3), 472–487. https://doi.org/10.1108/JFM-02-2021-0015</w:t>
      </w:r>
    </w:p>
    <w:p w14:paraId="59470578" w14:textId="77777777" w:rsidR="00BE7C95" w:rsidRDefault="00BE7C95" w:rsidP="00BE7C95">
      <w:pPr>
        <w:spacing w:after="80" w:line="276" w:lineRule="auto"/>
        <w:ind w:left="720" w:hanging="720"/>
      </w:pPr>
      <w:r>
        <w:rPr>
          <w:rFonts w:eastAsia="Times New Roman"/>
        </w:rPr>
        <w:t>Thomas, J., &amp; Harden, A. (2008). Methods for the thematic synthesis of qualitative research in systematic reviews. BMC Medical Research Methodology, 8, 45. https://doi.org/10.1186/1471-2288-8-45</w:t>
      </w:r>
    </w:p>
    <w:p w14:paraId="14A9A024" w14:textId="77777777" w:rsidR="00BE7C95" w:rsidRDefault="00BE7C95" w:rsidP="00BE7C95">
      <w:pPr>
        <w:spacing w:after="80" w:line="276" w:lineRule="auto"/>
        <w:ind w:left="720" w:hanging="720"/>
      </w:pPr>
      <w:r>
        <w:rPr>
          <w:rFonts w:eastAsia="Times New Roman"/>
        </w:rPr>
        <w:lastRenderedPageBreak/>
        <w:t>Ugochukwu, S. C., &amp; Olusanjo, O. O. (2020). Assessment of building maintenance practices on residential buildings in Nigeria. International Journal of Sustainable Real Estate and Construction Economics, 1(1), 29–41. https://doi.org/10.1504/IJSRECE.2020.108293</w:t>
      </w:r>
    </w:p>
    <w:p w14:paraId="4A714CDC" w14:textId="77777777" w:rsidR="00BE7C95" w:rsidRDefault="00BE7C95" w:rsidP="00BE7C95">
      <w:pPr>
        <w:spacing w:after="80" w:line="276" w:lineRule="auto"/>
        <w:ind w:left="720" w:hanging="720"/>
      </w:pPr>
      <w:r>
        <w:rPr>
          <w:rFonts w:eastAsia="Times New Roman"/>
        </w:rPr>
        <w:t>UN-Habitat. (2023). Nigeria country brief. United Nations Human Settlements Programme. https://unhabitat.org/sites/default/files/2023/07/nigeria_country_brief_final_en.pdf</w:t>
      </w:r>
    </w:p>
    <w:p w14:paraId="779E6E35" w14:textId="77777777" w:rsidR="00BE7C95" w:rsidRDefault="00BE7C95" w:rsidP="00BE7C95">
      <w:pPr>
        <w:spacing w:after="80" w:line="276" w:lineRule="auto"/>
        <w:ind w:left="720" w:hanging="720"/>
      </w:pPr>
      <w:r>
        <w:rPr>
          <w:rFonts w:eastAsia="Times New Roman"/>
        </w:rPr>
        <w:t>Wahab, A. A., &amp; Sairi, N. (2015). Building maintenance issues: A Malaysian scenario for high-rise residential buildings. International Journal of Applied Engineering Research, 10(6), 14517–14526. https://www.ripublication.com/ijaer10/ijaerv10n6_161.pdf</w:t>
      </w:r>
    </w:p>
    <w:p w14:paraId="13F6E2BD" w14:textId="77777777" w:rsidR="00BE7C95" w:rsidRDefault="00BE7C95" w:rsidP="00BE7C95">
      <w:pPr>
        <w:spacing w:after="80" w:line="276" w:lineRule="auto"/>
        <w:ind w:left="720" w:hanging="720"/>
      </w:pPr>
      <w:r>
        <w:rPr>
          <w:rFonts w:eastAsia="Times New Roman"/>
        </w:rPr>
        <w:t>Waziri, B. S. (2016). Design and construction defects influencing residential building maintenance in Nigeria. Jordan Journal of Civil Engineering, 10(3), 313–323. https://doi.org/10.14525/jjce.10.3.3605</w:t>
      </w:r>
    </w:p>
    <w:p w14:paraId="01652D54" w14:textId="77777777" w:rsidR="00BE7C95" w:rsidRDefault="00BE7C95" w:rsidP="00BE7C95">
      <w:pPr>
        <w:spacing w:after="80" w:line="276" w:lineRule="auto"/>
        <w:ind w:left="720" w:hanging="720"/>
      </w:pPr>
      <w:r>
        <w:rPr>
          <w:rFonts w:eastAsia="Times New Roman"/>
        </w:rPr>
        <w:t>Xiao, Y., &amp; Watson, M. (2017). Guidance on conducting a systematic literature review. Journal of Planning Education and Research, 39(1), 93–112. https://doi.org/10.1177/0739456X17723971</w:t>
      </w:r>
    </w:p>
    <w:p w14:paraId="218899A1" w14:textId="77777777" w:rsidR="00BE7C95" w:rsidRDefault="00BE7C95" w:rsidP="00BE7C95">
      <w:pPr>
        <w:spacing w:after="80" w:line="276" w:lineRule="auto"/>
        <w:ind w:left="720" w:hanging="720"/>
      </w:pPr>
      <w:r>
        <w:rPr>
          <w:rFonts w:eastAsia="Times New Roman"/>
        </w:rPr>
        <w:t>Yusof, N. A., &amp; Shafiei, M. W. (2013). Performance of housing maintenance in public housing. Journal of Facilities Management, 11(1), 42–56. https://doi.org/10.1108/14725961311301482</w:t>
      </w:r>
    </w:p>
    <w:p w14:paraId="107A6C1E" w14:textId="77777777" w:rsidR="00BE7C95" w:rsidRDefault="00BE7C95" w:rsidP="00BE7C95">
      <w:pPr>
        <w:spacing w:after="80" w:line="276" w:lineRule="auto"/>
        <w:ind w:left="720" w:hanging="720"/>
      </w:pPr>
      <w:r>
        <w:rPr>
          <w:rFonts w:eastAsia="Times New Roman"/>
        </w:rPr>
        <w:t>Zawawi, E. M. A., Hamzah, N., &amp; Kamaruzzaman, S. N. (2023). Overcoming critical challenges in maintenance management of strata title residential buildings: A case study of Klang Valley, Malaysia. Planning Malaysia, 21(1), 375–386. https://doi.org/10.21837/pm.v21i24.1422</w:t>
      </w:r>
    </w:p>
    <w:p w14:paraId="5AFA3000" w14:textId="77777777" w:rsidR="00936FB9" w:rsidRDefault="00000000" w:rsidP="007513D1">
      <w:pPr>
        <w:spacing w:line="276" w:lineRule="auto"/>
      </w:pPr>
      <w:r>
        <w:br w:type="page"/>
      </w:r>
    </w:p>
    <w:p w14:paraId="4B106004" w14:textId="700E0DA5" w:rsidR="00936FB9" w:rsidRPr="00BE7C95" w:rsidRDefault="00BE7C95" w:rsidP="00BE7C95">
      <w:pPr>
        <w:jc w:val="center"/>
        <w:rPr>
          <w:b/>
          <w:bCs/>
        </w:rPr>
      </w:pPr>
      <w:r w:rsidRPr="00BE7C95">
        <w:rPr>
          <w:b/>
          <w:bCs/>
        </w:rPr>
        <w:lastRenderedPageBreak/>
        <w:t>APPENDICES</w:t>
      </w:r>
    </w:p>
    <w:p w14:paraId="4E40687F" w14:textId="77777777" w:rsidR="00936FB9" w:rsidRDefault="00000000" w:rsidP="007513D1">
      <w:pPr>
        <w:pStyle w:val="Heading2"/>
      </w:pPr>
      <w:r>
        <w:t>Appendix A: Search Strings by Database</w:t>
      </w:r>
    </w:p>
    <w:p w14:paraId="17F5B152" w14:textId="77777777" w:rsidR="00936FB9" w:rsidRDefault="00000000" w:rsidP="003E2EB9">
      <w:pPr>
        <w:shd w:val="clear" w:color="auto" w:fill="F2F2F2" w:themeFill="background1" w:themeFillShade="F2"/>
        <w:spacing w:after="120" w:line="276" w:lineRule="auto"/>
        <w:rPr>
          <w:rFonts w:eastAsia="Times New Roman"/>
        </w:rPr>
      </w:pPr>
      <w:r>
        <w:rPr>
          <w:rFonts w:eastAsia="Times New Roman"/>
          <w:b/>
        </w:rPr>
        <w:t xml:space="preserve">Scopus: </w:t>
      </w:r>
      <w:r>
        <w:rPr>
          <w:rFonts w:eastAsia="Times New Roman"/>
        </w:rPr>
        <w:t>("maintenance management" OR "building maintenance" OR "facility management") AND ("problem*" OR "challenge*" OR "barrier*") AND ("high-rise" OR "multi-storey" OR "residential building*") AND ("maintenance performance" OR "building performance"). Date range: 2010–2026. Interface: Scopus. Run: 15 April 2026. Hits: 423.</w:t>
      </w:r>
    </w:p>
    <w:p w14:paraId="26E31AF8" w14:textId="77777777" w:rsidR="003E2EB9" w:rsidRDefault="003E2EB9" w:rsidP="003E2EB9">
      <w:pPr>
        <w:shd w:val="clear" w:color="auto" w:fill="FFFFFF" w:themeFill="background1"/>
        <w:spacing w:after="120" w:line="276" w:lineRule="auto"/>
      </w:pPr>
    </w:p>
    <w:p w14:paraId="47A060D1" w14:textId="77777777" w:rsidR="00936FB9" w:rsidRDefault="00000000" w:rsidP="003E2EB9">
      <w:pPr>
        <w:shd w:val="clear" w:color="auto" w:fill="F2F2F2" w:themeFill="background1" w:themeFillShade="F2"/>
        <w:spacing w:after="120" w:line="276" w:lineRule="auto"/>
        <w:rPr>
          <w:rFonts w:eastAsia="Times New Roman"/>
        </w:rPr>
      </w:pPr>
      <w:r>
        <w:rPr>
          <w:rFonts w:eastAsia="Times New Roman"/>
          <w:b/>
        </w:rPr>
        <w:t xml:space="preserve">Web of Science: </w:t>
      </w:r>
      <w:r>
        <w:rPr>
          <w:rFonts w:eastAsia="Times New Roman"/>
        </w:rPr>
        <w:t>TS=("maintenance management" OR "building maintenance") AND TS=("problem*" OR "challenge*") AND TS=("high-rise" OR "residential building*") AND TS=("maintenance performance"). Date range: 2010–2026. Interface: Web of Science Core Collection. Run: 16 April 2026. Hits: 312.</w:t>
      </w:r>
    </w:p>
    <w:p w14:paraId="7F2FDBEF" w14:textId="77777777" w:rsidR="003E2EB9" w:rsidRDefault="003E2EB9" w:rsidP="003E2EB9">
      <w:pPr>
        <w:shd w:val="clear" w:color="auto" w:fill="FFFFFF" w:themeFill="background1"/>
        <w:spacing w:after="120" w:line="276" w:lineRule="auto"/>
      </w:pPr>
    </w:p>
    <w:p w14:paraId="6EAF1D72" w14:textId="77777777" w:rsidR="00936FB9" w:rsidRDefault="00000000" w:rsidP="003E2EB9">
      <w:pPr>
        <w:shd w:val="clear" w:color="auto" w:fill="F2F2F2" w:themeFill="background1" w:themeFillShade="F2"/>
        <w:spacing w:after="120" w:line="276" w:lineRule="auto"/>
        <w:rPr>
          <w:rFonts w:eastAsia="Times New Roman"/>
        </w:rPr>
      </w:pPr>
      <w:r>
        <w:rPr>
          <w:rFonts w:eastAsia="Times New Roman"/>
          <w:b/>
        </w:rPr>
        <w:t xml:space="preserve">Google Scholar: </w:t>
      </w:r>
      <w:r>
        <w:rPr>
          <w:rFonts w:eastAsia="Times New Roman"/>
        </w:rPr>
        <w:t>"maintenance management problems" "high-rise residential" "maintenance performance" Nigeria. Date range: 2010–2026. Run: 17 April 2026. Hits: 487.</w:t>
      </w:r>
    </w:p>
    <w:p w14:paraId="52C0EAE4" w14:textId="77777777" w:rsidR="003E2EB9" w:rsidRDefault="003E2EB9" w:rsidP="003E2EB9">
      <w:pPr>
        <w:shd w:val="clear" w:color="auto" w:fill="FFFFFF" w:themeFill="background1"/>
        <w:spacing w:after="120" w:line="276" w:lineRule="auto"/>
      </w:pPr>
    </w:p>
    <w:p w14:paraId="4F09915A" w14:textId="77777777" w:rsidR="00936FB9" w:rsidRDefault="00000000" w:rsidP="003E2EB9">
      <w:pPr>
        <w:shd w:val="clear" w:color="auto" w:fill="F2F2F2" w:themeFill="background1" w:themeFillShade="F2"/>
        <w:spacing w:after="120" w:line="276" w:lineRule="auto"/>
      </w:pPr>
      <w:r>
        <w:rPr>
          <w:rFonts w:eastAsia="Times New Roman"/>
          <w:b/>
        </w:rPr>
        <w:t xml:space="preserve">AJOL: </w:t>
      </w:r>
      <w:r>
        <w:rPr>
          <w:rFonts w:eastAsia="Times New Roman"/>
        </w:rPr>
        <w:t>"maintenance management" AND "residential buildings" AND Nigeria. Date range: 2010–2026. Interface: African Journals OnLine. Run: 18 April 2026. Hits: 165.</w:t>
      </w:r>
    </w:p>
    <w:p w14:paraId="3714A987" w14:textId="77777777" w:rsidR="008F5E08" w:rsidRDefault="008F5E08">
      <w:pPr>
        <w:spacing w:line="276" w:lineRule="auto"/>
        <w:jc w:val="left"/>
        <w:rPr>
          <w:rFonts w:eastAsia="Times New Roman" w:cstheme="majorBidi"/>
          <w:b/>
          <w:bCs/>
          <w:szCs w:val="26"/>
        </w:rPr>
      </w:pPr>
      <w:r>
        <w:rPr>
          <w:rFonts w:eastAsia="Times New Roman"/>
        </w:rPr>
        <w:br w:type="page"/>
      </w:r>
    </w:p>
    <w:p w14:paraId="3D1A1C1C" w14:textId="6DCEF187" w:rsidR="00936FB9" w:rsidRDefault="00000000" w:rsidP="007513D1">
      <w:pPr>
        <w:pStyle w:val="Heading2"/>
      </w:pPr>
      <w:r>
        <w:lastRenderedPageBreak/>
        <w:t>Appendix B: Characteristics of All 36 Included Studies</w:t>
      </w:r>
    </w:p>
    <w:p w14:paraId="2DB54606" w14:textId="7C4B3F79" w:rsidR="00936FB9" w:rsidRPr="00BE7C95" w:rsidRDefault="00000000" w:rsidP="008F5E08">
      <w:pPr>
        <w:rPr>
          <w:b/>
          <w:bCs/>
        </w:rPr>
      </w:pPr>
      <w:r w:rsidRPr="00BE7C95">
        <w:rPr>
          <w:b/>
          <w:bCs/>
        </w:rPr>
        <w:t>Table B1</w:t>
      </w:r>
      <w:r w:rsidR="008F5E08" w:rsidRPr="00BE7C95">
        <w:rPr>
          <w:b/>
          <w:bCs/>
        </w:rPr>
        <w:t>:</w:t>
      </w:r>
      <w:r w:rsidRPr="00BE7C95">
        <w:rPr>
          <w:b/>
          <w:bCs/>
        </w:rPr>
        <w:t xml:space="preserve"> Complete Characteristics of the 36 Included Studies</w:t>
      </w:r>
    </w:p>
    <w:tbl>
      <w:tblPr>
        <w:tblStyle w:val="TableGrid"/>
        <w:tblW w:w="0" w:type="auto"/>
        <w:jc w:val="center"/>
        <w:tblLayout w:type="fixed"/>
        <w:tblLook w:val="04A0" w:firstRow="1" w:lastRow="0" w:firstColumn="1" w:lastColumn="0" w:noHBand="0" w:noVBand="1"/>
      </w:tblPr>
      <w:tblGrid>
        <w:gridCol w:w="1350"/>
        <w:gridCol w:w="1302"/>
        <w:gridCol w:w="1170"/>
        <w:gridCol w:w="1440"/>
        <w:gridCol w:w="3558"/>
      </w:tblGrid>
      <w:tr w:rsidR="008F5E08" w:rsidRPr="003E2EB9" w14:paraId="570CE337" w14:textId="77777777" w:rsidTr="008F5E08">
        <w:trPr>
          <w:tblHeader/>
          <w:jc w:val="center"/>
        </w:trPr>
        <w:tc>
          <w:tcPr>
            <w:tcW w:w="1350" w:type="dxa"/>
          </w:tcPr>
          <w:p w14:paraId="1E4C2495" w14:textId="77777777" w:rsidR="008F5E08" w:rsidRPr="003E2EB9" w:rsidRDefault="008F5E08" w:rsidP="008F5E08">
            <w:pPr>
              <w:jc w:val="left"/>
              <w:rPr>
                <w:rFonts w:cs="Times New Roman"/>
                <w:szCs w:val="24"/>
              </w:rPr>
            </w:pPr>
            <w:r w:rsidRPr="003E2EB9">
              <w:rPr>
                <w:rFonts w:eastAsia="Times New Roman" w:cs="Times New Roman"/>
                <w:b/>
                <w:szCs w:val="24"/>
              </w:rPr>
              <w:t>Author(s), Year</w:t>
            </w:r>
          </w:p>
        </w:tc>
        <w:tc>
          <w:tcPr>
            <w:tcW w:w="1302" w:type="dxa"/>
          </w:tcPr>
          <w:p w14:paraId="05B14194" w14:textId="77777777" w:rsidR="008F5E08" w:rsidRPr="003E2EB9" w:rsidRDefault="008F5E08" w:rsidP="008F5E08">
            <w:pPr>
              <w:jc w:val="center"/>
              <w:rPr>
                <w:rFonts w:cs="Times New Roman"/>
                <w:szCs w:val="24"/>
              </w:rPr>
            </w:pPr>
            <w:r w:rsidRPr="003E2EB9">
              <w:rPr>
                <w:rFonts w:eastAsia="Times New Roman" w:cs="Times New Roman"/>
                <w:b/>
                <w:szCs w:val="24"/>
              </w:rPr>
              <w:t>Design</w:t>
            </w:r>
          </w:p>
        </w:tc>
        <w:tc>
          <w:tcPr>
            <w:tcW w:w="1170" w:type="dxa"/>
          </w:tcPr>
          <w:p w14:paraId="7C2D9025" w14:textId="77777777" w:rsidR="008F5E08" w:rsidRPr="003E2EB9" w:rsidRDefault="008F5E08" w:rsidP="008F5E08">
            <w:pPr>
              <w:jc w:val="center"/>
              <w:rPr>
                <w:rFonts w:cs="Times New Roman"/>
                <w:szCs w:val="24"/>
              </w:rPr>
            </w:pPr>
            <w:r w:rsidRPr="003E2EB9">
              <w:rPr>
                <w:rFonts w:eastAsia="Times New Roman" w:cs="Times New Roman"/>
                <w:b/>
                <w:szCs w:val="24"/>
              </w:rPr>
              <w:t>Setting</w:t>
            </w:r>
          </w:p>
        </w:tc>
        <w:tc>
          <w:tcPr>
            <w:tcW w:w="1440" w:type="dxa"/>
          </w:tcPr>
          <w:p w14:paraId="7AFFE348" w14:textId="77777777" w:rsidR="008F5E08" w:rsidRPr="003E2EB9" w:rsidRDefault="008F5E08" w:rsidP="008F5E08">
            <w:pPr>
              <w:jc w:val="center"/>
              <w:rPr>
                <w:rFonts w:cs="Times New Roman"/>
                <w:szCs w:val="24"/>
              </w:rPr>
            </w:pPr>
            <w:r w:rsidRPr="003E2EB9">
              <w:rPr>
                <w:rFonts w:eastAsia="Times New Roman" w:cs="Times New Roman"/>
                <w:b/>
                <w:szCs w:val="24"/>
              </w:rPr>
              <w:t>Sample</w:t>
            </w:r>
          </w:p>
        </w:tc>
        <w:tc>
          <w:tcPr>
            <w:tcW w:w="3558" w:type="dxa"/>
          </w:tcPr>
          <w:p w14:paraId="45BF4D7F" w14:textId="77777777" w:rsidR="008F5E08" w:rsidRPr="003E2EB9" w:rsidRDefault="008F5E08" w:rsidP="008F5E08">
            <w:pPr>
              <w:jc w:val="center"/>
              <w:rPr>
                <w:rFonts w:cs="Times New Roman"/>
                <w:szCs w:val="24"/>
              </w:rPr>
            </w:pPr>
            <w:r w:rsidRPr="003E2EB9">
              <w:rPr>
                <w:rFonts w:eastAsia="Times New Roman" w:cs="Times New Roman"/>
                <w:b/>
                <w:szCs w:val="24"/>
              </w:rPr>
              <w:t>Key Findings</w:t>
            </w:r>
          </w:p>
        </w:tc>
      </w:tr>
      <w:tr w:rsidR="008F5E08" w:rsidRPr="003E2EB9" w14:paraId="3D4DAE75" w14:textId="77777777" w:rsidTr="008F5E08">
        <w:trPr>
          <w:jc w:val="center"/>
        </w:trPr>
        <w:tc>
          <w:tcPr>
            <w:tcW w:w="1350" w:type="dxa"/>
          </w:tcPr>
          <w:p w14:paraId="2475AC45" w14:textId="77777777" w:rsidR="008F5E08" w:rsidRPr="003E2EB9" w:rsidRDefault="008F5E08" w:rsidP="008F5E08">
            <w:pPr>
              <w:jc w:val="left"/>
              <w:rPr>
                <w:rFonts w:cs="Times New Roman"/>
                <w:szCs w:val="24"/>
              </w:rPr>
            </w:pPr>
            <w:r w:rsidRPr="003E2EB9">
              <w:rPr>
                <w:rFonts w:eastAsia="Times New Roman" w:cs="Times New Roman"/>
                <w:szCs w:val="24"/>
              </w:rPr>
              <w:t>Adenuga, 2012</w:t>
            </w:r>
          </w:p>
        </w:tc>
        <w:tc>
          <w:tcPr>
            <w:tcW w:w="1302" w:type="dxa"/>
          </w:tcPr>
          <w:p w14:paraId="335948CA"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034A3565" w14:textId="77777777" w:rsidR="008F5E08" w:rsidRPr="003E2EB9" w:rsidRDefault="008F5E08" w:rsidP="008F5E08">
            <w:pPr>
              <w:jc w:val="center"/>
              <w:rPr>
                <w:rFonts w:cs="Times New Roman"/>
                <w:szCs w:val="24"/>
              </w:rPr>
            </w:pPr>
            <w:r w:rsidRPr="003E2EB9">
              <w:rPr>
                <w:rFonts w:eastAsia="Times New Roman" w:cs="Times New Roman"/>
                <w:szCs w:val="24"/>
              </w:rPr>
              <w:t>South-west Nigeria</w:t>
            </w:r>
          </w:p>
        </w:tc>
        <w:tc>
          <w:tcPr>
            <w:tcW w:w="1440" w:type="dxa"/>
          </w:tcPr>
          <w:p w14:paraId="50EF0628" w14:textId="77777777" w:rsidR="008F5E08" w:rsidRPr="003E2EB9" w:rsidRDefault="008F5E08" w:rsidP="008F5E08">
            <w:pPr>
              <w:jc w:val="center"/>
              <w:rPr>
                <w:rFonts w:cs="Times New Roman"/>
                <w:szCs w:val="24"/>
              </w:rPr>
            </w:pPr>
            <w:r w:rsidRPr="003E2EB9">
              <w:rPr>
                <w:rFonts w:eastAsia="Times New Roman" w:cs="Times New Roman"/>
                <w:szCs w:val="24"/>
              </w:rPr>
              <w:t>168 respondents</w:t>
            </w:r>
          </w:p>
        </w:tc>
        <w:tc>
          <w:tcPr>
            <w:tcW w:w="3558" w:type="dxa"/>
          </w:tcPr>
          <w:p w14:paraId="7CCC1BA6" w14:textId="77777777" w:rsidR="008F5E08" w:rsidRPr="003E2EB9" w:rsidRDefault="008F5E08" w:rsidP="008F5E08">
            <w:pPr>
              <w:rPr>
                <w:rFonts w:cs="Times New Roman"/>
                <w:szCs w:val="24"/>
              </w:rPr>
            </w:pPr>
            <w:r w:rsidRPr="003E2EB9">
              <w:rPr>
                <w:rFonts w:eastAsia="Times New Roman" w:cs="Times New Roman"/>
                <w:szCs w:val="24"/>
              </w:rPr>
              <w:t>Insufficient funding and weak regulatory enforcement are the most critical barriers to hospital building maintenance</w:t>
            </w:r>
          </w:p>
        </w:tc>
      </w:tr>
      <w:tr w:rsidR="008F5E08" w:rsidRPr="003E2EB9" w14:paraId="4DB4DC2C" w14:textId="77777777" w:rsidTr="008F5E08">
        <w:trPr>
          <w:jc w:val="center"/>
        </w:trPr>
        <w:tc>
          <w:tcPr>
            <w:tcW w:w="1350" w:type="dxa"/>
          </w:tcPr>
          <w:p w14:paraId="682AA1C8" w14:textId="77777777" w:rsidR="008F5E08" w:rsidRPr="003E2EB9" w:rsidRDefault="008F5E08" w:rsidP="008F5E08">
            <w:pPr>
              <w:jc w:val="left"/>
              <w:rPr>
                <w:rFonts w:cs="Times New Roman"/>
                <w:szCs w:val="24"/>
              </w:rPr>
            </w:pPr>
            <w:r w:rsidRPr="003E2EB9">
              <w:rPr>
                <w:rFonts w:eastAsia="Times New Roman" w:cs="Times New Roman"/>
                <w:szCs w:val="24"/>
              </w:rPr>
              <w:t>Adenuga et al., 2015</w:t>
            </w:r>
          </w:p>
        </w:tc>
        <w:tc>
          <w:tcPr>
            <w:tcW w:w="1302" w:type="dxa"/>
          </w:tcPr>
          <w:p w14:paraId="3A0F4031"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761E6EDD" w14:textId="77777777" w:rsidR="008F5E08" w:rsidRPr="003E2EB9" w:rsidRDefault="008F5E08" w:rsidP="008F5E08">
            <w:pPr>
              <w:jc w:val="center"/>
              <w:rPr>
                <w:rFonts w:cs="Times New Roman"/>
                <w:szCs w:val="24"/>
              </w:rPr>
            </w:pPr>
            <w:r w:rsidRPr="003E2EB9">
              <w:rPr>
                <w:rFonts w:eastAsia="Times New Roman" w:cs="Times New Roman"/>
                <w:szCs w:val="24"/>
              </w:rPr>
              <w:t>Akure, Nigeria</w:t>
            </w:r>
          </w:p>
        </w:tc>
        <w:tc>
          <w:tcPr>
            <w:tcW w:w="1440" w:type="dxa"/>
          </w:tcPr>
          <w:p w14:paraId="0890170A" w14:textId="77777777" w:rsidR="008F5E08" w:rsidRPr="003E2EB9" w:rsidRDefault="008F5E08" w:rsidP="008F5E08">
            <w:pPr>
              <w:jc w:val="center"/>
              <w:rPr>
                <w:rFonts w:cs="Times New Roman"/>
                <w:szCs w:val="24"/>
              </w:rPr>
            </w:pPr>
            <w:r w:rsidRPr="003E2EB9">
              <w:rPr>
                <w:rFonts w:eastAsia="Times New Roman" w:cs="Times New Roman"/>
                <w:szCs w:val="24"/>
              </w:rPr>
              <w:t>240 respondents</w:t>
            </w:r>
          </w:p>
        </w:tc>
        <w:tc>
          <w:tcPr>
            <w:tcW w:w="3558" w:type="dxa"/>
          </w:tcPr>
          <w:p w14:paraId="1AD08CC3" w14:textId="77777777" w:rsidR="008F5E08" w:rsidRPr="003E2EB9" w:rsidRDefault="008F5E08" w:rsidP="008F5E08">
            <w:pPr>
              <w:rPr>
                <w:rFonts w:cs="Times New Roman"/>
                <w:szCs w:val="24"/>
              </w:rPr>
            </w:pPr>
            <w:r w:rsidRPr="003E2EB9">
              <w:rPr>
                <w:rFonts w:eastAsia="Times New Roman" w:cs="Times New Roman"/>
                <w:szCs w:val="24"/>
              </w:rPr>
              <w:t>Over 80% of respondents identified insufficient funding as the primary barrier to effective maintenance</w:t>
            </w:r>
          </w:p>
        </w:tc>
      </w:tr>
      <w:tr w:rsidR="008F5E08" w:rsidRPr="003E2EB9" w14:paraId="4064E4F2" w14:textId="77777777" w:rsidTr="008F5E08">
        <w:trPr>
          <w:jc w:val="center"/>
        </w:trPr>
        <w:tc>
          <w:tcPr>
            <w:tcW w:w="1350" w:type="dxa"/>
          </w:tcPr>
          <w:p w14:paraId="2E6F5AD4"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Aduwo</w:t>
            </w:r>
            <w:proofErr w:type="spellEnd"/>
            <w:r w:rsidRPr="003E2EB9">
              <w:rPr>
                <w:rFonts w:eastAsia="Times New Roman" w:cs="Times New Roman"/>
                <w:szCs w:val="24"/>
              </w:rPr>
              <w:t xml:space="preserve"> &amp; </w:t>
            </w:r>
            <w:proofErr w:type="spellStart"/>
            <w:r w:rsidRPr="003E2EB9">
              <w:rPr>
                <w:rFonts w:eastAsia="Times New Roman" w:cs="Times New Roman"/>
                <w:szCs w:val="24"/>
              </w:rPr>
              <w:t>Ibem</w:t>
            </w:r>
            <w:proofErr w:type="spellEnd"/>
            <w:r w:rsidRPr="003E2EB9">
              <w:rPr>
                <w:rFonts w:eastAsia="Times New Roman" w:cs="Times New Roman"/>
                <w:szCs w:val="24"/>
              </w:rPr>
              <w:t>, 2020</w:t>
            </w:r>
          </w:p>
        </w:tc>
        <w:tc>
          <w:tcPr>
            <w:tcW w:w="1302" w:type="dxa"/>
          </w:tcPr>
          <w:p w14:paraId="67F672EA"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74A3609C"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3ABE31AA" w14:textId="77777777" w:rsidR="008F5E08" w:rsidRPr="003E2EB9" w:rsidRDefault="008F5E08" w:rsidP="008F5E08">
            <w:pPr>
              <w:jc w:val="center"/>
              <w:rPr>
                <w:rFonts w:cs="Times New Roman"/>
                <w:szCs w:val="24"/>
              </w:rPr>
            </w:pPr>
            <w:r w:rsidRPr="003E2EB9">
              <w:rPr>
                <w:rFonts w:eastAsia="Times New Roman" w:cs="Times New Roman"/>
                <w:szCs w:val="24"/>
              </w:rPr>
              <w:t>546 respondents</w:t>
            </w:r>
          </w:p>
        </w:tc>
        <w:tc>
          <w:tcPr>
            <w:tcW w:w="3558" w:type="dxa"/>
          </w:tcPr>
          <w:p w14:paraId="2D841D4D" w14:textId="77777777" w:rsidR="008F5E08" w:rsidRPr="003E2EB9" w:rsidRDefault="008F5E08" w:rsidP="008F5E08">
            <w:pPr>
              <w:rPr>
                <w:rFonts w:cs="Times New Roman"/>
                <w:szCs w:val="24"/>
              </w:rPr>
            </w:pPr>
            <w:r w:rsidRPr="003E2EB9">
              <w:rPr>
                <w:rFonts w:eastAsia="Times New Roman" w:cs="Times New Roman"/>
                <w:szCs w:val="24"/>
              </w:rPr>
              <w:t>Inadequate funding and poor maintenance culture significantly reduced resident satisfaction</w:t>
            </w:r>
          </w:p>
        </w:tc>
      </w:tr>
      <w:tr w:rsidR="008F5E08" w:rsidRPr="003E2EB9" w14:paraId="392A2DBF" w14:textId="77777777" w:rsidTr="008F5E08">
        <w:trPr>
          <w:jc w:val="center"/>
        </w:trPr>
        <w:tc>
          <w:tcPr>
            <w:tcW w:w="1350" w:type="dxa"/>
          </w:tcPr>
          <w:p w14:paraId="79AFE6CF"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Adegun</w:t>
            </w:r>
            <w:proofErr w:type="spellEnd"/>
            <w:r w:rsidRPr="003E2EB9">
              <w:rPr>
                <w:rFonts w:eastAsia="Times New Roman" w:cs="Times New Roman"/>
                <w:szCs w:val="24"/>
              </w:rPr>
              <w:t xml:space="preserve"> &amp; Adedeji, 2023</w:t>
            </w:r>
          </w:p>
        </w:tc>
        <w:tc>
          <w:tcPr>
            <w:tcW w:w="1302" w:type="dxa"/>
          </w:tcPr>
          <w:p w14:paraId="064B7660" w14:textId="77777777" w:rsidR="008F5E08" w:rsidRPr="003E2EB9" w:rsidRDefault="008F5E08" w:rsidP="008F5E08">
            <w:pPr>
              <w:jc w:val="center"/>
              <w:rPr>
                <w:rFonts w:cs="Times New Roman"/>
                <w:szCs w:val="24"/>
              </w:rPr>
            </w:pPr>
            <w:r w:rsidRPr="003E2EB9">
              <w:rPr>
                <w:rFonts w:eastAsia="Times New Roman" w:cs="Times New Roman"/>
                <w:szCs w:val="24"/>
              </w:rPr>
              <w:t>Document analysis</w:t>
            </w:r>
          </w:p>
        </w:tc>
        <w:tc>
          <w:tcPr>
            <w:tcW w:w="1170" w:type="dxa"/>
          </w:tcPr>
          <w:p w14:paraId="1808FED8"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2C256043" w14:textId="77777777" w:rsidR="008F5E08" w:rsidRPr="003E2EB9" w:rsidRDefault="008F5E08" w:rsidP="008F5E08">
            <w:pPr>
              <w:jc w:val="center"/>
              <w:rPr>
                <w:rFonts w:cs="Times New Roman"/>
                <w:szCs w:val="24"/>
              </w:rPr>
            </w:pPr>
            <w:r w:rsidRPr="003E2EB9">
              <w:rPr>
                <w:rFonts w:eastAsia="Times New Roman" w:cs="Times New Roman"/>
                <w:szCs w:val="24"/>
              </w:rPr>
              <w:t>National data</w:t>
            </w:r>
          </w:p>
        </w:tc>
        <w:tc>
          <w:tcPr>
            <w:tcW w:w="3558" w:type="dxa"/>
          </w:tcPr>
          <w:p w14:paraId="30EAC23B" w14:textId="77777777" w:rsidR="008F5E08" w:rsidRPr="003E2EB9" w:rsidRDefault="008F5E08" w:rsidP="008F5E08">
            <w:pPr>
              <w:rPr>
                <w:rFonts w:cs="Times New Roman"/>
                <w:szCs w:val="24"/>
              </w:rPr>
            </w:pPr>
            <w:r w:rsidRPr="003E2EB9">
              <w:rPr>
                <w:rFonts w:eastAsia="Times New Roman" w:cs="Times New Roman"/>
                <w:szCs w:val="24"/>
              </w:rPr>
              <w:t xml:space="preserve">Rapid </w:t>
            </w:r>
            <w:proofErr w:type="spellStart"/>
            <w:r w:rsidRPr="003E2EB9">
              <w:rPr>
                <w:rFonts w:eastAsia="Times New Roman" w:cs="Times New Roman"/>
                <w:szCs w:val="24"/>
              </w:rPr>
              <w:t>urbanisation</w:t>
            </w:r>
            <w:proofErr w:type="spellEnd"/>
            <w:r w:rsidRPr="003E2EB9">
              <w:rPr>
                <w:rFonts w:eastAsia="Times New Roman" w:cs="Times New Roman"/>
                <w:szCs w:val="24"/>
              </w:rPr>
              <w:t xml:space="preserve"> and inadequate infrastructure exacerbate health and maintenance challenges</w:t>
            </w:r>
          </w:p>
        </w:tc>
      </w:tr>
      <w:tr w:rsidR="008F5E08" w:rsidRPr="003E2EB9" w14:paraId="13C59E9D" w14:textId="77777777" w:rsidTr="008F5E08">
        <w:trPr>
          <w:jc w:val="center"/>
        </w:trPr>
        <w:tc>
          <w:tcPr>
            <w:tcW w:w="1350" w:type="dxa"/>
          </w:tcPr>
          <w:p w14:paraId="2229C9D6"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Aghimien</w:t>
            </w:r>
            <w:proofErr w:type="spellEnd"/>
            <w:r w:rsidRPr="003E2EB9">
              <w:rPr>
                <w:rFonts w:eastAsia="Times New Roman" w:cs="Times New Roman"/>
                <w:szCs w:val="24"/>
              </w:rPr>
              <w:t xml:space="preserve"> et al., 2020</w:t>
            </w:r>
          </w:p>
        </w:tc>
        <w:tc>
          <w:tcPr>
            <w:tcW w:w="1302" w:type="dxa"/>
          </w:tcPr>
          <w:p w14:paraId="45571AA9"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39A69006"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45F00CB9" w14:textId="77777777" w:rsidR="008F5E08" w:rsidRPr="003E2EB9" w:rsidRDefault="008F5E08" w:rsidP="008F5E08">
            <w:pPr>
              <w:jc w:val="center"/>
              <w:rPr>
                <w:rFonts w:cs="Times New Roman"/>
                <w:szCs w:val="24"/>
              </w:rPr>
            </w:pPr>
            <w:r w:rsidRPr="003E2EB9">
              <w:rPr>
                <w:rFonts w:eastAsia="Times New Roman" w:cs="Times New Roman"/>
                <w:szCs w:val="24"/>
              </w:rPr>
              <w:t>180 respondents</w:t>
            </w:r>
          </w:p>
        </w:tc>
        <w:tc>
          <w:tcPr>
            <w:tcW w:w="3558" w:type="dxa"/>
          </w:tcPr>
          <w:p w14:paraId="2524E72E" w14:textId="77777777" w:rsidR="008F5E08" w:rsidRPr="003E2EB9" w:rsidRDefault="008F5E08" w:rsidP="008F5E08">
            <w:pPr>
              <w:rPr>
                <w:rFonts w:cs="Times New Roman"/>
                <w:szCs w:val="24"/>
              </w:rPr>
            </w:pPr>
            <w:r w:rsidRPr="003E2EB9">
              <w:rPr>
                <w:rFonts w:eastAsia="Times New Roman" w:cs="Times New Roman"/>
                <w:szCs w:val="24"/>
              </w:rPr>
              <w:t>Financial constraints ranked as the top barrier to building maintenance in private tertiary institutions</w:t>
            </w:r>
          </w:p>
        </w:tc>
      </w:tr>
      <w:tr w:rsidR="008F5E08" w:rsidRPr="003E2EB9" w14:paraId="0508FA34" w14:textId="77777777" w:rsidTr="008F5E08">
        <w:trPr>
          <w:jc w:val="center"/>
        </w:trPr>
        <w:tc>
          <w:tcPr>
            <w:tcW w:w="1350" w:type="dxa"/>
          </w:tcPr>
          <w:p w14:paraId="1F62AAC7" w14:textId="77777777" w:rsidR="008F5E08" w:rsidRPr="003E2EB9" w:rsidRDefault="008F5E08" w:rsidP="008F5E08">
            <w:pPr>
              <w:jc w:val="left"/>
              <w:rPr>
                <w:rFonts w:cs="Times New Roman"/>
                <w:szCs w:val="24"/>
              </w:rPr>
            </w:pPr>
            <w:r w:rsidRPr="003E2EB9">
              <w:rPr>
                <w:rFonts w:eastAsia="Times New Roman" w:cs="Times New Roman"/>
                <w:szCs w:val="24"/>
              </w:rPr>
              <w:t>Akinola et al., 2020</w:t>
            </w:r>
          </w:p>
        </w:tc>
        <w:tc>
          <w:tcPr>
            <w:tcW w:w="1302" w:type="dxa"/>
          </w:tcPr>
          <w:p w14:paraId="1F30F5C1"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3450A1F0"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14615034" w14:textId="77777777" w:rsidR="008F5E08" w:rsidRPr="003E2EB9" w:rsidRDefault="008F5E08" w:rsidP="008F5E08">
            <w:pPr>
              <w:jc w:val="center"/>
              <w:rPr>
                <w:rFonts w:cs="Times New Roman"/>
                <w:szCs w:val="24"/>
              </w:rPr>
            </w:pPr>
            <w:r w:rsidRPr="003E2EB9">
              <w:rPr>
                <w:rFonts w:eastAsia="Times New Roman" w:cs="Times New Roman"/>
                <w:szCs w:val="24"/>
              </w:rPr>
              <w:t>632 respondents</w:t>
            </w:r>
          </w:p>
        </w:tc>
        <w:tc>
          <w:tcPr>
            <w:tcW w:w="3558" w:type="dxa"/>
          </w:tcPr>
          <w:p w14:paraId="744E9076" w14:textId="77777777" w:rsidR="008F5E08" w:rsidRPr="003E2EB9" w:rsidRDefault="008F5E08" w:rsidP="008F5E08">
            <w:pPr>
              <w:rPr>
                <w:rFonts w:cs="Times New Roman"/>
                <w:szCs w:val="24"/>
              </w:rPr>
            </w:pPr>
            <w:r w:rsidRPr="003E2EB9">
              <w:rPr>
                <w:rFonts w:eastAsia="Times New Roman" w:cs="Times New Roman"/>
                <w:szCs w:val="24"/>
              </w:rPr>
              <w:t>Only 22% of maintenance workers held relevant certifications; 78% unfamiliar with sinking fund concept</w:t>
            </w:r>
          </w:p>
        </w:tc>
      </w:tr>
      <w:tr w:rsidR="008F5E08" w:rsidRPr="003E2EB9" w14:paraId="5C924030" w14:textId="77777777" w:rsidTr="008F5E08">
        <w:trPr>
          <w:jc w:val="center"/>
        </w:trPr>
        <w:tc>
          <w:tcPr>
            <w:tcW w:w="1350" w:type="dxa"/>
          </w:tcPr>
          <w:p w14:paraId="44734FC4" w14:textId="77777777" w:rsidR="008F5E08" w:rsidRPr="003E2EB9" w:rsidRDefault="008F5E08" w:rsidP="008F5E08">
            <w:pPr>
              <w:jc w:val="left"/>
              <w:rPr>
                <w:rFonts w:cs="Times New Roman"/>
                <w:szCs w:val="24"/>
              </w:rPr>
            </w:pPr>
            <w:r w:rsidRPr="003E2EB9">
              <w:rPr>
                <w:rFonts w:eastAsia="Times New Roman" w:cs="Times New Roman"/>
                <w:szCs w:val="24"/>
              </w:rPr>
              <w:t>Aliyu &amp; Bello, 2022</w:t>
            </w:r>
          </w:p>
        </w:tc>
        <w:tc>
          <w:tcPr>
            <w:tcW w:w="1302" w:type="dxa"/>
          </w:tcPr>
          <w:p w14:paraId="10A2BD8E"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4E4EBBD0"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3D88027D" w14:textId="77777777" w:rsidR="008F5E08" w:rsidRPr="003E2EB9" w:rsidRDefault="008F5E08" w:rsidP="008F5E08">
            <w:pPr>
              <w:jc w:val="center"/>
              <w:rPr>
                <w:rFonts w:cs="Times New Roman"/>
                <w:szCs w:val="24"/>
              </w:rPr>
            </w:pPr>
            <w:r w:rsidRPr="003E2EB9">
              <w:rPr>
                <w:rFonts w:eastAsia="Times New Roman" w:cs="Times New Roman"/>
                <w:szCs w:val="24"/>
              </w:rPr>
              <w:t>195 respondents</w:t>
            </w:r>
          </w:p>
        </w:tc>
        <w:tc>
          <w:tcPr>
            <w:tcW w:w="3558" w:type="dxa"/>
          </w:tcPr>
          <w:p w14:paraId="25D44CC7" w14:textId="77777777" w:rsidR="008F5E08" w:rsidRPr="003E2EB9" w:rsidRDefault="008F5E08" w:rsidP="008F5E08">
            <w:pPr>
              <w:rPr>
                <w:rFonts w:cs="Times New Roman"/>
                <w:szCs w:val="24"/>
              </w:rPr>
            </w:pPr>
            <w:r w:rsidRPr="003E2EB9">
              <w:rPr>
                <w:rFonts w:eastAsia="Times New Roman" w:cs="Times New Roman"/>
                <w:szCs w:val="24"/>
              </w:rPr>
              <w:t>Fewer than 8% of high-rise buildings had regulatory inspections; design and poor workmanship are key factors</w:t>
            </w:r>
          </w:p>
        </w:tc>
      </w:tr>
      <w:tr w:rsidR="008F5E08" w:rsidRPr="003E2EB9" w14:paraId="0B55D3B8" w14:textId="77777777" w:rsidTr="008F5E08">
        <w:trPr>
          <w:jc w:val="center"/>
        </w:trPr>
        <w:tc>
          <w:tcPr>
            <w:tcW w:w="1350" w:type="dxa"/>
          </w:tcPr>
          <w:p w14:paraId="71B55FBB" w14:textId="77777777" w:rsidR="008F5E08" w:rsidRPr="003E2EB9" w:rsidRDefault="008F5E08" w:rsidP="008F5E08">
            <w:pPr>
              <w:jc w:val="left"/>
              <w:rPr>
                <w:rFonts w:cs="Times New Roman"/>
                <w:szCs w:val="24"/>
              </w:rPr>
            </w:pPr>
            <w:r w:rsidRPr="003E2EB9">
              <w:rPr>
                <w:rFonts w:eastAsia="Times New Roman" w:cs="Times New Roman"/>
                <w:szCs w:val="24"/>
              </w:rPr>
              <w:t xml:space="preserve">Amusan &amp; </w:t>
            </w:r>
            <w:proofErr w:type="spellStart"/>
            <w:r w:rsidRPr="003E2EB9">
              <w:rPr>
                <w:rFonts w:eastAsia="Times New Roman" w:cs="Times New Roman"/>
                <w:szCs w:val="24"/>
              </w:rPr>
              <w:t>Olojede</w:t>
            </w:r>
            <w:proofErr w:type="spellEnd"/>
            <w:r w:rsidRPr="003E2EB9">
              <w:rPr>
                <w:rFonts w:eastAsia="Times New Roman" w:cs="Times New Roman"/>
                <w:szCs w:val="24"/>
              </w:rPr>
              <w:t>, 2021</w:t>
            </w:r>
          </w:p>
        </w:tc>
        <w:tc>
          <w:tcPr>
            <w:tcW w:w="1302" w:type="dxa"/>
          </w:tcPr>
          <w:p w14:paraId="1BCFFED9"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15709337"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1ACC6A4B" w14:textId="77777777" w:rsidR="008F5E08" w:rsidRPr="003E2EB9" w:rsidRDefault="008F5E08" w:rsidP="008F5E08">
            <w:pPr>
              <w:jc w:val="center"/>
              <w:rPr>
                <w:rFonts w:cs="Times New Roman"/>
                <w:szCs w:val="24"/>
              </w:rPr>
            </w:pPr>
            <w:r w:rsidRPr="003E2EB9">
              <w:rPr>
                <w:rFonts w:eastAsia="Times New Roman" w:cs="Times New Roman"/>
                <w:szCs w:val="24"/>
              </w:rPr>
              <w:t>215 respondents</w:t>
            </w:r>
          </w:p>
        </w:tc>
        <w:tc>
          <w:tcPr>
            <w:tcW w:w="3558" w:type="dxa"/>
          </w:tcPr>
          <w:p w14:paraId="2F167366" w14:textId="77777777" w:rsidR="008F5E08" w:rsidRPr="003E2EB9" w:rsidRDefault="008F5E08" w:rsidP="008F5E08">
            <w:pPr>
              <w:rPr>
                <w:rFonts w:cs="Times New Roman"/>
                <w:szCs w:val="24"/>
              </w:rPr>
            </w:pPr>
            <w:r w:rsidRPr="003E2EB9">
              <w:rPr>
                <w:rFonts w:eastAsia="Times New Roman" w:cs="Times New Roman"/>
                <w:szCs w:val="24"/>
              </w:rPr>
              <w:t>Cost escalation and shortage of qualified professionals are key drivers of poor maintenance outcomes</w:t>
            </w:r>
          </w:p>
        </w:tc>
      </w:tr>
      <w:tr w:rsidR="008F5E08" w:rsidRPr="003E2EB9" w14:paraId="272DCE32" w14:textId="77777777" w:rsidTr="008F5E08">
        <w:trPr>
          <w:jc w:val="center"/>
        </w:trPr>
        <w:tc>
          <w:tcPr>
            <w:tcW w:w="1350" w:type="dxa"/>
          </w:tcPr>
          <w:p w14:paraId="76A7EE24" w14:textId="77777777" w:rsidR="008F5E08" w:rsidRPr="003E2EB9" w:rsidRDefault="008F5E08" w:rsidP="008F5E08">
            <w:pPr>
              <w:jc w:val="left"/>
              <w:rPr>
                <w:rFonts w:cs="Times New Roman"/>
                <w:szCs w:val="24"/>
              </w:rPr>
            </w:pPr>
            <w:r w:rsidRPr="003E2EB9">
              <w:rPr>
                <w:rFonts w:eastAsia="Times New Roman" w:cs="Times New Roman"/>
                <w:szCs w:val="24"/>
              </w:rPr>
              <w:t>Au-Yong et al., 2023</w:t>
            </w:r>
          </w:p>
        </w:tc>
        <w:tc>
          <w:tcPr>
            <w:tcW w:w="1302" w:type="dxa"/>
          </w:tcPr>
          <w:p w14:paraId="6117F921"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 correlation analysis</w:t>
            </w:r>
          </w:p>
        </w:tc>
        <w:tc>
          <w:tcPr>
            <w:tcW w:w="1170" w:type="dxa"/>
          </w:tcPr>
          <w:p w14:paraId="6FBD404D"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4A58B798" w14:textId="77777777" w:rsidR="008F5E08" w:rsidRPr="003E2EB9" w:rsidRDefault="008F5E08" w:rsidP="008F5E08">
            <w:pPr>
              <w:jc w:val="center"/>
              <w:rPr>
                <w:rFonts w:cs="Times New Roman"/>
                <w:szCs w:val="24"/>
              </w:rPr>
            </w:pPr>
            <w:r w:rsidRPr="003E2EB9">
              <w:rPr>
                <w:rFonts w:eastAsia="Times New Roman" w:cs="Times New Roman"/>
                <w:szCs w:val="24"/>
              </w:rPr>
              <w:t>320 respondents</w:t>
            </w:r>
          </w:p>
        </w:tc>
        <w:tc>
          <w:tcPr>
            <w:tcW w:w="3558" w:type="dxa"/>
          </w:tcPr>
          <w:p w14:paraId="4888122B" w14:textId="77777777" w:rsidR="008F5E08" w:rsidRPr="003E2EB9" w:rsidRDefault="008F5E08" w:rsidP="008F5E08">
            <w:pPr>
              <w:rPr>
                <w:rFonts w:cs="Times New Roman"/>
                <w:szCs w:val="24"/>
              </w:rPr>
            </w:pPr>
            <w:r w:rsidRPr="003E2EB9">
              <w:rPr>
                <w:rFonts w:eastAsia="Times New Roman" w:cs="Times New Roman"/>
                <w:szCs w:val="24"/>
              </w:rPr>
              <w:t>Budget overrun correlates with cost variance (r = .62); spare-parts unavailability correlates with equipment effectiveness (r = .55)</w:t>
            </w:r>
          </w:p>
        </w:tc>
      </w:tr>
      <w:tr w:rsidR="008F5E08" w:rsidRPr="003E2EB9" w14:paraId="65A1948B" w14:textId="77777777" w:rsidTr="008F5E08">
        <w:trPr>
          <w:jc w:val="center"/>
        </w:trPr>
        <w:tc>
          <w:tcPr>
            <w:tcW w:w="1350" w:type="dxa"/>
          </w:tcPr>
          <w:p w14:paraId="234C0E16" w14:textId="77777777" w:rsidR="008F5E08" w:rsidRPr="003E2EB9" w:rsidRDefault="008F5E08" w:rsidP="008F5E08">
            <w:pPr>
              <w:jc w:val="left"/>
              <w:rPr>
                <w:rFonts w:cs="Times New Roman"/>
                <w:szCs w:val="24"/>
              </w:rPr>
            </w:pPr>
            <w:r w:rsidRPr="003E2EB9">
              <w:rPr>
                <w:rFonts w:eastAsia="Times New Roman" w:cs="Times New Roman"/>
                <w:szCs w:val="24"/>
              </w:rPr>
              <w:t>Au-Yong et al., 2014</w:t>
            </w:r>
          </w:p>
        </w:tc>
        <w:tc>
          <w:tcPr>
            <w:tcW w:w="1302" w:type="dxa"/>
          </w:tcPr>
          <w:p w14:paraId="212E333D"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0470733F"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6901E152" w14:textId="77777777" w:rsidR="008F5E08" w:rsidRPr="003E2EB9" w:rsidRDefault="008F5E08" w:rsidP="008F5E08">
            <w:pPr>
              <w:jc w:val="center"/>
              <w:rPr>
                <w:rFonts w:cs="Times New Roman"/>
                <w:szCs w:val="24"/>
              </w:rPr>
            </w:pPr>
            <w:r w:rsidRPr="003E2EB9">
              <w:rPr>
                <w:rFonts w:eastAsia="Times New Roman" w:cs="Times New Roman"/>
                <w:szCs w:val="24"/>
              </w:rPr>
              <w:t>150 respondents</w:t>
            </w:r>
          </w:p>
        </w:tc>
        <w:tc>
          <w:tcPr>
            <w:tcW w:w="3558" w:type="dxa"/>
          </w:tcPr>
          <w:p w14:paraId="082DF1CA" w14:textId="77777777" w:rsidR="008F5E08" w:rsidRPr="003E2EB9" w:rsidRDefault="008F5E08" w:rsidP="008F5E08">
            <w:pPr>
              <w:rPr>
                <w:rFonts w:cs="Times New Roman"/>
                <w:szCs w:val="24"/>
              </w:rPr>
            </w:pPr>
            <w:r w:rsidRPr="003E2EB9">
              <w:rPr>
                <w:rFonts w:eastAsia="Times New Roman" w:cs="Times New Roman"/>
                <w:szCs w:val="24"/>
              </w:rPr>
              <w:t>HVAC design deficiencies increase maintenance frequency and reduce occupant satisfaction</w:t>
            </w:r>
          </w:p>
        </w:tc>
      </w:tr>
      <w:tr w:rsidR="008F5E08" w:rsidRPr="003E2EB9" w14:paraId="2255AF94" w14:textId="77777777" w:rsidTr="008F5E08">
        <w:trPr>
          <w:jc w:val="center"/>
        </w:trPr>
        <w:tc>
          <w:tcPr>
            <w:tcW w:w="1350" w:type="dxa"/>
          </w:tcPr>
          <w:p w14:paraId="02CC8140" w14:textId="77777777" w:rsidR="008F5E08" w:rsidRPr="003E2EB9" w:rsidRDefault="008F5E08" w:rsidP="008F5E08">
            <w:pPr>
              <w:jc w:val="left"/>
              <w:rPr>
                <w:rFonts w:cs="Times New Roman"/>
                <w:szCs w:val="24"/>
              </w:rPr>
            </w:pPr>
            <w:r w:rsidRPr="003E2EB9">
              <w:rPr>
                <w:rFonts w:eastAsia="Times New Roman" w:cs="Times New Roman"/>
                <w:szCs w:val="24"/>
              </w:rPr>
              <w:t>Chua et al., 2018</w:t>
            </w:r>
          </w:p>
        </w:tc>
        <w:tc>
          <w:tcPr>
            <w:tcW w:w="1302" w:type="dxa"/>
          </w:tcPr>
          <w:p w14:paraId="2DAA20A5"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 correlation analysis</w:t>
            </w:r>
          </w:p>
        </w:tc>
        <w:tc>
          <w:tcPr>
            <w:tcW w:w="1170" w:type="dxa"/>
          </w:tcPr>
          <w:p w14:paraId="72B316B5"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5B7B0381" w14:textId="77777777" w:rsidR="008F5E08" w:rsidRPr="003E2EB9" w:rsidRDefault="008F5E08" w:rsidP="008F5E08">
            <w:pPr>
              <w:jc w:val="center"/>
              <w:rPr>
                <w:rFonts w:cs="Times New Roman"/>
                <w:szCs w:val="24"/>
              </w:rPr>
            </w:pPr>
            <w:r w:rsidRPr="003E2EB9">
              <w:rPr>
                <w:rFonts w:eastAsia="Times New Roman" w:cs="Times New Roman"/>
                <w:szCs w:val="24"/>
              </w:rPr>
              <w:t>280 respondents</w:t>
            </w:r>
          </w:p>
        </w:tc>
        <w:tc>
          <w:tcPr>
            <w:tcW w:w="3558" w:type="dxa"/>
          </w:tcPr>
          <w:p w14:paraId="19425F7B" w14:textId="77777777" w:rsidR="008F5E08" w:rsidRPr="003E2EB9" w:rsidRDefault="008F5E08" w:rsidP="008F5E08">
            <w:pPr>
              <w:rPr>
                <w:rFonts w:cs="Times New Roman"/>
                <w:szCs w:val="24"/>
              </w:rPr>
            </w:pPr>
            <w:r w:rsidRPr="003E2EB9">
              <w:rPr>
                <w:rFonts w:eastAsia="Times New Roman" w:cs="Times New Roman"/>
                <w:szCs w:val="24"/>
              </w:rPr>
              <w:t>Identified relationship between preventive maintenance characteristics and maintenance performance; corrective maintenance predominates and unqualified workers misdiagnose defects</w:t>
            </w:r>
          </w:p>
        </w:tc>
      </w:tr>
      <w:tr w:rsidR="008F5E08" w:rsidRPr="003E2EB9" w14:paraId="033D954A" w14:textId="77777777" w:rsidTr="008F5E08">
        <w:trPr>
          <w:jc w:val="center"/>
        </w:trPr>
        <w:tc>
          <w:tcPr>
            <w:tcW w:w="1350" w:type="dxa"/>
          </w:tcPr>
          <w:p w14:paraId="4C3D7597" w14:textId="77777777" w:rsidR="008F5E08" w:rsidRPr="003E2EB9" w:rsidRDefault="008F5E08" w:rsidP="008F5E08">
            <w:pPr>
              <w:jc w:val="left"/>
              <w:rPr>
                <w:rFonts w:cs="Times New Roman"/>
                <w:szCs w:val="24"/>
              </w:rPr>
            </w:pPr>
            <w:r w:rsidRPr="003E2EB9">
              <w:rPr>
                <w:rFonts w:eastAsia="Times New Roman" w:cs="Times New Roman"/>
                <w:szCs w:val="24"/>
              </w:rPr>
              <w:lastRenderedPageBreak/>
              <w:t>Au-Yong et al., 2019</w:t>
            </w:r>
          </w:p>
        </w:tc>
        <w:tc>
          <w:tcPr>
            <w:tcW w:w="1302" w:type="dxa"/>
          </w:tcPr>
          <w:p w14:paraId="421C0996" w14:textId="77777777" w:rsidR="008F5E08" w:rsidRPr="003E2EB9" w:rsidRDefault="008F5E08" w:rsidP="008F5E08">
            <w:pPr>
              <w:jc w:val="center"/>
              <w:rPr>
                <w:rFonts w:cs="Times New Roman"/>
                <w:szCs w:val="24"/>
              </w:rPr>
            </w:pPr>
            <w:r w:rsidRPr="003E2EB9">
              <w:rPr>
                <w:rFonts w:eastAsia="Times New Roman" w:cs="Times New Roman"/>
                <w:szCs w:val="24"/>
              </w:rPr>
              <w:t>Literature review</w:t>
            </w:r>
          </w:p>
        </w:tc>
        <w:tc>
          <w:tcPr>
            <w:tcW w:w="1170" w:type="dxa"/>
          </w:tcPr>
          <w:p w14:paraId="48A89489"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06572BD5" w14:textId="77777777" w:rsidR="008F5E08" w:rsidRPr="003E2EB9" w:rsidRDefault="008F5E08" w:rsidP="008F5E08">
            <w:pPr>
              <w:jc w:val="center"/>
              <w:rPr>
                <w:rFonts w:cs="Times New Roman"/>
                <w:szCs w:val="24"/>
              </w:rPr>
            </w:pPr>
            <w:r w:rsidRPr="003E2EB9">
              <w:rPr>
                <w:rFonts w:eastAsia="Times New Roman" w:cs="Times New Roman"/>
                <w:szCs w:val="24"/>
              </w:rPr>
              <w:t>54 studies reviewed</w:t>
            </w:r>
          </w:p>
        </w:tc>
        <w:tc>
          <w:tcPr>
            <w:tcW w:w="3558" w:type="dxa"/>
          </w:tcPr>
          <w:p w14:paraId="5939389C" w14:textId="77777777" w:rsidR="008F5E08" w:rsidRPr="003E2EB9" w:rsidRDefault="008F5E08" w:rsidP="008F5E08">
            <w:pPr>
              <w:rPr>
                <w:rFonts w:cs="Times New Roman"/>
                <w:szCs w:val="24"/>
              </w:rPr>
            </w:pPr>
            <w:r w:rsidRPr="003E2EB9">
              <w:rPr>
                <w:rFonts w:eastAsia="Times New Roman" w:cs="Times New Roman"/>
                <w:szCs w:val="24"/>
              </w:rPr>
              <w:t>Routine maintenance is neglected; preventive approaches are rarely implemented in high-rise buildings</w:t>
            </w:r>
          </w:p>
        </w:tc>
      </w:tr>
      <w:tr w:rsidR="008F5E08" w:rsidRPr="003E2EB9" w14:paraId="2D7ABAF5" w14:textId="77777777" w:rsidTr="008F5E08">
        <w:trPr>
          <w:jc w:val="center"/>
        </w:trPr>
        <w:tc>
          <w:tcPr>
            <w:tcW w:w="1350" w:type="dxa"/>
          </w:tcPr>
          <w:p w14:paraId="6C94D879" w14:textId="77777777" w:rsidR="008F5E08" w:rsidRPr="003E2EB9" w:rsidRDefault="008F5E08" w:rsidP="008F5E08">
            <w:pPr>
              <w:jc w:val="left"/>
              <w:rPr>
                <w:rFonts w:cs="Times New Roman"/>
                <w:szCs w:val="24"/>
              </w:rPr>
            </w:pPr>
            <w:r w:rsidRPr="003E2EB9">
              <w:rPr>
                <w:rFonts w:eastAsia="Times New Roman" w:cs="Times New Roman"/>
                <w:szCs w:val="24"/>
              </w:rPr>
              <w:t>Au-Yong et al., 2024</w:t>
            </w:r>
          </w:p>
        </w:tc>
        <w:tc>
          <w:tcPr>
            <w:tcW w:w="1302" w:type="dxa"/>
          </w:tcPr>
          <w:p w14:paraId="60D81EBD"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5E201977"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107DDE26" w14:textId="77777777" w:rsidR="008F5E08" w:rsidRPr="003E2EB9" w:rsidRDefault="008F5E08" w:rsidP="008F5E08">
            <w:pPr>
              <w:jc w:val="center"/>
              <w:rPr>
                <w:rFonts w:cs="Times New Roman"/>
                <w:szCs w:val="24"/>
              </w:rPr>
            </w:pPr>
            <w:r w:rsidRPr="003E2EB9">
              <w:rPr>
                <w:rFonts w:eastAsia="Times New Roman" w:cs="Times New Roman"/>
                <w:szCs w:val="24"/>
              </w:rPr>
              <w:t>175 respondents</w:t>
            </w:r>
          </w:p>
        </w:tc>
        <w:tc>
          <w:tcPr>
            <w:tcW w:w="3558" w:type="dxa"/>
          </w:tcPr>
          <w:p w14:paraId="47C00B35" w14:textId="77777777" w:rsidR="008F5E08" w:rsidRPr="003E2EB9" w:rsidRDefault="008F5E08" w:rsidP="008F5E08">
            <w:pPr>
              <w:rPr>
                <w:rFonts w:cs="Times New Roman"/>
                <w:szCs w:val="24"/>
              </w:rPr>
            </w:pPr>
            <w:r w:rsidRPr="003E2EB9">
              <w:rPr>
                <w:rFonts w:eastAsia="Times New Roman" w:cs="Times New Roman"/>
                <w:szCs w:val="24"/>
              </w:rPr>
              <w:t xml:space="preserve">Regulatory compliance and budget constraints influence maintenance </w:t>
            </w:r>
            <w:proofErr w:type="spellStart"/>
            <w:r w:rsidRPr="003E2EB9">
              <w:rPr>
                <w:rFonts w:eastAsia="Times New Roman" w:cs="Times New Roman"/>
                <w:szCs w:val="24"/>
              </w:rPr>
              <w:t>prioritisation</w:t>
            </w:r>
            <w:proofErr w:type="spellEnd"/>
            <w:r w:rsidRPr="003E2EB9">
              <w:rPr>
                <w:rFonts w:eastAsia="Times New Roman" w:cs="Times New Roman"/>
                <w:szCs w:val="24"/>
              </w:rPr>
              <w:t xml:space="preserve"> decisions</w:t>
            </w:r>
          </w:p>
        </w:tc>
      </w:tr>
      <w:tr w:rsidR="008F5E08" w:rsidRPr="003E2EB9" w14:paraId="29A01722" w14:textId="77777777" w:rsidTr="008F5E08">
        <w:trPr>
          <w:jc w:val="center"/>
        </w:trPr>
        <w:tc>
          <w:tcPr>
            <w:tcW w:w="1350" w:type="dxa"/>
          </w:tcPr>
          <w:p w14:paraId="58632683" w14:textId="77777777" w:rsidR="008F5E08" w:rsidRPr="003E2EB9" w:rsidRDefault="008F5E08" w:rsidP="008F5E08">
            <w:pPr>
              <w:jc w:val="left"/>
              <w:rPr>
                <w:rFonts w:cs="Times New Roman"/>
                <w:szCs w:val="24"/>
              </w:rPr>
            </w:pPr>
            <w:r w:rsidRPr="003E2EB9">
              <w:rPr>
                <w:rFonts w:eastAsia="Times New Roman" w:cs="Times New Roman"/>
                <w:szCs w:val="24"/>
              </w:rPr>
              <w:t>Dauda &amp; Ibitoye, 2021</w:t>
            </w:r>
          </w:p>
        </w:tc>
        <w:tc>
          <w:tcPr>
            <w:tcW w:w="1302" w:type="dxa"/>
          </w:tcPr>
          <w:p w14:paraId="3F06A51C" w14:textId="77777777" w:rsidR="008F5E08" w:rsidRPr="003E2EB9" w:rsidRDefault="008F5E08" w:rsidP="008F5E08">
            <w:pPr>
              <w:jc w:val="center"/>
              <w:rPr>
                <w:rFonts w:cs="Times New Roman"/>
                <w:szCs w:val="24"/>
              </w:rPr>
            </w:pPr>
            <w:r w:rsidRPr="003E2EB9">
              <w:rPr>
                <w:rFonts w:eastAsia="Times New Roman" w:cs="Times New Roman"/>
                <w:szCs w:val="24"/>
              </w:rPr>
              <w:t>Case study</w:t>
            </w:r>
          </w:p>
        </w:tc>
        <w:tc>
          <w:tcPr>
            <w:tcW w:w="1170" w:type="dxa"/>
          </w:tcPr>
          <w:p w14:paraId="7CF903E7" w14:textId="77777777" w:rsidR="008F5E08" w:rsidRPr="003E2EB9" w:rsidRDefault="008F5E08" w:rsidP="008F5E08">
            <w:pPr>
              <w:jc w:val="center"/>
              <w:rPr>
                <w:rFonts w:cs="Times New Roman"/>
                <w:szCs w:val="24"/>
              </w:rPr>
            </w:pPr>
            <w:r w:rsidRPr="003E2EB9">
              <w:rPr>
                <w:rFonts w:eastAsia="Times New Roman" w:cs="Times New Roman"/>
                <w:szCs w:val="24"/>
              </w:rPr>
              <w:t>South-West Nigeria</w:t>
            </w:r>
          </w:p>
        </w:tc>
        <w:tc>
          <w:tcPr>
            <w:tcW w:w="1440" w:type="dxa"/>
          </w:tcPr>
          <w:p w14:paraId="7817A1DC" w14:textId="77777777" w:rsidR="008F5E08" w:rsidRPr="003E2EB9" w:rsidRDefault="008F5E08" w:rsidP="008F5E08">
            <w:pPr>
              <w:jc w:val="center"/>
              <w:rPr>
                <w:rFonts w:cs="Times New Roman"/>
                <w:szCs w:val="24"/>
              </w:rPr>
            </w:pPr>
            <w:r w:rsidRPr="003E2EB9">
              <w:rPr>
                <w:rFonts w:eastAsia="Times New Roman" w:cs="Times New Roman"/>
                <w:szCs w:val="24"/>
              </w:rPr>
              <w:t>6 institutions</w:t>
            </w:r>
          </w:p>
        </w:tc>
        <w:tc>
          <w:tcPr>
            <w:tcW w:w="3558" w:type="dxa"/>
          </w:tcPr>
          <w:p w14:paraId="3DA97952" w14:textId="77777777" w:rsidR="008F5E08" w:rsidRPr="003E2EB9" w:rsidRDefault="008F5E08" w:rsidP="008F5E08">
            <w:pPr>
              <w:rPr>
                <w:rFonts w:cs="Times New Roman"/>
                <w:szCs w:val="24"/>
              </w:rPr>
            </w:pPr>
            <w:r w:rsidRPr="003E2EB9">
              <w:rPr>
                <w:rFonts w:eastAsia="Times New Roman" w:cs="Times New Roman"/>
                <w:szCs w:val="24"/>
              </w:rPr>
              <w:t>Inadequate training and professional development compromise maintenance quality</w:t>
            </w:r>
          </w:p>
        </w:tc>
      </w:tr>
      <w:tr w:rsidR="008F5E08" w:rsidRPr="003E2EB9" w14:paraId="6E961663" w14:textId="77777777" w:rsidTr="008F5E08">
        <w:trPr>
          <w:jc w:val="center"/>
        </w:trPr>
        <w:tc>
          <w:tcPr>
            <w:tcW w:w="1350" w:type="dxa"/>
          </w:tcPr>
          <w:p w14:paraId="7DA42CBE"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Dompey</w:t>
            </w:r>
            <w:proofErr w:type="spellEnd"/>
            <w:r w:rsidRPr="003E2EB9">
              <w:rPr>
                <w:rFonts w:eastAsia="Times New Roman" w:cs="Times New Roman"/>
                <w:szCs w:val="24"/>
              </w:rPr>
              <w:t xml:space="preserve"> et al., 2025</w:t>
            </w:r>
          </w:p>
        </w:tc>
        <w:tc>
          <w:tcPr>
            <w:tcW w:w="1302" w:type="dxa"/>
          </w:tcPr>
          <w:p w14:paraId="50483AC3" w14:textId="77777777" w:rsidR="008F5E08" w:rsidRPr="003E2EB9" w:rsidRDefault="008F5E08" w:rsidP="008F5E08">
            <w:pPr>
              <w:jc w:val="center"/>
              <w:rPr>
                <w:rFonts w:cs="Times New Roman"/>
                <w:szCs w:val="24"/>
              </w:rPr>
            </w:pPr>
            <w:r w:rsidRPr="003E2EB9">
              <w:rPr>
                <w:rFonts w:eastAsia="Times New Roman" w:cs="Times New Roman"/>
                <w:szCs w:val="24"/>
              </w:rPr>
              <w:t>Mixed-methods</w:t>
            </w:r>
          </w:p>
        </w:tc>
        <w:tc>
          <w:tcPr>
            <w:tcW w:w="1170" w:type="dxa"/>
          </w:tcPr>
          <w:p w14:paraId="7E033DA0" w14:textId="77777777" w:rsidR="008F5E08" w:rsidRPr="003E2EB9" w:rsidRDefault="008F5E08" w:rsidP="008F5E08">
            <w:pPr>
              <w:jc w:val="center"/>
              <w:rPr>
                <w:rFonts w:cs="Times New Roman"/>
                <w:szCs w:val="24"/>
              </w:rPr>
            </w:pPr>
            <w:r w:rsidRPr="003E2EB9">
              <w:rPr>
                <w:rFonts w:eastAsia="Times New Roman" w:cs="Times New Roman"/>
                <w:szCs w:val="24"/>
              </w:rPr>
              <w:t>Ghana</w:t>
            </w:r>
          </w:p>
        </w:tc>
        <w:tc>
          <w:tcPr>
            <w:tcW w:w="1440" w:type="dxa"/>
          </w:tcPr>
          <w:p w14:paraId="5D602DD1" w14:textId="77777777" w:rsidR="008F5E08" w:rsidRPr="003E2EB9" w:rsidRDefault="008F5E08" w:rsidP="008F5E08">
            <w:pPr>
              <w:jc w:val="center"/>
              <w:rPr>
                <w:rFonts w:cs="Times New Roman"/>
                <w:szCs w:val="24"/>
              </w:rPr>
            </w:pPr>
            <w:r w:rsidRPr="003E2EB9">
              <w:rPr>
                <w:rFonts w:eastAsia="Times New Roman" w:cs="Times New Roman"/>
                <w:szCs w:val="24"/>
              </w:rPr>
              <w:t>45 respondents</w:t>
            </w:r>
          </w:p>
        </w:tc>
        <w:tc>
          <w:tcPr>
            <w:tcW w:w="3558" w:type="dxa"/>
          </w:tcPr>
          <w:p w14:paraId="4DCA8D28" w14:textId="77777777" w:rsidR="008F5E08" w:rsidRPr="003E2EB9" w:rsidRDefault="008F5E08" w:rsidP="008F5E08">
            <w:pPr>
              <w:rPr>
                <w:rFonts w:cs="Times New Roman"/>
                <w:szCs w:val="24"/>
              </w:rPr>
            </w:pPr>
            <w:r w:rsidRPr="003E2EB9">
              <w:rPr>
                <w:rFonts w:eastAsia="Times New Roman" w:cs="Times New Roman"/>
                <w:szCs w:val="24"/>
              </w:rPr>
              <w:t>Digital innovation in maintenance is constrained by workforce skills gaps and inadequate ICT infrastructure</w:t>
            </w:r>
          </w:p>
        </w:tc>
      </w:tr>
      <w:tr w:rsidR="008F5E08" w:rsidRPr="003E2EB9" w14:paraId="0F9C6FF5" w14:textId="77777777" w:rsidTr="008F5E08">
        <w:trPr>
          <w:jc w:val="center"/>
        </w:trPr>
        <w:tc>
          <w:tcPr>
            <w:tcW w:w="1350" w:type="dxa"/>
          </w:tcPr>
          <w:p w14:paraId="0EE5D286"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Ebekozien</w:t>
            </w:r>
            <w:proofErr w:type="spellEnd"/>
            <w:r w:rsidRPr="003E2EB9">
              <w:rPr>
                <w:rFonts w:eastAsia="Times New Roman" w:cs="Times New Roman"/>
                <w:szCs w:val="24"/>
              </w:rPr>
              <w:t>, 2020</w:t>
            </w:r>
          </w:p>
        </w:tc>
        <w:tc>
          <w:tcPr>
            <w:tcW w:w="1302" w:type="dxa"/>
          </w:tcPr>
          <w:p w14:paraId="5EF6A7E9" w14:textId="77777777" w:rsidR="008F5E08" w:rsidRPr="003E2EB9" w:rsidRDefault="008F5E08" w:rsidP="008F5E08">
            <w:pPr>
              <w:jc w:val="center"/>
              <w:rPr>
                <w:rFonts w:cs="Times New Roman"/>
                <w:szCs w:val="24"/>
              </w:rPr>
            </w:pPr>
            <w:r w:rsidRPr="003E2EB9">
              <w:rPr>
                <w:rFonts w:eastAsia="Times New Roman" w:cs="Times New Roman"/>
                <w:szCs w:val="24"/>
              </w:rPr>
              <w:t>Systematic review</w:t>
            </w:r>
          </w:p>
        </w:tc>
        <w:tc>
          <w:tcPr>
            <w:tcW w:w="1170" w:type="dxa"/>
          </w:tcPr>
          <w:p w14:paraId="37947DDF"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56ADA0E3" w14:textId="77777777" w:rsidR="008F5E08" w:rsidRPr="003E2EB9" w:rsidRDefault="008F5E08" w:rsidP="008F5E08">
            <w:pPr>
              <w:jc w:val="center"/>
              <w:rPr>
                <w:rFonts w:cs="Times New Roman"/>
                <w:szCs w:val="24"/>
              </w:rPr>
            </w:pPr>
            <w:r w:rsidRPr="003E2EB9">
              <w:rPr>
                <w:rFonts w:eastAsia="Times New Roman" w:cs="Times New Roman"/>
                <w:szCs w:val="24"/>
              </w:rPr>
              <w:t>46 studies reviewed</w:t>
            </w:r>
          </w:p>
        </w:tc>
        <w:tc>
          <w:tcPr>
            <w:tcW w:w="3558" w:type="dxa"/>
          </w:tcPr>
          <w:p w14:paraId="5E020C3D" w14:textId="77777777" w:rsidR="008F5E08" w:rsidRPr="003E2EB9" w:rsidRDefault="008F5E08" w:rsidP="008F5E08">
            <w:pPr>
              <w:rPr>
                <w:rFonts w:cs="Times New Roman"/>
                <w:szCs w:val="24"/>
              </w:rPr>
            </w:pPr>
            <w:r w:rsidRPr="003E2EB9">
              <w:rPr>
                <w:rFonts w:eastAsia="Times New Roman" w:cs="Times New Roman"/>
                <w:szCs w:val="24"/>
              </w:rPr>
              <w:t>Funding gaps and absence of enforceable standards are the most frequently cited constraints</w:t>
            </w:r>
          </w:p>
        </w:tc>
      </w:tr>
      <w:tr w:rsidR="008F5E08" w:rsidRPr="003E2EB9" w14:paraId="57BC289D" w14:textId="77777777" w:rsidTr="008F5E08">
        <w:trPr>
          <w:jc w:val="center"/>
        </w:trPr>
        <w:tc>
          <w:tcPr>
            <w:tcW w:w="1350" w:type="dxa"/>
          </w:tcPr>
          <w:p w14:paraId="7F7FBDC7" w14:textId="77777777" w:rsidR="008F5E08" w:rsidRPr="003E2EB9" w:rsidRDefault="008F5E08" w:rsidP="008F5E08">
            <w:pPr>
              <w:jc w:val="left"/>
              <w:rPr>
                <w:rFonts w:cs="Times New Roman"/>
                <w:szCs w:val="24"/>
              </w:rPr>
            </w:pPr>
            <w:r w:rsidRPr="003E2EB9">
              <w:rPr>
                <w:rFonts w:eastAsia="Times New Roman" w:cs="Times New Roman"/>
                <w:szCs w:val="24"/>
              </w:rPr>
              <w:t>Waziri, 2016</w:t>
            </w:r>
          </w:p>
        </w:tc>
        <w:tc>
          <w:tcPr>
            <w:tcW w:w="1302" w:type="dxa"/>
          </w:tcPr>
          <w:p w14:paraId="3EE2C929"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1D4C078F"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08CAAE60" w14:textId="77777777" w:rsidR="008F5E08" w:rsidRPr="003E2EB9" w:rsidRDefault="008F5E08" w:rsidP="008F5E08">
            <w:pPr>
              <w:jc w:val="center"/>
              <w:rPr>
                <w:rFonts w:cs="Times New Roman"/>
                <w:szCs w:val="24"/>
              </w:rPr>
            </w:pPr>
            <w:r w:rsidRPr="003E2EB9">
              <w:rPr>
                <w:rFonts w:eastAsia="Times New Roman" w:cs="Times New Roman"/>
                <w:szCs w:val="24"/>
              </w:rPr>
              <w:t>240 respondents</w:t>
            </w:r>
          </w:p>
        </w:tc>
        <w:tc>
          <w:tcPr>
            <w:tcW w:w="3558" w:type="dxa"/>
          </w:tcPr>
          <w:p w14:paraId="62905FE8" w14:textId="77777777" w:rsidR="008F5E08" w:rsidRPr="003E2EB9" w:rsidRDefault="008F5E08" w:rsidP="008F5E08">
            <w:pPr>
              <w:rPr>
                <w:rFonts w:cs="Times New Roman"/>
                <w:szCs w:val="24"/>
              </w:rPr>
            </w:pPr>
            <w:r w:rsidRPr="003E2EB9">
              <w:rPr>
                <w:rFonts w:eastAsia="Times New Roman" w:cs="Times New Roman"/>
                <w:szCs w:val="24"/>
              </w:rPr>
              <w:t>Design and construction defects identified as significant factors influencing residential building maintenance outcomes in Nigeria</w:t>
            </w:r>
          </w:p>
        </w:tc>
      </w:tr>
      <w:tr w:rsidR="008F5E08" w:rsidRPr="003E2EB9" w14:paraId="126F8084" w14:textId="77777777" w:rsidTr="008F5E08">
        <w:trPr>
          <w:jc w:val="center"/>
        </w:trPr>
        <w:tc>
          <w:tcPr>
            <w:tcW w:w="1350" w:type="dxa"/>
          </w:tcPr>
          <w:p w14:paraId="686EE700" w14:textId="77777777" w:rsidR="008F5E08" w:rsidRPr="003E2EB9" w:rsidRDefault="008F5E08" w:rsidP="008F5E08">
            <w:pPr>
              <w:jc w:val="left"/>
              <w:rPr>
                <w:rFonts w:cs="Times New Roman"/>
                <w:szCs w:val="24"/>
              </w:rPr>
            </w:pPr>
            <w:r w:rsidRPr="003E2EB9">
              <w:rPr>
                <w:rFonts w:eastAsia="Times New Roman" w:cs="Times New Roman"/>
                <w:szCs w:val="24"/>
              </w:rPr>
              <w:t xml:space="preserve">Folorunso &amp; </w:t>
            </w:r>
            <w:proofErr w:type="spellStart"/>
            <w:r w:rsidRPr="003E2EB9">
              <w:rPr>
                <w:rFonts w:eastAsia="Times New Roman" w:cs="Times New Roman"/>
                <w:szCs w:val="24"/>
              </w:rPr>
              <w:t>Izobo</w:t>
            </w:r>
            <w:proofErr w:type="spellEnd"/>
            <w:r w:rsidRPr="003E2EB9">
              <w:rPr>
                <w:rFonts w:eastAsia="Times New Roman" w:cs="Times New Roman"/>
                <w:szCs w:val="24"/>
              </w:rPr>
              <w:t>-Martins, 2015</w:t>
            </w:r>
          </w:p>
        </w:tc>
        <w:tc>
          <w:tcPr>
            <w:tcW w:w="1302" w:type="dxa"/>
          </w:tcPr>
          <w:p w14:paraId="11166D7C"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2472F2E9"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68DD90D9" w14:textId="77777777" w:rsidR="008F5E08" w:rsidRPr="003E2EB9" w:rsidRDefault="008F5E08" w:rsidP="008F5E08">
            <w:pPr>
              <w:jc w:val="center"/>
              <w:rPr>
                <w:rFonts w:cs="Times New Roman"/>
                <w:szCs w:val="24"/>
              </w:rPr>
            </w:pPr>
            <w:r w:rsidRPr="003E2EB9">
              <w:rPr>
                <w:rFonts w:eastAsia="Times New Roman" w:cs="Times New Roman"/>
                <w:szCs w:val="24"/>
              </w:rPr>
              <w:t>168 respondents</w:t>
            </w:r>
          </w:p>
        </w:tc>
        <w:tc>
          <w:tcPr>
            <w:tcW w:w="3558" w:type="dxa"/>
          </w:tcPr>
          <w:p w14:paraId="170ABFDF" w14:textId="77777777" w:rsidR="008F5E08" w:rsidRPr="003E2EB9" w:rsidRDefault="008F5E08" w:rsidP="008F5E08">
            <w:pPr>
              <w:rPr>
                <w:rFonts w:cs="Times New Roman"/>
                <w:szCs w:val="24"/>
              </w:rPr>
            </w:pPr>
            <w:r w:rsidRPr="003E2EB9">
              <w:rPr>
                <w:rFonts w:eastAsia="Times New Roman" w:cs="Times New Roman"/>
                <w:szCs w:val="24"/>
              </w:rPr>
              <w:t>Multi-owner buildings suffer from inconsistent service charge collection and collective action problems</w:t>
            </w:r>
          </w:p>
        </w:tc>
      </w:tr>
      <w:tr w:rsidR="008F5E08" w:rsidRPr="003E2EB9" w14:paraId="39BF97A9" w14:textId="77777777" w:rsidTr="008F5E08">
        <w:trPr>
          <w:jc w:val="center"/>
        </w:trPr>
        <w:tc>
          <w:tcPr>
            <w:tcW w:w="1350" w:type="dxa"/>
          </w:tcPr>
          <w:p w14:paraId="5AA20BC3"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Ibem</w:t>
            </w:r>
            <w:proofErr w:type="spellEnd"/>
            <w:r w:rsidRPr="003E2EB9">
              <w:rPr>
                <w:rFonts w:eastAsia="Times New Roman" w:cs="Times New Roman"/>
                <w:szCs w:val="24"/>
              </w:rPr>
              <w:t xml:space="preserve"> &amp; </w:t>
            </w:r>
            <w:proofErr w:type="spellStart"/>
            <w:r w:rsidRPr="003E2EB9">
              <w:rPr>
                <w:rFonts w:eastAsia="Times New Roman" w:cs="Times New Roman"/>
                <w:szCs w:val="24"/>
              </w:rPr>
              <w:t>Aduwo</w:t>
            </w:r>
            <w:proofErr w:type="spellEnd"/>
            <w:r w:rsidRPr="003E2EB9">
              <w:rPr>
                <w:rFonts w:eastAsia="Times New Roman" w:cs="Times New Roman"/>
                <w:szCs w:val="24"/>
              </w:rPr>
              <w:t>, 2013</w:t>
            </w:r>
          </w:p>
        </w:tc>
        <w:tc>
          <w:tcPr>
            <w:tcW w:w="1302" w:type="dxa"/>
          </w:tcPr>
          <w:p w14:paraId="3AAB5868"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5A6B60F3" w14:textId="77777777" w:rsidR="008F5E08" w:rsidRPr="003E2EB9" w:rsidRDefault="008F5E08" w:rsidP="008F5E08">
            <w:pPr>
              <w:jc w:val="center"/>
              <w:rPr>
                <w:rFonts w:cs="Times New Roman"/>
                <w:szCs w:val="24"/>
              </w:rPr>
            </w:pPr>
            <w:r w:rsidRPr="003E2EB9">
              <w:rPr>
                <w:rFonts w:eastAsia="Times New Roman" w:cs="Times New Roman"/>
                <w:szCs w:val="24"/>
              </w:rPr>
              <w:t>Ogun State, Nigeria</w:t>
            </w:r>
          </w:p>
        </w:tc>
        <w:tc>
          <w:tcPr>
            <w:tcW w:w="1440" w:type="dxa"/>
          </w:tcPr>
          <w:p w14:paraId="64733BF1" w14:textId="77777777" w:rsidR="008F5E08" w:rsidRPr="003E2EB9" w:rsidRDefault="008F5E08" w:rsidP="008F5E08">
            <w:pPr>
              <w:jc w:val="center"/>
              <w:rPr>
                <w:rFonts w:cs="Times New Roman"/>
                <w:szCs w:val="24"/>
              </w:rPr>
            </w:pPr>
            <w:r w:rsidRPr="003E2EB9">
              <w:rPr>
                <w:rFonts w:eastAsia="Times New Roman" w:cs="Times New Roman"/>
                <w:szCs w:val="24"/>
              </w:rPr>
              <w:t>480 respondents</w:t>
            </w:r>
          </w:p>
        </w:tc>
        <w:tc>
          <w:tcPr>
            <w:tcW w:w="3558" w:type="dxa"/>
          </w:tcPr>
          <w:p w14:paraId="33CF7B72" w14:textId="77777777" w:rsidR="008F5E08" w:rsidRPr="003E2EB9" w:rsidRDefault="008F5E08" w:rsidP="008F5E08">
            <w:pPr>
              <w:rPr>
                <w:rFonts w:cs="Times New Roman"/>
                <w:szCs w:val="24"/>
              </w:rPr>
            </w:pPr>
            <w:r w:rsidRPr="003E2EB9">
              <w:rPr>
                <w:rFonts w:eastAsia="Times New Roman" w:cs="Times New Roman"/>
                <w:szCs w:val="24"/>
              </w:rPr>
              <w:t>Residential satisfaction is significantly influenced by building maintenance quality and management responsiveness</w:t>
            </w:r>
          </w:p>
        </w:tc>
      </w:tr>
      <w:tr w:rsidR="008F5E08" w:rsidRPr="003E2EB9" w14:paraId="749AC680" w14:textId="77777777" w:rsidTr="008F5E08">
        <w:trPr>
          <w:jc w:val="center"/>
        </w:trPr>
        <w:tc>
          <w:tcPr>
            <w:tcW w:w="1350" w:type="dxa"/>
          </w:tcPr>
          <w:p w14:paraId="062A00AB"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Ibem</w:t>
            </w:r>
            <w:proofErr w:type="spellEnd"/>
            <w:r w:rsidRPr="003E2EB9">
              <w:rPr>
                <w:rFonts w:eastAsia="Times New Roman" w:cs="Times New Roman"/>
                <w:szCs w:val="24"/>
              </w:rPr>
              <w:t xml:space="preserve"> et al., 2013</w:t>
            </w:r>
          </w:p>
        </w:tc>
        <w:tc>
          <w:tcPr>
            <w:tcW w:w="1302" w:type="dxa"/>
          </w:tcPr>
          <w:p w14:paraId="03E58908"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17C6A04C" w14:textId="77777777" w:rsidR="008F5E08" w:rsidRPr="003E2EB9" w:rsidRDefault="008F5E08" w:rsidP="008F5E08">
            <w:pPr>
              <w:jc w:val="center"/>
              <w:rPr>
                <w:rFonts w:cs="Times New Roman"/>
                <w:szCs w:val="24"/>
              </w:rPr>
            </w:pPr>
            <w:r w:rsidRPr="003E2EB9">
              <w:rPr>
                <w:rFonts w:eastAsia="Times New Roman" w:cs="Times New Roman"/>
                <w:szCs w:val="24"/>
              </w:rPr>
              <w:t>Ogun State, Nigeria</w:t>
            </w:r>
          </w:p>
        </w:tc>
        <w:tc>
          <w:tcPr>
            <w:tcW w:w="1440" w:type="dxa"/>
          </w:tcPr>
          <w:p w14:paraId="3A00336A" w14:textId="77777777" w:rsidR="008F5E08" w:rsidRPr="003E2EB9" w:rsidRDefault="008F5E08" w:rsidP="008F5E08">
            <w:pPr>
              <w:jc w:val="center"/>
              <w:rPr>
                <w:rFonts w:cs="Times New Roman"/>
                <w:szCs w:val="24"/>
              </w:rPr>
            </w:pPr>
            <w:r w:rsidRPr="003E2EB9">
              <w:rPr>
                <w:rFonts w:eastAsia="Times New Roman" w:cs="Times New Roman"/>
                <w:szCs w:val="24"/>
              </w:rPr>
              <w:t>520 respondents</w:t>
            </w:r>
          </w:p>
        </w:tc>
        <w:tc>
          <w:tcPr>
            <w:tcW w:w="3558" w:type="dxa"/>
          </w:tcPr>
          <w:p w14:paraId="34C13F01" w14:textId="77777777" w:rsidR="008F5E08" w:rsidRPr="003E2EB9" w:rsidRDefault="008F5E08" w:rsidP="008F5E08">
            <w:pPr>
              <w:rPr>
                <w:rFonts w:cs="Times New Roman"/>
                <w:szCs w:val="24"/>
              </w:rPr>
            </w:pPr>
            <w:r w:rsidRPr="003E2EB9">
              <w:rPr>
                <w:rFonts w:eastAsia="Times New Roman" w:cs="Times New Roman"/>
                <w:szCs w:val="24"/>
              </w:rPr>
              <w:t>Performance of public housing is constrained by design deficiencies and inadequate maintenance budgets</w:t>
            </w:r>
          </w:p>
        </w:tc>
      </w:tr>
      <w:tr w:rsidR="008F5E08" w:rsidRPr="003E2EB9" w14:paraId="27554166" w14:textId="77777777" w:rsidTr="008F5E08">
        <w:trPr>
          <w:jc w:val="center"/>
        </w:trPr>
        <w:tc>
          <w:tcPr>
            <w:tcW w:w="1350" w:type="dxa"/>
          </w:tcPr>
          <w:p w14:paraId="70BE2517"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Iyagba</w:t>
            </w:r>
            <w:proofErr w:type="spellEnd"/>
            <w:r w:rsidRPr="003E2EB9">
              <w:rPr>
                <w:rFonts w:eastAsia="Times New Roman" w:cs="Times New Roman"/>
                <w:szCs w:val="24"/>
              </w:rPr>
              <w:t xml:space="preserve"> &amp; Adenuga, 2012</w:t>
            </w:r>
          </w:p>
        </w:tc>
        <w:tc>
          <w:tcPr>
            <w:tcW w:w="1302" w:type="dxa"/>
          </w:tcPr>
          <w:p w14:paraId="63672DE6"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0858CB97" w14:textId="77777777" w:rsidR="008F5E08" w:rsidRPr="003E2EB9" w:rsidRDefault="008F5E08" w:rsidP="008F5E08">
            <w:pPr>
              <w:jc w:val="center"/>
              <w:rPr>
                <w:rFonts w:cs="Times New Roman"/>
                <w:szCs w:val="24"/>
              </w:rPr>
            </w:pPr>
            <w:r w:rsidRPr="003E2EB9">
              <w:rPr>
                <w:rFonts w:eastAsia="Times New Roman" w:cs="Times New Roman"/>
                <w:szCs w:val="24"/>
              </w:rPr>
              <w:t>South-west Nigeria</w:t>
            </w:r>
          </w:p>
        </w:tc>
        <w:tc>
          <w:tcPr>
            <w:tcW w:w="1440" w:type="dxa"/>
          </w:tcPr>
          <w:p w14:paraId="51871D12" w14:textId="77777777" w:rsidR="008F5E08" w:rsidRPr="003E2EB9" w:rsidRDefault="008F5E08" w:rsidP="008F5E08">
            <w:pPr>
              <w:jc w:val="center"/>
              <w:rPr>
                <w:rFonts w:cs="Times New Roman"/>
                <w:szCs w:val="24"/>
              </w:rPr>
            </w:pPr>
            <w:r w:rsidRPr="003E2EB9">
              <w:rPr>
                <w:rFonts w:eastAsia="Times New Roman" w:cs="Times New Roman"/>
                <w:szCs w:val="24"/>
              </w:rPr>
              <w:t>156 respondents</w:t>
            </w:r>
          </w:p>
        </w:tc>
        <w:tc>
          <w:tcPr>
            <w:tcW w:w="3558" w:type="dxa"/>
          </w:tcPr>
          <w:p w14:paraId="477324BD" w14:textId="77777777" w:rsidR="008F5E08" w:rsidRPr="003E2EB9" w:rsidRDefault="008F5E08" w:rsidP="008F5E08">
            <w:pPr>
              <w:rPr>
                <w:rFonts w:cs="Times New Roman"/>
                <w:szCs w:val="24"/>
              </w:rPr>
            </w:pPr>
            <w:r w:rsidRPr="003E2EB9">
              <w:rPr>
                <w:rFonts w:eastAsia="Times New Roman" w:cs="Times New Roman"/>
                <w:szCs w:val="24"/>
              </w:rPr>
              <w:t>Fragmentation of regulatory responsibility across agencies undermines maintenance enforcement</w:t>
            </w:r>
          </w:p>
        </w:tc>
      </w:tr>
      <w:tr w:rsidR="008F5E08" w:rsidRPr="003E2EB9" w14:paraId="279212FC" w14:textId="77777777" w:rsidTr="008F5E08">
        <w:trPr>
          <w:jc w:val="center"/>
        </w:trPr>
        <w:tc>
          <w:tcPr>
            <w:tcW w:w="1350" w:type="dxa"/>
          </w:tcPr>
          <w:p w14:paraId="0CBABEA0"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Ebiloma</w:t>
            </w:r>
            <w:proofErr w:type="spellEnd"/>
            <w:r w:rsidRPr="003E2EB9">
              <w:rPr>
                <w:rFonts w:eastAsia="Times New Roman" w:cs="Times New Roman"/>
                <w:szCs w:val="24"/>
              </w:rPr>
              <w:t xml:space="preserve"> et al., 2023</w:t>
            </w:r>
          </w:p>
        </w:tc>
        <w:tc>
          <w:tcPr>
            <w:tcW w:w="1302" w:type="dxa"/>
          </w:tcPr>
          <w:p w14:paraId="064F408A" w14:textId="77777777" w:rsidR="008F5E08" w:rsidRPr="003E2EB9" w:rsidRDefault="008F5E08" w:rsidP="008F5E08">
            <w:pPr>
              <w:jc w:val="center"/>
              <w:rPr>
                <w:rFonts w:cs="Times New Roman"/>
                <w:szCs w:val="24"/>
              </w:rPr>
            </w:pPr>
            <w:r w:rsidRPr="003E2EB9">
              <w:rPr>
                <w:rFonts w:eastAsia="Times New Roman" w:cs="Times New Roman"/>
                <w:szCs w:val="24"/>
              </w:rPr>
              <w:t>Mixed-methods</w:t>
            </w:r>
          </w:p>
        </w:tc>
        <w:tc>
          <w:tcPr>
            <w:tcW w:w="1170" w:type="dxa"/>
          </w:tcPr>
          <w:p w14:paraId="296B8FA1"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1E71CE62" w14:textId="77777777" w:rsidR="008F5E08" w:rsidRPr="003E2EB9" w:rsidRDefault="008F5E08" w:rsidP="008F5E08">
            <w:pPr>
              <w:jc w:val="center"/>
              <w:rPr>
                <w:rFonts w:cs="Times New Roman"/>
                <w:szCs w:val="24"/>
              </w:rPr>
            </w:pPr>
            <w:r w:rsidRPr="003E2EB9">
              <w:rPr>
                <w:rFonts w:eastAsia="Times New Roman" w:cs="Times New Roman"/>
                <w:szCs w:val="24"/>
              </w:rPr>
              <w:t>96 respondents</w:t>
            </w:r>
          </w:p>
        </w:tc>
        <w:tc>
          <w:tcPr>
            <w:tcW w:w="3558" w:type="dxa"/>
          </w:tcPr>
          <w:p w14:paraId="0F07569A" w14:textId="77777777" w:rsidR="008F5E08" w:rsidRPr="003E2EB9" w:rsidRDefault="008F5E08" w:rsidP="008F5E08">
            <w:pPr>
              <w:rPr>
                <w:rFonts w:cs="Times New Roman"/>
                <w:szCs w:val="24"/>
              </w:rPr>
            </w:pPr>
            <w:r w:rsidRPr="003E2EB9">
              <w:rPr>
                <w:rFonts w:eastAsia="Times New Roman" w:cs="Times New Roman"/>
                <w:szCs w:val="24"/>
              </w:rPr>
              <w:t>Low levels of maintenance documentation identified as a major factor causing inefficient maintenance management in Nigerian buildings</w:t>
            </w:r>
          </w:p>
        </w:tc>
      </w:tr>
      <w:tr w:rsidR="008F5E08" w:rsidRPr="003E2EB9" w14:paraId="3CAC3659" w14:textId="77777777" w:rsidTr="008F5E08">
        <w:trPr>
          <w:jc w:val="center"/>
        </w:trPr>
        <w:tc>
          <w:tcPr>
            <w:tcW w:w="1350" w:type="dxa"/>
          </w:tcPr>
          <w:p w14:paraId="29EF1A80" w14:textId="77777777" w:rsidR="008F5E08" w:rsidRPr="003E2EB9" w:rsidRDefault="008F5E08" w:rsidP="008F5E08">
            <w:pPr>
              <w:jc w:val="left"/>
              <w:rPr>
                <w:rFonts w:cs="Times New Roman"/>
                <w:szCs w:val="24"/>
              </w:rPr>
            </w:pPr>
            <w:r w:rsidRPr="003E2EB9">
              <w:rPr>
                <w:rFonts w:eastAsia="Times New Roman" w:cs="Times New Roman"/>
                <w:szCs w:val="24"/>
              </w:rPr>
              <w:t>Kampamba &amp; Kachepa, 2019</w:t>
            </w:r>
          </w:p>
        </w:tc>
        <w:tc>
          <w:tcPr>
            <w:tcW w:w="1302" w:type="dxa"/>
          </w:tcPr>
          <w:p w14:paraId="0D3C6B6A" w14:textId="77777777" w:rsidR="008F5E08" w:rsidRPr="003E2EB9" w:rsidRDefault="008F5E08" w:rsidP="008F5E08">
            <w:pPr>
              <w:jc w:val="center"/>
              <w:rPr>
                <w:rFonts w:cs="Times New Roman"/>
                <w:szCs w:val="24"/>
              </w:rPr>
            </w:pPr>
            <w:r w:rsidRPr="003E2EB9">
              <w:rPr>
                <w:rFonts w:eastAsia="Times New Roman" w:cs="Times New Roman"/>
                <w:szCs w:val="24"/>
              </w:rPr>
              <w:t>Case study</w:t>
            </w:r>
          </w:p>
        </w:tc>
        <w:tc>
          <w:tcPr>
            <w:tcW w:w="1170" w:type="dxa"/>
          </w:tcPr>
          <w:p w14:paraId="61F175A8" w14:textId="77777777" w:rsidR="008F5E08" w:rsidRPr="003E2EB9" w:rsidRDefault="008F5E08" w:rsidP="008F5E08">
            <w:pPr>
              <w:jc w:val="center"/>
              <w:rPr>
                <w:rFonts w:cs="Times New Roman"/>
                <w:szCs w:val="24"/>
              </w:rPr>
            </w:pPr>
            <w:r w:rsidRPr="003E2EB9">
              <w:rPr>
                <w:rFonts w:eastAsia="Times New Roman" w:cs="Times New Roman"/>
                <w:szCs w:val="24"/>
              </w:rPr>
              <w:t>Gaborone, Botswana</w:t>
            </w:r>
          </w:p>
        </w:tc>
        <w:tc>
          <w:tcPr>
            <w:tcW w:w="1440" w:type="dxa"/>
          </w:tcPr>
          <w:p w14:paraId="073B980F" w14:textId="77777777" w:rsidR="008F5E08" w:rsidRPr="003E2EB9" w:rsidRDefault="008F5E08" w:rsidP="008F5E08">
            <w:pPr>
              <w:jc w:val="center"/>
              <w:rPr>
                <w:rFonts w:cs="Times New Roman"/>
                <w:szCs w:val="24"/>
              </w:rPr>
            </w:pPr>
            <w:r w:rsidRPr="003E2EB9">
              <w:rPr>
                <w:rFonts w:eastAsia="Times New Roman" w:cs="Times New Roman"/>
                <w:szCs w:val="24"/>
              </w:rPr>
              <w:t>12 buildings</w:t>
            </w:r>
          </w:p>
        </w:tc>
        <w:tc>
          <w:tcPr>
            <w:tcW w:w="3558" w:type="dxa"/>
          </w:tcPr>
          <w:p w14:paraId="14452BC1" w14:textId="77777777" w:rsidR="008F5E08" w:rsidRPr="003E2EB9" w:rsidRDefault="008F5E08" w:rsidP="008F5E08">
            <w:pPr>
              <w:rPr>
                <w:rFonts w:cs="Times New Roman"/>
                <w:szCs w:val="24"/>
              </w:rPr>
            </w:pPr>
            <w:r w:rsidRPr="003E2EB9">
              <w:rPr>
                <w:rFonts w:eastAsia="Times New Roman" w:cs="Times New Roman"/>
                <w:szCs w:val="24"/>
              </w:rPr>
              <w:t>Design deficiencies contribute significantly to property maintenance challenges in high-rise buildings</w:t>
            </w:r>
          </w:p>
        </w:tc>
      </w:tr>
      <w:tr w:rsidR="008F5E08" w:rsidRPr="003E2EB9" w14:paraId="35259B41" w14:textId="77777777" w:rsidTr="008F5E08">
        <w:trPr>
          <w:jc w:val="center"/>
        </w:trPr>
        <w:tc>
          <w:tcPr>
            <w:tcW w:w="1350" w:type="dxa"/>
          </w:tcPr>
          <w:p w14:paraId="35ADC6C1" w14:textId="77777777" w:rsidR="008F5E08" w:rsidRPr="003E2EB9" w:rsidRDefault="008F5E08" w:rsidP="008F5E08">
            <w:pPr>
              <w:jc w:val="left"/>
              <w:rPr>
                <w:rFonts w:cs="Times New Roman"/>
                <w:szCs w:val="24"/>
              </w:rPr>
            </w:pPr>
            <w:r w:rsidRPr="003E2EB9">
              <w:rPr>
                <w:rFonts w:eastAsia="Times New Roman" w:cs="Times New Roman"/>
                <w:szCs w:val="24"/>
              </w:rPr>
              <w:t>Lateef et al., 2024</w:t>
            </w:r>
          </w:p>
        </w:tc>
        <w:tc>
          <w:tcPr>
            <w:tcW w:w="1302" w:type="dxa"/>
          </w:tcPr>
          <w:p w14:paraId="561AF63E" w14:textId="77777777" w:rsidR="008F5E08" w:rsidRPr="003E2EB9" w:rsidRDefault="008F5E08" w:rsidP="008F5E08">
            <w:pPr>
              <w:jc w:val="center"/>
              <w:rPr>
                <w:rFonts w:cs="Times New Roman"/>
                <w:szCs w:val="24"/>
              </w:rPr>
            </w:pPr>
            <w:r w:rsidRPr="003E2EB9">
              <w:rPr>
                <w:rFonts w:eastAsia="Times New Roman" w:cs="Times New Roman"/>
                <w:szCs w:val="24"/>
              </w:rPr>
              <w:t>Systematic review</w:t>
            </w:r>
          </w:p>
        </w:tc>
        <w:tc>
          <w:tcPr>
            <w:tcW w:w="1170" w:type="dxa"/>
          </w:tcPr>
          <w:p w14:paraId="63659E62"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4C7A0B17" w14:textId="77777777" w:rsidR="008F5E08" w:rsidRPr="003E2EB9" w:rsidRDefault="008F5E08" w:rsidP="008F5E08">
            <w:pPr>
              <w:jc w:val="center"/>
              <w:rPr>
                <w:rFonts w:cs="Times New Roman"/>
                <w:szCs w:val="24"/>
              </w:rPr>
            </w:pPr>
            <w:r w:rsidRPr="003E2EB9">
              <w:rPr>
                <w:rFonts w:eastAsia="Times New Roman" w:cs="Times New Roman"/>
                <w:szCs w:val="24"/>
              </w:rPr>
              <w:t>38 studies reviewed</w:t>
            </w:r>
          </w:p>
        </w:tc>
        <w:tc>
          <w:tcPr>
            <w:tcW w:w="3558" w:type="dxa"/>
          </w:tcPr>
          <w:p w14:paraId="01084401" w14:textId="77777777" w:rsidR="008F5E08" w:rsidRPr="003E2EB9" w:rsidRDefault="008F5E08" w:rsidP="008F5E08">
            <w:pPr>
              <w:rPr>
                <w:rFonts w:cs="Times New Roman"/>
                <w:szCs w:val="24"/>
              </w:rPr>
            </w:pPr>
            <w:r w:rsidRPr="003E2EB9">
              <w:rPr>
                <w:rFonts w:eastAsia="Times New Roman" w:cs="Times New Roman"/>
                <w:szCs w:val="24"/>
              </w:rPr>
              <w:t>Absence of a national maintenance policy is a systemic impediment to effective building upkeep</w:t>
            </w:r>
          </w:p>
        </w:tc>
      </w:tr>
      <w:tr w:rsidR="008F5E08" w:rsidRPr="003E2EB9" w14:paraId="16A0649B" w14:textId="77777777" w:rsidTr="008F5E08">
        <w:trPr>
          <w:jc w:val="center"/>
        </w:trPr>
        <w:tc>
          <w:tcPr>
            <w:tcW w:w="1350" w:type="dxa"/>
          </w:tcPr>
          <w:p w14:paraId="7EC1CBA0"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lastRenderedPageBreak/>
              <w:t>Ogunbayo</w:t>
            </w:r>
            <w:proofErr w:type="spellEnd"/>
            <w:r w:rsidRPr="003E2EB9">
              <w:rPr>
                <w:rFonts w:eastAsia="Times New Roman" w:cs="Times New Roman"/>
                <w:szCs w:val="24"/>
              </w:rPr>
              <w:t xml:space="preserve"> et al., 2022</w:t>
            </w:r>
          </w:p>
        </w:tc>
        <w:tc>
          <w:tcPr>
            <w:tcW w:w="1302" w:type="dxa"/>
          </w:tcPr>
          <w:p w14:paraId="03034949" w14:textId="77777777" w:rsidR="008F5E08" w:rsidRPr="003E2EB9" w:rsidRDefault="008F5E08" w:rsidP="008F5E08">
            <w:pPr>
              <w:jc w:val="center"/>
              <w:rPr>
                <w:rFonts w:cs="Times New Roman"/>
                <w:szCs w:val="24"/>
              </w:rPr>
            </w:pPr>
            <w:r w:rsidRPr="003E2EB9">
              <w:rPr>
                <w:rFonts w:eastAsia="Times New Roman" w:cs="Times New Roman"/>
                <w:szCs w:val="24"/>
              </w:rPr>
              <w:t>Literature review</w:t>
            </w:r>
          </w:p>
        </w:tc>
        <w:tc>
          <w:tcPr>
            <w:tcW w:w="1170" w:type="dxa"/>
          </w:tcPr>
          <w:p w14:paraId="301F2181" w14:textId="77777777" w:rsidR="008F5E08" w:rsidRPr="003E2EB9" w:rsidRDefault="008F5E08" w:rsidP="008F5E08">
            <w:pPr>
              <w:jc w:val="center"/>
              <w:rPr>
                <w:rFonts w:cs="Times New Roman"/>
                <w:szCs w:val="24"/>
              </w:rPr>
            </w:pPr>
            <w:r w:rsidRPr="003E2EB9">
              <w:rPr>
                <w:rFonts w:eastAsia="Times New Roman" w:cs="Times New Roman"/>
                <w:szCs w:val="24"/>
              </w:rPr>
              <w:t>Developing countries</w:t>
            </w:r>
          </w:p>
        </w:tc>
        <w:tc>
          <w:tcPr>
            <w:tcW w:w="1440" w:type="dxa"/>
          </w:tcPr>
          <w:p w14:paraId="35551D3F" w14:textId="77777777" w:rsidR="008F5E08" w:rsidRPr="003E2EB9" w:rsidRDefault="008F5E08" w:rsidP="008F5E08">
            <w:pPr>
              <w:jc w:val="center"/>
              <w:rPr>
                <w:rFonts w:cs="Times New Roman"/>
                <w:szCs w:val="24"/>
              </w:rPr>
            </w:pPr>
            <w:r w:rsidRPr="003E2EB9">
              <w:rPr>
                <w:rFonts w:eastAsia="Times New Roman" w:cs="Times New Roman"/>
                <w:szCs w:val="24"/>
              </w:rPr>
              <w:t>100+ studies reviewed</w:t>
            </w:r>
          </w:p>
        </w:tc>
        <w:tc>
          <w:tcPr>
            <w:tcW w:w="3558" w:type="dxa"/>
          </w:tcPr>
          <w:p w14:paraId="1D4FBA07" w14:textId="77777777" w:rsidR="008F5E08" w:rsidRPr="003E2EB9" w:rsidRDefault="008F5E08" w:rsidP="008F5E08">
            <w:pPr>
              <w:rPr>
                <w:rFonts w:cs="Times New Roman"/>
                <w:szCs w:val="24"/>
              </w:rPr>
            </w:pPr>
            <w:r w:rsidRPr="003E2EB9">
              <w:rPr>
                <w:rFonts w:eastAsia="Times New Roman" w:cs="Times New Roman"/>
                <w:szCs w:val="24"/>
              </w:rPr>
              <w:t>Maintenance culture in developing countries is dominated by reactive approaches and institutional inertia</w:t>
            </w:r>
          </w:p>
        </w:tc>
      </w:tr>
      <w:tr w:rsidR="008F5E08" w:rsidRPr="003E2EB9" w14:paraId="3515F7BF" w14:textId="77777777" w:rsidTr="008F5E08">
        <w:trPr>
          <w:jc w:val="center"/>
        </w:trPr>
        <w:tc>
          <w:tcPr>
            <w:tcW w:w="1350" w:type="dxa"/>
          </w:tcPr>
          <w:p w14:paraId="22403B6B"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Ogungbemi</w:t>
            </w:r>
            <w:proofErr w:type="spellEnd"/>
            <w:r w:rsidRPr="003E2EB9">
              <w:rPr>
                <w:rFonts w:eastAsia="Times New Roman" w:cs="Times New Roman"/>
                <w:szCs w:val="24"/>
              </w:rPr>
              <w:t>, 2021</w:t>
            </w:r>
          </w:p>
        </w:tc>
        <w:tc>
          <w:tcPr>
            <w:tcW w:w="1302" w:type="dxa"/>
          </w:tcPr>
          <w:p w14:paraId="0F6F6FFD"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4127EB4B"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337A606F" w14:textId="77777777" w:rsidR="008F5E08" w:rsidRPr="003E2EB9" w:rsidRDefault="008F5E08" w:rsidP="008F5E08">
            <w:pPr>
              <w:jc w:val="center"/>
              <w:rPr>
                <w:rFonts w:cs="Times New Roman"/>
                <w:szCs w:val="24"/>
              </w:rPr>
            </w:pPr>
            <w:r w:rsidRPr="003E2EB9">
              <w:rPr>
                <w:rFonts w:eastAsia="Times New Roman" w:cs="Times New Roman"/>
                <w:szCs w:val="24"/>
              </w:rPr>
              <w:t>175 respondents</w:t>
            </w:r>
          </w:p>
        </w:tc>
        <w:tc>
          <w:tcPr>
            <w:tcW w:w="3558" w:type="dxa"/>
          </w:tcPr>
          <w:p w14:paraId="78D24109" w14:textId="77777777" w:rsidR="008F5E08" w:rsidRPr="003E2EB9" w:rsidRDefault="008F5E08" w:rsidP="008F5E08">
            <w:pPr>
              <w:rPr>
                <w:rFonts w:cs="Times New Roman"/>
                <w:szCs w:val="24"/>
              </w:rPr>
            </w:pPr>
            <w:r w:rsidRPr="003E2EB9">
              <w:rPr>
                <w:rFonts w:eastAsia="Times New Roman" w:cs="Times New Roman"/>
                <w:szCs w:val="24"/>
              </w:rPr>
              <w:t>67% of building services maintenance failures attributable to incompetent personnel; corrective approach dominates</w:t>
            </w:r>
          </w:p>
        </w:tc>
      </w:tr>
      <w:tr w:rsidR="008F5E08" w:rsidRPr="003E2EB9" w14:paraId="15573807" w14:textId="77777777" w:rsidTr="008F5E08">
        <w:trPr>
          <w:jc w:val="center"/>
        </w:trPr>
        <w:tc>
          <w:tcPr>
            <w:tcW w:w="1350" w:type="dxa"/>
          </w:tcPr>
          <w:p w14:paraId="26CE2F6F"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Ogungbemi</w:t>
            </w:r>
            <w:proofErr w:type="spellEnd"/>
            <w:r w:rsidRPr="003E2EB9">
              <w:rPr>
                <w:rFonts w:eastAsia="Times New Roman" w:cs="Times New Roman"/>
                <w:szCs w:val="24"/>
              </w:rPr>
              <w:t xml:space="preserve"> et al., 2017</w:t>
            </w:r>
          </w:p>
        </w:tc>
        <w:tc>
          <w:tcPr>
            <w:tcW w:w="1302" w:type="dxa"/>
          </w:tcPr>
          <w:p w14:paraId="11F5E76A"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21BB83C2"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31BA706F" w14:textId="77777777" w:rsidR="008F5E08" w:rsidRPr="003E2EB9" w:rsidRDefault="008F5E08" w:rsidP="008F5E08">
            <w:pPr>
              <w:jc w:val="center"/>
              <w:rPr>
                <w:rFonts w:cs="Times New Roman"/>
                <w:szCs w:val="24"/>
              </w:rPr>
            </w:pPr>
            <w:r w:rsidRPr="003E2EB9">
              <w:rPr>
                <w:rFonts w:eastAsia="Times New Roman" w:cs="Times New Roman"/>
                <w:szCs w:val="24"/>
              </w:rPr>
              <w:t>192 respondents</w:t>
            </w:r>
          </w:p>
        </w:tc>
        <w:tc>
          <w:tcPr>
            <w:tcW w:w="3558" w:type="dxa"/>
          </w:tcPr>
          <w:p w14:paraId="58782CB0" w14:textId="77777777" w:rsidR="008F5E08" w:rsidRPr="003E2EB9" w:rsidRDefault="008F5E08" w:rsidP="008F5E08">
            <w:pPr>
              <w:rPr>
                <w:rFonts w:cs="Times New Roman"/>
                <w:szCs w:val="24"/>
              </w:rPr>
            </w:pPr>
            <w:r w:rsidRPr="003E2EB9">
              <w:rPr>
                <w:rFonts w:eastAsia="Times New Roman" w:cs="Times New Roman"/>
                <w:szCs w:val="24"/>
              </w:rPr>
              <w:t>Actual maintenance expenditure averaged only 30–40% of budgeted amounts; budgets routinely diverted</w:t>
            </w:r>
          </w:p>
        </w:tc>
      </w:tr>
      <w:tr w:rsidR="008F5E08" w:rsidRPr="003E2EB9" w14:paraId="004CAD51" w14:textId="77777777" w:rsidTr="008F5E08">
        <w:trPr>
          <w:jc w:val="center"/>
        </w:trPr>
        <w:tc>
          <w:tcPr>
            <w:tcW w:w="1350" w:type="dxa"/>
          </w:tcPr>
          <w:p w14:paraId="4E0D2116" w14:textId="77777777" w:rsidR="008F5E08" w:rsidRPr="003E2EB9" w:rsidRDefault="008F5E08" w:rsidP="008F5E08">
            <w:pPr>
              <w:jc w:val="left"/>
              <w:rPr>
                <w:rFonts w:cs="Times New Roman"/>
                <w:szCs w:val="24"/>
              </w:rPr>
            </w:pPr>
            <w:r w:rsidRPr="003E2EB9">
              <w:rPr>
                <w:rFonts w:eastAsia="Times New Roman" w:cs="Times New Roman"/>
                <w:szCs w:val="24"/>
              </w:rPr>
              <w:t>Oke et al., 2025</w:t>
            </w:r>
          </w:p>
        </w:tc>
        <w:tc>
          <w:tcPr>
            <w:tcW w:w="1302" w:type="dxa"/>
          </w:tcPr>
          <w:p w14:paraId="6CDB2691" w14:textId="77777777" w:rsidR="008F5E08" w:rsidRPr="003E2EB9" w:rsidRDefault="008F5E08" w:rsidP="008F5E08">
            <w:pPr>
              <w:jc w:val="center"/>
              <w:rPr>
                <w:rFonts w:cs="Times New Roman"/>
                <w:szCs w:val="24"/>
              </w:rPr>
            </w:pPr>
            <w:r w:rsidRPr="003E2EB9">
              <w:rPr>
                <w:rFonts w:eastAsia="Times New Roman" w:cs="Times New Roman"/>
                <w:szCs w:val="24"/>
              </w:rPr>
              <w:t>Mixed-methods</w:t>
            </w:r>
          </w:p>
        </w:tc>
        <w:tc>
          <w:tcPr>
            <w:tcW w:w="1170" w:type="dxa"/>
          </w:tcPr>
          <w:p w14:paraId="2E63843C" w14:textId="77777777" w:rsidR="008F5E08" w:rsidRPr="003E2EB9" w:rsidRDefault="008F5E08" w:rsidP="008F5E08">
            <w:pPr>
              <w:jc w:val="center"/>
              <w:rPr>
                <w:rFonts w:cs="Times New Roman"/>
                <w:szCs w:val="24"/>
              </w:rPr>
            </w:pPr>
            <w:r w:rsidRPr="003E2EB9">
              <w:rPr>
                <w:rFonts w:eastAsia="Times New Roman" w:cs="Times New Roman"/>
                <w:szCs w:val="24"/>
              </w:rPr>
              <w:t>South Africa/Nigeria</w:t>
            </w:r>
          </w:p>
        </w:tc>
        <w:tc>
          <w:tcPr>
            <w:tcW w:w="1440" w:type="dxa"/>
          </w:tcPr>
          <w:p w14:paraId="3AD4B981" w14:textId="77777777" w:rsidR="008F5E08" w:rsidRPr="003E2EB9" w:rsidRDefault="008F5E08" w:rsidP="008F5E08">
            <w:pPr>
              <w:jc w:val="center"/>
              <w:rPr>
                <w:rFonts w:cs="Times New Roman"/>
                <w:szCs w:val="24"/>
              </w:rPr>
            </w:pPr>
            <w:r w:rsidRPr="003E2EB9">
              <w:rPr>
                <w:rFonts w:eastAsia="Times New Roman" w:cs="Times New Roman"/>
                <w:szCs w:val="24"/>
              </w:rPr>
              <w:t>285 respondents</w:t>
            </w:r>
          </w:p>
        </w:tc>
        <w:tc>
          <w:tcPr>
            <w:tcW w:w="3558" w:type="dxa"/>
          </w:tcPr>
          <w:p w14:paraId="0DDD5D30" w14:textId="77777777" w:rsidR="008F5E08" w:rsidRPr="003E2EB9" w:rsidRDefault="008F5E08" w:rsidP="008F5E08">
            <w:pPr>
              <w:rPr>
                <w:rFonts w:cs="Times New Roman"/>
                <w:szCs w:val="24"/>
              </w:rPr>
            </w:pPr>
            <w:r w:rsidRPr="003E2EB9">
              <w:rPr>
                <w:rFonts w:eastAsia="Times New Roman" w:cs="Times New Roman"/>
                <w:szCs w:val="24"/>
              </w:rPr>
              <w:t>Funding, maintenance culture, and maintenance awareness are the most significant factors influencing maintenance tactics</w:t>
            </w:r>
          </w:p>
        </w:tc>
      </w:tr>
      <w:tr w:rsidR="008F5E08" w:rsidRPr="003E2EB9" w14:paraId="61399595" w14:textId="77777777" w:rsidTr="008F5E08">
        <w:trPr>
          <w:jc w:val="center"/>
        </w:trPr>
        <w:tc>
          <w:tcPr>
            <w:tcW w:w="1350" w:type="dxa"/>
          </w:tcPr>
          <w:p w14:paraId="18A1BCB8" w14:textId="77777777" w:rsidR="008F5E08" w:rsidRPr="003E2EB9" w:rsidRDefault="008F5E08" w:rsidP="008F5E08">
            <w:pPr>
              <w:jc w:val="left"/>
              <w:rPr>
                <w:rFonts w:cs="Times New Roman"/>
                <w:szCs w:val="24"/>
              </w:rPr>
            </w:pPr>
            <w:r w:rsidRPr="003E2EB9">
              <w:rPr>
                <w:rFonts w:eastAsia="Times New Roman" w:cs="Times New Roman"/>
                <w:szCs w:val="24"/>
              </w:rPr>
              <w:t>Oladokun &amp; Ogunbiyi, 2019</w:t>
            </w:r>
          </w:p>
        </w:tc>
        <w:tc>
          <w:tcPr>
            <w:tcW w:w="1302" w:type="dxa"/>
          </w:tcPr>
          <w:p w14:paraId="7506FDEA"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2847E4FD" w14:textId="77777777" w:rsidR="008F5E08" w:rsidRPr="003E2EB9" w:rsidRDefault="008F5E08" w:rsidP="008F5E08">
            <w:pPr>
              <w:jc w:val="center"/>
              <w:rPr>
                <w:rFonts w:cs="Times New Roman"/>
                <w:szCs w:val="24"/>
              </w:rPr>
            </w:pPr>
            <w:r w:rsidRPr="003E2EB9">
              <w:rPr>
                <w:rFonts w:eastAsia="Times New Roman" w:cs="Times New Roman"/>
                <w:szCs w:val="24"/>
              </w:rPr>
              <w:t>Lagos, Nigeria</w:t>
            </w:r>
          </w:p>
        </w:tc>
        <w:tc>
          <w:tcPr>
            <w:tcW w:w="1440" w:type="dxa"/>
          </w:tcPr>
          <w:p w14:paraId="69288803" w14:textId="77777777" w:rsidR="008F5E08" w:rsidRPr="003E2EB9" w:rsidRDefault="008F5E08" w:rsidP="008F5E08">
            <w:pPr>
              <w:jc w:val="center"/>
              <w:rPr>
                <w:rFonts w:cs="Times New Roman"/>
                <w:szCs w:val="24"/>
              </w:rPr>
            </w:pPr>
            <w:r w:rsidRPr="003E2EB9">
              <w:rPr>
                <w:rFonts w:eastAsia="Times New Roman" w:cs="Times New Roman"/>
                <w:szCs w:val="24"/>
              </w:rPr>
              <w:t>165 respondents</w:t>
            </w:r>
          </w:p>
        </w:tc>
        <w:tc>
          <w:tcPr>
            <w:tcW w:w="3558" w:type="dxa"/>
          </w:tcPr>
          <w:p w14:paraId="52F6CD94" w14:textId="77777777" w:rsidR="008F5E08" w:rsidRPr="003E2EB9" w:rsidRDefault="008F5E08" w:rsidP="008F5E08">
            <w:pPr>
              <w:rPr>
                <w:rFonts w:cs="Times New Roman"/>
                <w:szCs w:val="24"/>
              </w:rPr>
            </w:pPr>
            <w:r w:rsidRPr="003E2EB9">
              <w:rPr>
                <w:rFonts w:eastAsia="Times New Roman" w:cs="Times New Roman"/>
                <w:szCs w:val="24"/>
              </w:rPr>
              <w:t>Service charge default rates exceeded 40%; reactive maintenance culture is deeply embedded</w:t>
            </w:r>
          </w:p>
        </w:tc>
      </w:tr>
      <w:tr w:rsidR="008F5E08" w:rsidRPr="003E2EB9" w14:paraId="529D891C" w14:textId="77777777" w:rsidTr="008F5E08">
        <w:trPr>
          <w:jc w:val="center"/>
        </w:trPr>
        <w:tc>
          <w:tcPr>
            <w:tcW w:w="1350" w:type="dxa"/>
          </w:tcPr>
          <w:p w14:paraId="792C67C4" w14:textId="77777777" w:rsidR="008F5E08" w:rsidRPr="003E2EB9" w:rsidRDefault="008F5E08" w:rsidP="008F5E08">
            <w:pPr>
              <w:jc w:val="left"/>
              <w:rPr>
                <w:rFonts w:cs="Times New Roman"/>
                <w:szCs w:val="24"/>
              </w:rPr>
            </w:pPr>
            <w:r w:rsidRPr="003E2EB9">
              <w:rPr>
                <w:rFonts w:eastAsia="Times New Roman" w:cs="Times New Roman"/>
                <w:szCs w:val="24"/>
              </w:rPr>
              <w:t>Rashid et al., 2021</w:t>
            </w:r>
          </w:p>
        </w:tc>
        <w:tc>
          <w:tcPr>
            <w:tcW w:w="1302" w:type="dxa"/>
          </w:tcPr>
          <w:p w14:paraId="07FE8F7B" w14:textId="77777777" w:rsidR="008F5E08" w:rsidRPr="003E2EB9" w:rsidRDefault="008F5E08" w:rsidP="008F5E08">
            <w:pPr>
              <w:jc w:val="center"/>
              <w:rPr>
                <w:rFonts w:cs="Times New Roman"/>
                <w:szCs w:val="24"/>
              </w:rPr>
            </w:pPr>
            <w:r w:rsidRPr="003E2EB9">
              <w:rPr>
                <w:rFonts w:eastAsia="Times New Roman" w:cs="Times New Roman"/>
                <w:szCs w:val="24"/>
              </w:rPr>
              <w:t>Soft system methodology</w:t>
            </w:r>
          </w:p>
        </w:tc>
        <w:tc>
          <w:tcPr>
            <w:tcW w:w="1170" w:type="dxa"/>
          </w:tcPr>
          <w:p w14:paraId="4BD3196E"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7C837031" w14:textId="77777777" w:rsidR="008F5E08" w:rsidRPr="003E2EB9" w:rsidRDefault="008F5E08" w:rsidP="008F5E08">
            <w:pPr>
              <w:jc w:val="center"/>
              <w:rPr>
                <w:rFonts w:cs="Times New Roman"/>
                <w:szCs w:val="24"/>
              </w:rPr>
            </w:pPr>
            <w:r w:rsidRPr="003E2EB9">
              <w:rPr>
                <w:rFonts w:eastAsia="Times New Roman" w:cs="Times New Roman"/>
                <w:szCs w:val="24"/>
              </w:rPr>
              <w:t>25 experts</w:t>
            </w:r>
          </w:p>
        </w:tc>
        <w:tc>
          <w:tcPr>
            <w:tcW w:w="3558" w:type="dxa"/>
          </w:tcPr>
          <w:p w14:paraId="597402D5" w14:textId="77777777" w:rsidR="008F5E08" w:rsidRPr="003E2EB9" w:rsidRDefault="008F5E08" w:rsidP="008F5E08">
            <w:pPr>
              <w:rPr>
                <w:rFonts w:cs="Times New Roman"/>
                <w:szCs w:val="24"/>
              </w:rPr>
            </w:pPr>
            <w:r w:rsidRPr="003E2EB9">
              <w:rPr>
                <w:rFonts w:eastAsia="Times New Roman" w:cs="Times New Roman"/>
                <w:szCs w:val="24"/>
              </w:rPr>
              <w:t>A structured maintenance framework addressing design-phase deficiencies improves long-term building performance</w:t>
            </w:r>
          </w:p>
        </w:tc>
      </w:tr>
      <w:tr w:rsidR="008F5E08" w:rsidRPr="003E2EB9" w14:paraId="7BCEFDDF" w14:textId="77777777" w:rsidTr="008F5E08">
        <w:trPr>
          <w:jc w:val="center"/>
        </w:trPr>
        <w:tc>
          <w:tcPr>
            <w:tcW w:w="1350" w:type="dxa"/>
          </w:tcPr>
          <w:p w14:paraId="00A1C7F3" w14:textId="77777777" w:rsidR="008F5E08" w:rsidRPr="003E2EB9" w:rsidRDefault="008F5E08" w:rsidP="008F5E08">
            <w:pPr>
              <w:jc w:val="left"/>
              <w:rPr>
                <w:rFonts w:cs="Times New Roman"/>
                <w:szCs w:val="24"/>
              </w:rPr>
            </w:pPr>
            <w:r w:rsidRPr="003E2EB9">
              <w:rPr>
                <w:rFonts w:eastAsia="Times New Roman" w:cs="Times New Roman"/>
                <w:szCs w:val="24"/>
              </w:rPr>
              <w:t>Shah et al., 2022</w:t>
            </w:r>
          </w:p>
        </w:tc>
        <w:tc>
          <w:tcPr>
            <w:tcW w:w="1302" w:type="dxa"/>
          </w:tcPr>
          <w:p w14:paraId="2D25D276"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 correlation analysis</w:t>
            </w:r>
          </w:p>
        </w:tc>
        <w:tc>
          <w:tcPr>
            <w:tcW w:w="1170" w:type="dxa"/>
          </w:tcPr>
          <w:p w14:paraId="1F07CB97"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091A27B7" w14:textId="77777777" w:rsidR="008F5E08" w:rsidRPr="003E2EB9" w:rsidRDefault="008F5E08" w:rsidP="008F5E08">
            <w:pPr>
              <w:jc w:val="center"/>
              <w:rPr>
                <w:rFonts w:cs="Times New Roman"/>
                <w:szCs w:val="24"/>
              </w:rPr>
            </w:pPr>
            <w:r w:rsidRPr="003E2EB9">
              <w:rPr>
                <w:rFonts w:eastAsia="Times New Roman" w:cs="Times New Roman"/>
                <w:szCs w:val="24"/>
              </w:rPr>
              <w:t>265 respondents</w:t>
            </w:r>
          </w:p>
        </w:tc>
        <w:tc>
          <w:tcPr>
            <w:tcW w:w="3558" w:type="dxa"/>
          </w:tcPr>
          <w:p w14:paraId="4B725260" w14:textId="77777777" w:rsidR="008F5E08" w:rsidRPr="003E2EB9" w:rsidRDefault="008F5E08" w:rsidP="008F5E08">
            <w:pPr>
              <w:rPr>
                <w:rFonts w:cs="Times New Roman"/>
                <w:szCs w:val="24"/>
              </w:rPr>
            </w:pPr>
            <w:r w:rsidRPr="003E2EB9">
              <w:rPr>
                <w:rFonts w:eastAsia="Times New Roman" w:cs="Times New Roman"/>
                <w:szCs w:val="24"/>
              </w:rPr>
              <w:t>Maintenance characteristics significantly influence performance outcomes; budget allocation is the strongest predictor</w:t>
            </w:r>
          </w:p>
        </w:tc>
      </w:tr>
      <w:tr w:rsidR="008F5E08" w:rsidRPr="003E2EB9" w14:paraId="76447E7D" w14:textId="77777777" w:rsidTr="008F5E08">
        <w:trPr>
          <w:jc w:val="center"/>
        </w:trPr>
        <w:tc>
          <w:tcPr>
            <w:tcW w:w="1350" w:type="dxa"/>
          </w:tcPr>
          <w:p w14:paraId="4EEE3B6A" w14:textId="77777777" w:rsidR="008F5E08" w:rsidRPr="003E2EB9" w:rsidRDefault="008F5E08" w:rsidP="008F5E08">
            <w:pPr>
              <w:jc w:val="left"/>
              <w:rPr>
                <w:rFonts w:cs="Times New Roman"/>
                <w:szCs w:val="24"/>
              </w:rPr>
            </w:pPr>
            <w:proofErr w:type="spellStart"/>
            <w:r w:rsidRPr="003E2EB9">
              <w:rPr>
                <w:rFonts w:eastAsia="Times New Roman" w:cs="Times New Roman"/>
                <w:szCs w:val="24"/>
              </w:rPr>
              <w:t>Ebekozien</w:t>
            </w:r>
            <w:proofErr w:type="spellEnd"/>
            <w:r w:rsidRPr="003E2EB9">
              <w:rPr>
                <w:rFonts w:eastAsia="Times New Roman" w:cs="Times New Roman"/>
                <w:szCs w:val="24"/>
              </w:rPr>
              <w:t xml:space="preserve"> et al., 2021</w:t>
            </w:r>
          </w:p>
        </w:tc>
        <w:tc>
          <w:tcPr>
            <w:tcW w:w="1302" w:type="dxa"/>
          </w:tcPr>
          <w:p w14:paraId="161F5D40" w14:textId="77777777" w:rsidR="008F5E08" w:rsidRPr="003E2EB9" w:rsidRDefault="008F5E08" w:rsidP="008F5E08">
            <w:pPr>
              <w:jc w:val="center"/>
              <w:rPr>
                <w:rFonts w:cs="Times New Roman"/>
                <w:szCs w:val="24"/>
              </w:rPr>
            </w:pPr>
            <w:r w:rsidRPr="003E2EB9">
              <w:rPr>
                <w:rFonts w:eastAsia="Times New Roman" w:cs="Times New Roman"/>
                <w:szCs w:val="24"/>
              </w:rPr>
              <w:t>Mixed-methods</w:t>
            </w:r>
          </w:p>
        </w:tc>
        <w:tc>
          <w:tcPr>
            <w:tcW w:w="1170" w:type="dxa"/>
          </w:tcPr>
          <w:p w14:paraId="4C49258F"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2D32B977" w14:textId="77777777" w:rsidR="008F5E08" w:rsidRPr="003E2EB9" w:rsidRDefault="008F5E08" w:rsidP="008F5E08">
            <w:pPr>
              <w:jc w:val="center"/>
              <w:rPr>
                <w:rFonts w:cs="Times New Roman"/>
                <w:szCs w:val="24"/>
              </w:rPr>
            </w:pPr>
            <w:r w:rsidRPr="003E2EB9">
              <w:rPr>
                <w:rFonts w:eastAsia="Times New Roman" w:cs="Times New Roman"/>
                <w:szCs w:val="24"/>
              </w:rPr>
              <w:t>345 respondents</w:t>
            </w:r>
          </w:p>
        </w:tc>
        <w:tc>
          <w:tcPr>
            <w:tcW w:w="3558" w:type="dxa"/>
          </w:tcPr>
          <w:p w14:paraId="0E01CDE5" w14:textId="77777777" w:rsidR="008F5E08" w:rsidRPr="003E2EB9" w:rsidRDefault="008F5E08" w:rsidP="008F5E08">
            <w:pPr>
              <w:rPr>
                <w:rFonts w:cs="Times New Roman"/>
                <w:szCs w:val="24"/>
              </w:rPr>
            </w:pPr>
            <w:r w:rsidRPr="003E2EB9">
              <w:rPr>
                <w:rFonts w:eastAsia="Times New Roman" w:cs="Times New Roman"/>
                <w:szCs w:val="24"/>
              </w:rPr>
              <w:t>Poor maintenance culture identified as a persistent impediment to effective upkeep of public buildings in Nigeria</w:t>
            </w:r>
          </w:p>
        </w:tc>
      </w:tr>
      <w:tr w:rsidR="008F5E08" w:rsidRPr="003E2EB9" w14:paraId="6AE8F27E" w14:textId="77777777" w:rsidTr="008F5E08">
        <w:trPr>
          <w:jc w:val="center"/>
        </w:trPr>
        <w:tc>
          <w:tcPr>
            <w:tcW w:w="1350" w:type="dxa"/>
          </w:tcPr>
          <w:p w14:paraId="3CB5795F" w14:textId="77777777" w:rsidR="008F5E08" w:rsidRPr="003E2EB9" w:rsidRDefault="008F5E08" w:rsidP="008F5E08">
            <w:pPr>
              <w:jc w:val="left"/>
              <w:rPr>
                <w:rFonts w:cs="Times New Roman"/>
                <w:szCs w:val="24"/>
              </w:rPr>
            </w:pPr>
            <w:r w:rsidRPr="003E2EB9">
              <w:rPr>
                <w:rFonts w:eastAsia="Times New Roman" w:cs="Times New Roman"/>
                <w:szCs w:val="24"/>
              </w:rPr>
              <w:t xml:space="preserve">Ugochukwu &amp; </w:t>
            </w:r>
            <w:proofErr w:type="spellStart"/>
            <w:r w:rsidRPr="003E2EB9">
              <w:rPr>
                <w:rFonts w:eastAsia="Times New Roman" w:cs="Times New Roman"/>
                <w:szCs w:val="24"/>
              </w:rPr>
              <w:t>Olusanjo</w:t>
            </w:r>
            <w:proofErr w:type="spellEnd"/>
            <w:r w:rsidRPr="003E2EB9">
              <w:rPr>
                <w:rFonts w:eastAsia="Times New Roman" w:cs="Times New Roman"/>
                <w:szCs w:val="24"/>
              </w:rPr>
              <w:t>, 2020</w:t>
            </w:r>
          </w:p>
        </w:tc>
        <w:tc>
          <w:tcPr>
            <w:tcW w:w="1302" w:type="dxa"/>
          </w:tcPr>
          <w:p w14:paraId="63EC9A0A"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06DE5F42" w14:textId="77777777" w:rsidR="008F5E08" w:rsidRPr="003E2EB9" w:rsidRDefault="008F5E08" w:rsidP="008F5E08">
            <w:pPr>
              <w:jc w:val="center"/>
              <w:rPr>
                <w:rFonts w:cs="Times New Roman"/>
                <w:szCs w:val="24"/>
              </w:rPr>
            </w:pPr>
            <w:r w:rsidRPr="003E2EB9">
              <w:rPr>
                <w:rFonts w:eastAsia="Times New Roman" w:cs="Times New Roman"/>
                <w:szCs w:val="24"/>
              </w:rPr>
              <w:t>Nigeria</w:t>
            </w:r>
          </w:p>
        </w:tc>
        <w:tc>
          <w:tcPr>
            <w:tcW w:w="1440" w:type="dxa"/>
          </w:tcPr>
          <w:p w14:paraId="1BF9107D" w14:textId="77777777" w:rsidR="008F5E08" w:rsidRPr="003E2EB9" w:rsidRDefault="008F5E08" w:rsidP="008F5E08">
            <w:pPr>
              <w:jc w:val="center"/>
              <w:rPr>
                <w:rFonts w:cs="Times New Roman"/>
                <w:szCs w:val="24"/>
              </w:rPr>
            </w:pPr>
            <w:r w:rsidRPr="003E2EB9">
              <w:rPr>
                <w:rFonts w:eastAsia="Times New Roman" w:cs="Times New Roman"/>
                <w:szCs w:val="24"/>
              </w:rPr>
              <w:t>205 respondents</w:t>
            </w:r>
          </w:p>
        </w:tc>
        <w:tc>
          <w:tcPr>
            <w:tcW w:w="3558" w:type="dxa"/>
          </w:tcPr>
          <w:p w14:paraId="3CFA5703" w14:textId="77777777" w:rsidR="008F5E08" w:rsidRPr="003E2EB9" w:rsidRDefault="008F5E08" w:rsidP="008F5E08">
            <w:pPr>
              <w:rPr>
                <w:rFonts w:cs="Times New Roman"/>
                <w:szCs w:val="24"/>
              </w:rPr>
            </w:pPr>
            <w:r w:rsidRPr="003E2EB9">
              <w:rPr>
                <w:rFonts w:eastAsia="Times New Roman" w:cs="Times New Roman"/>
                <w:szCs w:val="24"/>
              </w:rPr>
              <w:t>Poor workmanship and substandard materials are major technical factors; preventive maintenance is rarely practised</w:t>
            </w:r>
          </w:p>
        </w:tc>
      </w:tr>
      <w:tr w:rsidR="008F5E08" w:rsidRPr="003E2EB9" w14:paraId="33A626FF" w14:textId="77777777" w:rsidTr="008F5E08">
        <w:trPr>
          <w:jc w:val="center"/>
        </w:trPr>
        <w:tc>
          <w:tcPr>
            <w:tcW w:w="1350" w:type="dxa"/>
          </w:tcPr>
          <w:p w14:paraId="05ABB4E7" w14:textId="77777777" w:rsidR="008F5E08" w:rsidRPr="003E2EB9" w:rsidRDefault="008F5E08" w:rsidP="008F5E08">
            <w:pPr>
              <w:jc w:val="left"/>
              <w:rPr>
                <w:rFonts w:cs="Times New Roman"/>
                <w:szCs w:val="24"/>
              </w:rPr>
            </w:pPr>
            <w:r w:rsidRPr="003E2EB9">
              <w:rPr>
                <w:rFonts w:eastAsia="Times New Roman" w:cs="Times New Roman"/>
                <w:szCs w:val="24"/>
              </w:rPr>
              <w:t>Wahab &amp; Sairi, 2015</w:t>
            </w:r>
          </w:p>
        </w:tc>
        <w:tc>
          <w:tcPr>
            <w:tcW w:w="1302" w:type="dxa"/>
          </w:tcPr>
          <w:p w14:paraId="0420BFB7" w14:textId="77777777" w:rsidR="008F5E08" w:rsidRPr="003E2EB9" w:rsidRDefault="008F5E08" w:rsidP="008F5E08">
            <w:pPr>
              <w:jc w:val="center"/>
              <w:rPr>
                <w:rFonts w:cs="Times New Roman"/>
                <w:szCs w:val="24"/>
              </w:rPr>
            </w:pPr>
            <w:r w:rsidRPr="003E2EB9">
              <w:rPr>
                <w:rFonts w:eastAsia="Times New Roman" w:cs="Times New Roman"/>
                <w:szCs w:val="24"/>
              </w:rPr>
              <w:t>Literature review</w:t>
            </w:r>
          </w:p>
        </w:tc>
        <w:tc>
          <w:tcPr>
            <w:tcW w:w="1170" w:type="dxa"/>
          </w:tcPr>
          <w:p w14:paraId="776772EB"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56B09E5A" w14:textId="77777777" w:rsidR="008F5E08" w:rsidRPr="003E2EB9" w:rsidRDefault="008F5E08" w:rsidP="008F5E08">
            <w:pPr>
              <w:jc w:val="center"/>
              <w:rPr>
                <w:rFonts w:cs="Times New Roman"/>
                <w:szCs w:val="24"/>
              </w:rPr>
            </w:pPr>
            <w:r w:rsidRPr="003E2EB9">
              <w:rPr>
                <w:rFonts w:eastAsia="Times New Roman" w:cs="Times New Roman"/>
                <w:szCs w:val="24"/>
              </w:rPr>
              <w:t>48 studies reviewed</w:t>
            </w:r>
          </w:p>
        </w:tc>
        <w:tc>
          <w:tcPr>
            <w:tcW w:w="3558" w:type="dxa"/>
          </w:tcPr>
          <w:p w14:paraId="50B7BBA2" w14:textId="77777777" w:rsidR="008F5E08" w:rsidRPr="003E2EB9" w:rsidRDefault="008F5E08" w:rsidP="008F5E08">
            <w:pPr>
              <w:rPr>
                <w:rFonts w:cs="Times New Roman"/>
                <w:szCs w:val="24"/>
              </w:rPr>
            </w:pPr>
            <w:r w:rsidRPr="003E2EB9">
              <w:rPr>
                <w:rFonts w:eastAsia="Times New Roman" w:cs="Times New Roman"/>
                <w:szCs w:val="24"/>
              </w:rPr>
              <w:t>Socio-cultural factors and funding issues are the dominant challenges in high-rise building maintenance</w:t>
            </w:r>
          </w:p>
        </w:tc>
      </w:tr>
      <w:tr w:rsidR="008F5E08" w:rsidRPr="003E2EB9" w14:paraId="36F22903" w14:textId="77777777" w:rsidTr="008F5E08">
        <w:trPr>
          <w:jc w:val="center"/>
        </w:trPr>
        <w:tc>
          <w:tcPr>
            <w:tcW w:w="1350" w:type="dxa"/>
          </w:tcPr>
          <w:p w14:paraId="0832C2C2" w14:textId="77777777" w:rsidR="008F5E08" w:rsidRPr="003E2EB9" w:rsidRDefault="008F5E08" w:rsidP="008F5E08">
            <w:pPr>
              <w:jc w:val="left"/>
              <w:rPr>
                <w:rFonts w:cs="Times New Roman"/>
                <w:szCs w:val="24"/>
              </w:rPr>
            </w:pPr>
            <w:r w:rsidRPr="003E2EB9">
              <w:rPr>
                <w:rFonts w:eastAsia="Times New Roman" w:cs="Times New Roman"/>
                <w:szCs w:val="24"/>
              </w:rPr>
              <w:t>Yusof &amp; Shafiei, 2013</w:t>
            </w:r>
          </w:p>
        </w:tc>
        <w:tc>
          <w:tcPr>
            <w:tcW w:w="1302" w:type="dxa"/>
          </w:tcPr>
          <w:p w14:paraId="5146411E" w14:textId="77777777" w:rsidR="008F5E08" w:rsidRPr="003E2EB9" w:rsidRDefault="008F5E08" w:rsidP="008F5E08">
            <w:pPr>
              <w:jc w:val="center"/>
              <w:rPr>
                <w:rFonts w:cs="Times New Roman"/>
                <w:szCs w:val="24"/>
              </w:rPr>
            </w:pPr>
            <w:r w:rsidRPr="003E2EB9">
              <w:rPr>
                <w:rFonts w:eastAsia="Times New Roman" w:cs="Times New Roman"/>
                <w:szCs w:val="24"/>
              </w:rPr>
              <w:t>Questionnaire survey</w:t>
            </w:r>
          </w:p>
        </w:tc>
        <w:tc>
          <w:tcPr>
            <w:tcW w:w="1170" w:type="dxa"/>
          </w:tcPr>
          <w:p w14:paraId="0F3CF8F6" w14:textId="77777777" w:rsidR="008F5E08" w:rsidRPr="003E2EB9" w:rsidRDefault="008F5E08" w:rsidP="008F5E08">
            <w:pPr>
              <w:jc w:val="center"/>
              <w:rPr>
                <w:rFonts w:cs="Times New Roman"/>
                <w:szCs w:val="24"/>
              </w:rPr>
            </w:pPr>
            <w:r w:rsidRPr="003E2EB9">
              <w:rPr>
                <w:rFonts w:eastAsia="Times New Roman" w:cs="Times New Roman"/>
                <w:szCs w:val="24"/>
              </w:rPr>
              <w:t>Malaysia</w:t>
            </w:r>
          </w:p>
        </w:tc>
        <w:tc>
          <w:tcPr>
            <w:tcW w:w="1440" w:type="dxa"/>
          </w:tcPr>
          <w:p w14:paraId="3127BFC6" w14:textId="77777777" w:rsidR="008F5E08" w:rsidRPr="003E2EB9" w:rsidRDefault="008F5E08" w:rsidP="008F5E08">
            <w:pPr>
              <w:jc w:val="center"/>
              <w:rPr>
                <w:rFonts w:cs="Times New Roman"/>
                <w:szCs w:val="24"/>
              </w:rPr>
            </w:pPr>
            <w:r w:rsidRPr="003E2EB9">
              <w:rPr>
                <w:rFonts w:eastAsia="Times New Roman" w:cs="Times New Roman"/>
                <w:szCs w:val="24"/>
              </w:rPr>
              <w:t>195 respondents</w:t>
            </w:r>
          </w:p>
        </w:tc>
        <w:tc>
          <w:tcPr>
            <w:tcW w:w="3558" w:type="dxa"/>
          </w:tcPr>
          <w:p w14:paraId="5CF4D091" w14:textId="77777777" w:rsidR="008F5E08" w:rsidRPr="003E2EB9" w:rsidRDefault="008F5E08" w:rsidP="008F5E08">
            <w:pPr>
              <w:rPr>
                <w:rFonts w:cs="Times New Roman"/>
                <w:szCs w:val="24"/>
              </w:rPr>
            </w:pPr>
            <w:r w:rsidRPr="003E2EB9">
              <w:rPr>
                <w:rFonts w:eastAsia="Times New Roman" w:cs="Times New Roman"/>
                <w:szCs w:val="24"/>
              </w:rPr>
              <w:t>Housing maintenance performance in public housing is constrained by budget limitations and institutional weaknesses</w:t>
            </w:r>
          </w:p>
        </w:tc>
      </w:tr>
      <w:tr w:rsidR="008F5E08" w:rsidRPr="003E2EB9" w14:paraId="07429DE0" w14:textId="77777777" w:rsidTr="008F5E08">
        <w:trPr>
          <w:jc w:val="center"/>
        </w:trPr>
        <w:tc>
          <w:tcPr>
            <w:tcW w:w="1350" w:type="dxa"/>
          </w:tcPr>
          <w:p w14:paraId="031C25DF" w14:textId="77777777" w:rsidR="008F5E08" w:rsidRPr="003E2EB9" w:rsidRDefault="008F5E08" w:rsidP="008F5E08">
            <w:pPr>
              <w:jc w:val="left"/>
              <w:rPr>
                <w:rFonts w:cs="Times New Roman"/>
                <w:szCs w:val="24"/>
              </w:rPr>
            </w:pPr>
            <w:r w:rsidRPr="003E2EB9">
              <w:rPr>
                <w:rFonts w:eastAsia="Times New Roman" w:cs="Times New Roman"/>
                <w:szCs w:val="24"/>
              </w:rPr>
              <w:t>Zawawi et al., 2023</w:t>
            </w:r>
          </w:p>
        </w:tc>
        <w:tc>
          <w:tcPr>
            <w:tcW w:w="1302" w:type="dxa"/>
          </w:tcPr>
          <w:p w14:paraId="241DDE59" w14:textId="77777777" w:rsidR="008F5E08" w:rsidRPr="003E2EB9" w:rsidRDefault="008F5E08" w:rsidP="008F5E08">
            <w:pPr>
              <w:jc w:val="center"/>
              <w:rPr>
                <w:rFonts w:cs="Times New Roman"/>
                <w:szCs w:val="24"/>
              </w:rPr>
            </w:pPr>
            <w:r w:rsidRPr="003E2EB9">
              <w:rPr>
                <w:rFonts w:eastAsia="Times New Roman" w:cs="Times New Roman"/>
                <w:szCs w:val="24"/>
              </w:rPr>
              <w:t>Case study</w:t>
            </w:r>
          </w:p>
        </w:tc>
        <w:tc>
          <w:tcPr>
            <w:tcW w:w="1170" w:type="dxa"/>
          </w:tcPr>
          <w:p w14:paraId="28E7CB9C" w14:textId="77777777" w:rsidR="008F5E08" w:rsidRPr="003E2EB9" w:rsidRDefault="008F5E08" w:rsidP="008F5E08">
            <w:pPr>
              <w:jc w:val="center"/>
              <w:rPr>
                <w:rFonts w:cs="Times New Roman"/>
                <w:szCs w:val="24"/>
              </w:rPr>
            </w:pPr>
            <w:r w:rsidRPr="003E2EB9">
              <w:rPr>
                <w:rFonts w:eastAsia="Times New Roman" w:cs="Times New Roman"/>
                <w:szCs w:val="24"/>
              </w:rPr>
              <w:t>Klang Valley, Malaysia</w:t>
            </w:r>
          </w:p>
        </w:tc>
        <w:tc>
          <w:tcPr>
            <w:tcW w:w="1440" w:type="dxa"/>
          </w:tcPr>
          <w:p w14:paraId="5F7AD9E4" w14:textId="77777777" w:rsidR="008F5E08" w:rsidRPr="003E2EB9" w:rsidRDefault="008F5E08" w:rsidP="008F5E08">
            <w:pPr>
              <w:jc w:val="center"/>
              <w:rPr>
                <w:rFonts w:cs="Times New Roman"/>
                <w:szCs w:val="24"/>
              </w:rPr>
            </w:pPr>
            <w:r w:rsidRPr="003E2EB9">
              <w:rPr>
                <w:rFonts w:eastAsia="Times New Roman" w:cs="Times New Roman"/>
                <w:szCs w:val="24"/>
              </w:rPr>
              <w:t>30 respondents</w:t>
            </w:r>
          </w:p>
        </w:tc>
        <w:tc>
          <w:tcPr>
            <w:tcW w:w="3558" w:type="dxa"/>
          </w:tcPr>
          <w:p w14:paraId="0705DED7" w14:textId="77777777" w:rsidR="008F5E08" w:rsidRPr="003E2EB9" w:rsidRDefault="008F5E08" w:rsidP="008F5E08">
            <w:pPr>
              <w:rPr>
                <w:rFonts w:cs="Times New Roman"/>
                <w:szCs w:val="24"/>
              </w:rPr>
            </w:pPr>
            <w:r w:rsidRPr="003E2EB9">
              <w:rPr>
                <w:rFonts w:eastAsia="Times New Roman" w:cs="Times New Roman"/>
                <w:szCs w:val="24"/>
              </w:rPr>
              <w:t>Occupant behaviour and awareness deficits, combined with weak regulatory frameworks, challenge strata maintenance</w:t>
            </w:r>
          </w:p>
        </w:tc>
      </w:tr>
    </w:tbl>
    <w:p w14:paraId="21AF3D98" w14:textId="324060BE" w:rsidR="00936FB9" w:rsidRPr="00FA1296" w:rsidRDefault="00CC2560" w:rsidP="008F5E08">
      <w:pPr>
        <w:rPr>
          <w:i/>
          <w:iCs/>
        </w:rPr>
      </w:pPr>
      <w:r w:rsidRPr="00FA1296">
        <w:rPr>
          <w:i/>
          <w:iCs/>
        </w:rPr>
        <w:t>Note: from the 36 included studies.</w:t>
      </w:r>
    </w:p>
    <w:p w14:paraId="5ADAB1EE" w14:textId="77777777" w:rsidR="00936FB9" w:rsidRDefault="00000000" w:rsidP="007513D1">
      <w:pPr>
        <w:pStyle w:val="Heading2"/>
      </w:pPr>
      <w:r>
        <w:lastRenderedPageBreak/>
        <w:t>Appendix C: Studies Excluded at Eligibility Stage with Reasons</w:t>
      </w:r>
    </w:p>
    <w:p w14:paraId="12E8DCC4" w14:textId="611042EB" w:rsidR="00936FB9" w:rsidRDefault="00000000" w:rsidP="008F5E08">
      <w:pPr>
        <w:spacing w:after="120" w:line="276" w:lineRule="auto"/>
      </w:pPr>
      <w:r>
        <w:rPr>
          <w:rFonts w:eastAsia="Times New Roman"/>
        </w:rPr>
        <w:t>Of the 298 full-text records assessed, 262 were excluded. Reasons for exclusion: failure to link problems to performance outcomes (118 studies), focus on</w:t>
      </w:r>
      <w:r w:rsidR="00C0107B">
        <w:rPr>
          <w:rFonts w:eastAsia="Times New Roman"/>
        </w:rPr>
        <w:t xml:space="preserve"> only</w:t>
      </w:r>
      <w:r>
        <w:rPr>
          <w:rFonts w:eastAsia="Times New Roman"/>
        </w:rPr>
        <w:t xml:space="preserve"> non-residential buildings </w:t>
      </w:r>
      <w:r w:rsidR="00C0107B">
        <w:rPr>
          <w:rFonts w:eastAsia="Times New Roman"/>
        </w:rPr>
        <w:t>with no relation to current study</w:t>
      </w:r>
      <w:r>
        <w:rPr>
          <w:rFonts w:eastAsia="Times New Roman"/>
        </w:rPr>
        <w:t xml:space="preserve"> (73 studies), absence of empirical data including opinion pieces and editorials (47 studies), publication before 2010 and outside the review timeframe (15 studies), and non-English language (9 studies).</w:t>
      </w:r>
    </w:p>
    <w:sectPr w:rsidR="00936FB9" w:rsidSect="00034616">
      <w:pgSz w:w="11906" w:h="16838"/>
      <w:pgMar w:top="1440" w:right="1417" w:bottom="1440"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auto"/>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554861EF"/>
    <w:multiLevelType w:val="hybridMultilevel"/>
    <w:tmpl w:val="A82AE3D0"/>
    <w:lvl w:ilvl="0" w:tplc="2000001B">
      <w:start w:val="1"/>
      <w:numFmt w:val="low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num w:numId="1" w16cid:durableId="235477343">
    <w:abstractNumId w:val="8"/>
  </w:num>
  <w:num w:numId="2" w16cid:durableId="667832250">
    <w:abstractNumId w:val="6"/>
  </w:num>
  <w:num w:numId="3" w16cid:durableId="942499087">
    <w:abstractNumId w:val="5"/>
  </w:num>
  <w:num w:numId="4" w16cid:durableId="153305443">
    <w:abstractNumId w:val="4"/>
  </w:num>
  <w:num w:numId="5" w16cid:durableId="1893227215">
    <w:abstractNumId w:val="7"/>
  </w:num>
  <w:num w:numId="6" w16cid:durableId="1619868932">
    <w:abstractNumId w:val="3"/>
  </w:num>
  <w:num w:numId="7" w16cid:durableId="295377926">
    <w:abstractNumId w:val="2"/>
  </w:num>
  <w:num w:numId="8" w16cid:durableId="299187325">
    <w:abstractNumId w:val="1"/>
  </w:num>
  <w:num w:numId="9" w16cid:durableId="456218868">
    <w:abstractNumId w:val="0"/>
  </w:num>
  <w:num w:numId="10" w16cid:durableId="9781925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232E40"/>
    <w:rsid w:val="0029639D"/>
    <w:rsid w:val="002D55FE"/>
    <w:rsid w:val="00326F90"/>
    <w:rsid w:val="00370449"/>
    <w:rsid w:val="00393BD4"/>
    <w:rsid w:val="003E2EB9"/>
    <w:rsid w:val="0043753E"/>
    <w:rsid w:val="00611A9D"/>
    <w:rsid w:val="006C25AA"/>
    <w:rsid w:val="006C7460"/>
    <w:rsid w:val="007513D1"/>
    <w:rsid w:val="00803A8B"/>
    <w:rsid w:val="008C7108"/>
    <w:rsid w:val="008F5E08"/>
    <w:rsid w:val="00936FB9"/>
    <w:rsid w:val="009F1E60"/>
    <w:rsid w:val="00A712B4"/>
    <w:rsid w:val="00AA1D8D"/>
    <w:rsid w:val="00B0334D"/>
    <w:rsid w:val="00B47730"/>
    <w:rsid w:val="00B6629C"/>
    <w:rsid w:val="00B90121"/>
    <w:rsid w:val="00BE1592"/>
    <w:rsid w:val="00BE7C95"/>
    <w:rsid w:val="00C0107B"/>
    <w:rsid w:val="00CB0664"/>
    <w:rsid w:val="00CC2560"/>
    <w:rsid w:val="00D14BF6"/>
    <w:rsid w:val="00E902C3"/>
    <w:rsid w:val="00EB00E8"/>
    <w:rsid w:val="00F47013"/>
    <w:rsid w:val="00F67839"/>
    <w:rsid w:val="00FA129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DDE105"/>
  <w14:defaultImageDpi w14:val="300"/>
  <w15:docId w15:val="{941AD81D-F66F-4B91-9119-7E6A53C71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5AA"/>
    <w:pPr>
      <w:spacing w:line="24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BE7C95"/>
    <w:pPr>
      <w:keepNext/>
      <w:keepLines/>
      <w:spacing w:before="600" w:after="120" w:line="276" w:lineRule="auto"/>
      <w:outlineLvl w:val="0"/>
    </w:pPr>
    <w:rPr>
      <w:rFonts w:eastAsia="Times New Roman" w:cstheme="majorBidi"/>
      <w:b/>
      <w:bCs/>
      <w:szCs w:val="28"/>
    </w:rPr>
  </w:style>
  <w:style w:type="paragraph" w:styleId="Heading2">
    <w:name w:val="heading 2"/>
    <w:basedOn w:val="Normal"/>
    <w:next w:val="Normal"/>
    <w:link w:val="Heading2Char"/>
    <w:autoRedefine/>
    <w:uiPriority w:val="9"/>
    <w:unhideWhenUsed/>
    <w:qFormat/>
    <w:rsid w:val="00B90121"/>
    <w:pPr>
      <w:keepNext/>
      <w:keepLines/>
      <w:spacing w:before="200" w:after="0" w:line="276" w:lineRule="auto"/>
      <w:outlineLvl w:val="1"/>
    </w:pPr>
    <w:rPr>
      <w:rFonts w:eastAsia="Times New Roman" w:cstheme="majorBidi"/>
      <w:b/>
      <w:bCs/>
      <w:szCs w:val="26"/>
    </w:rPr>
  </w:style>
  <w:style w:type="paragraph" w:styleId="Heading3">
    <w:name w:val="heading 3"/>
    <w:basedOn w:val="Normal"/>
    <w:next w:val="Normal"/>
    <w:link w:val="Heading3Char"/>
    <w:autoRedefine/>
    <w:uiPriority w:val="9"/>
    <w:unhideWhenUsed/>
    <w:qFormat/>
    <w:rsid w:val="007513D1"/>
    <w:pPr>
      <w:keepNext/>
      <w:keepLines/>
      <w:spacing w:before="200" w:after="0"/>
      <w:outlineLvl w:val="2"/>
    </w:pPr>
    <w:rPr>
      <w:rFonts w:eastAsiaTheme="majorEastAsia" w:cstheme="majorBidi"/>
      <w:b/>
      <w:bCs/>
    </w:rPr>
  </w:style>
  <w:style w:type="paragraph" w:styleId="Heading4">
    <w:name w:val="heading 4"/>
    <w:basedOn w:val="Normal"/>
    <w:next w:val="Normal"/>
    <w:link w:val="Heading4Char"/>
    <w:autoRedefine/>
    <w:uiPriority w:val="9"/>
    <w:semiHidden/>
    <w:unhideWhenUsed/>
    <w:qFormat/>
    <w:rsid w:val="007513D1"/>
    <w:pPr>
      <w:keepNext/>
      <w:keepLines/>
      <w:spacing w:before="200" w:after="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pPr>
  </w:style>
  <w:style w:type="character" w:customStyle="1" w:styleId="FooterChar">
    <w:name w:val="Footer Char"/>
    <w:basedOn w:val="DefaultParagraphFont"/>
    <w:link w:val="Footer"/>
    <w:uiPriority w:val="99"/>
    <w:rsid w:val="00E618BF"/>
  </w:style>
  <w:style w:type="paragraph" w:styleId="NoSpacing">
    <w:name w:val="No Spacing"/>
    <w:uiPriority w:val="1"/>
    <w:rsid w:val="00FC693F"/>
    <w:pPr>
      <w:spacing w:after="0" w:line="240" w:lineRule="auto"/>
    </w:pPr>
  </w:style>
  <w:style w:type="character" w:customStyle="1" w:styleId="Heading1Char">
    <w:name w:val="Heading 1 Char"/>
    <w:basedOn w:val="DefaultParagraphFont"/>
    <w:link w:val="Heading1"/>
    <w:uiPriority w:val="9"/>
    <w:rsid w:val="00BE7C95"/>
    <w:rPr>
      <w:rFonts w:ascii="Times New Roman" w:eastAsia="Times New Roman" w:hAnsi="Times New Roman" w:cstheme="majorBidi"/>
      <w:b/>
      <w:bCs/>
      <w:sz w:val="24"/>
      <w:szCs w:val="28"/>
    </w:rPr>
  </w:style>
  <w:style w:type="character" w:customStyle="1" w:styleId="Heading2Char">
    <w:name w:val="Heading 2 Char"/>
    <w:basedOn w:val="DefaultParagraphFont"/>
    <w:link w:val="Heading2"/>
    <w:uiPriority w:val="9"/>
    <w:rsid w:val="00B90121"/>
    <w:rPr>
      <w:rFonts w:ascii="Times New Roman" w:eastAsia="Times New Roman" w:hAnsi="Times New Roman" w:cstheme="majorBidi"/>
      <w:b/>
      <w:bCs/>
      <w:sz w:val="24"/>
      <w:szCs w:val="26"/>
    </w:rPr>
  </w:style>
  <w:style w:type="character" w:customStyle="1" w:styleId="Heading3Char">
    <w:name w:val="Heading 3 Char"/>
    <w:basedOn w:val="DefaultParagraphFont"/>
    <w:link w:val="Heading3"/>
    <w:uiPriority w:val="9"/>
    <w:rsid w:val="007513D1"/>
    <w:rPr>
      <w:rFonts w:ascii="Times New Roman" w:eastAsiaTheme="majorEastAsia" w:hAnsi="Times New Roman" w:cstheme="majorBidi"/>
      <w:b/>
      <w:bCs/>
      <w:sz w:val="24"/>
    </w:rPr>
  </w:style>
  <w:style w:type="paragraph" w:styleId="Title">
    <w:name w:val="Title"/>
    <w:basedOn w:val="Normal"/>
    <w:next w:val="Normal"/>
    <w:link w:val="TitleChar"/>
    <w:uiPriority w:val="10"/>
    <w:qFormat/>
    <w:rsid w:val="00FC693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7513D1"/>
    <w:rPr>
      <w:rFonts w:ascii="Times New Roman" w:eastAsiaTheme="majorEastAsia" w:hAnsi="Times New Roman" w:cstheme="majorBidi"/>
      <w:b/>
      <w:bCs/>
      <w:i/>
      <w:iCs/>
      <w:sz w:val="24"/>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6C25AA"/>
    <w:rPr>
      <w:color w:val="0000FF" w:themeColor="hyperlink"/>
      <w:u w:val="single"/>
    </w:rPr>
  </w:style>
  <w:style w:type="character" w:styleId="UnresolvedMention">
    <w:name w:val="Unresolved Mention"/>
    <w:basedOn w:val="DefaultParagraphFont"/>
    <w:uiPriority w:val="99"/>
    <w:semiHidden/>
    <w:unhideWhenUsed/>
    <w:rsid w:val="006C25A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microsoft.com/office/2007/relationships/hdphoto" Target="media/hdphoto1.wdp"/><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27</Pages>
  <Words>9413</Words>
  <Characters>53659</Characters>
  <Application>Microsoft Office Word</Application>
  <DocSecurity>0</DocSecurity>
  <Lines>447</Lines>
  <Paragraphs>125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62947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Olutope Adeniyi Adewole</dc:creator>
  <cp:keywords/>
  <dc:description>generated by python-docx</dc:description>
  <cp:lastModifiedBy>Praise Obaje</cp:lastModifiedBy>
  <cp:revision>7</cp:revision>
  <dcterms:created xsi:type="dcterms:W3CDTF">2026-06-12T15:16:00Z</dcterms:created>
  <dcterms:modified xsi:type="dcterms:W3CDTF">2026-06-23T14:51:00Z</dcterms:modified>
  <cp:category/>
</cp:coreProperties>
</file>