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6E7E8" w14:textId="77777777" w:rsidR="004038B5" w:rsidRDefault="00000000">
      <w:pPr>
        <w:spacing w:after="0" w:line="240" w:lineRule="auto"/>
        <w:jc w:val="center"/>
        <w:rPr>
          <w:rFonts w:ascii="Times New Roman" w:hAnsi="Times New Roman" w:cs="Times New Roman"/>
          <w:b/>
          <w:sz w:val="36"/>
          <w:szCs w:val="36"/>
        </w:rPr>
      </w:pPr>
      <w:r>
        <w:rPr>
          <w:rFonts w:ascii="Times New Roman" w:hAnsi="Times New Roman" w:cs="Times New Roman"/>
          <w:b/>
          <w:sz w:val="36"/>
          <w:szCs w:val="36"/>
        </w:rPr>
        <w:t xml:space="preserve">Unity Narratives: A Semiotic Analysis of Petronas' </w:t>
      </w:r>
      <w:proofErr w:type="spellStart"/>
      <w:r>
        <w:rPr>
          <w:rFonts w:ascii="Times New Roman" w:hAnsi="Times New Roman" w:cs="Times New Roman"/>
          <w:b/>
          <w:i/>
          <w:iCs/>
          <w:sz w:val="36"/>
          <w:szCs w:val="36"/>
        </w:rPr>
        <w:t>Sepenuh</w:t>
      </w:r>
      <w:proofErr w:type="spellEnd"/>
      <w:r>
        <w:rPr>
          <w:rFonts w:ascii="Times New Roman" w:hAnsi="Times New Roman" w:cs="Times New Roman"/>
          <w:b/>
          <w:i/>
          <w:iCs/>
          <w:sz w:val="36"/>
          <w:szCs w:val="36"/>
        </w:rPr>
        <w:t xml:space="preserve"> Hati</w:t>
      </w:r>
      <w:r>
        <w:rPr>
          <w:rFonts w:ascii="Times New Roman" w:hAnsi="Times New Roman" w:cs="Times New Roman"/>
          <w:b/>
          <w:sz w:val="36"/>
          <w:szCs w:val="36"/>
        </w:rPr>
        <w:t xml:space="preserve"> </w:t>
      </w:r>
    </w:p>
    <w:p w14:paraId="58DBB03B" w14:textId="77777777" w:rsidR="004038B5" w:rsidRDefault="00000000">
      <w:pPr>
        <w:spacing w:after="0" w:line="240" w:lineRule="auto"/>
        <w:jc w:val="center"/>
        <w:rPr>
          <w:rFonts w:ascii="Cambria" w:hAnsi="Cambria" w:cs="Times New Roman"/>
          <w:b/>
          <w:sz w:val="28"/>
          <w:szCs w:val="28"/>
        </w:rPr>
      </w:pPr>
      <w:r>
        <w:rPr>
          <w:rFonts w:ascii="Times New Roman" w:hAnsi="Times New Roman" w:cs="Times New Roman"/>
          <w:b/>
          <w:sz w:val="36"/>
          <w:szCs w:val="36"/>
        </w:rPr>
        <w:t/>
      </w:r>
    </w:p>
    <w:p w14:paraId="7F04B87F" w14:textId="77777777" w:rsidR="004038B5" w:rsidRDefault="004038B5">
      <w:pPr>
        <w:spacing w:after="0" w:line="240" w:lineRule="auto"/>
        <w:jc w:val="center"/>
        <w:rPr>
          <w:rFonts w:ascii="Cambria" w:hAnsi="Cambria" w:cs="Times New Roman"/>
          <w:b/>
          <w:sz w:val="28"/>
          <w:szCs w:val="28"/>
        </w:rPr>
      </w:pPr>
    </w:p>
    <w:p w14:paraId="7326E402" w14:textId="207C1403" w:rsidR="004038B5" w:rsidRDefault="00000000">
      <w:pPr>
        <w:spacing w:line="240" w:lineRule="auto"/>
        <w:jc w:val="center"/>
        <w:rPr>
          <w:rFonts w:ascii="Times New Roman" w:hAnsi="Times New Roman" w:cs="Times New Roman"/>
          <w:b/>
          <w:sz w:val="24"/>
          <w:szCs w:val="24"/>
        </w:rPr>
      </w:pPr>
      <w:r>
        <w:rPr>
          <w:rFonts w:ascii="Times New Roman" w:hAnsi="Times New Roman" w:cs="Times New Roman"/>
          <w:b/>
          <w:sz w:val="24"/>
          <w:szCs w:val="24"/>
        </w:rPr>
        <w:t/>
      </w:r>
      <w:r>
        <w:rPr>
          <w:rFonts w:ascii="Times New Roman" w:hAnsi="Times New Roman" w:cs="Times New Roman"/>
          <w:b/>
          <w:sz w:val="24"/>
          <w:szCs w:val="24"/>
          <w:vertAlign w:val="superscript"/>
        </w:rPr>
        <w:t/>
      </w:r>
      <w:r>
        <w:rPr>
          <w:rFonts w:ascii="Times New Roman" w:hAnsi="Times New Roman" w:cs="Times New Roman"/>
          <w:b/>
          <w:sz w:val="24"/>
          <w:szCs w:val="24"/>
        </w:rPr>
        <w:t xml:space="preserve"/>
      </w:r>
      <w:r>
        <w:rPr>
          <w:rFonts w:ascii="Times New Roman" w:hAnsi="Times New Roman" w:cs="Times New Roman"/>
          <w:b/>
          <w:sz w:val="24"/>
          <w:szCs w:val="24"/>
          <w:vertAlign w:val="superscript"/>
        </w:rPr>
        <w:t/>
      </w:r>
      <w:r>
        <w:rPr>
          <w:rFonts w:ascii="Times New Roman" w:hAnsi="Times New Roman" w:cs="Times New Roman"/>
          <w:b/>
          <w:sz w:val="24"/>
          <w:szCs w:val="24"/>
        </w:rPr>
        <w:t xml:space="preserve"/>
      </w:r>
      <w:proofErr w:type="spellStart"/>
      <w:r>
        <w:rPr>
          <w:rFonts w:ascii="Times New Roman" w:hAnsi="Times New Roman" w:cs="Times New Roman"/>
          <w:b/>
          <w:sz w:val="24"/>
          <w:szCs w:val="24"/>
        </w:rPr>
        <w:t/>
      </w:r>
      <w:proofErr w:type="spellEnd"/>
      <w:r>
        <w:rPr>
          <w:rFonts w:ascii="Times New Roman" w:hAnsi="Times New Roman" w:cs="Times New Roman"/>
          <w:b/>
          <w:sz w:val="24"/>
          <w:szCs w:val="24"/>
        </w:rPr>
        <w:t xml:space="preserve"/>
      </w:r>
      <w:r w:rsidR="003F11DA">
        <w:rPr>
          <w:rFonts w:ascii="Times New Roman" w:hAnsi="Times New Roman" w:cs="Times New Roman"/>
          <w:b/>
          <w:sz w:val="24"/>
          <w:szCs w:val="24"/>
        </w:rPr>
        <w:t xml:space="preserve"/>
      </w:r>
      <w:r>
        <w:rPr>
          <w:rFonts w:ascii="Times New Roman" w:hAnsi="Times New Roman" w:cs="Times New Roman"/>
          <w:b/>
          <w:sz w:val="24"/>
          <w:szCs w:val="24"/>
        </w:rPr>
        <w:t/>
      </w:r>
      <w:r>
        <w:rPr>
          <w:rFonts w:ascii="Times New Roman" w:hAnsi="Times New Roman" w:cs="Times New Roman"/>
          <w:b/>
          <w:sz w:val="24"/>
          <w:szCs w:val="24"/>
          <w:vertAlign w:val="superscript"/>
        </w:rPr>
        <w:t xml:space="preserve"/>
      </w:r>
    </w:p>
    <w:p w14:paraId="360614F1" w14:textId="77777777" w:rsidR="004038B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vertAlign w:val="superscript"/>
        </w:rPr>
        <w:t/>
      </w:r>
      <w:r>
        <w:rPr>
          <w:rFonts w:ascii="Times New Roman" w:hAnsi="Times New Roman" w:cs="Times New Roman"/>
          <w:sz w:val="24"/>
          <w:szCs w:val="24"/>
        </w:rPr>
        <w:t xml:space="preserve"/>
      </w:r>
    </w:p>
    <w:p w14:paraId="225E30E7" w14:textId="77777777" w:rsidR="004038B5" w:rsidRDefault="00000000">
      <w:pPr>
        <w:spacing w:after="0" w:line="240" w:lineRule="auto"/>
        <w:jc w:val="center"/>
        <w:rPr>
          <w:rFonts w:ascii="Times New Roman" w:hAnsi="Times New Roman" w:cs="Times New Roman"/>
          <w:sz w:val="24"/>
          <w:szCs w:val="24"/>
        </w:rPr>
      </w:pPr>
      <w:r>
        <w:rPr>
          <w:rFonts w:ascii="Times New Roman" w:hAnsi="Times New Roman" w:cs="Times New Roman"/>
          <w:sz w:val="24"/>
          <w:szCs w:val="24"/>
          <w:vertAlign w:val="superscript"/>
        </w:rPr>
        <w:t xml:space="preserve"/>
      </w:r>
      <w:r>
        <w:rPr>
          <w:rFonts w:ascii="Times New Roman" w:hAnsi="Times New Roman" w:cs="Times New Roman"/>
          <w:sz w:val="24"/>
          <w:szCs w:val="24"/>
        </w:rPr>
        <w:t xml:space="preserve"/>
      </w:r>
      <w:proofErr w:type="spellStart"/>
      <w:r>
        <w:rPr>
          <w:rFonts w:ascii="Times New Roman" w:hAnsi="Times New Roman" w:cs="Times New Roman"/>
          <w:sz w:val="24"/>
          <w:szCs w:val="24"/>
        </w:rPr>
        <w:t/>
      </w:r>
      <w:proofErr w:type="spellEnd"/>
      <w:r>
        <w:rPr>
          <w:rFonts w:ascii="Times New Roman" w:hAnsi="Times New Roman" w:cs="Times New Roman"/>
          <w:sz w:val="24"/>
          <w:szCs w:val="24"/>
        </w:rPr>
        <w:t xml:space="preserve"/>
      </w:r>
    </w:p>
    <w:p w14:paraId="1286CF1C" w14:textId="77777777" w:rsidR="004038B5" w:rsidRDefault="00000000">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w:r>
    </w:p>
    <w:p w14:paraId="58C419B2" w14:textId="77777777" w:rsidR="004038B5" w:rsidRDefault="00000000">
      <w:pPr>
        <w:spacing w:after="0"/>
        <w:rPr>
          <w:rFonts w:ascii="Times New Roman" w:hAnsi="Times New Roman" w:cs="Times New Roman"/>
          <w:sz w:val="24"/>
          <w:szCs w:val="24"/>
        </w:rPr>
      </w:pPr>
      <w:r>
        <w:rPr>
          <w:rFonts w:ascii="Times New Roman" w:hAnsi="Times New Roman" w:cs="Times New Roman"/>
          <w:b/>
          <w:sz w:val="24"/>
          <w:szCs w:val="24"/>
        </w:rPr>
        <w:t>ABSTRACT</w:t>
      </w:r>
      <w:r>
        <w:rPr>
          <w:rFonts w:ascii="Times New Roman" w:hAnsi="Times New Roman" w:cs="Times New Roman"/>
          <w:sz w:val="24"/>
          <w:szCs w:val="24"/>
        </w:rPr>
        <w:t xml:space="preserve"> </w:t>
      </w:r>
    </w:p>
    <w:p w14:paraId="761AA82A" w14:textId="77777777" w:rsidR="004038B5" w:rsidRDefault="004038B5">
      <w:pPr>
        <w:spacing w:after="0"/>
        <w:rPr>
          <w:rFonts w:ascii="Times New Roman" w:hAnsi="Times New Roman" w:cs="Times New Roman"/>
          <w:b/>
          <w:sz w:val="18"/>
          <w:szCs w:val="24"/>
        </w:rPr>
      </w:pPr>
    </w:p>
    <w:p w14:paraId="77B23FAD" w14:textId="61BAD464" w:rsidR="004038B5" w:rsidRDefault="002320DE">
      <w:pPr>
        <w:pStyle w:val="IndexTerms"/>
        <w:spacing w:line="276" w:lineRule="auto"/>
        <w:ind w:firstLine="0"/>
        <w:rPr>
          <w:b w:val="0"/>
          <w:bCs w:val="0"/>
          <w:i/>
          <w:sz w:val="24"/>
        </w:rPr>
      </w:pPr>
      <w:r w:rsidRPr="002320DE">
        <w:rPr>
          <w:b w:val="0"/>
          <w:bCs w:val="0"/>
          <w:i/>
          <w:sz w:val="24"/>
        </w:rPr>
        <w:t xml:space="preserve">Advertisements for National Day and Malaysia Day are a means of promoting national unity, social ideals, and patriotism. Advertisements create meanings that represent a country's identity and goals via the use of verbal and visual cues. Using Saussure's Semiotic Theory (1974), this study examines the unity narrative presented in Petronas' National Day and Malaysia Day short video </w:t>
      </w:r>
      <w:proofErr w:type="spellStart"/>
      <w:r w:rsidRPr="002320DE">
        <w:rPr>
          <w:b w:val="0"/>
          <w:bCs w:val="0"/>
          <w:i/>
          <w:sz w:val="24"/>
        </w:rPr>
        <w:t>Sepenuh</w:t>
      </w:r>
      <w:proofErr w:type="spellEnd"/>
      <w:r w:rsidRPr="002320DE">
        <w:rPr>
          <w:b w:val="0"/>
          <w:bCs w:val="0"/>
          <w:i/>
          <w:sz w:val="24"/>
        </w:rPr>
        <w:t xml:space="preserve"> Hati. The advertisement's content was analyzed using a qualitative method. The relationship between signifiers and </w:t>
      </w:r>
      <w:proofErr w:type="spellStart"/>
      <w:r w:rsidRPr="002320DE">
        <w:rPr>
          <w:b w:val="0"/>
          <w:bCs w:val="0"/>
          <w:i/>
          <w:sz w:val="24"/>
        </w:rPr>
        <w:t>signifieds</w:t>
      </w:r>
      <w:proofErr w:type="spellEnd"/>
      <w:r w:rsidRPr="002320DE">
        <w:rPr>
          <w:b w:val="0"/>
          <w:bCs w:val="0"/>
          <w:i/>
          <w:sz w:val="24"/>
        </w:rPr>
        <w:t xml:space="preserve"> present in the film's linguistic and visual components was examined </w:t>
      </w:r>
      <w:proofErr w:type="gramStart"/>
      <w:r w:rsidRPr="002320DE">
        <w:rPr>
          <w:b w:val="0"/>
          <w:bCs w:val="0"/>
          <w:i/>
          <w:sz w:val="24"/>
        </w:rPr>
        <w:t>in order to</w:t>
      </w:r>
      <w:proofErr w:type="gramEnd"/>
      <w:r w:rsidRPr="002320DE">
        <w:rPr>
          <w:b w:val="0"/>
          <w:bCs w:val="0"/>
          <w:i/>
          <w:sz w:val="24"/>
        </w:rPr>
        <w:t xml:space="preserve"> analyze the data.</w:t>
      </w:r>
      <w:r w:rsidRPr="002320DE">
        <w:t xml:space="preserve"> </w:t>
      </w:r>
      <w:r w:rsidRPr="002320DE">
        <w:rPr>
          <w:b w:val="0"/>
          <w:bCs w:val="0"/>
          <w:i/>
          <w:sz w:val="24"/>
        </w:rPr>
        <w:t xml:space="preserve">The results show that the </w:t>
      </w:r>
      <w:proofErr w:type="spellStart"/>
      <w:r w:rsidRPr="002320DE">
        <w:rPr>
          <w:b w:val="0"/>
          <w:bCs w:val="0"/>
          <w:i/>
          <w:sz w:val="24"/>
        </w:rPr>
        <w:t>Rukun</w:t>
      </w:r>
      <w:proofErr w:type="spellEnd"/>
      <w:r w:rsidRPr="002320DE">
        <w:rPr>
          <w:b w:val="0"/>
          <w:bCs w:val="0"/>
          <w:i/>
          <w:sz w:val="24"/>
        </w:rPr>
        <w:t xml:space="preserve"> Negara, educators, students from various ethnic backgrounds, </w:t>
      </w:r>
      <w:proofErr w:type="gramStart"/>
      <w:r w:rsidRPr="002320DE">
        <w:rPr>
          <w:b w:val="0"/>
          <w:bCs w:val="0"/>
          <w:i/>
          <w:sz w:val="24"/>
        </w:rPr>
        <w:t>the school setting</w:t>
      </w:r>
      <w:proofErr w:type="gramEnd"/>
      <w:r w:rsidRPr="002320DE">
        <w:rPr>
          <w:b w:val="0"/>
          <w:bCs w:val="0"/>
          <w:i/>
          <w:sz w:val="24"/>
        </w:rPr>
        <w:t xml:space="preserve">, and the Malay language serve as important signifiers that produce meanings related to civic values, unity, social harmony, and national identity. The connection between these indicators creates a story that emphasizes how crucial it is to comprehend, internalize, and put shared ideals into practice in daily life. The investigation also demonstrates how awareness, appreciation, and group participation within the school community gradually shape the narrative of togetherness. The commercial presents unity as a value that transcends ethnic divides and fosters social cohesion through the character of </w:t>
      </w:r>
      <w:proofErr w:type="spellStart"/>
      <w:r w:rsidRPr="002320DE">
        <w:rPr>
          <w:b w:val="0"/>
          <w:bCs w:val="0"/>
          <w:i/>
          <w:sz w:val="24"/>
        </w:rPr>
        <w:t>Cikgu</w:t>
      </w:r>
      <w:proofErr w:type="spellEnd"/>
      <w:r w:rsidRPr="002320DE">
        <w:rPr>
          <w:b w:val="0"/>
          <w:bCs w:val="0"/>
          <w:i/>
          <w:sz w:val="24"/>
        </w:rPr>
        <w:t xml:space="preserve"> Murni and the relationships between pupils from various ethnic </w:t>
      </w:r>
      <w:proofErr w:type="spellStart"/>
      <w:proofErr w:type="gramStart"/>
      <w:r w:rsidRPr="002320DE">
        <w:rPr>
          <w:b w:val="0"/>
          <w:bCs w:val="0"/>
          <w:i/>
          <w:sz w:val="24"/>
        </w:rPr>
        <w:t>origins.</w:t>
      </w:r>
      <w:r>
        <w:rPr>
          <w:b w:val="0"/>
          <w:bCs w:val="0"/>
          <w:i/>
          <w:sz w:val="24"/>
        </w:rPr>
        <w:t>Overall</w:t>
      </w:r>
      <w:proofErr w:type="spellEnd"/>
      <w:proofErr w:type="gramEnd"/>
      <w:r>
        <w:rPr>
          <w:b w:val="0"/>
          <w:bCs w:val="0"/>
          <w:i/>
          <w:sz w:val="24"/>
        </w:rPr>
        <w:t xml:space="preserve">, the study demonstrates that </w:t>
      </w:r>
      <w:proofErr w:type="spellStart"/>
      <w:r>
        <w:rPr>
          <w:b w:val="0"/>
          <w:bCs w:val="0"/>
          <w:i/>
          <w:iCs/>
          <w:sz w:val="24"/>
        </w:rPr>
        <w:t>Sepenuh</w:t>
      </w:r>
      <w:proofErr w:type="spellEnd"/>
      <w:r>
        <w:rPr>
          <w:b w:val="0"/>
          <w:bCs w:val="0"/>
          <w:i/>
          <w:iCs/>
          <w:sz w:val="24"/>
        </w:rPr>
        <w:t xml:space="preserve"> Hati</w:t>
      </w:r>
      <w:r>
        <w:rPr>
          <w:b w:val="0"/>
          <w:bCs w:val="0"/>
          <w:i/>
          <w:sz w:val="24"/>
        </w:rPr>
        <w:t xml:space="preserve"> functions as an effective semiotic medium for communicating messages of unity through representations that are closely connected to the lived experiences of Malaysians. The findings also confirm that the construction of unity narratives in advertisements relies on the strategic use of signs that embody cultural meanings, national values, and a shared sense of identity.</w:t>
      </w:r>
    </w:p>
    <w:p w14:paraId="0C41C9C2" w14:textId="77777777" w:rsidR="004038B5" w:rsidRDefault="004038B5"/>
    <w:p w14:paraId="52E5DF55" w14:textId="77777777" w:rsidR="004038B5" w:rsidRDefault="00000000">
      <w:pPr>
        <w:pStyle w:val="IndexTerms"/>
        <w:spacing w:line="276" w:lineRule="auto"/>
        <w:ind w:firstLine="0"/>
        <w:rPr>
          <w:b w:val="0"/>
          <w:bCs w:val="0"/>
          <w:i/>
          <w:sz w:val="20"/>
          <w:szCs w:val="20"/>
        </w:rPr>
      </w:pPr>
      <w:r>
        <w:rPr>
          <w:b w:val="0"/>
          <w:bCs w:val="0"/>
          <w:i/>
          <w:sz w:val="24"/>
        </w:rPr>
        <w:t xml:space="preserve">Key Words: </w:t>
      </w:r>
      <w:proofErr w:type="spellStart"/>
      <w:r>
        <w:rPr>
          <w:b w:val="0"/>
          <w:bCs w:val="0"/>
          <w:i/>
          <w:sz w:val="24"/>
        </w:rPr>
        <w:t>Rukun</w:t>
      </w:r>
      <w:proofErr w:type="spellEnd"/>
      <w:r>
        <w:rPr>
          <w:b w:val="0"/>
          <w:bCs w:val="0"/>
          <w:i/>
          <w:sz w:val="24"/>
        </w:rPr>
        <w:t xml:space="preserve"> Negara, Unity Narrative, Semiotics, National Day, National Identity, Advertisement, Petronas</w:t>
      </w:r>
    </w:p>
    <w:p w14:paraId="57B5A122" w14:textId="77777777" w:rsidR="004038B5" w:rsidRDefault="00000000">
      <w:pPr>
        <w:spacing w:after="120"/>
        <w:jc w:val="both"/>
        <w:rPr>
          <w:rFonts w:ascii="Times New Roman" w:hAnsi="Times New Roman"/>
          <w:i/>
        </w:rPr>
        <w:sectPr w:rsidR="004038B5">
          <w:headerReference w:type="even" r:id="rId7"/>
          <w:footerReference w:type="even" r:id="rId8"/>
          <w:footerReference w:type="default" r:id="rId9"/>
          <w:headerReference w:type="first" r:id="rId10"/>
          <w:footerReference w:type="first" r:id="rId11"/>
          <w:pgSz w:w="11906" w:h="16838"/>
          <w:pgMar w:top="720" w:right="720" w:bottom="720" w:left="720" w:header="288" w:footer="288" w:gutter="0"/>
          <w:cols w:space="708"/>
          <w:titlePg/>
          <w:docGrid w:linePitch="360"/>
        </w:sectPr>
      </w:pPr>
      <w:r>
        <w:rPr>
          <w:rFonts w:ascii="Times New Roman" w:hAnsi="Times New Roman"/>
          <w:i/>
        </w:rPr>
        <w:t xml:space="preserve"> ______________________________________________________________________________________________</w:t>
      </w:r>
    </w:p>
    <w:p w14:paraId="6DF38CB6" w14:textId="77777777" w:rsidR="004038B5" w:rsidRDefault="00000000">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 INTRODUCTION</w:t>
      </w:r>
    </w:p>
    <w:p w14:paraId="336A0985" w14:textId="0A6B5D58" w:rsidR="004038B5" w:rsidRDefault="00000000" w:rsidP="00D25F9A">
      <w:pPr>
        <w:pStyle w:val="BodyText"/>
        <w:ind w:right="-14"/>
        <w:jc w:val="both"/>
      </w:pPr>
      <w:r>
        <w:t>Malaysia’s ethnic, cultural, and religious diversity makes unity a fundamental pillar in the process of nation</w:t>
      </w:r>
      <w:r w:rsidR="00D7564C">
        <w:t xml:space="preserve"> </w:t>
      </w:r>
      <w:r>
        <w:t xml:space="preserve">building. Within a multicultural society, continuous efforts to cultivate shared values, tolerance, and mutual respect are essential to maintaining social harmony. Unity not only contributes to social and political stability but also strengthens national identity and promotes the overall </w:t>
      </w:r>
      <w:r w:rsidR="00D7564C">
        <w:t>well-being</w:t>
      </w:r>
      <w:r>
        <w:t xml:space="preserve"> of society (Ministry of National Unity, 2021; Wan Husin et al., 2022).</w:t>
      </w:r>
    </w:p>
    <w:p w14:paraId="071FF4FD" w14:textId="77777777" w:rsidR="00866EE1" w:rsidRPr="00866EE1" w:rsidRDefault="00866EE1" w:rsidP="00866EE1">
      <w:pPr>
        <w:pStyle w:val="BodyText"/>
        <w:ind w:right="-14"/>
        <w:jc w:val="both"/>
      </w:pPr>
      <w:r w:rsidRPr="00866EE1">
        <w:t xml:space="preserve">The media has evolved beyond its traditional role as a channel for delivering information and now plays an important role in shaping how people perceive, interpret, and understand the world around them. This transformation has been driven largely by advancements in communication technology. According to Edgerly (2022), audiences are not passive recipients of media messages; instead, they actively make sense of the information and narratives they encounter, which influences their understanding of social realities. In a similar vein, Saleem and Ismail (2025) contend that media contributes to the formation of social identity through the representations, narratives, and messages it communicates. As a result, media has become a powerful platform for transmitting social, cultural, and national values. In this regard, it can play a significant role in promoting unity by presenting narratives that </w:t>
      </w:r>
      <w:proofErr w:type="spellStart"/>
      <w:r w:rsidRPr="00866EE1">
        <w:t>emphasise</w:t>
      </w:r>
      <w:proofErr w:type="spellEnd"/>
      <w:r w:rsidRPr="00866EE1">
        <w:t xml:space="preserve"> togetherness, harmony, and a shared national identity.</w:t>
      </w:r>
    </w:p>
    <w:p w14:paraId="621DDDD6" w14:textId="77777777" w:rsidR="002320DE" w:rsidRDefault="002320DE" w:rsidP="00866EE1">
      <w:pPr>
        <w:pStyle w:val="BodyText"/>
        <w:ind w:right="-14"/>
        <w:jc w:val="both"/>
      </w:pPr>
      <w:r w:rsidRPr="002320DE">
        <w:t xml:space="preserve">One type of medium that can convey such messages by utilizing linguistic, narrative, and visual components is advertising. Unlike commercial commercials that focus largely on promoting products or services, National Day and Malaysia Day advertisements </w:t>
      </w:r>
      <w:r w:rsidRPr="002320DE">
        <w:lastRenderedPageBreak/>
        <w:t>generally promote themes of patriotism, unity, and national identity via stories that are strongly tied to the experiences and reality of ordinary life.</w:t>
      </w:r>
    </w:p>
    <w:p w14:paraId="76DDA626" w14:textId="77777777" w:rsidR="002320DE" w:rsidRDefault="002320DE" w:rsidP="00866EE1">
      <w:pPr>
        <w:pStyle w:val="BodyText"/>
        <w:ind w:right="-14"/>
        <w:jc w:val="both"/>
      </w:pPr>
      <w:r w:rsidRPr="002320DE">
        <w:t xml:space="preserve">According to a study by Ahmad, Saad, and </w:t>
      </w:r>
      <w:proofErr w:type="spellStart"/>
      <w:r w:rsidRPr="002320DE">
        <w:t>Sarudin</w:t>
      </w:r>
      <w:proofErr w:type="spellEnd"/>
      <w:r w:rsidRPr="002320DE">
        <w:t xml:space="preserve"> (2025), Merdeka advertisements by Malaysian businesses that emphasize corporate social responsibility (CSR) create narratives of unity. They accomplish this by depicting various civilizations coexisting peacefully, cooperating, and constructing the country. These results imply that ads can be very effective means of fostering a sense of unity and making the connection between national ideals and societal realities. Because they have the power to do so, advertisements play a significant role in shaping a nation's identity.</w:t>
      </w:r>
    </w:p>
    <w:p w14:paraId="28FB3254" w14:textId="77777777" w:rsidR="00B71A97" w:rsidRDefault="00B71A97" w:rsidP="00D7564C">
      <w:pPr>
        <w:pStyle w:val="BodyText"/>
        <w:ind w:right="-14"/>
        <w:jc w:val="both"/>
      </w:pPr>
      <w:r w:rsidRPr="00B71A97">
        <w:t>When it comes to corporate advertising in Malaysia, Petronas is one of the companies that often creates celebratory and patriotic ads that highlight the importance of humanity, family, and social cohesion. According to Nazri et al. (2025), Petronas Hari Raya commercials effectively tell the story of a father figure as a representation of tenacity, selflessness, and close family ties. The traditional cultural values of Malaysian society are reflected in this symbolism. Petronas adverts demonstrate the importance of advertising as a vehicle for communicating meanings that go beyond commercial purposes by integrating visual elements and storytelling to change audience understanding of the values being conveyed.</w:t>
      </w:r>
    </w:p>
    <w:p w14:paraId="7DB05B70" w14:textId="079CE49E" w:rsidR="00D7564C" w:rsidRDefault="00000000" w:rsidP="00D7564C">
      <w:pPr>
        <w:pStyle w:val="BodyText"/>
        <w:ind w:right="-14"/>
        <w:jc w:val="both"/>
      </w:pPr>
      <w:r>
        <w:t xml:space="preserve">In conjunction with the 2025 National Day and Malaysia Day celebrations, Petronas released a short film entitled </w:t>
      </w:r>
      <w:proofErr w:type="spellStart"/>
      <w:r>
        <w:rPr>
          <w:i/>
          <w:iCs/>
        </w:rPr>
        <w:t>Sepenuh</w:t>
      </w:r>
      <w:proofErr w:type="spellEnd"/>
      <w:r>
        <w:rPr>
          <w:i/>
          <w:iCs/>
        </w:rPr>
        <w:t xml:space="preserve"> Hati</w:t>
      </w:r>
      <w:r>
        <w:t xml:space="preserve"> (With All Our Hearts), which places the appreciation of the </w:t>
      </w:r>
      <w:proofErr w:type="spellStart"/>
      <w:r>
        <w:t>Rukun</w:t>
      </w:r>
      <w:proofErr w:type="spellEnd"/>
      <w:r>
        <w:t xml:space="preserve"> Negara at the center of its narrative. The story portrays a teacher’s efforts to help her students understand the true meaning of the principles of the </w:t>
      </w:r>
      <w:proofErr w:type="spellStart"/>
      <w:r>
        <w:t>Rukun</w:t>
      </w:r>
      <w:proofErr w:type="spellEnd"/>
      <w:r>
        <w:t xml:space="preserve"> Negara, which they routinely recite during school assemblies. Through interactions between the teacher and students from diverse backgrounds, the advertisement presents a range of visual and linguistic signs associated with unity, national identity, and civic responsibility.</w:t>
      </w:r>
      <w:r w:rsidR="00D7564C">
        <w:t xml:space="preserve"> </w:t>
      </w:r>
    </w:p>
    <w:p w14:paraId="1B37F0C5" w14:textId="77777777" w:rsidR="00172957" w:rsidRPr="00172957" w:rsidRDefault="00172957" w:rsidP="00172957">
      <w:pPr>
        <w:pStyle w:val="BodyText"/>
        <w:ind w:right="-14"/>
        <w:jc w:val="both"/>
      </w:pPr>
      <w:r w:rsidRPr="00172957">
        <w:t xml:space="preserve">A semiotic perspective holds that meaning is not inherent in a text but rather is produced by the relationship between signs and the concepts they represent. Semiotic analysis, therefore, enables academics to examine how language and visual elements in an advertisement function as signs that provide audiences with </w:t>
      </w:r>
      <w:proofErr w:type="gramStart"/>
      <w:r w:rsidRPr="00172957">
        <w:t>particular interpretations</w:t>
      </w:r>
      <w:proofErr w:type="gramEnd"/>
      <w:r w:rsidRPr="00172957">
        <w:t xml:space="preserve">. While earlier research has examined the use of semiotics in advertising and narrative construction in corporate advertisements, there is still a dearth of studies that particularly concentrate on the development of unity narratives in Petronas National Day and Malaysia Day advertisements using a semiotic approach. </w:t>
      </w:r>
      <w:r>
        <w:t xml:space="preserve"> </w:t>
      </w:r>
      <w:r w:rsidRPr="00172957">
        <w:t xml:space="preserve">Accordingly, this study adopts Saussure’s Semiotic Theory (1974) to explore the link between the signifier and the signified in the production of unity narratives provided in the short film </w:t>
      </w:r>
      <w:proofErr w:type="spellStart"/>
      <w:r w:rsidRPr="00172957">
        <w:rPr>
          <w:i/>
          <w:iCs/>
        </w:rPr>
        <w:t>Sepenuh</w:t>
      </w:r>
      <w:proofErr w:type="spellEnd"/>
      <w:r w:rsidRPr="00172957">
        <w:rPr>
          <w:i/>
          <w:iCs/>
        </w:rPr>
        <w:t xml:space="preserve"> Hati</w:t>
      </w:r>
      <w:r w:rsidRPr="00172957">
        <w:t>. In addition to enhancing academic conversations in the domains of semiotics, media, and national identity, it is hoped that this research will deepen our understanding of the function of signs in creating meanings of unity.</w:t>
      </w:r>
    </w:p>
    <w:p w14:paraId="19446F7B" w14:textId="4C1C87B0" w:rsidR="00172957" w:rsidRDefault="00172957" w:rsidP="00D7564C">
      <w:pPr>
        <w:pStyle w:val="BodyText"/>
        <w:ind w:right="-14"/>
        <w:jc w:val="both"/>
      </w:pPr>
    </w:p>
    <w:p w14:paraId="75D88F20" w14:textId="77777777" w:rsidR="004038B5" w:rsidRDefault="00000000">
      <w:pPr>
        <w:spacing w:after="120"/>
        <w:jc w:val="both"/>
        <w:rPr>
          <w:rFonts w:ascii="Times New Roman" w:hAnsi="Times New Roman" w:cs="Times New Roman"/>
          <w:b/>
          <w:sz w:val="24"/>
          <w:szCs w:val="20"/>
        </w:rPr>
      </w:pPr>
      <w:r>
        <w:rPr>
          <w:rFonts w:ascii="Times New Roman" w:hAnsi="Times New Roman" w:cs="Times New Roman"/>
          <w:b/>
          <w:sz w:val="24"/>
          <w:szCs w:val="20"/>
        </w:rPr>
        <w:t>2. LITERATURE REVIEW</w:t>
      </w:r>
    </w:p>
    <w:p w14:paraId="7B444E9B" w14:textId="18FDB9D0" w:rsidR="00172957" w:rsidRDefault="00172957">
      <w:pPr>
        <w:spacing w:after="120"/>
        <w:jc w:val="both"/>
        <w:rPr>
          <w:rFonts w:ascii="Times New Roman" w:hAnsi="Times New Roman" w:cs="Times New Roman"/>
          <w:sz w:val="20"/>
          <w:szCs w:val="20"/>
        </w:rPr>
      </w:pPr>
      <w:r w:rsidRPr="00172957">
        <w:rPr>
          <w:rFonts w:ascii="Times New Roman" w:hAnsi="Times New Roman" w:cs="Times New Roman"/>
          <w:sz w:val="20"/>
          <w:szCs w:val="20"/>
        </w:rPr>
        <w:t>Any research project must include a literature review since it offers a thorough grasp of the ideas, theories, and earlier research pertaining to the subject being studied. The idea of unity narratives, the function of advertising as a vehicle for conveying social and national values, semiotic studies in advertising, and Saussure's Semiotic Theory, which provides the analytical framework, are the main topics of this study's literature evaluation. Examining earlier research strengthens the case for investigating the creation of unity narratives in Petronas National Day and Malaysia Day commercials by highlighting current findings, trends, and research gaps.</w:t>
      </w:r>
    </w:p>
    <w:p w14:paraId="162EC005" w14:textId="62C06206" w:rsidR="00172957" w:rsidRPr="00172957" w:rsidRDefault="00000000" w:rsidP="00172957">
      <w:pPr>
        <w:pStyle w:val="Heading5"/>
        <w:keepNext/>
        <w:numPr>
          <w:ilvl w:val="1"/>
          <w:numId w:val="2"/>
        </w:numPr>
        <w:autoSpaceDE/>
        <w:autoSpaceDN/>
        <w:spacing w:before="0" w:line="276" w:lineRule="auto"/>
        <w:ind w:left="0" w:firstLine="0"/>
        <w:jc w:val="both"/>
        <w:rPr>
          <w:b/>
          <w:bCs/>
          <w:iCs/>
          <w:sz w:val="20"/>
        </w:rPr>
      </w:pPr>
      <w:r>
        <w:rPr>
          <w:b/>
          <w:bCs/>
          <w:iCs/>
          <w:sz w:val="20"/>
        </w:rPr>
        <w:t>Unity Narratives in a Multicultural Society</w:t>
      </w:r>
    </w:p>
    <w:p w14:paraId="4772C9D9" w14:textId="097D6DE1" w:rsidR="00172957" w:rsidRPr="00172957" w:rsidRDefault="00172957" w:rsidP="00172957">
      <w:pPr>
        <w:pStyle w:val="Heading5"/>
        <w:keepNext/>
        <w:numPr>
          <w:ilvl w:val="0"/>
          <w:numId w:val="0"/>
        </w:numPr>
        <w:autoSpaceDE/>
        <w:autoSpaceDN/>
        <w:spacing w:before="0" w:line="276" w:lineRule="auto"/>
        <w:jc w:val="both"/>
        <w:rPr>
          <w:b/>
          <w:bCs/>
          <w:iCs/>
          <w:sz w:val="20"/>
        </w:rPr>
      </w:pPr>
      <w:r w:rsidRPr="00172957">
        <w:rPr>
          <w:rFonts w:eastAsia="Arial Unicode MS"/>
          <w:sz w:val="20"/>
          <w:szCs w:val="20"/>
        </w:rPr>
        <w:t>Building a nation requires unity, especially in nations like Malaysia that are diverse in terms of ethnicity, culture, and religion. Unity in a multicultural community is the capacity of individuals from various origins to coexist peacefully, show respect for one another, and pursue shared ideals in the interest of the country. The Ministry of National Unity (2021) asserts that social stability and long-term national development are based on unity in diversity. As a result, efforts to promote unity must be consistently carried out through a variety of social institutions and communication channels.</w:t>
      </w:r>
    </w:p>
    <w:p w14:paraId="71EB0447" w14:textId="77777777" w:rsidR="00172957" w:rsidRPr="00172957" w:rsidRDefault="00172957" w:rsidP="00172957">
      <w:pPr>
        <w:pStyle w:val="NormalWeb"/>
        <w:spacing w:line="276" w:lineRule="auto"/>
        <w:jc w:val="both"/>
        <w:rPr>
          <w:rFonts w:ascii="Times New Roman" w:hAnsi="Times New Roman" w:cs="Times New Roman"/>
          <w:sz w:val="20"/>
          <w:szCs w:val="20"/>
        </w:rPr>
      </w:pPr>
      <w:r w:rsidRPr="00172957">
        <w:rPr>
          <w:rFonts w:ascii="Times New Roman" w:hAnsi="Times New Roman" w:cs="Times New Roman"/>
          <w:sz w:val="20"/>
          <w:szCs w:val="20"/>
        </w:rPr>
        <w:t xml:space="preserve">Wan Husin et al. (2022) investigated the impact of education, economic variables, and religion on fostering ethnic cohesion among young Malaysians. These three </w:t>
      </w:r>
      <w:proofErr w:type="gramStart"/>
      <w:r w:rsidRPr="00172957">
        <w:rPr>
          <w:rFonts w:ascii="Times New Roman" w:hAnsi="Times New Roman" w:cs="Times New Roman"/>
          <w:sz w:val="20"/>
          <w:szCs w:val="20"/>
        </w:rPr>
        <w:t>areas considerably</w:t>
      </w:r>
      <w:proofErr w:type="gramEnd"/>
      <w:r w:rsidRPr="00172957">
        <w:rPr>
          <w:rFonts w:ascii="Times New Roman" w:hAnsi="Times New Roman" w:cs="Times New Roman"/>
          <w:sz w:val="20"/>
          <w:szCs w:val="20"/>
        </w:rPr>
        <w:t xml:space="preserve"> improve ethnic cohesion, according to their research. The report also highlighted the importance of religious tolerance, fair economic opportunity, and comprehensive education in promoting peaceful relations across Malaysia's ethnic communities. In this regard, the media is likewise seen as a significant force that may advance national identity and unity. Therefore, to ensure the longevity of harmony in a heterogeneous society, attempts to foster unity should follow a holistic approach including social, economic, and educational elements.</w:t>
      </w:r>
    </w:p>
    <w:p w14:paraId="196FECBF" w14:textId="77777777" w:rsidR="004038B5" w:rsidRDefault="004038B5">
      <w:pPr>
        <w:pStyle w:val="NormalWeb"/>
        <w:spacing w:before="0" w:beforeAutospacing="0" w:after="0" w:afterAutospacing="0" w:line="276" w:lineRule="auto"/>
        <w:ind w:firstLine="720"/>
        <w:jc w:val="both"/>
        <w:rPr>
          <w:rFonts w:ascii="Times New Roman" w:hAnsi="Times New Roman" w:cs="Times New Roman"/>
          <w:sz w:val="20"/>
          <w:szCs w:val="20"/>
        </w:rPr>
      </w:pPr>
    </w:p>
    <w:p w14:paraId="75DA1D2C" w14:textId="77777777" w:rsidR="004038B5" w:rsidRDefault="00000000">
      <w:pPr>
        <w:pStyle w:val="NormalWeb"/>
        <w:spacing w:before="0" w:beforeAutospacing="0" w:after="240" w:afterAutospacing="0" w:line="276" w:lineRule="auto"/>
        <w:jc w:val="both"/>
        <w:rPr>
          <w:rFonts w:ascii="Times New Roman" w:hAnsi="Times New Roman" w:cs="Times New Roman"/>
          <w:b/>
          <w:bCs/>
          <w:sz w:val="20"/>
          <w:szCs w:val="20"/>
        </w:rPr>
      </w:pPr>
      <w:r>
        <w:rPr>
          <w:rFonts w:ascii="Times New Roman" w:hAnsi="Times New Roman" w:cs="Times New Roman"/>
          <w:b/>
          <w:bCs/>
          <w:sz w:val="20"/>
          <w:szCs w:val="20"/>
        </w:rPr>
        <w:t>2.2 Advertising as a Medium for Communicating Social Narratives</w:t>
      </w:r>
    </w:p>
    <w:p w14:paraId="6A84C5F1" w14:textId="4A13ECCB" w:rsidR="00EA4E9B" w:rsidRDefault="00EA4E9B" w:rsidP="00EA4E9B">
      <w:pPr>
        <w:pStyle w:val="NormalWeb"/>
        <w:spacing w:before="0" w:beforeAutospacing="0" w:after="0" w:afterAutospacing="0" w:line="276" w:lineRule="auto"/>
        <w:jc w:val="both"/>
        <w:rPr>
          <w:rFonts w:ascii="Times New Roman" w:hAnsi="Times New Roman" w:cs="Times New Roman"/>
          <w:sz w:val="20"/>
          <w:szCs w:val="20"/>
        </w:rPr>
      </w:pPr>
      <w:r w:rsidRPr="00EA4E9B">
        <w:rPr>
          <w:rFonts w:ascii="Times New Roman" w:hAnsi="Times New Roman" w:cs="Times New Roman"/>
          <w:sz w:val="20"/>
          <w:szCs w:val="20"/>
        </w:rPr>
        <w:t>According to developments in communication technology, advertising is now a platform for communicating social and cultural ideals rather than just a promotional instrument. Advertisements use language, imagery, and symbolic narrative to influence public opinions of social concerns in addition to promoting goods and services. Audiences actively participate in sensemaking processes based on their social and cultural experiences, claims Edgerly (2022). In a similar vein, Saleem et al. (2025) contended that audiences' exposure to media representations and narratives had a substantial impact on the development of social identities.</w:t>
      </w:r>
    </w:p>
    <w:p w14:paraId="4B9E0D41" w14:textId="599955FE" w:rsidR="004038B5" w:rsidRDefault="00172957" w:rsidP="00EA4E9B">
      <w:pPr>
        <w:pStyle w:val="NormalWeb"/>
        <w:spacing w:before="0" w:beforeAutospacing="0" w:after="0" w:afterAutospacing="0" w:line="276" w:lineRule="auto"/>
        <w:jc w:val="both"/>
        <w:rPr>
          <w:rFonts w:ascii="Times New Roman" w:hAnsi="Times New Roman" w:cs="Times New Roman"/>
          <w:sz w:val="20"/>
          <w:szCs w:val="20"/>
        </w:rPr>
      </w:pPr>
      <w:r w:rsidRPr="00172957">
        <w:rPr>
          <w:rFonts w:ascii="Times New Roman" w:hAnsi="Times New Roman" w:cs="Times New Roman"/>
          <w:sz w:val="20"/>
          <w:szCs w:val="20"/>
        </w:rPr>
        <w:lastRenderedPageBreak/>
        <w:t xml:space="preserve">Audiences actively participate in sensemaking processes based on their social and cultural experiences, claims Edgerly (2022). </w:t>
      </w:r>
    </w:p>
    <w:p w14:paraId="096F6297" w14:textId="77777777" w:rsidR="004038B5" w:rsidRDefault="00000000" w:rsidP="00DB2466">
      <w:pPr>
        <w:pStyle w:val="NormalWeb"/>
        <w:spacing w:before="0" w:beforeAutospacing="0" w:after="0" w:afterAutospacing="0" w:line="276" w:lineRule="auto"/>
        <w:jc w:val="both"/>
        <w:rPr>
          <w:rFonts w:ascii="Times New Roman" w:hAnsi="Times New Roman" w:cs="Times New Roman"/>
          <w:sz w:val="20"/>
          <w:szCs w:val="20"/>
        </w:rPr>
      </w:pPr>
      <w:r>
        <w:rPr>
          <w:rFonts w:ascii="Times New Roman" w:hAnsi="Times New Roman" w:cs="Times New Roman"/>
          <w:sz w:val="20"/>
          <w:szCs w:val="20"/>
        </w:rPr>
        <w:t xml:space="preserve">In Malaysia, National Day and Malaysia Day advertisements are frequently used to communicate messages of patriotism, unity, and national identity. Ahmad, Saad, and </w:t>
      </w:r>
      <w:proofErr w:type="spellStart"/>
      <w:r>
        <w:rPr>
          <w:rFonts w:ascii="Times New Roman" w:hAnsi="Times New Roman" w:cs="Times New Roman"/>
          <w:sz w:val="20"/>
          <w:szCs w:val="20"/>
        </w:rPr>
        <w:t>Sarudin</w:t>
      </w:r>
      <w:proofErr w:type="spellEnd"/>
      <w:r>
        <w:rPr>
          <w:rFonts w:ascii="Times New Roman" w:hAnsi="Times New Roman" w:cs="Times New Roman"/>
          <w:sz w:val="20"/>
          <w:szCs w:val="20"/>
        </w:rPr>
        <w:t xml:space="preserve"> (2025) found that Merdeka-themed Corporate Social Responsibility (CSR) advertisements produced by corporations such as Petronas, Tenaga Nasional Berhad (TNB), and Telekom Malaysia (TM) construct unity narratives through six major themes: multicultural harmony, collective resilience, intergenerational continuity, cultural celebration, nation-building, and everyday kindness. Their findings also showed that authentic ethnic representation and emotionally driven storytelling increased audience engagement with messages of unity. However, the researchers emphasized that high levels of digital engagement do not necessarily translate into deeper social cohesion. Therefore, while advertisements can shape national sentiment and communicate messages of unity, their long-term effectiveness in fostering social cohesion requires further investigation.</w:t>
      </w:r>
    </w:p>
    <w:p w14:paraId="5FAEC84E" w14:textId="77777777" w:rsidR="00DB2466" w:rsidRDefault="00DB2466" w:rsidP="00DB2466">
      <w:pPr>
        <w:pStyle w:val="NormalWeb"/>
        <w:spacing w:before="0" w:beforeAutospacing="0" w:after="0" w:afterAutospacing="0" w:line="276" w:lineRule="auto"/>
        <w:jc w:val="both"/>
        <w:rPr>
          <w:rFonts w:ascii="Times New Roman" w:hAnsi="Times New Roman" w:cs="Times New Roman"/>
          <w:sz w:val="20"/>
          <w:szCs w:val="20"/>
        </w:rPr>
      </w:pPr>
    </w:p>
    <w:p w14:paraId="1125E485" w14:textId="77777777" w:rsidR="004038B5" w:rsidRDefault="00000000">
      <w:pPr>
        <w:pStyle w:val="NormalWeb"/>
        <w:spacing w:before="0" w:beforeAutospacing="0" w:after="0" w:afterAutospacing="0" w:line="276" w:lineRule="auto"/>
        <w:jc w:val="both"/>
        <w:rPr>
          <w:rFonts w:ascii="Times New Roman" w:hAnsi="Times New Roman" w:cs="Times New Roman"/>
          <w:sz w:val="20"/>
          <w:szCs w:val="20"/>
        </w:rPr>
      </w:pPr>
      <w:r>
        <w:rPr>
          <w:rFonts w:ascii="Times New Roman" w:hAnsi="Times New Roman" w:cs="Times New Roman"/>
          <w:sz w:val="20"/>
          <w:szCs w:val="20"/>
        </w:rPr>
        <w:t xml:space="preserve">Although Ahmad et al. (2025) examined unity narratives in Merdeka-themed CSR advertisements, their study focused on multimodal and natural language processing analyses across various corporate advertisements. Consequently, there remains a need to examine more specifically how unity narratives are constructed through the relationship between signifiers and </w:t>
      </w:r>
      <w:proofErr w:type="spellStart"/>
      <w:r>
        <w:rPr>
          <w:rFonts w:ascii="Times New Roman" w:hAnsi="Times New Roman" w:cs="Times New Roman"/>
          <w:sz w:val="20"/>
          <w:szCs w:val="20"/>
        </w:rPr>
        <w:t>signifieds</w:t>
      </w:r>
      <w:proofErr w:type="spellEnd"/>
      <w:r>
        <w:rPr>
          <w:rFonts w:ascii="Times New Roman" w:hAnsi="Times New Roman" w:cs="Times New Roman"/>
          <w:sz w:val="20"/>
          <w:szCs w:val="20"/>
        </w:rPr>
        <w:t xml:space="preserve"> using Saussure’s semiotic framework. Accordingly, this study focuses on Petronas advertisement </w:t>
      </w:r>
      <w:proofErr w:type="spellStart"/>
      <w:r>
        <w:rPr>
          <w:rFonts w:ascii="Times New Roman" w:hAnsi="Times New Roman" w:cs="Times New Roman"/>
          <w:i/>
          <w:iCs/>
          <w:sz w:val="20"/>
          <w:szCs w:val="20"/>
        </w:rPr>
        <w:t>Sepenuh</w:t>
      </w:r>
      <w:proofErr w:type="spellEnd"/>
      <w:r>
        <w:rPr>
          <w:rFonts w:ascii="Times New Roman" w:hAnsi="Times New Roman" w:cs="Times New Roman"/>
          <w:i/>
          <w:iCs/>
          <w:sz w:val="20"/>
          <w:szCs w:val="20"/>
        </w:rPr>
        <w:t xml:space="preserve"> Hati</w:t>
      </w:r>
      <w:r>
        <w:rPr>
          <w:rFonts w:ascii="Times New Roman" w:hAnsi="Times New Roman" w:cs="Times New Roman"/>
          <w:sz w:val="20"/>
          <w:szCs w:val="20"/>
        </w:rPr>
        <w:t xml:space="preserve"> to understand how meanings of unity are constructed through visual and linguistic signs.</w:t>
      </w:r>
    </w:p>
    <w:p w14:paraId="45C3E498" w14:textId="77777777" w:rsidR="00EA4E9B" w:rsidRDefault="00EA4E9B">
      <w:pPr>
        <w:pStyle w:val="NormalWeb"/>
        <w:spacing w:before="0" w:beforeAutospacing="0" w:after="0" w:afterAutospacing="0" w:line="276" w:lineRule="auto"/>
        <w:jc w:val="both"/>
        <w:rPr>
          <w:rFonts w:ascii="Times New Roman" w:hAnsi="Times New Roman" w:cs="Times New Roman"/>
          <w:sz w:val="20"/>
          <w:szCs w:val="20"/>
        </w:rPr>
      </w:pPr>
    </w:p>
    <w:p w14:paraId="0A1F40DA" w14:textId="430B71FE" w:rsidR="004038B5" w:rsidRDefault="00EA4E9B" w:rsidP="00EA4E9B">
      <w:pPr>
        <w:pStyle w:val="NormalWeb"/>
        <w:spacing w:before="0" w:beforeAutospacing="0" w:after="0" w:afterAutospacing="0" w:line="276" w:lineRule="auto"/>
        <w:jc w:val="both"/>
        <w:rPr>
          <w:rFonts w:ascii="Times New Roman" w:hAnsi="Times New Roman" w:cs="Times New Roman"/>
          <w:sz w:val="20"/>
          <w:szCs w:val="20"/>
        </w:rPr>
      </w:pPr>
      <w:r w:rsidRPr="00EA4E9B">
        <w:rPr>
          <w:rFonts w:ascii="Times New Roman" w:hAnsi="Times New Roman" w:cs="Times New Roman"/>
          <w:sz w:val="20"/>
          <w:szCs w:val="20"/>
        </w:rPr>
        <w:t>Additionally, recent research shows that modern advertising increasingly depends on social connections and emotional appeal to affect audience response. It has been discovered that narratives that highlight unity, empathy, and shared experiences are more successful in building relationships between messages and target audiences. This concept emphasizes how advertising serves as a cultural communication medium that communicates identities and social values in addition to being a marketing tool.</w:t>
      </w:r>
    </w:p>
    <w:p w14:paraId="70058D18" w14:textId="77777777" w:rsidR="00EA4E9B" w:rsidRDefault="00EA4E9B" w:rsidP="00EA4E9B">
      <w:pPr>
        <w:pStyle w:val="NormalWeb"/>
        <w:spacing w:before="0" w:beforeAutospacing="0" w:after="0" w:afterAutospacing="0" w:line="276" w:lineRule="auto"/>
        <w:jc w:val="both"/>
        <w:rPr>
          <w:rFonts w:ascii="Times New Roman" w:hAnsi="Times New Roman" w:cs="Times New Roman"/>
          <w:sz w:val="20"/>
          <w:szCs w:val="20"/>
        </w:rPr>
      </w:pPr>
    </w:p>
    <w:p w14:paraId="6C079F7E" w14:textId="77777777" w:rsidR="004038B5" w:rsidRDefault="00000000">
      <w:pPr>
        <w:pStyle w:val="NormalWeb"/>
        <w:spacing w:before="0" w:beforeAutospacing="0" w:after="240" w:afterAutospacing="0" w:line="276" w:lineRule="auto"/>
        <w:jc w:val="both"/>
        <w:rPr>
          <w:rFonts w:ascii="Times New Roman" w:hAnsi="Times New Roman" w:cs="Times New Roman"/>
          <w:b/>
          <w:bCs/>
          <w:sz w:val="20"/>
          <w:szCs w:val="20"/>
        </w:rPr>
      </w:pPr>
      <w:r>
        <w:rPr>
          <w:rFonts w:ascii="Times New Roman" w:hAnsi="Times New Roman" w:cs="Times New Roman"/>
          <w:b/>
          <w:bCs/>
          <w:sz w:val="20"/>
          <w:szCs w:val="20"/>
        </w:rPr>
        <w:t>2.3 Semiotic Studies in Advertising</w:t>
      </w:r>
    </w:p>
    <w:p w14:paraId="0F95CD57" w14:textId="77777777" w:rsidR="00EA4E9B" w:rsidRDefault="00EA4E9B" w:rsidP="00EA4E9B">
      <w:pPr>
        <w:pStyle w:val="NormalWeb"/>
        <w:spacing w:before="0" w:beforeAutospacing="0" w:after="240" w:afterAutospacing="0" w:line="276" w:lineRule="auto"/>
        <w:jc w:val="both"/>
        <w:rPr>
          <w:rFonts w:ascii="Times New Roman" w:hAnsi="Times New Roman" w:cs="Times New Roman"/>
          <w:sz w:val="20"/>
          <w:szCs w:val="20"/>
        </w:rPr>
      </w:pPr>
      <w:r w:rsidRPr="00EA4E9B">
        <w:rPr>
          <w:rFonts w:ascii="Times New Roman" w:hAnsi="Times New Roman" w:cs="Times New Roman"/>
          <w:sz w:val="20"/>
          <w:szCs w:val="20"/>
        </w:rPr>
        <w:t>A method for comprehending how meaning is created and conveyed through sign systems is semiotics. Signs in advertising can be words, pictures, colors, symbols, objects, characters, and behaviors that give audiences meanings. Researchers can determine the connection between signs and the meanings generated by communication processes by using semiotic analysis.</w:t>
      </w:r>
    </w:p>
    <w:p w14:paraId="661697F0" w14:textId="0B587862" w:rsidR="004038B5" w:rsidRDefault="003F0478" w:rsidP="003F0478">
      <w:pPr>
        <w:pStyle w:val="NormalWeb"/>
        <w:jc w:val="both"/>
        <w:rPr>
          <w:rFonts w:ascii="Times New Roman" w:hAnsi="Times New Roman" w:cs="Times New Roman"/>
          <w:sz w:val="20"/>
          <w:szCs w:val="20"/>
        </w:rPr>
      </w:pPr>
      <w:r w:rsidRPr="003F0478">
        <w:rPr>
          <w:rFonts w:ascii="Times New Roman" w:hAnsi="Times New Roman" w:cs="Times New Roman"/>
          <w:sz w:val="20"/>
          <w:szCs w:val="20"/>
        </w:rPr>
        <w:t xml:space="preserve">According to Sazan, Md. Yusoff and </w:t>
      </w:r>
      <w:proofErr w:type="spellStart"/>
      <w:r w:rsidRPr="003F0478">
        <w:rPr>
          <w:rFonts w:ascii="Times New Roman" w:hAnsi="Times New Roman" w:cs="Times New Roman"/>
          <w:sz w:val="20"/>
          <w:szCs w:val="20"/>
        </w:rPr>
        <w:t>Karimon</w:t>
      </w:r>
      <w:proofErr w:type="spellEnd"/>
      <w:r w:rsidRPr="003F0478">
        <w:rPr>
          <w:rFonts w:ascii="Times New Roman" w:hAnsi="Times New Roman" w:cs="Times New Roman"/>
          <w:sz w:val="20"/>
          <w:szCs w:val="20"/>
        </w:rPr>
        <w:t xml:space="preserve"> (2023) ads have parts that tell viewers something.</w:t>
      </w:r>
      <w:r>
        <w:rPr>
          <w:rFonts w:ascii="Times New Roman" w:hAnsi="Times New Roman" w:cs="Times New Roman"/>
          <w:sz w:val="20"/>
          <w:szCs w:val="20"/>
        </w:rPr>
        <w:t xml:space="preserve"> </w:t>
      </w:r>
      <w:r w:rsidRPr="003F0478">
        <w:rPr>
          <w:rFonts w:ascii="Times New Roman" w:hAnsi="Times New Roman" w:cs="Times New Roman"/>
          <w:sz w:val="20"/>
          <w:szCs w:val="20"/>
        </w:rPr>
        <w:t>They looked at posters. Found that when ads use both words and pictures it creates a certain meaning that helps people understand the message.</w:t>
      </w:r>
      <w:r>
        <w:rPr>
          <w:rFonts w:ascii="Times New Roman" w:hAnsi="Times New Roman" w:cs="Times New Roman"/>
          <w:sz w:val="20"/>
          <w:szCs w:val="20"/>
        </w:rPr>
        <w:t xml:space="preserve"> </w:t>
      </w:r>
      <w:r w:rsidRPr="003F0478">
        <w:rPr>
          <w:rFonts w:ascii="Times New Roman" w:hAnsi="Times New Roman" w:cs="Times New Roman"/>
          <w:sz w:val="20"/>
          <w:szCs w:val="20"/>
        </w:rPr>
        <w:t>This means that ads get their meaning not from text but also from lots of different visual parts.</w:t>
      </w:r>
      <w:r>
        <w:rPr>
          <w:rFonts w:ascii="Times New Roman" w:hAnsi="Times New Roman" w:cs="Times New Roman"/>
          <w:sz w:val="20"/>
          <w:szCs w:val="20"/>
        </w:rPr>
        <w:t xml:space="preserve"> </w:t>
      </w:r>
      <w:r w:rsidRPr="003F0478">
        <w:rPr>
          <w:rFonts w:ascii="Times New Roman" w:hAnsi="Times New Roman" w:cs="Times New Roman"/>
          <w:sz w:val="20"/>
          <w:szCs w:val="20"/>
        </w:rPr>
        <w:t>Nazri et al. (2025) Studied Petronas Hari Raya Aidilfitri commercials in Malaysia.</w:t>
      </w:r>
      <w:r>
        <w:rPr>
          <w:rFonts w:ascii="Times New Roman" w:hAnsi="Times New Roman" w:cs="Times New Roman"/>
          <w:sz w:val="20"/>
          <w:szCs w:val="20"/>
        </w:rPr>
        <w:t xml:space="preserve"> </w:t>
      </w:r>
      <w:r w:rsidRPr="003F0478">
        <w:rPr>
          <w:rFonts w:ascii="Times New Roman" w:hAnsi="Times New Roman" w:cs="Times New Roman"/>
          <w:sz w:val="20"/>
          <w:szCs w:val="20"/>
        </w:rPr>
        <w:t xml:space="preserve">They found that these ads create meaning using symbols and stories that are closely tied to what local communities experience in everyday </w:t>
      </w:r>
      <w:proofErr w:type="spellStart"/>
      <w:proofErr w:type="gramStart"/>
      <w:r w:rsidRPr="003F0478">
        <w:rPr>
          <w:rFonts w:ascii="Times New Roman" w:hAnsi="Times New Roman" w:cs="Times New Roman"/>
          <w:sz w:val="20"/>
          <w:szCs w:val="20"/>
        </w:rPr>
        <w:t>life.The</w:t>
      </w:r>
      <w:proofErr w:type="spellEnd"/>
      <w:proofErr w:type="gramEnd"/>
      <w:r w:rsidRPr="003F0478">
        <w:rPr>
          <w:rFonts w:ascii="Times New Roman" w:hAnsi="Times New Roman" w:cs="Times New Roman"/>
          <w:sz w:val="20"/>
          <w:szCs w:val="20"/>
        </w:rPr>
        <w:t xml:space="preserve"> commercials use these symbols and stories to connect with </w:t>
      </w:r>
      <w:proofErr w:type="spellStart"/>
      <w:proofErr w:type="gramStart"/>
      <w:r w:rsidRPr="003F0478">
        <w:rPr>
          <w:rFonts w:ascii="Times New Roman" w:hAnsi="Times New Roman" w:cs="Times New Roman"/>
          <w:sz w:val="20"/>
          <w:szCs w:val="20"/>
        </w:rPr>
        <w:t>people.The</w:t>
      </w:r>
      <w:proofErr w:type="spellEnd"/>
      <w:proofErr w:type="gramEnd"/>
      <w:r w:rsidRPr="003F0478">
        <w:rPr>
          <w:rFonts w:ascii="Times New Roman" w:hAnsi="Times New Roman" w:cs="Times New Roman"/>
          <w:sz w:val="20"/>
          <w:szCs w:val="20"/>
        </w:rPr>
        <w:t xml:space="preserve"> </w:t>
      </w:r>
      <w:proofErr w:type="gramStart"/>
      <w:r w:rsidRPr="003F0478">
        <w:rPr>
          <w:rFonts w:ascii="Times New Roman" w:hAnsi="Times New Roman" w:cs="Times New Roman"/>
          <w:sz w:val="20"/>
          <w:szCs w:val="20"/>
        </w:rPr>
        <w:t>meaning,</w:t>
      </w:r>
      <w:proofErr w:type="gramEnd"/>
      <w:r w:rsidRPr="003F0478">
        <w:rPr>
          <w:rFonts w:ascii="Times New Roman" w:hAnsi="Times New Roman" w:cs="Times New Roman"/>
          <w:sz w:val="20"/>
          <w:szCs w:val="20"/>
        </w:rPr>
        <w:t xml:space="preserve"> in these ads comes from the symbols and stories used.</w:t>
      </w:r>
      <w:r>
        <w:rPr>
          <w:rFonts w:ascii="Times New Roman" w:hAnsi="Times New Roman" w:cs="Times New Roman"/>
          <w:sz w:val="20"/>
          <w:szCs w:val="20"/>
        </w:rPr>
        <w:t xml:space="preserve"> </w:t>
      </w:r>
      <w:r w:rsidR="00EA4E9B" w:rsidRPr="00EA4E9B">
        <w:rPr>
          <w:rFonts w:ascii="Times New Roman" w:hAnsi="Times New Roman" w:cs="Times New Roman"/>
          <w:sz w:val="20"/>
          <w:szCs w:val="20"/>
        </w:rPr>
        <w:t xml:space="preserve">Their research showed that the language and visual components of Petronas commercials serve as signifiers, communicating </w:t>
      </w:r>
      <w:proofErr w:type="gramStart"/>
      <w:r w:rsidR="00EA4E9B" w:rsidRPr="00EA4E9B">
        <w:rPr>
          <w:rFonts w:ascii="Times New Roman" w:hAnsi="Times New Roman" w:cs="Times New Roman"/>
          <w:sz w:val="20"/>
          <w:szCs w:val="20"/>
        </w:rPr>
        <w:t>particular meanings</w:t>
      </w:r>
      <w:proofErr w:type="gramEnd"/>
      <w:r w:rsidR="00EA4E9B" w:rsidRPr="00EA4E9B">
        <w:rPr>
          <w:rFonts w:ascii="Times New Roman" w:hAnsi="Times New Roman" w:cs="Times New Roman"/>
          <w:sz w:val="20"/>
          <w:szCs w:val="20"/>
        </w:rPr>
        <w:t xml:space="preserve"> and influencing viewers' comprehension of the societal ideals being promoted. These results align with Mokhtar's (2023) brand communication study using Saussure's semiotic model. According to the study, audience perceptions of organizational messages are significantly influenced by signifiers and </w:t>
      </w:r>
      <w:proofErr w:type="spellStart"/>
      <w:r w:rsidR="00EA4E9B" w:rsidRPr="00EA4E9B">
        <w:rPr>
          <w:rFonts w:ascii="Times New Roman" w:hAnsi="Times New Roman" w:cs="Times New Roman"/>
          <w:sz w:val="20"/>
          <w:szCs w:val="20"/>
        </w:rPr>
        <w:t>signifieds</w:t>
      </w:r>
      <w:proofErr w:type="spellEnd"/>
      <w:r w:rsidR="00EA4E9B" w:rsidRPr="00EA4E9B">
        <w:rPr>
          <w:rFonts w:ascii="Times New Roman" w:hAnsi="Times New Roman" w:cs="Times New Roman"/>
          <w:sz w:val="20"/>
          <w:szCs w:val="20"/>
        </w:rPr>
        <w:t xml:space="preserve">. Similarly, </w:t>
      </w:r>
      <w:proofErr w:type="spellStart"/>
      <w:r w:rsidR="00EA4E9B" w:rsidRPr="00EA4E9B">
        <w:rPr>
          <w:rFonts w:ascii="Times New Roman" w:hAnsi="Times New Roman" w:cs="Times New Roman"/>
          <w:sz w:val="20"/>
          <w:szCs w:val="20"/>
        </w:rPr>
        <w:t>Prasetya</w:t>
      </w:r>
      <w:proofErr w:type="spellEnd"/>
      <w:r w:rsidR="00EA4E9B" w:rsidRPr="00EA4E9B">
        <w:rPr>
          <w:rFonts w:ascii="Times New Roman" w:hAnsi="Times New Roman" w:cs="Times New Roman"/>
          <w:sz w:val="20"/>
          <w:szCs w:val="20"/>
        </w:rPr>
        <w:t xml:space="preserve"> (2025) contended that semiotic analysis is still applicable in the digital age because it clarifies the ways in which signs, symbols, and images are employed to form identities, evoke strong feelings, and affect audience response.</w:t>
      </w:r>
    </w:p>
    <w:p w14:paraId="0BCFC44F" w14:textId="77777777" w:rsidR="004038B5" w:rsidRDefault="00000000">
      <w:pPr>
        <w:pStyle w:val="NormalWeb"/>
        <w:spacing w:before="0" w:beforeAutospacing="0" w:after="0" w:afterAutospacing="0" w:line="276" w:lineRule="auto"/>
        <w:jc w:val="both"/>
        <w:rPr>
          <w:rFonts w:ascii="Times New Roman" w:hAnsi="Times New Roman" w:cs="Times New Roman"/>
          <w:sz w:val="20"/>
          <w:szCs w:val="20"/>
        </w:rPr>
      </w:pPr>
      <w:r>
        <w:rPr>
          <w:rFonts w:ascii="Times New Roman" w:hAnsi="Times New Roman" w:cs="Times New Roman"/>
          <w:sz w:val="20"/>
          <w:szCs w:val="20"/>
        </w:rPr>
        <w:t xml:space="preserve">Overall, previous studies indicate that semiotics is an appropriate approach for examining how meanings are constructed in advertising texts. However, most existing studies focus on commercial advertising, brand communication, and cultural values, while research examining the construction of unity narratives in National Day and Malaysia Day advertisements through Saussure’s semiotic framework remains limited. Therefore, this study seeks to address this gap by examining the relationship between signifiers and </w:t>
      </w:r>
      <w:proofErr w:type="spellStart"/>
      <w:r>
        <w:rPr>
          <w:rFonts w:ascii="Times New Roman" w:hAnsi="Times New Roman" w:cs="Times New Roman"/>
          <w:sz w:val="20"/>
          <w:szCs w:val="20"/>
        </w:rPr>
        <w:t>signifieds</w:t>
      </w:r>
      <w:proofErr w:type="spellEnd"/>
      <w:r>
        <w:rPr>
          <w:rFonts w:ascii="Times New Roman" w:hAnsi="Times New Roman" w:cs="Times New Roman"/>
          <w:sz w:val="20"/>
          <w:szCs w:val="20"/>
        </w:rPr>
        <w:t xml:space="preserve"> in the construction of unity narratives in the Petronas National Day and Malaysia Day advertisement </w:t>
      </w:r>
      <w:proofErr w:type="spellStart"/>
      <w:r>
        <w:rPr>
          <w:rFonts w:ascii="Times New Roman" w:hAnsi="Times New Roman" w:cs="Times New Roman"/>
          <w:i/>
          <w:iCs/>
          <w:sz w:val="20"/>
          <w:szCs w:val="20"/>
        </w:rPr>
        <w:t>Sepenuh</w:t>
      </w:r>
      <w:proofErr w:type="spellEnd"/>
      <w:r>
        <w:rPr>
          <w:rFonts w:ascii="Times New Roman" w:hAnsi="Times New Roman" w:cs="Times New Roman"/>
          <w:i/>
          <w:iCs/>
          <w:sz w:val="20"/>
          <w:szCs w:val="20"/>
        </w:rPr>
        <w:t xml:space="preserve"> Hati</w:t>
      </w:r>
      <w:r>
        <w:rPr>
          <w:rFonts w:ascii="Times New Roman" w:hAnsi="Times New Roman" w:cs="Times New Roman"/>
          <w:sz w:val="20"/>
          <w:szCs w:val="20"/>
        </w:rPr>
        <w:t>.</w:t>
      </w:r>
    </w:p>
    <w:p w14:paraId="3CAAB050" w14:textId="77777777" w:rsidR="004038B5" w:rsidRDefault="004038B5">
      <w:pPr>
        <w:pStyle w:val="Heading3"/>
        <w:numPr>
          <w:ilvl w:val="0"/>
          <w:numId w:val="0"/>
        </w:numPr>
        <w:spacing w:line="276" w:lineRule="auto"/>
        <w:rPr>
          <w:b/>
          <w:i w:val="0"/>
        </w:rPr>
      </w:pPr>
    </w:p>
    <w:p w14:paraId="7B3ACDF1" w14:textId="77777777" w:rsidR="004038B5" w:rsidRDefault="00000000">
      <w:pPr>
        <w:pStyle w:val="Heading3"/>
        <w:numPr>
          <w:ilvl w:val="0"/>
          <w:numId w:val="0"/>
        </w:numPr>
        <w:spacing w:after="240" w:line="276" w:lineRule="auto"/>
        <w:rPr>
          <w:b/>
          <w:i w:val="0"/>
          <w:sz w:val="24"/>
          <w:szCs w:val="24"/>
        </w:rPr>
      </w:pPr>
      <w:r>
        <w:rPr>
          <w:b/>
          <w:i w:val="0"/>
          <w:sz w:val="24"/>
          <w:szCs w:val="24"/>
        </w:rPr>
        <w:t>3. RESEARCH OBJECTIVES</w:t>
      </w:r>
    </w:p>
    <w:p w14:paraId="19FB9170"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This study aims to:</w:t>
      </w:r>
    </w:p>
    <w:p w14:paraId="630724F7" w14:textId="77777777" w:rsidR="004038B5" w:rsidRDefault="00000000">
      <w:pPr>
        <w:spacing w:after="0"/>
        <w:jc w:val="both"/>
        <w:rPr>
          <w:rFonts w:ascii="Times New Roman" w:hAnsi="Times New Roman" w:cs="Times New Roman"/>
          <w:bCs/>
          <w:sz w:val="20"/>
          <w:szCs w:val="20"/>
        </w:rPr>
      </w:pPr>
      <w:proofErr w:type="spellStart"/>
      <w:r>
        <w:rPr>
          <w:rFonts w:ascii="Times New Roman" w:hAnsi="Times New Roman" w:cs="Times New Roman"/>
          <w:bCs/>
          <w:sz w:val="20"/>
          <w:szCs w:val="20"/>
        </w:rPr>
        <w:t>i</w:t>
      </w:r>
      <w:proofErr w:type="spellEnd"/>
      <w:r>
        <w:rPr>
          <w:rFonts w:ascii="Times New Roman" w:hAnsi="Times New Roman" w:cs="Times New Roman"/>
          <w:bCs/>
          <w:sz w:val="20"/>
          <w:szCs w:val="20"/>
        </w:rPr>
        <w:t xml:space="preserve">. Identify the signifiers used in the Petronas National Day and Malaysia Day advertisement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w:t>
      </w:r>
    </w:p>
    <w:p w14:paraId="2422092D"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ii. </w:t>
      </w:r>
      <w:proofErr w:type="spellStart"/>
      <w:r>
        <w:rPr>
          <w:rFonts w:ascii="Times New Roman" w:hAnsi="Times New Roman" w:cs="Times New Roman"/>
          <w:bCs/>
          <w:sz w:val="20"/>
          <w:szCs w:val="20"/>
        </w:rPr>
        <w:t>Analyse</w:t>
      </w:r>
      <w:proofErr w:type="spellEnd"/>
      <w:r>
        <w:rPr>
          <w:rFonts w:ascii="Times New Roman" w:hAnsi="Times New Roman" w:cs="Times New Roman"/>
          <w:bCs/>
          <w:sz w:val="20"/>
          <w:szCs w:val="20"/>
        </w:rPr>
        <w:t xml:space="preserve"> the relationship between signifiers and </w:t>
      </w:r>
      <w:proofErr w:type="spellStart"/>
      <w:r>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in the construction of unity narratives presented in the advertisement.</w:t>
      </w:r>
    </w:p>
    <w:p w14:paraId="48C6B6F9" w14:textId="77777777" w:rsidR="004038B5" w:rsidRDefault="004038B5">
      <w:pPr>
        <w:spacing w:after="0"/>
        <w:jc w:val="center"/>
        <w:rPr>
          <w:rFonts w:ascii="Times New Roman" w:hAnsi="Times New Roman" w:cs="Times New Roman"/>
          <w:b/>
          <w:sz w:val="20"/>
          <w:szCs w:val="20"/>
        </w:rPr>
      </w:pPr>
    </w:p>
    <w:p w14:paraId="0A664E12" w14:textId="77777777" w:rsidR="004038B5" w:rsidRDefault="00000000">
      <w:pPr>
        <w:rPr>
          <w:rFonts w:ascii="Times New Roman" w:hAnsi="Times New Roman" w:cs="Times New Roman"/>
          <w:b/>
          <w:bCs/>
          <w:sz w:val="24"/>
          <w:szCs w:val="24"/>
        </w:rPr>
      </w:pPr>
      <w:r>
        <w:rPr>
          <w:rFonts w:ascii="Times New Roman" w:hAnsi="Times New Roman" w:cs="Times New Roman"/>
          <w:b/>
          <w:bCs/>
          <w:sz w:val="24"/>
          <w:szCs w:val="24"/>
        </w:rPr>
        <w:t>4. RESEARCH METHODOLOGY</w:t>
      </w:r>
    </w:p>
    <w:p w14:paraId="4A1593CF" w14:textId="77777777" w:rsidR="00DA05FD" w:rsidRPr="00DA05FD" w:rsidRDefault="00DA05FD" w:rsidP="00DA05FD">
      <w:pPr>
        <w:spacing w:after="0"/>
        <w:jc w:val="both"/>
        <w:rPr>
          <w:rFonts w:ascii="Times New Roman" w:hAnsi="Times New Roman" w:cs="Times New Roman"/>
          <w:sz w:val="20"/>
          <w:szCs w:val="20"/>
        </w:rPr>
      </w:pPr>
      <w:proofErr w:type="gramStart"/>
      <w:r w:rsidRPr="00DA05FD">
        <w:rPr>
          <w:rFonts w:ascii="Times New Roman" w:hAnsi="Times New Roman" w:cs="Times New Roman"/>
          <w:sz w:val="20"/>
          <w:szCs w:val="20"/>
        </w:rPr>
        <w:t>In order to</w:t>
      </w:r>
      <w:proofErr w:type="gramEnd"/>
      <w:r w:rsidRPr="00DA05FD">
        <w:rPr>
          <w:rFonts w:ascii="Times New Roman" w:hAnsi="Times New Roman" w:cs="Times New Roman"/>
          <w:sz w:val="20"/>
          <w:szCs w:val="20"/>
        </w:rPr>
        <w:t xml:space="preserve"> analyze unity narratives in the Petronas National Day and Malaysia Day advertising </w:t>
      </w:r>
      <w:proofErr w:type="spellStart"/>
      <w:r w:rsidRPr="00DA05FD">
        <w:rPr>
          <w:rFonts w:ascii="Times New Roman" w:hAnsi="Times New Roman" w:cs="Times New Roman"/>
          <w:sz w:val="20"/>
          <w:szCs w:val="20"/>
        </w:rPr>
        <w:t>Sepenuh</w:t>
      </w:r>
      <w:proofErr w:type="spellEnd"/>
      <w:r w:rsidRPr="00DA05FD">
        <w:rPr>
          <w:rFonts w:ascii="Times New Roman" w:hAnsi="Times New Roman" w:cs="Times New Roman"/>
          <w:sz w:val="20"/>
          <w:szCs w:val="20"/>
        </w:rPr>
        <w:t xml:space="preserve"> Hati, this study uses a qualitative method utilizing content analysis. Because it is appropriate for comprehending and interpreting meanings ingrained in the verbal and visual components of media texts, a qualitative method was selected (</w:t>
      </w:r>
      <w:proofErr w:type="spellStart"/>
      <w:r w:rsidRPr="00DA05FD">
        <w:rPr>
          <w:rFonts w:ascii="Times New Roman" w:hAnsi="Times New Roman" w:cs="Times New Roman"/>
          <w:sz w:val="20"/>
          <w:szCs w:val="20"/>
        </w:rPr>
        <w:t>Alyaqoub</w:t>
      </w:r>
      <w:proofErr w:type="spellEnd"/>
      <w:r w:rsidRPr="00DA05FD">
        <w:rPr>
          <w:rFonts w:ascii="Times New Roman" w:hAnsi="Times New Roman" w:cs="Times New Roman"/>
          <w:sz w:val="20"/>
          <w:szCs w:val="20"/>
        </w:rPr>
        <w:t xml:space="preserve"> et al., 2024). The advertising </w:t>
      </w:r>
      <w:proofErr w:type="spellStart"/>
      <w:r w:rsidRPr="00DA05FD">
        <w:rPr>
          <w:rFonts w:ascii="Times New Roman" w:hAnsi="Times New Roman" w:cs="Times New Roman"/>
          <w:sz w:val="20"/>
          <w:szCs w:val="20"/>
        </w:rPr>
        <w:t>Sepenuh</w:t>
      </w:r>
      <w:proofErr w:type="spellEnd"/>
      <w:r w:rsidRPr="00DA05FD">
        <w:rPr>
          <w:rFonts w:ascii="Times New Roman" w:hAnsi="Times New Roman" w:cs="Times New Roman"/>
          <w:sz w:val="20"/>
          <w:szCs w:val="20"/>
        </w:rPr>
        <w:t xml:space="preserve"> Hati, which was purposefully chosen for the study's focus on togetherness, respect for the </w:t>
      </w:r>
      <w:proofErr w:type="spellStart"/>
      <w:r w:rsidRPr="00DA05FD">
        <w:rPr>
          <w:rFonts w:ascii="Times New Roman" w:hAnsi="Times New Roman" w:cs="Times New Roman"/>
          <w:sz w:val="20"/>
          <w:szCs w:val="20"/>
        </w:rPr>
        <w:t>Rukun</w:t>
      </w:r>
      <w:proofErr w:type="spellEnd"/>
      <w:r w:rsidRPr="00DA05FD">
        <w:rPr>
          <w:rFonts w:ascii="Times New Roman" w:hAnsi="Times New Roman" w:cs="Times New Roman"/>
          <w:sz w:val="20"/>
          <w:szCs w:val="20"/>
        </w:rPr>
        <w:t xml:space="preserve"> Negara, and interpersonal connections within Malaysia's multicultural culture, makes up the study's data. </w:t>
      </w:r>
      <w:proofErr w:type="gramStart"/>
      <w:r w:rsidRPr="00DA05FD">
        <w:rPr>
          <w:rFonts w:ascii="Times New Roman" w:hAnsi="Times New Roman" w:cs="Times New Roman"/>
          <w:sz w:val="20"/>
          <w:szCs w:val="20"/>
        </w:rPr>
        <w:t>In order to</w:t>
      </w:r>
      <w:proofErr w:type="gramEnd"/>
      <w:r w:rsidRPr="00DA05FD">
        <w:rPr>
          <w:rFonts w:ascii="Times New Roman" w:hAnsi="Times New Roman" w:cs="Times New Roman"/>
          <w:sz w:val="20"/>
          <w:szCs w:val="20"/>
        </w:rPr>
        <w:t xml:space="preserve"> identify scenarios, dialogues, symbols, </w:t>
      </w:r>
      <w:r w:rsidRPr="00DA05FD">
        <w:rPr>
          <w:rFonts w:ascii="Times New Roman" w:hAnsi="Times New Roman" w:cs="Times New Roman"/>
          <w:sz w:val="20"/>
          <w:szCs w:val="20"/>
        </w:rPr>
        <w:lastRenderedPageBreak/>
        <w:t xml:space="preserve">texts, and visual aspects associated with the research theme, data were gathered through repeated observations of the advertising. Saussure's Semiotic Theory (1974), which highlights the connection between signifiers and </w:t>
      </w:r>
      <w:proofErr w:type="spellStart"/>
      <w:r w:rsidRPr="00DA05FD">
        <w:rPr>
          <w:rFonts w:ascii="Times New Roman" w:hAnsi="Times New Roman" w:cs="Times New Roman"/>
          <w:sz w:val="20"/>
          <w:szCs w:val="20"/>
        </w:rPr>
        <w:t>signifieds</w:t>
      </w:r>
      <w:proofErr w:type="spellEnd"/>
      <w:r w:rsidRPr="00DA05FD">
        <w:rPr>
          <w:rFonts w:ascii="Times New Roman" w:hAnsi="Times New Roman" w:cs="Times New Roman"/>
          <w:sz w:val="20"/>
          <w:szCs w:val="20"/>
        </w:rPr>
        <w:t xml:space="preserve"> in meaning production, was used to analyze the data. The advertisement's language and visual components are referred to as signifiers, and the meanings they convey are referred to as </w:t>
      </w:r>
      <w:proofErr w:type="spellStart"/>
      <w:r w:rsidRPr="00DA05FD">
        <w:rPr>
          <w:rFonts w:ascii="Times New Roman" w:hAnsi="Times New Roman" w:cs="Times New Roman"/>
          <w:sz w:val="20"/>
          <w:szCs w:val="20"/>
        </w:rPr>
        <w:t>signifieds</w:t>
      </w:r>
      <w:proofErr w:type="spellEnd"/>
      <w:r w:rsidRPr="00DA05FD">
        <w:rPr>
          <w:rFonts w:ascii="Times New Roman" w:hAnsi="Times New Roman" w:cs="Times New Roman"/>
          <w:sz w:val="20"/>
          <w:szCs w:val="20"/>
        </w:rPr>
        <w:t xml:space="preserve">. To explain the unity narratives depicted in </w:t>
      </w:r>
      <w:proofErr w:type="spellStart"/>
      <w:r w:rsidRPr="00DA05FD">
        <w:rPr>
          <w:rFonts w:ascii="Times New Roman" w:hAnsi="Times New Roman" w:cs="Times New Roman"/>
          <w:sz w:val="20"/>
          <w:szCs w:val="20"/>
        </w:rPr>
        <w:t>Sepenuh</w:t>
      </w:r>
      <w:proofErr w:type="spellEnd"/>
      <w:r w:rsidRPr="00DA05FD">
        <w:rPr>
          <w:rFonts w:ascii="Times New Roman" w:hAnsi="Times New Roman" w:cs="Times New Roman"/>
          <w:sz w:val="20"/>
          <w:szCs w:val="20"/>
        </w:rPr>
        <w:t xml:space="preserve"> Hati, the study entailed locating signifiers associated with unity and evaluating the </w:t>
      </w:r>
      <w:proofErr w:type="spellStart"/>
      <w:r w:rsidRPr="00DA05FD">
        <w:rPr>
          <w:rFonts w:ascii="Times New Roman" w:hAnsi="Times New Roman" w:cs="Times New Roman"/>
          <w:sz w:val="20"/>
          <w:szCs w:val="20"/>
        </w:rPr>
        <w:t>signifieds</w:t>
      </w:r>
      <w:proofErr w:type="spellEnd"/>
      <w:r w:rsidRPr="00DA05FD">
        <w:rPr>
          <w:rFonts w:ascii="Times New Roman" w:hAnsi="Times New Roman" w:cs="Times New Roman"/>
          <w:sz w:val="20"/>
          <w:szCs w:val="20"/>
        </w:rPr>
        <w:t xml:space="preserve"> they produce. </w:t>
      </w:r>
      <w:proofErr w:type="gramStart"/>
      <w:r w:rsidRPr="00DA05FD">
        <w:rPr>
          <w:rFonts w:ascii="Times New Roman" w:hAnsi="Times New Roman" w:cs="Times New Roman"/>
          <w:sz w:val="20"/>
          <w:szCs w:val="20"/>
        </w:rPr>
        <w:t>In order to</w:t>
      </w:r>
      <w:proofErr w:type="gramEnd"/>
      <w:r w:rsidRPr="00DA05FD">
        <w:rPr>
          <w:rFonts w:ascii="Times New Roman" w:hAnsi="Times New Roman" w:cs="Times New Roman"/>
          <w:sz w:val="20"/>
          <w:szCs w:val="20"/>
        </w:rPr>
        <w:t xml:space="preserve"> illustrate the connection between signifiers, </w:t>
      </w:r>
      <w:proofErr w:type="spellStart"/>
      <w:r w:rsidRPr="00DA05FD">
        <w:rPr>
          <w:rFonts w:ascii="Times New Roman" w:hAnsi="Times New Roman" w:cs="Times New Roman"/>
          <w:sz w:val="20"/>
          <w:szCs w:val="20"/>
        </w:rPr>
        <w:t>signifieds</w:t>
      </w:r>
      <w:proofErr w:type="spellEnd"/>
      <w:r w:rsidRPr="00DA05FD">
        <w:rPr>
          <w:rFonts w:ascii="Times New Roman" w:hAnsi="Times New Roman" w:cs="Times New Roman"/>
          <w:sz w:val="20"/>
          <w:szCs w:val="20"/>
        </w:rPr>
        <w:t>, and the meanings of unity created inside the commercial, the results are provided descriptively.</w:t>
      </w:r>
    </w:p>
    <w:p w14:paraId="1B654621" w14:textId="38D45420" w:rsidR="004038B5" w:rsidRDefault="004038B5">
      <w:pPr>
        <w:spacing w:after="0"/>
        <w:jc w:val="both"/>
        <w:rPr>
          <w:rFonts w:ascii="Times New Roman" w:hAnsi="Times New Roman" w:cs="Times New Roman"/>
          <w:sz w:val="20"/>
          <w:szCs w:val="20"/>
          <w:lang w:val="en-MY"/>
        </w:rPr>
      </w:pPr>
    </w:p>
    <w:p w14:paraId="174024B3" w14:textId="77777777" w:rsidR="004038B5" w:rsidRDefault="00000000">
      <w:pPr>
        <w:rPr>
          <w:rFonts w:ascii="Times New Roman" w:hAnsi="Times New Roman" w:cs="Times New Roman"/>
          <w:b/>
          <w:sz w:val="20"/>
          <w:szCs w:val="20"/>
        </w:rPr>
      </w:pPr>
      <w:r>
        <w:rPr>
          <w:rFonts w:ascii="Times New Roman" w:hAnsi="Times New Roman" w:cs="Times New Roman"/>
          <w:b/>
          <w:sz w:val="20"/>
          <w:szCs w:val="20"/>
        </w:rPr>
        <w:t>4.1 Research Sample</w:t>
      </w:r>
    </w:p>
    <w:p w14:paraId="12CCB029" w14:textId="3403AA0E" w:rsidR="004038B5" w:rsidRDefault="00DA05FD">
      <w:pPr>
        <w:jc w:val="both"/>
        <w:rPr>
          <w:rFonts w:ascii="Times New Roman" w:hAnsi="Times New Roman" w:cs="Times New Roman"/>
          <w:bCs/>
          <w:sz w:val="20"/>
          <w:szCs w:val="20"/>
        </w:rPr>
      </w:pPr>
      <w:r w:rsidRPr="00DA05FD">
        <w:rPr>
          <w:rFonts w:ascii="Times New Roman" w:hAnsi="Times New Roman" w:cs="Times New Roman"/>
          <w:bCs/>
          <w:sz w:val="20"/>
          <w:szCs w:val="20"/>
        </w:rPr>
        <w:t xml:space="preserve">The commercial </w:t>
      </w:r>
      <w:proofErr w:type="spellStart"/>
      <w:r w:rsidRPr="00DA05FD">
        <w:rPr>
          <w:rFonts w:ascii="Times New Roman" w:hAnsi="Times New Roman" w:cs="Times New Roman"/>
          <w:bCs/>
          <w:sz w:val="20"/>
          <w:szCs w:val="20"/>
        </w:rPr>
        <w:t>Sepenuh</w:t>
      </w:r>
      <w:proofErr w:type="spellEnd"/>
      <w:r w:rsidRPr="00DA05FD">
        <w:rPr>
          <w:rFonts w:ascii="Times New Roman" w:hAnsi="Times New Roman" w:cs="Times New Roman"/>
          <w:bCs/>
          <w:sz w:val="20"/>
          <w:szCs w:val="20"/>
        </w:rPr>
        <w:t xml:space="preserve"> Hati (With All Our Hearts), created by Petronas in support of the 2025 National Day and Malaysia Day festivities, makes up the research sample. The advertising, which was directed by Ismail Kamarul, was chosen through purposive sampling because it emphasizes the concept of unity through images of Malaysia's multicultural population, teacher-student interactions, and admiration of the </w:t>
      </w:r>
      <w:proofErr w:type="spellStart"/>
      <w:r w:rsidRPr="00DA05FD">
        <w:rPr>
          <w:rFonts w:ascii="Times New Roman" w:hAnsi="Times New Roman" w:cs="Times New Roman"/>
          <w:bCs/>
          <w:sz w:val="20"/>
          <w:szCs w:val="20"/>
        </w:rPr>
        <w:t>Rukun</w:t>
      </w:r>
      <w:proofErr w:type="spellEnd"/>
      <w:r w:rsidRPr="00DA05FD">
        <w:rPr>
          <w:rFonts w:ascii="Times New Roman" w:hAnsi="Times New Roman" w:cs="Times New Roman"/>
          <w:bCs/>
          <w:sz w:val="20"/>
          <w:szCs w:val="20"/>
        </w:rPr>
        <w:t xml:space="preserve"> Negara. The commercial had received almost 9.5 million views on Petronas' official YouTube channel at the time of data collection. This advertisement can be analyzed using Saussure's Semiotic Theory (1974) to look at how unity narratives are constructed through the relationship between signifiers and </w:t>
      </w:r>
      <w:proofErr w:type="spellStart"/>
      <w:r w:rsidRPr="00DA05FD">
        <w:rPr>
          <w:rFonts w:ascii="Times New Roman" w:hAnsi="Times New Roman" w:cs="Times New Roman"/>
          <w:bCs/>
          <w:sz w:val="20"/>
          <w:szCs w:val="20"/>
        </w:rPr>
        <w:t>signifieds</w:t>
      </w:r>
      <w:proofErr w:type="spellEnd"/>
      <w:r w:rsidRPr="00DA05FD">
        <w:rPr>
          <w:rFonts w:ascii="Times New Roman" w:hAnsi="Times New Roman" w:cs="Times New Roman"/>
          <w:bCs/>
          <w:sz w:val="20"/>
          <w:szCs w:val="20"/>
        </w:rPr>
        <w:t xml:space="preserve"> because of elements like the </w:t>
      </w:r>
      <w:proofErr w:type="spellStart"/>
      <w:r w:rsidRPr="00DA05FD">
        <w:rPr>
          <w:rFonts w:ascii="Times New Roman" w:hAnsi="Times New Roman" w:cs="Times New Roman"/>
          <w:bCs/>
          <w:sz w:val="20"/>
          <w:szCs w:val="20"/>
        </w:rPr>
        <w:t>Rukun</w:t>
      </w:r>
      <w:proofErr w:type="spellEnd"/>
      <w:r w:rsidRPr="00DA05FD">
        <w:rPr>
          <w:rFonts w:ascii="Times New Roman" w:hAnsi="Times New Roman" w:cs="Times New Roman"/>
          <w:bCs/>
          <w:sz w:val="20"/>
          <w:szCs w:val="20"/>
        </w:rPr>
        <w:t xml:space="preserve"> Negara, students from various ethnic backgrounds, the school setting, and the use of the Malay language.</w:t>
      </w:r>
    </w:p>
    <w:p w14:paraId="6F47A38F" w14:textId="0B9FB348" w:rsidR="004038B5" w:rsidRDefault="00000000">
      <w:pPr>
        <w:spacing w:after="0"/>
        <w:rPr>
          <w:rFonts w:ascii="Times New Roman" w:hAnsi="Times New Roman" w:cs="Times New Roman"/>
          <w:b/>
          <w:bCs/>
          <w:sz w:val="24"/>
          <w:szCs w:val="24"/>
        </w:rPr>
      </w:pPr>
      <w:r>
        <w:rPr>
          <w:rFonts w:ascii="Times New Roman" w:hAnsi="Times New Roman" w:cs="Times New Roman"/>
          <w:b/>
          <w:bCs/>
          <w:sz w:val="24"/>
          <w:szCs w:val="24"/>
        </w:rPr>
        <w:t>5. FINDINGS</w:t>
      </w:r>
    </w:p>
    <w:p w14:paraId="02927A5E" w14:textId="77777777" w:rsidR="00DA05FD" w:rsidRDefault="00DA05FD">
      <w:pPr>
        <w:spacing w:after="0"/>
        <w:rPr>
          <w:rFonts w:ascii="Times New Roman" w:hAnsi="Times New Roman" w:cs="Times New Roman"/>
          <w:b/>
          <w:bCs/>
          <w:sz w:val="24"/>
          <w:szCs w:val="24"/>
        </w:rPr>
      </w:pPr>
    </w:p>
    <w:p w14:paraId="4992BA95" w14:textId="77777777" w:rsidR="00DA05FD" w:rsidRDefault="00DA05FD">
      <w:pPr>
        <w:rPr>
          <w:rFonts w:ascii="Times New Roman" w:hAnsi="Times New Roman" w:cs="Times New Roman"/>
          <w:bCs/>
          <w:sz w:val="20"/>
          <w:szCs w:val="20"/>
        </w:rPr>
      </w:pPr>
      <w:r w:rsidRPr="00DA05FD">
        <w:rPr>
          <w:rFonts w:ascii="Times New Roman" w:hAnsi="Times New Roman" w:cs="Times New Roman"/>
          <w:bCs/>
          <w:sz w:val="20"/>
          <w:szCs w:val="20"/>
        </w:rPr>
        <w:t xml:space="preserve">According to an analysis of Petronas' National Day and Malaysia Day commercial </w:t>
      </w:r>
      <w:proofErr w:type="spellStart"/>
      <w:r w:rsidRPr="00DA05FD">
        <w:rPr>
          <w:rFonts w:ascii="Times New Roman" w:hAnsi="Times New Roman" w:cs="Times New Roman"/>
          <w:bCs/>
          <w:sz w:val="20"/>
          <w:szCs w:val="20"/>
        </w:rPr>
        <w:t>Sepenuh</w:t>
      </w:r>
      <w:proofErr w:type="spellEnd"/>
      <w:r w:rsidRPr="00DA05FD">
        <w:rPr>
          <w:rFonts w:ascii="Times New Roman" w:hAnsi="Times New Roman" w:cs="Times New Roman"/>
          <w:bCs/>
          <w:sz w:val="20"/>
          <w:szCs w:val="20"/>
        </w:rPr>
        <w:t xml:space="preserve"> Hati, unity narratives are created by utilizing a variety of linguistic and visual cues that are closely tied to national identity, values, and the realities of Malaysia's multicultural society. The signifier and the signified are the two primary parts of a sign, according to Saussure's Semiotic Theory (1974). The connection between these two elements creates significance, which in turn helps to build the advertisement's unification story.</w:t>
      </w:r>
    </w:p>
    <w:p w14:paraId="6FBB7ABA" w14:textId="73E59504" w:rsidR="004038B5" w:rsidRDefault="00000000">
      <w:pPr>
        <w:rPr>
          <w:rFonts w:ascii="Times New Roman" w:hAnsi="Times New Roman" w:cs="Times New Roman"/>
          <w:b/>
          <w:sz w:val="20"/>
          <w:szCs w:val="20"/>
        </w:rPr>
      </w:pPr>
      <w:r>
        <w:rPr>
          <w:rFonts w:ascii="Times New Roman" w:hAnsi="Times New Roman" w:cs="Times New Roman"/>
          <w:b/>
          <w:sz w:val="20"/>
          <w:szCs w:val="20"/>
        </w:rPr>
        <w:t xml:space="preserve">5.1 Signifiers in </w:t>
      </w:r>
      <w:proofErr w:type="spellStart"/>
      <w:r>
        <w:rPr>
          <w:rFonts w:ascii="Times New Roman" w:hAnsi="Times New Roman" w:cs="Times New Roman"/>
          <w:b/>
          <w:i/>
          <w:iCs/>
          <w:sz w:val="20"/>
          <w:szCs w:val="20"/>
        </w:rPr>
        <w:t>Sepenuh</w:t>
      </w:r>
      <w:proofErr w:type="spellEnd"/>
      <w:r>
        <w:rPr>
          <w:rFonts w:ascii="Times New Roman" w:hAnsi="Times New Roman" w:cs="Times New Roman"/>
          <w:b/>
          <w:i/>
          <w:iCs/>
          <w:sz w:val="20"/>
          <w:szCs w:val="20"/>
        </w:rPr>
        <w:t xml:space="preserve"> Hati</w:t>
      </w:r>
    </w:p>
    <w:p w14:paraId="1D755CA4" w14:textId="77777777" w:rsidR="00BF55F4" w:rsidRPr="00BF55F4" w:rsidRDefault="00BF55F4" w:rsidP="00BF55F4">
      <w:pPr>
        <w:rPr>
          <w:rFonts w:ascii="Times New Roman" w:hAnsi="Times New Roman" w:cs="Times New Roman"/>
          <w:bCs/>
          <w:sz w:val="20"/>
          <w:szCs w:val="20"/>
        </w:rPr>
      </w:pPr>
      <w:r w:rsidRPr="00BF55F4">
        <w:rPr>
          <w:rFonts w:ascii="Times New Roman" w:hAnsi="Times New Roman" w:cs="Times New Roman"/>
          <w:bCs/>
          <w:sz w:val="20"/>
          <w:szCs w:val="20"/>
        </w:rPr>
        <w:t xml:space="preserve">The </w:t>
      </w:r>
      <w:proofErr w:type="spellStart"/>
      <w:r w:rsidRPr="00BF55F4">
        <w:rPr>
          <w:rFonts w:ascii="Times New Roman" w:hAnsi="Times New Roman" w:cs="Times New Roman"/>
          <w:bCs/>
          <w:sz w:val="20"/>
          <w:szCs w:val="20"/>
        </w:rPr>
        <w:t>Rukun</w:t>
      </w:r>
      <w:proofErr w:type="spellEnd"/>
      <w:r w:rsidRPr="00BF55F4">
        <w:rPr>
          <w:rFonts w:ascii="Times New Roman" w:hAnsi="Times New Roman" w:cs="Times New Roman"/>
          <w:bCs/>
          <w:sz w:val="20"/>
          <w:szCs w:val="20"/>
        </w:rPr>
        <w:t xml:space="preserve"> Negara, teachers, pupils from various ethnic backgrounds, the school setting, and the Malay language were found to be the five dominating signifiers in </w:t>
      </w:r>
      <w:proofErr w:type="spellStart"/>
      <w:r w:rsidRPr="00BF55F4">
        <w:rPr>
          <w:rFonts w:ascii="Times New Roman" w:hAnsi="Times New Roman" w:cs="Times New Roman"/>
          <w:bCs/>
          <w:sz w:val="20"/>
          <w:szCs w:val="20"/>
        </w:rPr>
        <w:t>Sepenuh</w:t>
      </w:r>
      <w:proofErr w:type="spellEnd"/>
      <w:r w:rsidRPr="00BF55F4">
        <w:rPr>
          <w:rFonts w:ascii="Times New Roman" w:hAnsi="Times New Roman" w:cs="Times New Roman"/>
          <w:bCs/>
          <w:sz w:val="20"/>
          <w:szCs w:val="20"/>
        </w:rPr>
        <w:t xml:space="preserve"> Hati.</w:t>
      </w:r>
    </w:p>
    <w:p w14:paraId="310F4560" w14:textId="77777777" w:rsidR="004038B5" w:rsidRDefault="00000000">
      <w:pPr>
        <w:rPr>
          <w:rFonts w:ascii="Times New Roman" w:hAnsi="Times New Roman" w:cs="Times New Roman"/>
          <w:b/>
          <w:sz w:val="20"/>
          <w:szCs w:val="20"/>
        </w:rPr>
      </w:pPr>
      <w:r>
        <w:rPr>
          <w:rFonts w:ascii="Times New Roman" w:hAnsi="Times New Roman" w:cs="Times New Roman"/>
          <w:b/>
          <w:sz w:val="20"/>
          <w:szCs w:val="20"/>
        </w:rPr>
        <w:t xml:space="preserve">5.1.1 The </w:t>
      </w:r>
      <w:proofErr w:type="spellStart"/>
      <w:r>
        <w:rPr>
          <w:rFonts w:ascii="Times New Roman" w:hAnsi="Times New Roman" w:cs="Times New Roman"/>
          <w:b/>
          <w:sz w:val="20"/>
          <w:szCs w:val="20"/>
        </w:rPr>
        <w:t>Rukun</w:t>
      </w:r>
      <w:proofErr w:type="spellEnd"/>
      <w:r>
        <w:rPr>
          <w:rFonts w:ascii="Times New Roman" w:hAnsi="Times New Roman" w:cs="Times New Roman"/>
          <w:b/>
          <w:sz w:val="20"/>
          <w:szCs w:val="20"/>
        </w:rPr>
        <w:t xml:space="preserve"> Negara</w:t>
      </w:r>
    </w:p>
    <w:p w14:paraId="22519B03" w14:textId="77777777" w:rsidR="00BF55F4" w:rsidRPr="00BF55F4" w:rsidRDefault="00BF55F4" w:rsidP="00BF55F4">
      <w:pPr>
        <w:spacing w:after="0"/>
        <w:jc w:val="both"/>
        <w:rPr>
          <w:rFonts w:ascii="Times New Roman" w:hAnsi="Times New Roman" w:cs="Times New Roman"/>
          <w:bCs/>
          <w:sz w:val="20"/>
          <w:szCs w:val="20"/>
        </w:rPr>
      </w:pPr>
      <w:r w:rsidRPr="00BF55F4">
        <w:rPr>
          <w:rFonts w:ascii="Times New Roman" w:hAnsi="Times New Roman" w:cs="Times New Roman"/>
          <w:bCs/>
          <w:sz w:val="20"/>
          <w:szCs w:val="20"/>
        </w:rPr>
        <w:t xml:space="preserve">The </w:t>
      </w:r>
      <w:proofErr w:type="spellStart"/>
      <w:r w:rsidRPr="00BF55F4">
        <w:rPr>
          <w:rFonts w:ascii="Times New Roman" w:hAnsi="Times New Roman" w:cs="Times New Roman"/>
          <w:bCs/>
          <w:sz w:val="20"/>
          <w:szCs w:val="20"/>
        </w:rPr>
        <w:t>Rukun</w:t>
      </w:r>
      <w:proofErr w:type="spellEnd"/>
      <w:r w:rsidRPr="00BF55F4">
        <w:rPr>
          <w:rFonts w:ascii="Times New Roman" w:hAnsi="Times New Roman" w:cs="Times New Roman"/>
          <w:bCs/>
          <w:sz w:val="20"/>
          <w:szCs w:val="20"/>
        </w:rPr>
        <w:t xml:space="preserve"> Negara is the most prominent signifier in </w:t>
      </w:r>
      <w:proofErr w:type="spellStart"/>
      <w:r w:rsidRPr="00BF55F4">
        <w:rPr>
          <w:rFonts w:ascii="Times New Roman" w:hAnsi="Times New Roman" w:cs="Times New Roman"/>
          <w:bCs/>
          <w:i/>
          <w:iCs/>
          <w:sz w:val="20"/>
          <w:szCs w:val="20"/>
        </w:rPr>
        <w:t>Sepenuh</w:t>
      </w:r>
      <w:proofErr w:type="spellEnd"/>
      <w:r w:rsidRPr="00BF55F4">
        <w:rPr>
          <w:rFonts w:ascii="Times New Roman" w:hAnsi="Times New Roman" w:cs="Times New Roman"/>
          <w:bCs/>
          <w:i/>
          <w:iCs/>
          <w:sz w:val="20"/>
          <w:szCs w:val="20"/>
        </w:rPr>
        <w:t xml:space="preserve"> Hati</w:t>
      </w:r>
      <w:r w:rsidRPr="00BF55F4">
        <w:rPr>
          <w:rFonts w:ascii="Times New Roman" w:hAnsi="Times New Roman" w:cs="Times New Roman"/>
          <w:bCs/>
          <w:sz w:val="20"/>
          <w:szCs w:val="20"/>
        </w:rPr>
        <w:t xml:space="preserve">. Students' recital of the </w:t>
      </w:r>
      <w:proofErr w:type="spellStart"/>
      <w:r w:rsidRPr="00BF55F4">
        <w:rPr>
          <w:rFonts w:ascii="Times New Roman" w:hAnsi="Times New Roman" w:cs="Times New Roman"/>
          <w:bCs/>
          <w:sz w:val="20"/>
          <w:szCs w:val="20"/>
        </w:rPr>
        <w:t>Rukun</w:t>
      </w:r>
      <w:proofErr w:type="spellEnd"/>
      <w:r w:rsidRPr="00BF55F4">
        <w:rPr>
          <w:rFonts w:ascii="Times New Roman" w:hAnsi="Times New Roman" w:cs="Times New Roman"/>
          <w:bCs/>
          <w:sz w:val="20"/>
          <w:szCs w:val="20"/>
        </w:rPr>
        <w:t xml:space="preserve"> Negara principles during the school assembly, as well as conversations and scenarios pertaining to their appreciation, directly present this signifier. The </w:t>
      </w:r>
      <w:proofErr w:type="spellStart"/>
      <w:r w:rsidRPr="00BF55F4">
        <w:rPr>
          <w:rFonts w:ascii="Times New Roman" w:hAnsi="Times New Roman" w:cs="Times New Roman"/>
          <w:bCs/>
          <w:sz w:val="20"/>
          <w:szCs w:val="20"/>
        </w:rPr>
        <w:t>Rukun</w:t>
      </w:r>
      <w:proofErr w:type="spellEnd"/>
      <w:r w:rsidRPr="00BF55F4">
        <w:rPr>
          <w:rFonts w:ascii="Times New Roman" w:hAnsi="Times New Roman" w:cs="Times New Roman"/>
          <w:bCs/>
          <w:sz w:val="20"/>
          <w:szCs w:val="20"/>
        </w:rPr>
        <w:t xml:space="preserve"> Negara is positioned as the main center of the story, making it the essential component that propels the advertisement's entire plot. Additionally, the recurring appearance of scenes with the </w:t>
      </w:r>
      <w:proofErr w:type="spellStart"/>
      <w:r w:rsidRPr="00BF55F4">
        <w:rPr>
          <w:rFonts w:ascii="Times New Roman" w:hAnsi="Times New Roman" w:cs="Times New Roman"/>
          <w:bCs/>
          <w:sz w:val="20"/>
          <w:szCs w:val="20"/>
        </w:rPr>
        <w:t>Rukun</w:t>
      </w:r>
      <w:proofErr w:type="spellEnd"/>
      <w:r w:rsidRPr="00BF55F4">
        <w:rPr>
          <w:rFonts w:ascii="Times New Roman" w:hAnsi="Times New Roman" w:cs="Times New Roman"/>
          <w:bCs/>
          <w:sz w:val="20"/>
          <w:szCs w:val="20"/>
        </w:rPr>
        <w:t xml:space="preserve"> Negara shows that it plays a crucial role in creating the message that is presented to the audience.</w:t>
      </w:r>
    </w:p>
    <w:p w14:paraId="406E0A7F" w14:textId="77777777" w:rsidR="004038B5" w:rsidRDefault="004038B5" w:rsidP="00BF55F4">
      <w:pPr>
        <w:spacing w:after="0"/>
        <w:jc w:val="both"/>
        <w:rPr>
          <w:rFonts w:ascii="Times New Roman" w:hAnsi="Times New Roman" w:cs="Times New Roman"/>
          <w:b/>
          <w:sz w:val="20"/>
          <w:szCs w:val="20"/>
        </w:rPr>
      </w:pPr>
    </w:p>
    <w:p w14:paraId="589575F7" w14:textId="77777777" w:rsidR="004038B5" w:rsidRDefault="00000000">
      <w:pPr>
        <w:spacing w:after="0"/>
        <w:jc w:val="center"/>
        <w:rPr>
          <w:rFonts w:ascii="Times New Roman" w:hAnsi="Times New Roman" w:cs="Times New Roman"/>
          <w:b/>
          <w:sz w:val="20"/>
          <w:szCs w:val="20"/>
        </w:rPr>
      </w:pPr>
      <w:r>
        <w:rPr>
          <w:rFonts w:ascii="Cambria" w:hAnsi="Cambria" w:cs="Times New Roman"/>
          <w:noProof/>
          <w:lang w:val="ms-MY"/>
        </w:rPr>
        <w:drawing>
          <wp:inline distT="0" distB="0" distL="0" distR="0" wp14:anchorId="64370B83" wp14:editId="2EC18B70">
            <wp:extent cx="4605655" cy="2590800"/>
            <wp:effectExtent l="0" t="0" r="4445" b="0"/>
            <wp:docPr id="11937375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737575"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627178" cy="2602723"/>
                    </a:xfrm>
                    <a:prstGeom prst="rect">
                      <a:avLst/>
                    </a:prstGeom>
                  </pic:spPr>
                </pic:pic>
              </a:graphicData>
            </a:graphic>
          </wp:inline>
        </w:drawing>
      </w:r>
    </w:p>
    <w:p w14:paraId="78DB57AC" w14:textId="77777777"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 xml:space="preserve">Figure 1. Selected scenes illustrating the recitation of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w:t>
      </w:r>
      <w:r>
        <w:rPr>
          <w:rFonts w:ascii="Times New Roman" w:hAnsi="Times New Roman" w:cs="Times New Roman"/>
          <w:b/>
          <w:sz w:val="20"/>
          <w:szCs w:val="20"/>
        </w:rPr>
        <w:t>.</w:t>
      </w:r>
    </w:p>
    <w:p w14:paraId="11BF649D" w14:textId="77777777" w:rsidR="004038B5" w:rsidRDefault="004038B5">
      <w:pPr>
        <w:spacing w:after="0"/>
        <w:rPr>
          <w:rFonts w:ascii="Times New Roman" w:hAnsi="Times New Roman" w:cs="Times New Roman"/>
          <w:b/>
          <w:sz w:val="20"/>
          <w:szCs w:val="20"/>
        </w:rPr>
      </w:pPr>
    </w:p>
    <w:p w14:paraId="768389B6" w14:textId="77777777" w:rsidR="004038B5" w:rsidRDefault="00000000">
      <w:pPr>
        <w:jc w:val="both"/>
        <w:rPr>
          <w:rFonts w:ascii="Times New Roman" w:hAnsi="Times New Roman" w:cs="Times New Roman"/>
          <w:b/>
          <w:bCs/>
          <w:sz w:val="20"/>
          <w:szCs w:val="20"/>
        </w:rPr>
      </w:pPr>
      <w:r>
        <w:rPr>
          <w:rFonts w:ascii="Times New Roman" w:hAnsi="Times New Roman" w:cs="Times New Roman"/>
          <w:b/>
          <w:bCs/>
          <w:sz w:val="20"/>
          <w:szCs w:val="20"/>
        </w:rPr>
        <w:t>5.1.2 Teacher</w:t>
      </w:r>
    </w:p>
    <w:p w14:paraId="39984882" w14:textId="77777777" w:rsidR="00BF55F4" w:rsidRPr="00BF55F4" w:rsidRDefault="00000000" w:rsidP="00BF55F4">
      <w:pPr>
        <w:spacing w:after="0"/>
        <w:rPr>
          <w:rFonts w:ascii="Times New Roman" w:hAnsi="Times New Roman" w:cs="Times New Roman"/>
          <w:bCs/>
          <w:sz w:val="20"/>
          <w:szCs w:val="20"/>
        </w:rPr>
      </w:pPr>
      <w:r>
        <w:rPr>
          <w:rFonts w:ascii="Times New Roman" w:hAnsi="Times New Roman" w:cs="Times New Roman"/>
          <w:bCs/>
          <w:sz w:val="20"/>
          <w:szCs w:val="20"/>
        </w:rPr>
        <w:lastRenderedPageBreak/>
        <w:t xml:space="preserve">Through the character of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who is essential to the story's progression, the teacher acts as a signifier. She is portrayed as </w:t>
      </w:r>
      <w:proofErr w:type="gramStart"/>
      <w:r>
        <w:rPr>
          <w:rFonts w:ascii="Times New Roman" w:hAnsi="Times New Roman" w:cs="Times New Roman"/>
          <w:bCs/>
          <w:sz w:val="20"/>
          <w:szCs w:val="20"/>
        </w:rPr>
        <w:t>a someone</w:t>
      </w:r>
      <w:proofErr w:type="gramEnd"/>
      <w:r>
        <w:rPr>
          <w:rFonts w:ascii="Times New Roman" w:hAnsi="Times New Roman" w:cs="Times New Roman"/>
          <w:bCs/>
          <w:sz w:val="20"/>
          <w:szCs w:val="20"/>
        </w:rPr>
        <w:t xml:space="preserve"> who helps students comprehend the significance found in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Negara's tenets. </w:t>
      </w:r>
      <w:r w:rsidR="00BF55F4" w:rsidRPr="00BF55F4">
        <w:rPr>
          <w:rFonts w:ascii="Times New Roman" w:hAnsi="Times New Roman" w:cs="Times New Roman"/>
          <w:bCs/>
          <w:sz w:val="20"/>
          <w:szCs w:val="20"/>
        </w:rPr>
        <w:t>Apart from being the primary character, the teacher's presence connects the message of the advertisement to the children's classroom learning experiences.</w:t>
      </w:r>
    </w:p>
    <w:p w14:paraId="5478AFE0" w14:textId="22227700" w:rsidR="004038B5" w:rsidRDefault="004038B5">
      <w:pPr>
        <w:spacing w:after="0"/>
        <w:rPr>
          <w:rFonts w:ascii="Times New Roman" w:hAnsi="Times New Roman" w:cs="Times New Roman"/>
          <w:b/>
          <w:sz w:val="20"/>
          <w:szCs w:val="20"/>
        </w:rPr>
      </w:pPr>
    </w:p>
    <w:p w14:paraId="35000EED" w14:textId="77777777" w:rsidR="004038B5" w:rsidRDefault="00000000">
      <w:pPr>
        <w:spacing w:after="0"/>
        <w:jc w:val="center"/>
        <w:rPr>
          <w:rFonts w:ascii="Times New Roman" w:hAnsi="Times New Roman" w:cs="Times New Roman"/>
          <w:b/>
          <w:sz w:val="20"/>
          <w:szCs w:val="20"/>
        </w:rPr>
      </w:pPr>
      <w:r>
        <w:rPr>
          <w:rFonts w:ascii="Cambria" w:hAnsi="Cambria" w:cs="Times New Roman"/>
          <w:noProof/>
          <w:lang w:val="ms-MY"/>
        </w:rPr>
        <w:drawing>
          <wp:inline distT="0" distB="0" distL="0" distR="0" wp14:anchorId="520F2246" wp14:editId="29A2C86C">
            <wp:extent cx="4429760" cy="2524760"/>
            <wp:effectExtent l="0" t="0" r="8890" b="8890"/>
            <wp:docPr id="75812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12107" name="Picture 1"/>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53952" cy="2538842"/>
                    </a:xfrm>
                    <a:prstGeom prst="rect">
                      <a:avLst/>
                    </a:prstGeom>
                  </pic:spPr>
                </pic:pic>
              </a:graphicData>
            </a:graphic>
          </wp:inline>
        </w:drawing>
      </w:r>
    </w:p>
    <w:p w14:paraId="5E4958D0" w14:textId="1A55013F"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 xml:space="preserve">Figure 2. Representation of the </w:t>
      </w:r>
      <w:r w:rsidR="00DB2466">
        <w:rPr>
          <w:rFonts w:ascii="Times New Roman" w:hAnsi="Times New Roman" w:cs="Times New Roman"/>
          <w:b/>
          <w:bCs/>
          <w:sz w:val="20"/>
          <w:szCs w:val="20"/>
        </w:rPr>
        <w:t xml:space="preserve">character </w:t>
      </w:r>
      <w:proofErr w:type="spellStart"/>
      <w:r w:rsidR="00DB2466">
        <w:rPr>
          <w:rFonts w:ascii="Times New Roman" w:hAnsi="Times New Roman" w:cs="Times New Roman"/>
          <w:b/>
          <w:bCs/>
          <w:sz w:val="20"/>
          <w:szCs w:val="20"/>
        </w:rPr>
        <w:t>Cikgu</w:t>
      </w:r>
      <w:proofErr w:type="spellEnd"/>
      <w:r w:rsidR="00DB2466">
        <w:rPr>
          <w:rFonts w:ascii="Times New Roman" w:hAnsi="Times New Roman" w:cs="Times New Roman"/>
          <w:b/>
          <w:bCs/>
          <w:sz w:val="20"/>
          <w:szCs w:val="20"/>
        </w:rPr>
        <w:t xml:space="preserve"> Murni in the advertisement</w:t>
      </w:r>
      <w:r w:rsidR="00DB2466">
        <w:rPr>
          <w:rFonts w:ascii="Times New Roman" w:hAnsi="Times New Roman" w:cs="Times New Roman"/>
          <w:b/>
          <w:sz w:val="20"/>
          <w:szCs w:val="20"/>
        </w:rPr>
        <w:t>.</w:t>
      </w:r>
    </w:p>
    <w:p w14:paraId="3EE0FEAD" w14:textId="77777777" w:rsidR="004038B5" w:rsidRDefault="004038B5">
      <w:pPr>
        <w:spacing w:after="0"/>
        <w:rPr>
          <w:rFonts w:ascii="Times New Roman" w:hAnsi="Times New Roman" w:cs="Times New Roman"/>
          <w:b/>
          <w:sz w:val="20"/>
          <w:szCs w:val="20"/>
        </w:rPr>
      </w:pPr>
    </w:p>
    <w:p w14:paraId="589707E4"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5.1.3 Students from Diverse Ethnic Backgrounds</w:t>
      </w:r>
    </w:p>
    <w:p w14:paraId="351695E3" w14:textId="77777777" w:rsidR="004038B5" w:rsidRDefault="004038B5">
      <w:pPr>
        <w:spacing w:after="0"/>
        <w:jc w:val="both"/>
        <w:rPr>
          <w:rFonts w:ascii="Times New Roman" w:hAnsi="Times New Roman" w:cs="Times New Roman"/>
          <w:b/>
          <w:bCs/>
          <w:sz w:val="20"/>
          <w:szCs w:val="20"/>
        </w:rPr>
      </w:pPr>
    </w:p>
    <w:p w14:paraId="70311898" w14:textId="77777777" w:rsidR="00BF55F4" w:rsidRPr="00BF55F4" w:rsidRDefault="00BF55F4" w:rsidP="00BF55F4">
      <w:pPr>
        <w:spacing w:after="0"/>
        <w:jc w:val="both"/>
        <w:rPr>
          <w:rFonts w:ascii="Times New Roman" w:hAnsi="Times New Roman" w:cs="Times New Roman"/>
          <w:bCs/>
          <w:sz w:val="20"/>
          <w:szCs w:val="20"/>
        </w:rPr>
      </w:pPr>
      <w:r w:rsidRPr="00BF55F4">
        <w:rPr>
          <w:rFonts w:ascii="Times New Roman" w:hAnsi="Times New Roman" w:cs="Times New Roman"/>
          <w:bCs/>
          <w:sz w:val="20"/>
          <w:szCs w:val="20"/>
        </w:rPr>
        <w:t>Another signal that appears repeatedly in the narrative is the presence of students from different ethnic backgrounds. Students from many ethnic backgrounds, including Chinese, Indian, and Malay, can be observed participating in class discussions, activities, and social interactions. The diversity of Malaysian society, which is reflected in this signifier, is a crucial element of the social scene portrayed in the commercial.</w:t>
      </w:r>
    </w:p>
    <w:p w14:paraId="43A908DE" w14:textId="77777777" w:rsidR="00BF55F4" w:rsidRDefault="00BF55F4">
      <w:pPr>
        <w:spacing w:after="0"/>
        <w:jc w:val="both"/>
        <w:rPr>
          <w:rFonts w:ascii="Times New Roman" w:hAnsi="Times New Roman" w:cs="Times New Roman"/>
          <w:bCs/>
          <w:sz w:val="20"/>
          <w:szCs w:val="20"/>
        </w:rPr>
      </w:pPr>
    </w:p>
    <w:p w14:paraId="7505EE0F" w14:textId="77777777" w:rsidR="004038B5" w:rsidRDefault="00000000">
      <w:pPr>
        <w:spacing w:after="0"/>
        <w:jc w:val="center"/>
        <w:rPr>
          <w:rFonts w:ascii="Times New Roman" w:hAnsi="Times New Roman" w:cs="Times New Roman"/>
          <w:bCs/>
          <w:sz w:val="20"/>
          <w:szCs w:val="20"/>
        </w:rPr>
      </w:pPr>
      <w:r>
        <w:rPr>
          <w:rFonts w:ascii="Cambria" w:hAnsi="Cambria" w:cs="Times New Roman"/>
          <w:noProof/>
          <w:lang w:val="ms-MY"/>
        </w:rPr>
        <w:drawing>
          <wp:inline distT="0" distB="0" distL="0" distR="0" wp14:anchorId="64EFADC6" wp14:editId="59EA7D43">
            <wp:extent cx="4600575" cy="2499360"/>
            <wp:effectExtent l="0" t="0" r="0" b="0"/>
            <wp:docPr id="9873246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7324633" name="Picture 3"/>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674388" cy="2539857"/>
                    </a:xfrm>
                    <a:prstGeom prst="rect">
                      <a:avLst/>
                    </a:prstGeom>
                  </pic:spPr>
                </pic:pic>
              </a:graphicData>
            </a:graphic>
          </wp:inline>
        </w:drawing>
      </w:r>
    </w:p>
    <w:p w14:paraId="7F8AA2C4" w14:textId="5050F2F6"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 xml:space="preserve">Figure 3: A </w:t>
      </w:r>
      <w:r w:rsidR="00DB2466">
        <w:rPr>
          <w:rFonts w:ascii="Times New Roman" w:hAnsi="Times New Roman" w:cs="Times New Roman"/>
          <w:b/>
          <w:bCs/>
          <w:sz w:val="20"/>
          <w:szCs w:val="20"/>
        </w:rPr>
        <w:t>classroom scene showing the presence of students from diverse ethnic backgrounds</w:t>
      </w:r>
      <w:r w:rsidR="00DB2466">
        <w:rPr>
          <w:rFonts w:ascii="Times New Roman" w:hAnsi="Times New Roman" w:cs="Times New Roman"/>
          <w:b/>
          <w:sz w:val="20"/>
          <w:szCs w:val="20"/>
        </w:rPr>
        <w:t>.</w:t>
      </w:r>
    </w:p>
    <w:p w14:paraId="04933A02" w14:textId="77777777" w:rsidR="004038B5" w:rsidRDefault="004038B5">
      <w:pPr>
        <w:spacing w:after="0"/>
        <w:jc w:val="center"/>
        <w:rPr>
          <w:rFonts w:ascii="Times New Roman" w:hAnsi="Times New Roman" w:cs="Times New Roman"/>
          <w:b/>
          <w:sz w:val="20"/>
          <w:szCs w:val="20"/>
        </w:rPr>
      </w:pPr>
    </w:p>
    <w:p w14:paraId="1F251B7F"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5.1.4 School</w:t>
      </w:r>
    </w:p>
    <w:p w14:paraId="6D9C9686" w14:textId="77777777" w:rsidR="004038B5" w:rsidRDefault="004038B5">
      <w:pPr>
        <w:spacing w:after="0"/>
        <w:jc w:val="both"/>
        <w:rPr>
          <w:rFonts w:ascii="Times New Roman" w:hAnsi="Times New Roman" w:cs="Times New Roman"/>
          <w:b/>
          <w:bCs/>
          <w:sz w:val="20"/>
          <w:szCs w:val="20"/>
        </w:rPr>
      </w:pPr>
    </w:p>
    <w:p w14:paraId="71F20FD5" w14:textId="5CF14CC3" w:rsidR="004038B5" w:rsidRDefault="00187248">
      <w:pPr>
        <w:spacing w:after="0"/>
        <w:jc w:val="both"/>
        <w:rPr>
          <w:rFonts w:ascii="Times New Roman" w:hAnsi="Times New Roman" w:cs="Times New Roman"/>
          <w:bCs/>
          <w:sz w:val="20"/>
          <w:szCs w:val="20"/>
        </w:rPr>
      </w:pPr>
      <w:r w:rsidRPr="00187248">
        <w:rPr>
          <w:rFonts w:ascii="Times New Roman" w:hAnsi="Times New Roman" w:cs="Times New Roman"/>
          <w:bCs/>
          <w:sz w:val="20"/>
          <w:szCs w:val="20"/>
        </w:rPr>
        <w:t xml:space="preserve">The main location in </w:t>
      </w:r>
      <w:proofErr w:type="spellStart"/>
      <w:r w:rsidRPr="00187248">
        <w:rPr>
          <w:rFonts w:ascii="Times New Roman" w:hAnsi="Times New Roman" w:cs="Times New Roman"/>
          <w:bCs/>
          <w:sz w:val="20"/>
          <w:szCs w:val="20"/>
        </w:rPr>
        <w:t>Sepenuh</w:t>
      </w:r>
      <w:proofErr w:type="spellEnd"/>
      <w:r w:rsidRPr="00187248">
        <w:rPr>
          <w:rFonts w:ascii="Times New Roman" w:hAnsi="Times New Roman" w:cs="Times New Roman"/>
          <w:bCs/>
          <w:sz w:val="20"/>
          <w:szCs w:val="20"/>
        </w:rPr>
        <w:t xml:space="preserve"> Hati is the school. The classroom setting, school grounds, and assembly area, which serve as the settings for the majority of the story's events, serve as representations of this signifier. The advertisement's main message is communicated through the school, which also acts as a venue for characters from various backgrounds to come together. </w:t>
      </w:r>
    </w:p>
    <w:p w14:paraId="6E5648C6" w14:textId="77777777" w:rsidR="004038B5" w:rsidRDefault="004038B5">
      <w:pPr>
        <w:spacing w:after="0"/>
        <w:jc w:val="both"/>
        <w:rPr>
          <w:rFonts w:ascii="Times New Roman" w:hAnsi="Times New Roman" w:cs="Times New Roman"/>
          <w:bCs/>
          <w:sz w:val="20"/>
          <w:szCs w:val="20"/>
        </w:rPr>
      </w:pPr>
    </w:p>
    <w:p w14:paraId="7F32D16E" w14:textId="77777777" w:rsidR="004038B5" w:rsidRDefault="00000000">
      <w:pPr>
        <w:spacing w:after="0"/>
        <w:jc w:val="center"/>
        <w:rPr>
          <w:rFonts w:ascii="Times New Roman" w:hAnsi="Times New Roman" w:cs="Times New Roman"/>
          <w:bCs/>
          <w:sz w:val="20"/>
          <w:szCs w:val="20"/>
        </w:rPr>
      </w:pPr>
      <w:r>
        <w:rPr>
          <w:rFonts w:ascii="Cambria" w:hAnsi="Cambria" w:cs="Times New Roman"/>
          <w:noProof/>
          <w:lang w:val="ms-MY"/>
        </w:rPr>
        <w:lastRenderedPageBreak/>
        <w:drawing>
          <wp:inline distT="0" distB="0" distL="0" distR="0" wp14:anchorId="13D4689B" wp14:editId="56BDC00C">
            <wp:extent cx="4504055" cy="2533015"/>
            <wp:effectExtent l="0" t="0" r="0" b="635"/>
            <wp:docPr id="19166265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626592" name="Picture 4"/>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522422" cy="2543800"/>
                    </a:xfrm>
                    <a:prstGeom prst="rect">
                      <a:avLst/>
                    </a:prstGeom>
                  </pic:spPr>
                </pic:pic>
              </a:graphicData>
            </a:graphic>
          </wp:inline>
        </w:drawing>
      </w:r>
    </w:p>
    <w:p w14:paraId="5B9972C1" w14:textId="77777777"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Figure 4: A Scene Depicting the School Assembly Area.</w:t>
      </w:r>
    </w:p>
    <w:p w14:paraId="28D43174" w14:textId="77777777" w:rsidR="004038B5" w:rsidRDefault="004038B5">
      <w:pPr>
        <w:spacing w:after="0"/>
        <w:jc w:val="center"/>
        <w:rPr>
          <w:rFonts w:ascii="Times New Roman" w:hAnsi="Times New Roman" w:cs="Times New Roman"/>
          <w:b/>
          <w:sz w:val="20"/>
          <w:szCs w:val="20"/>
        </w:rPr>
      </w:pPr>
    </w:p>
    <w:p w14:paraId="6F79F2B9"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5.1.5 Malay Language</w:t>
      </w:r>
    </w:p>
    <w:p w14:paraId="34619D44" w14:textId="77777777" w:rsidR="004038B5" w:rsidRDefault="004038B5">
      <w:pPr>
        <w:spacing w:after="0"/>
        <w:jc w:val="both"/>
        <w:rPr>
          <w:rFonts w:ascii="Times New Roman" w:hAnsi="Times New Roman" w:cs="Times New Roman"/>
          <w:b/>
          <w:bCs/>
          <w:sz w:val="20"/>
          <w:szCs w:val="20"/>
        </w:rPr>
      </w:pPr>
    </w:p>
    <w:p w14:paraId="1FDB0F80" w14:textId="3C249DE0" w:rsidR="004038B5" w:rsidRDefault="00187248">
      <w:pPr>
        <w:spacing w:after="0"/>
        <w:jc w:val="both"/>
        <w:rPr>
          <w:rFonts w:ascii="Times New Roman" w:hAnsi="Times New Roman" w:cs="Times New Roman"/>
          <w:bCs/>
          <w:sz w:val="20"/>
          <w:szCs w:val="20"/>
        </w:rPr>
      </w:pPr>
      <w:proofErr w:type="gramStart"/>
      <w:r w:rsidRPr="00187248">
        <w:rPr>
          <w:rFonts w:ascii="Times New Roman" w:hAnsi="Times New Roman" w:cs="Times New Roman"/>
          <w:bCs/>
          <w:sz w:val="20"/>
          <w:szCs w:val="20"/>
        </w:rPr>
        <w:t>The advertising</w:t>
      </w:r>
      <w:proofErr w:type="gramEnd"/>
      <w:r w:rsidRPr="00187248">
        <w:rPr>
          <w:rFonts w:ascii="Times New Roman" w:hAnsi="Times New Roman" w:cs="Times New Roman"/>
          <w:bCs/>
          <w:sz w:val="20"/>
          <w:szCs w:val="20"/>
        </w:rPr>
        <w:t xml:space="preserve"> also identifies the Malay language as a significant signifier. Malay is the main language used in all conversations and exchanges between the characters. Both the delivery of messages pertaining to the </w:t>
      </w:r>
      <w:proofErr w:type="spellStart"/>
      <w:r w:rsidRPr="00187248">
        <w:rPr>
          <w:rFonts w:ascii="Times New Roman" w:hAnsi="Times New Roman" w:cs="Times New Roman"/>
          <w:bCs/>
          <w:sz w:val="20"/>
          <w:szCs w:val="20"/>
        </w:rPr>
        <w:t>Rukun</w:t>
      </w:r>
      <w:proofErr w:type="spellEnd"/>
      <w:r w:rsidRPr="00187248">
        <w:rPr>
          <w:rFonts w:ascii="Times New Roman" w:hAnsi="Times New Roman" w:cs="Times New Roman"/>
          <w:bCs/>
          <w:sz w:val="20"/>
          <w:szCs w:val="20"/>
        </w:rPr>
        <w:t xml:space="preserve"> Negara and the interactions between the teacher and pupils are examples of its utilization. The Malay language is used consistently throughout the story, establishing it as one of the primary signifiers assisting in the advertisement's meaning formation. </w:t>
      </w:r>
    </w:p>
    <w:p w14:paraId="31EE5427" w14:textId="77777777" w:rsidR="004038B5" w:rsidRDefault="004038B5">
      <w:pPr>
        <w:spacing w:after="0"/>
        <w:jc w:val="both"/>
        <w:rPr>
          <w:rFonts w:ascii="Times New Roman" w:hAnsi="Times New Roman" w:cs="Times New Roman"/>
          <w:bCs/>
          <w:sz w:val="20"/>
          <w:szCs w:val="20"/>
        </w:rPr>
      </w:pPr>
    </w:p>
    <w:p w14:paraId="6EC13EDB" w14:textId="77777777" w:rsidR="00187248" w:rsidRPr="00187248" w:rsidRDefault="00187248" w:rsidP="00187248">
      <w:pPr>
        <w:spacing w:after="0"/>
        <w:jc w:val="both"/>
        <w:rPr>
          <w:rFonts w:ascii="Times New Roman" w:hAnsi="Times New Roman" w:cs="Times New Roman"/>
          <w:bCs/>
          <w:sz w:val="20"/>
          <w:szCs w:val="20"/>
        </w:rPr>
      </w:pPr>
      <w:r w:rsidRPr="00187248">
        <w:rPr>
          <w:rFonts w:ascii="Times New Roman" w:hAnsi="Times New Roman" w:cs="Times New Roman"/>
          <w:bCs/>
          <w:sz w:val="20"/>
          <w:szCs w:val="20"/>
        </w:rPr>
        <w:t xml:space="preserve">Overall, the study shows that the main signifiers underpinning the story of </w:t>
      </w:r>
      <w:proofErr w:type="spellStart"/>
      <w:r w:rsidRPr="00187248">
        <w:rPr>
          <w:rFonts w:ascii="Times New Roman" w:hAnsi="Times New Roman" w:cs="Times New Roman"/>
          <w:bCs/>
          <w:sz w:val="20"/>
          <w:szCs w:val="20"/>
        </w:rPr>
        <w:t>Sepenuh</w:t>
      </w:r>
      <w:proofErr w:type="spellEnd"/>
      <w:r w:rsidRPr="00187248">
        <w:rPr>
          <w:rFonts w:ascii="Times New Roman" w:hAnsi="Times New Roman" w:cs="Times New Roman"/>
          <w:bCs/>
          <w:sz w:val="20"/>
          <w:szCs w:val="20"/>
        </w:rPr>
        <w:t xml:space="preserve"> Hati are the </w:t>
      </w:r>
      <w:proofErr w:type="spellStart"/>
      <w:r w:rsidRPr="00187248">
        <w:rPr>
          <w:rFonts w:ascii="Times New Roman" w:hAnsi="Times New Roman" w:cs="Times New Roman"/>
          <w:bCs/>
          <w:sz w:val="20"/>
          <w:szCs w:val="20"/>
        </w:rPr>
        <w:t>Rukun</w:t>
      </w:r>
      <w:proofErr w:type="spellEnd"/>
      <w:r w:rsidRPr="00187248">
        <w:rPr>
          <w:rFonts w:ascii="Times New Roman" w:hAnsi="Times New Roman" w:cs="Times New Roman"/>
          <w:bCs/>
          <w:sz w:val="20"/>
          <w:szCs w:val="20"/>
        </w:rPr>
        <w:t xml:space="preserve"> Negara, teachers, students from various ethnic backgrounds, the school setting, and the Malay language. These signifiers serve as the foundation for the meaning building covered in the next section on </w:t>
      </w:r>
      <w:proofErr w:type="spellStart"/>
      <w:r w:rsidRPr="00187248">
        <w:rPr>
          <w:rFonts w:ascii="Times New Roman" w:hAnsi="Times New Roman" w:cs="Times New Roman"/>
          <w:bCs/>
          <w:sz w:val="20"/>
          <w:szCs w:val="20"/>
        </w:rPr>
        <w:t>signifieds</w:t>
      </w:r>
      <w:proofErr w:type="spellEnd"/>
      <w:r w:rsidRPr="00187248">
        <w:rPr>
          <w:rFonts w:ascii="Times New Roman" w:hAnsi="Times New Roman" w:cs="Times New Roman"/>
          <w:bCs/>
          <w:sz w:val="20"/>
          <w:szCs w:val="20"/>
        </w:rPr>
        <w:t xml:space="preserve"> and are constantly represented through verbal and visual components. According to Saussure's semiotic theory, these signifiers serve as the tangible representations used in the advertisement's unity story to generate deeper ideas and meanings. </w:t>
      </w:r>
    </w:p>
    <w:p w14:paraId="0A314A5F" w14:textId="77777777" w:rsidR="004038B5" w:rsidRDefault="004038B5">
      <w:pPr>
        <w:spacing w:after="0"/>
        <w:jc w:val="both"/>
        <w:rPr>
          <w:rFonts w:ascii="Times New Roman" w:hAnsi="Times New Roman" w:cs="Times New Roman"/>
          <w:b/>
          <w:sz w:val="20"/>
          <w:szCs w:val="20"/>
        </w:rPr>
      </w:pPr>
    </w:p>
    <w:p w14:paraId="1FFEC241"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5.2 </w:t>
      </w:r>
      <w:proofErr w:type="spellStart"/>
      <w:r>
        <w:rPr>
          <w:rFonts w:ascii="Times New Roman" w:hAnsi="Times New Roman" w:cs="Times New Roman"/>
          <w:b/>
          <w:bCs/>
          <w:sz w:val="20"/>
          <w:szCs w:val="20"/>
        </w:rPr>
        <w:t>Signifieds</w:t>
      </w:r>
      <w:proofErr w:type="spellEnd"/>
      <w:r>
        <w:rPr>
          <w:rFonts w:ascii="Times New Roman" w:hAnsi="Times New Roman" w:cs="Times New Roman"/>
          <w:b/>
          <w:bCs/>
          <w:sz w:val="20"/>
          <w:szCs w:val="20"/>
        </w:rPr>
        <w:t xml:space="preserve"> in </w:t>
      </w:r>
      <w:proofErr w:type="spellStart"/>
      <w:r>
        <w:rPr>
          <w:rFonts w:ascii="Times New Roman" w:hAnsi="Times New Roman" w:cs="Times New Roman"/>
          <w:b/>
          <w:bCs/>
          <w:i/>
          <w:iCs/>
          <w:sz w:val="20"/>
          <w:szCs w:val="20"/>
        </w:rPr>
        <w:t>Sepenuh</w:t>
      </w:r>
      <w:proofErr w:type="spellEnd"/>
      <w:r>
        <w:rPr>
          <w:rFonts w:ascii="Times New Roman" w:hAnsi="Times New Roman" w:cs="Times New Roman"/>
          <w:b/>
          <w:bCs/>
          <w:i/>
          <w:iCs/>
          <w:sz w:val="20"/>
          <w:szCs w:val="20"/>
        </w:rPr>
        <w:t xml:space="preserve"> Hati</w:t>
      </w:r>
    </w:p>
    <w:p w14:paraId="0B6F03BE" w14:textId="77777777" w:rsidR="004038B5" w:rsidRDefault="004038B5">
      <w:pPr>
        <w:spacing w:after="0"/>
        <w:jc w:val="both"/>
        <w:rPr>
          <w:rFonts w:ascii="Times New Roman" w:hAnsi="Times New Roman" w:cs="Times New Roman"/>
          <w:b/>
          <w:bCs/>
          <w:sz w:val="20"/>
          <w:szCs w:val="20"/>
        </w:rPr>
      </w:pPr>
    </w:p>
    <w:p w14:paraId="7D0D135B" w14:textId="77777777" w:rsidR="00187248" w:rsidRPr="00187248" w:rsidRDefault="00187248" w:rsidP="00187248">
      <w:pPr>
        <w:spacing w:after="0"/>
        <w:jc w:val="both"/>
        <w:rPr>
          <w:rFonts w:ascii="Times New Roman" w:hAnsi="Times New Roman" w:cs="Times New Roman"/>
          <w:bCs/>
          <w:sz w:val="20"/>
          <w:szCs w:val="20"/>
        </w:rPr>
      </w:pPr>
      <w:r w:rsidRPr="00187248">
        <w:rPr>
          <w:rFonts w:ascii="Times New Roman" w:hAnsi="Times New Roman" w:cs="Times New Roman"/>
          <w:bCs/>
          <w:sz w:val="20"/>
          <w:szCs w:val="20"/>
        </w:rPr>
        <w:t xml:space="preserve">Saussure (1974) defined a signified as the idea, concept, or meaning that a signifier conveys. This study uses interpretations of the verbal and visual components found in </w:t>
      </w:r>
      <w:proofErr w:type="spellStart"/>
      <w:r w:rsidRPr="00187248">
        <w:rPr>
          <w:rFonts w:ascii="Times New Roman" w:hAnsi="Times New Roman" w:cs="Times New Roman"/>
          <w:bCs/>
          <w:sz w:val="20"/>
          <w:szCs w:val="20"/>
        </w:rPr>
        <w:t>Sepenuh</w:t>
      </w:r>
      <w:proofErr w:type="spellEnd"/>
      <w:r w:rsidRPr="00187248">
        <w:rPr>
          <w:rFonts w:ascii="Times New Roman" w:hAnsi="Times New Roman" w:cs="Times New Roman"/>
          <w:bCs/>
          <w:sz w:val="20"/>
          <w:szCs w:val="20"/>
        </w:rPr>
        <w:t xml:space="preserve"> Hati to identify </w:t>
      </w:r>
      <w:proofErr w:type="spellStart"/>
      <w:r w:rsidRPr="00187248">
        <w:rPr>
          <w:rFonts w:ascii="Times New Roman" w:hAnsi="Times New Roman" w:cs="Times New Roman"/>
          <w:bCs/>
          <w:sz w:val="20"/>
          <w:szCs w:val="20"/>
        </w:rPr>
        <w:t>signifieds</w:t>
      </w:r>
      <w:proofErr w:type="spellEnd"/>
      <w:r w:rsidRPr="00187248">
        <w:rPr>
          <w:rFonts w:ascii="Times New Roman" w:hAnsi="Times New Roman" w:cs="Times New Roman"/>
          <w:bCs/>
          <w:sz w:val="20"/>
          <w:szCs w:val="20"/>
        </w:rPr>
        <w:t xml:space="preserve">. According to the analysis, each signifier carries </w:t>
      </w:r>
      <w:proofErr w:type="gramStart"/>
      <w:r w:rsidRPr="00187248">
        <w:rPr>
          <w:rFonts w:ascii="Times New Roman" w:hAnsi="Times New Roman" w:cs="Times New Roman"/>
          <w:bCs/>
          <w:sz w:val="20"/>
          <w:szCs w:val="20"/>
        </w:rPr>
        <w:t xml:space="preserve">particular </w:t>
      </w:r>
      <w:proofErr w:type="spellStart"/>
      <w:r w:rsidRPr="00187248">
        <w:rPr>
          <w:rFonts w:ascii="Times New Roman" w:hAnsi="Times New Roman" w:cs="Times New Roman"/>
          <w:bCs/>
          <w:sz w:val="20"/>
          <w:szCs w:val="20"/>
        </w:rPr>
        <w:t>signifieds</w:t>
      </w:r>
      <w:proofErr w:type="spellEnd"/>
      <w:proofErr w:type="gramEnd"/>
      <w:r w:rsidRPr="00187248">
        <w:rPr>
          <w:rFonts w:ascii="Times New Roman" w:hAnsi="Times New Roman" w:cs="Times New Roman"/>
          <w:bCs/>
          <w:sz w:val="20"/>
          <w:szCs w:val="20"/>
        </w:rPr>
        <w:t xml:space="preserve"> that are strongly related to patriotism, unity, and national identity. A deeper comprehension of the advertisement's messages is made possible by the link between signifiers and </w:t>
      </w:r>
      <w:proofErr w:type="spellStart"/>
      <w:r w:rsidRPr="00187248">
        <w:rPr>
          <w:rFonts w:ascii="Times New Roman" w:hAnsi="Times New Roman" w:cs="Times New Roman"/>
          <w:bCs/>
          <w:sz w:val="20"/>
          <w:szCs w:val="20"/>
        </w:rPr>
        <w:t>signifieds</w:t>
      </w:r>
      <w:proofErr w:type="spellEnd"/>
      <w:r w:rsidRPr="00187248">
        <w:rPr>
          <w:rFonts w:ascii="Times New Roman" w:hAnsi="Times New Roman" w:cs="Times New Roman"/>
          <w:bCs/>
          <w:sz w:val="20"/>
          <w:szCs w:val="20"/>
        </w:rPr>
        <w:t xml:space="preserve">. Shared values and the basis of national unity, education as a tool for character development, harmony in variety, social integration and the creation of national identity, and unity through the national language are among the </w:t>
      </w:r>
      <w:proofErr w:type="spellStart"/>
      <w:r w:rsidRPr="00187248">
        <w:rPr>
          <w:rFonts w:ascii="Times New Roman" w:hAnsi="Times New Roman" w:cs="Times New Roman"/>
          <w:bCs/>
          <w:sz w:val="20"/>
          <w:szCs w:val="20"/>
        </w:rPr>
        <w:t>signifieds</w:t>
      </w:r>
      <w:proofErr w:type="spellEnd"/>
      <w:r w:rsidRPr="00187248">
        <w:rPr>
          <w:rFonts w:ascii="Times New Roman" w:hAnsi="Times New Roman" w:cs="Times New Roman"/>
          <w:bCs/>
          <w:sz w:val="20"/>
          <w:szCs w:val="20"/>
        </w:rPr>
        <w:t xml:space="preserve"> that have been identified. </w:t>
      </w:r>
    </w:p>
    <w:p w14:paraId="452232F6" w14:textId="77777777" w:rsidR="004038B5" w:rsidRDefault="004038B5">
      <w:pPr>
        <w:spacing w:after="0"/>
        <w:jc w:val="both"/>
        <w:rPr>
          <w:rFonts w:ascii="Times New Roman" w:hAnsi="Times New Roman" w:cs="Times New Roman"/>
          <w:b/>
          <w:sz w:val="20"/>
          <w:szCs w:val="20"/>
        </w:rPr>
      </w:pPr>
    </w:p>
    <w:p w14:paraId="4C09DDC2"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5.2.1 Shared Values and the Foundation of National Unity</w:t>
      </w:r>
    </w:p>
    <w:p w14:paraId="318D45E0" w14:textId="77777777" w:rsidR="004038B5" w:rsidRDefault="004038B5">
      <w:pPr>
        <w:spacing w:after="0"/>
        <w:jc w:val="both"/>
        <w:rPr>
          <w:rFonts w:ascii="Times New Roman" w:hAnsi="Times New Roman" w:cs="Times New Roman"/>
          <w:b/>
          <w:bCs/>
          <w:sz w:val="20"/>
          <w:szCs w:val="20"/>
        </w:rPr>
      </w:pPr>
    </w:p>
    <w:p w14:paraId="145D6D2A" w14:textId="77777777" w:rsidR="00187248" w:rsidRPr="00187248" w:rsidRDefault="00187248" w:rsidP="00187248">
      <w:pPr>
        <w:spacing w:after="0"/>
        <w:jc w:val="both"/>
        <w:rPr>
          <w:rFonts w:ascii="Times New Roman" w:hAnsi="Times New Roman" w:cs="Times New Roman"/>
          <w:bCs/>
          <w:sz w:val="20"/>
          <w:szCs w:val="20"/>
        </w:rPr>
      </w:pPr>
      <w:r w:rsidRPr="00187248">
        <w:rPr>
          <w:rFonts w:ascii="Times New Roman" w:hAnsi="Times New Roman" w:cs="Times New Roman"/>
          <w:bCs/>
          <w:sz w:val="20"/>
          <w:szCs w:val="20"/>
        </w:rPr>
        <w:t xml:space="preserve">Shared values and the basis of national unity are the first signified identified. This concept refers to the existence of ideals and principles that society </w:t>
      </w:r>
      <w:proofErr w:type="gramStart"/>
      <w:r w:rsidRPr="00187248">
        <w:rPr>
          <w:rFonts w:ascii="Times New Roman" w:hAnsi="Times New Roman" w:cs="Times New Roman"/>
          <w:bCs/>
          <w:sz w:val="20"/>
          <w:szCs w:val="20"/>
        </w:rPr>
        <w:t>as a whole embraces</w:t>
      </w:r>
      <w:proofErr w:type="gramEnd"/>
      <w:r w:rsidRPr="00187248">
        <w:rPr>
          <w:rFonts w:ascii="Times New Roman" w:hAnsi="Times New Roman" w:cs="Times New Roman"/>
          <w:bCs/>
          <w:sz w:val="20"/>
          <w:szCs w:val="20"/>
        </w:rPr>
        <w:t xml:space="preserve"> as guidelines for national life. Regardless of variations in ethnicity, culture, or religion, similar ideals act as a basis for unity among citizens. These common ideals allow society to grow in respect for one another, sense of duty, and dedication to the welfare of the country. As a result, unity is presented as the result of adopting and upholding shared principles in society. </w:t>
      </w:r>
    </w:p>
    <w:p w14:paraId="0D48A050" w14:textId="77777777" w:rsidR="004038B5" w:rsidRDefault="004038B5">
      <w:pPr>
        <w:spacing w:after="0"/>
        <w:jc w:val="both"/>
        <w:rPr>
          <w:rFonts w:ascii="Times New Roman" w:hAnsi="Times New Roman" w:cs="Times New Roman"/>
          <w:b/>
          <w:sz w:val="20"/>
          <w:szCs w:val="20"/>
        </w:rPr>
      </w:pPr>
    </w:p>
    <w:p w14:paraId="363ACAFF"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5.2.2 Education as an Agent of Character Formation</w:t>
      </w:r>
    </w:p>
    <w:p w14:paraId="088A5961" w14:textId="77777777" w:rsidR="004038B5" w:rsidRDefault="004038B5">
      <w:pPr>
        <w:spacing w:after="0"/>
        <w:jc w:val="both"/>
        <w:rPr>
          <w:rFonts w:ascii="Times New Roman" w:hAnsi="Times New Roman" w:cs="Times New Roman"/>
          <w:b/>
          <w:bCs/>
          <w:sz w:val="20"/>
          <w:szCs w:val="20"/>
        </w:rPr>
      </w:pPr>
    </w:p>
    <w:p w14:paraId="3DEDEF4B" w14:textId="0F0C11D1" w:rsidR="004038B5" w:rsidRDefault="00187248">
      <w:pPr>
        <w:spacing w:after="0"/>
        <w:jc w:val="both"/>
        <w:rPr>
          <w:rFonts w:ascii="Times New Roman" w:hAnsi="Times New Roman" w:cs="Times New Roman"/>
          <w:bCs/>
          <w:sz w:val="20"/>
          <w:szCs w:val="20"/>
        </w:rPr>
      </w:pPr>
      <w:r w:rsidRPr="00187248">
        <w:rPr>
          <w:rFonts w:ascii="Times New Roman" w:hAnsi="Times New Roman" w:cs="Times New Roman"/>
          <w:bCs/>
          <w:sz w:val="20"/>
          <w:szCs w:val="20"/>
        </w:rPr>
        <w:t xml:space="preserve">The function of education as a vehicle for social awareness and character development is the second signified. In addition to imparting knowledge, education helps to mold the values, morals, and sense of civic duty of the next generation. People are exposed to the ideals of unity, tolerance, and respect for one another through education, which serve as the cornerstones of a multicultural society. This implies that character development and learning procedures must be used to consistently foster unity. </w:t>
      </w:r>
    </w:p>
    <w:p w14:paraId="1D3105B0" w14:textId="77777777" w:rsidR="004038B5" w:rsidRDefault="004038B5">
      <w:pPr>
        <w:spacing w:after="0"/>
        <w:jc w:val="both"/>
        <w:rPr>
          <w:rFonts w:ascii="Times New Roman" w:hAnsi="Times New Roman" w:cs="Times New Roman"/>
          <w:b/>
          <w:sz w:val="20"/>
          <w:szCs w:val="20"/>
        </w:rPr>
      </w:pPr>
    </w:p>
    <w:p w14:paraId="7CB3FA4A"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5.2.3 Harmony in Diversity</w:t>
      </w:r>
    </w:p>
    <w:p w14:paraId="1F95E26B" w14:textId="77777777" w:rsidR="004038B5" w:rsidRDefault="004038B5">
      <w:pPr>
        <w:spacing w:after="0"/>
        <w:jc w:val="both"/>
        <w:rPr>
          <w:rFonts w:ascii="Times New Roman" w:hAnsi="Times New Roman" w:cs="Times New Roman"/>
          <w:b/>
          <w:bCs/>
          <w:sz w:val="20"/>
          <w:szCs w:val="20"/>
        </w:rPr>
      </w:pPr>
    </w:p>
    <w:p w14:paraId="541BEE53"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lastRenderedPageBreak/>
        <w:t xml:space="preserve">The </w:t>
      </w:r>
      <w:proofErr w:type="gramStart"/>
      <w:r>
        <w:rPr>
          <w:rFonts w:ascii="Times New Roman" w:hAnsi="Times New Roman" w:cs="Times New Roman"/>
          <w:bCs/>
          <w:sz w:val="20"/>
          <w:szCs w:val="20"/>
        </w:rPr>
        <w:t>signified</w:t>
      </w:r>
      <w:proofErr w:type="gramEnd"/>
      <w:r>
        <w:rPr>
          <w:rFonts w:ascii="Times New Roman" w:hAnsi="Times New Roman" w:cs="Times New Roman"/>
          <w:bCs/>
          <w:sz w:val="20"/>
          <w:szCs w:val="20"/>
        </w:rPr>
        <w:t xml:space="preserve"> of harmony in diversity refers to society’s ability to accept and appreciate differences within social life. In Malaysia, ethnic, cultural, and religious diversity forms an integral part of national identity and contributes to the uniqueness of its society. The Ministry of National Unity (2021) explains that the concept of </w:t>
      </w:r>
      <w:r>
        <w:rPr>
          <w:rFonts w:ascii="Times New Roman" w:hAnsi="Times New Roman" w:cs="Times New Roman"/>
          <w:bCs/>
          <w:i/>
          <w:iCs/>
          <w:sz w:val="20"/>
          <w:szCs w:val="20"/>
        </w:rPr>
        <w:t>Unity in Diversity</w:t>
      </w:r>
      <w:r>
        <w:rPr>
          <w:rFonts w:ascii="Times New Roman" w:hAnsi="Times New Roman" w:cs="Times New Roman"/>
          <w:bCs/>
          <w:sz w:val="20"/>
          <w:szCs w:val="20"/>
        </w:rPr>
        <w:t xml:space="preserve"> is fundamental to maintaining harmony and stability in Malaysia’s multicultural society. This concept emphasizes that diversity should not be viewed as an obstacle to unity but rather as a strength that enriches social and cultural life.</w:t>
      </w:r>
    </w:p>
    <w:p w14:paraId="4E92BC9E" w14:textId="77777777" w:rsidR="004038B5" w:rsidRDefault="004038B5">
      <w:pPr>
        <w:spacing w:after="0"/>
        <w:jc w:val="both"/>
        <w:rPr>
          <w:rFonts w:ascii="Times New Roman" w:hAnsi="Times New Roman" w:cs="Times New Roman"/>
          <w:bCs/>
          <w:sz w:val="20"/>
          <w:szCs w:val="20"/>
        </w:rPr>
      </w:pPr>
    </w:p>
    <w:p w14:paraId="6E5AEAC3"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This </w:t>
      </w:r>
      <w:proofErr w:type="gramStart"/>
      <w:r>
        <w:rPr>
          <w:rFonts w:ascii="Times New Roman" w:hAnsi="Times New Roman" w:cs="Times New Roman"/>
          <w:bCs/>
          <w:sz w:val="20"/>
          <w:szCs w:val="20"/>
        </w:rPr>
        <w:t>signified</w:t>
      </w:r>
      <w:proofErr w:type="gramEnd"/>
      <w:r>
        <w:rPr>
          <w:rFonts w:ascii="Times New Roman" w:hAnsi="Times New Roman" w:cs="Times New Roman"/>
          <w:bCs/>
          <w:sz w:val="20"/>
          <w:szCs w:val="20"/>
        </w:rPr>
        <w:t xml:space="preserve"> illustrates that differences are not factors of division but sources of strength that contribute to building a more inclusive and harmonious community. According to Wan Husin et al. (2022), unity in a multiethnic society can be strengthened through tolerance, mutual respect, and positive social interactions. Therefore, harmony in diversity can be achieved when individuals embrace openness, respect differences, and build relationships based on mutual understanding and trust. </w:t>
      </w:r>
    </w:p>
    <w:p w14:paraId="30ED343A" w14:textId="77777777" w:rsidR="004038B5" w:rsidRDefault="004038B5">
      <w:pPr>
        <w:spacing w:after="0"/>
        <w:jc w:val="both"/>
        <w:rPr>
          <w:rFonts w:ascii="Times New Roman" w:hAnsi="Times New Roman" w:cs="Times New Roman"/>
          <w:b/>
          <w:sz w:val="20"/>
          <w:szCs w:val="20"/>
        </w:rPr>
      </w:pPr>
    </w:p>
    <w:p w14:paraId="16F95270"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5.2.4 Social Integration and the Formation of National Identity</w:t>
      </w:r>
    </w:p>
    <w:p w14:paraId="75DC6375" w14:textId="77777777" w:rsidR="004038B5" w:rsidRDefault="004038B5">
      <w:pPr>
        <w:spacing w:after="0"/>
        <w:jc w:val="both"/>
        <w:rPr>
          <w:rFonts w:ascii="Times New Roman" w:hAnsi="Times New Roman" w:cs="Times New Roman"/>
          <w:b/>
          <w:bCs/>
          <w:sz w:val="20"/>
          <w:szCs w:val="20"/>
        </w:rPr>
      </w:pPr>
    </w:p>
    <w:p w14:paraId="22E0785E" w14:textId="0EED34B9" w:rsidR="004038B5" w:rsidRDefault="00154E4D">
      <w:pPr>
        <w:spacing w:after="0"/>
        <w:jc w:val="both"/>
        <w:rPr>
          <w:rFonts w:ascii="Times New Roman" w:hAnsi="Times New Roman" w:cs="Times New Roman"/>
          <w:bCs/>
          <w:sz w:val="20"/>
          <w:szCs w:val="20"/>
        </w:rPr>
      </w:pPr>
      <w:r w:rsidRPr="00154E4D">
        <w:rPr>
          <w:rFonts w:ascii="Times New Roman" w:hAnsi="Times New Roman" w:cs="Times New Roman"/>
          <w:bCs/>
          <w:sz w:val="20"/>
          <w:szCs w:val="20"/>
        </w:rPr>
        <w:t xml:space="preserve">The creation of a sense of unity and belonging among citizens is referred to as social integration and national identity formation. When people from different origins communicate, exchange stories, and form wholesome bonds in their day-to-day lives, social integration takes place. The basis of national integration is social cohesion, which is strengthened and mutual understanding is fostered by harmonious social connections (Zakaria et al., 2022). This method helps people establish a sense of national identity in a multicultural culture by making them feel like they belong to a broader group, specifically Malaysians. Wan Husin et al. (2022) assert that tolerance, social interaction, and education can promote unity among many ethnic groups. </w:t>
      </w:r>
      <w:r>
        <w:rPr>
          <w:rFonts w:ascii="Times New Roman" w:hAnsi="Times New Roman" w:cs="Times New Roman"/>
          <w:bCs/>
          <w:sz w:val="20"/>
          <w:szCs w:val="20"/>
        </w:rPr>
        <w:t xml:space="preserve">Therefore, social integration plays a significant role in shaping a national identity grounded in togetherness, mutual respect, and shared aspirations. </w:t>
      </w:r>
    </w:p>
    <w:p w14:paraId="1876612D" w14:textId="77777777" w:rsidR="004038B5" w:rsidRDefault="004038B5">
      <w:pPr>
        <w:spacing w:after="0"/>
        <w:jc w:val="both"/>
        <w:rPr>
          <w:rFonts w:ascii="Times New Roman" w:hAnsi="Times New Roman" w:cs="Times New Roman"/>
          <w:b/>
          <w:bCs/>
          <w:sz w:val="20"/>
          <w:szCs w:val="20"/>
        </w:rPr>
      </w:pPr>
    </w:p>
    <w:p w14:paraId="107AC993"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5.2.5 Unity through the National Language</w:t>
      </w:r>
    </w:p>
    <w:p w14:paraId="5193D827" w14:textId="77777777" w:rsidR="004038B5" w:rsidRDefault="004038B5">
      <w:pPr>
        <w:spacing w:after="0"/>
        <w:jc w:val="both"/>
        <w:rPr>
          <w:rFonts w:ascii="Times New Roman" w:hAnsi="Times New Roman" w:cs="Times New Roman"/>
          <w:b/>
          <w:bCs/>
          <w:sz w:val="20"/>
          <w:szCs w:val="20"/>
        </w:rPr>
      </w:pPr>
    </w:p>
    <w:p w14:paraId="2FD84283" w14:textId="47D8D8F4"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The final signified </w:t>
      </w:r>
      <w:proofErr w:type="gramStart"/>
      <w:r>
        <w:rPr>
          <w:rFonts w:ascii="Times New Roman" w:hAnsi="Times New Roman" w:cs="Times New Roman"/>
          <w:bCs/>
          <w:sz w:val="20"/>
          <w:szCs w:val="20"/>
        </w:rPr>
        <w:t>identified</w:t>
      </w:r>
      <w:proofErr w:type="gramEnd"/>
      <w:r>
        <w:rPr>
          <w:rFonts w:ascii="Times New Roman" w:hAnsi="Times New Roman" w:cs="Times New Roman"/>
          <w:bCs/>
          <w:sz w:val="20"/>
          <w:szCs w:val="20"/>
        </w:rPr>
        <w:t xml:space="preserve"> is unity through the national language. </w:t>
      </w:r>
      <w:r w:rsidR="00154E4D" w:rsidRPr="00154E4D">
        <w:rPr>
          <w:rFonts w:ascii="Times New Roman" w:hAnsi="Times New Roman" w:cs="Times New Roman"/>
          <w:bCs/>
          <w:sz w:val="20"/>
          <w:szCs w:val="20"/>
        </w:rPr>
        <w:t>Language is a communication tool that facilitates interaction and mutual understanding between people from different origins. Language acts as a symbol of identity and common belonging in addition to being a tool for communication. In Malaysia, the Malay language is crucial for bringing individuals from all ethnic backgrounds together and creating a sense of national identity. All citizens, regardless of ethnicity or culture, have a shared communication space thanks to Malay's status as the national language. Social engagement is more successful when people speak the same language, which promotes comprehension and social integration. Yusof (2024) asserts that the Malay language serves as a means of bringing different populations together via a common language and sense of national identity. As a result, language not only transmits information but also fortifies Malaysians' sense of solidarity, togetherness, and national identity.</w:t>
      </w:r>
    </w:p>
    <w:p w14:paraId="167C561D" w14:textId="77777777" w:rsidR="004038B5" w:rsidRDefault="004038B5">
      <w:pPr>
        <w:spacing w:after="0"/>
        <w:jc w:val="both"/>
        <w:rPr>
          <w:rFonts w:ascii="Times New Roman" w:hAnsi="Times New Roman" w:cs="Times New Roman"/>
          <w:bCs/>
          <w:sz w:val="20"/>
          <w:szCs w:val="20"/>
        </w:rPr>
      </w:pPr>
    </w:p>
    <w:p w14:paraId="39483D4A" w14:textId="77777777" w:rsidR="00154E4D" w:rsidRPr="00154E4D" w:rsidRDefault="00154E4D" w:rsidP="00154E4D">
      <w:pPr>
        <w:spacing w:after="0"/>
        <w:jc w:val="both"/>
        <w:rPr>
          <w:rFonts w:ascii="Times New Roman" w:hAnsi="Times New Roman" w:cs="Times New Roman"/>
          <w:bCs/>
          <w:sz w:val="20"/>
          <w:szCs w:val="20"/>
        </w:rPr>
      </w:pPr>
      <w:r w:rsidRPr="00154E4D">
        <w:rPr>
          <w:rFonts w:ascii="Times New Roman" w:hAnsi="Times New Roman" w:cs="Times New Roman"/>
          <w:bCs/>
          <w:sz w:val="20"/>
          <w:szCs w:val="20"/>
        </w:rPr>
        <w:t xml:space="preserve">Overall, the </w:t>
      </w:r>
      <w:proofErr w:type="spellStart"/>
      <w:r w:rsidRPr="00154E4D">
        <w:rPr>
          <w:rFonts w:ascii="Times New Roman" w:hAnsi="Times New Roman" w:cs="Times New Roman"/>
          <w:bCs/>
          <w:sz w:val="20"/>
          <w:szCs w:val="20"/>
        </w:rPr>
        <w:t>signifieds</w:t>
      </w:r>
      <w:proofErr w:type="spellEnd"/>
      <w:r w:rsidRPr="00154E4D">
        <w:rPr>
          <w:rFonts w:ascii="Times New Roman" w:hAnsi="Times New Roman" w:cs="Times New Roman"/>
          <w:bCs/>
          <w:sz w:val="20"/>
          <w:szCs w:val="20"/>
        </w:rPr>
        <w:t xml:space="preserve"> found in this study show that social harmony, education, common ideals, integration, and the national language all work together to create unity. These </w:t>
      </w:r>
      <w:proofErr w:type="spellStart"/>
      <w:r w:rsidRPr="00154E4D">
        <w:rPr>
          <w:rFonts w:ascii="Times New Roman" w:hAnsi="Times New Roman" w:cs="Times New Roman"/>
          <w:bCs/>
          <w:sz w:val="20"/>
          <w:szCs w:val="20"/>
        </w:rPr>
        <w:t>signifieds</w:t>
      </w:r>
      <w:proofErr w:type="spellEnd"/>
      <w:r w:rsidRPr="00154E4D">
        <w:rPr>
          <w:rFonts w:ascii="Times New Roman" w:hAnsi="Times New Roman" w:cs="Times New Roman"/>
          <w:bCs/>
          <w:sz w:val="20"/>
          <w:szCs w:val="20"/>
        </w:rPr>
        <w:t xml:space="preserve"> imply that unity is a social process involving the internalization of values, identity formation, and shared experiences within society rather than just an abstract idea. According to Saussure's semiotic theory, these </w:t>
      </w:r>
      <w:proofErr w:type="spellStart"/>
      <w:r w:rsidRPr="00154E4D">
        <w:rPr>
          <w:rFonts w:ascii="Times New Roman" w:hAnsi="Times New Roman" w:cs="Times New Roman"/>
          <w:bCs/>
          <w:sz w:val="20"/>
          <w:szCs w:val="20"/>
        </w:rPr>
        <w:t>signifieds</w:t>
      </w:r>
      <w:proofErr w:type="spellEnd"/>
      <w:r w:rsidRPr="00154E4D">
        <w:rPr>
          <w:rFonts w:ascii="Times New Roman" w:hAnsi="Times New Roman" w:cs="Times New Roman"/>
          <w:bCs/>
          <w:sz w:val="20"/>
          <w:szCs w:val="20"/>
        </w:rPr>
        <w:t xml:space="preserve"> create the layers of meaning that support </w:t>
      </w:r>
      <w:proofErr w:type="spellStart"/>
      <w:r w:rsidRPr="00154E4D">
        <w:rPr>
          <w:rFonts w:ascii="Times New Roman" w:hAnsi="Times New Roman" w:cs="Times New Roman"/>
          <w:bCs/>
          <w:sz w:val="20"/>
          <w:szCs w:val="20"/>
        </w:rPr>
        <w:t>Sepenuh</w:t>
      </w:r>
      <w:proofErr w:type="spellEnd"/>
      <w:r w:rsidRPr="00154E4D">
        <w:rPr>
          <w:rFonts w:ascii="Times New Roman" w:hAnsi="Times New Roman" w:cs="Times New Roman"/>
          <w:bCs/>
          <w:sz w:val="20"/>
          <w:szCs w:val="20"/>
        </w:rPr>
        <w:t xml:space="preserve"> Hati's unity story. </w:t>
      </w:r>
    </w:p>
    <w:p w14:paraId="14580FF2" w14:textId="77777777" w:rsidR="004038B5" w:rsidRDefault="004038B5">
      <w:pPr>
        <w:spacing w:after="0"/>
        <w:jc w:val="both"/>
        <w:rPr>
          <w:rFonts w:ascii="Times New Roman" w:hAnsi="Times New Roman" w:cs="Times New Roman"/>
          <w:b/>
          <w:sz w:val="20"/>
          <w:szCs w:val="20"/>
        </w:rPr>
      </w:pPr>
    </w:p>
    <w:p w14:paraId="116881FF"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5.3 Construction of Unity Narratives through the Relationship between Signifiers and </w:t>
      </w:r>
      <w:proofErr w:type="spellStart"/>
      <w:r>
        <w:rPr>
          <w:rFonts w:ascii="Times New Roman" w:hAnsi="Times New Roman" w:cs="Times New Roman"/>
          <w:b/>
          <w:bCs/>
          <w:sz w:val="20"/>
          <w:szCs w:val="20"/>
        </w:rPr>
        <w:t>Signifieds</w:t>
      </w:r>
      <w:proofErr w:type="spellEnd"/>
    </w:p>
    <w:p w14:paraId="714FC742" w14:textId="77777777" w:rsidR="004038B5" w:rsidRDefault="004038B5">
      <w:pPr>
        <w:spacing w:after="0"/>
        <w:jc w:val="both"/>
        <w:rPr>
          <w:rFonts w:ascii="Times New Roman" w:hAnsi="Times New Roman" w:cs="Times New Roman"/>
          <w:b/>
          <w:sz w:val="20"/>
          <w:szCs w:val="20"/>
        </w:rPr>
      </w:pPr>
    </w:p>
    <w:p w14:paraId="1C9C34F3"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According to Saussure (1974), the meaning of a sign is formed through the relationship between the signifier and the signified, enabling messages to be communicated and understood within specific social and cultural contexts. In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 xml:space="preserve">, the unity narrative is constructed through the integration of multiple signifiers and </w:t>
      </w:r>
      <w:proofErr w:type="spellStart"/>
      <w:r>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that complement one another throughout the narrative. The analysis reveals that the unity narrative develops progressively through situations closely related to Malaysian society. Signifiers such as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teachers, students from diverse ethnic backgrounds, the school environment, and the Malay language are linked with </w:t>
      </w:r>
      <w:proofErr w:type="spellStart"/>
      <w:r>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associated with shared values, education, social harmony, integration, and national identity. This relationship emphasizes that unity is not merely a slogan or a principle to be memorized, but a value that must be understood, appreciated, and </w:t>
      </w:r>
      <w:proofErr w:type="spellStart"/>
      <w:r>
        <w:rPr>
          <w:rFonts w:ascii="Times New Roman" w:hAnsi="Times New Roman" w:cs="Times New Roman"/>
          <w:bCs/>
          <w:sz w:val="20"/>
          <w:szCs w:val="20"/>
        </w:rPr>
        <w:t>practised</w:t>
      </w:r>
      <w:proofErr w:type="spellEnd"/>
      <w:r>
        <w:rPr>
          <w:rFonts w:ascii="Times New Roman" w:hAnsi="Times New Roman" w:cs="Times New Roman"/>
          <w:bCs/>
          <w:sz w:val="20"/>
          <w:szCs w:val="20"/>
        </w:rPr>
        <w:t xml:space="preserve">. Several key scenes were identified as shaping the unity narrative through the relationship between signifiers and </w:t>
      </w:r>
      <w:proofErr w:type="spellStart"/>
      <w:r>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illustrating how meanings of unity are constructed and communicated to audiences in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 xml:space="preserve">. </w:t>
      </w:r>
    </w:p>
    <w:p w14:paraId="2FA81F6D" w14:textId="77777777" w:rsidR="004038B5" w:rsidRDefault="004038B5">
      <w:pPr>
        <w:spacing w:after="0"/>
        <w:jc w:val="both"/>
        <w:rPr>
          <w:rFonts w:ascii="Times New Roman" w:hAnsi="Times New Roman" w:cs="Times New Roman"/>
          <w:bCs/>
          <w:sz w:val="20"/>
          <w:szCs w:val="20"/>
        </w:rPr>
      </w:pPr>
    </w:p>
    <w:p w14:paraId="5FCA6792" w14:textId="77777777" w:rsidR="004038B5" w:rsidRDefault="004038B5">
      <w:pPr>
        <w:spacing w:after="0"/>
        <w:jc w:val="both"/>
        <w:rPr>
          <w:rFonts w:ascii="Times New Roman" w:hAnsi="Times New Roman" w:cs="Times New Roman"/>
          <w:bCs/>
          <w:sz w:val="20"/>
          <w:szCs w:val="20"/>
        </w:rPr>
      </w:pPr>
    </w:p>
    <w:p w14:paraId="72F4371C" w14:textId="77777777" w:rsidR="004038B5" w:rsidRDefault="004038B5">
      <w:pPr>
        <w:spacing w:after="0"/>
        <w:jc w:val="both"/>
        <w:rPr>
          <w:rFonts w:ascii="Times New Roman" w:hAnsi="Times New Roman" w:cs="Times New Roman"/>
          <w:bCs/>
          <w:sz w:val="20"/>
          <w:szCs w:val="20"/>
        </w:rPr>
      </w:pPr>
    </w:p>
    <w:p w14:paraId="1DF31CAB" w14:textId="77777777" w:rsidR="004038B5" w:rsidRDefault="004038B5">
      <w:pPr>
        <w:spacing w:after="0"/>
        <w:jc w:val="both"/>
        <w:rPr>
          <w:rFonts w:ascii="Times New Roman" w:hAnsi="Times New Roman" w:cs="Times New Roman"/>
          <w:b/>
          <w:sz w:val="20"/>
          <w:szCs w:val="20"/>
        </w:rPr>
      </w:pPr>
    </w:p>
    <w:p w14:paraId="129F8A64"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5.3.1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 as the Foundation of the Unity Narrative</w:t>
      </w:r>
    </w:p>
    <w:p w14:paraId="0D8CCFA2" w14:textId="77777777" w:rsidR="004038B5" w:rsidRDefault="004038B5">
      <w:pPr>
        <w:spacing w:after="0"/>
        <w:jc w:val="both"/>
        <w:rPr>
          <w:rFonts w:ascii="Times New Roman" w:hAnsi="Times New Roman" w:cs="Times New Roman"/>
          <w:b/>
          <w:bCs/>
          <w:sz w:val="20"/>
          <w:szCs w:val="20"/>
        </w:rPr>
      </w:pPr>
    </w:p>
    <w:p w14:paraId="6E064141"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The unity narrative in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 xml:space="preserve"> is established as early as the school assembly scene between minutes 0:30 and 0:59, where students recite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together. Within Saussure’s semiotic framework (1974), the recitation of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functions as a signifier that refers to the signified of shared values and the foundation of national unity. As a national ideology, the </w:t>
      </w:r>
      <w:proofErr w:type="spellStart"/>
      <w:r>
        <w:rPr>
          <w:rFonts w:ascii="Times New Roman" w:hAnsi="Times New Roman" w:cs="Times New Roman"/>
          <w:bCs/>
          <w:sz w:val="20"/>
          <w:szCs w:val="20"/>
        </w:rPr>
        <w:lastRenderedPageBreak/>
        <w:t>Rukun</w:t>
      </w:r>
      <w:proofErr w:type="spellEnd"/>
      <w:r>
        <w:rPr>
          <w:rFonts w:ascii="Times New Roman" w:hAnsi="Times New Roman" w:cs="Times New Roman"/>
          <w:bCs/>
          <w:sz w:val="20"/>
          <w:szCs w:val="20"/>
        </w:rPr>
        <w:t xml:space="preserve"> Negara provides a framework of values shared by Malaysians in their efforts to build a united, democratic, and harmonious society. Therefore, its inclusion in the opening scene positions unity as the central theme underlying the entire narrative.</w:t>
      </w:r>
    </w:p>
    <w:p w14:paraId="01025ECA" w14:textId="77777777" w:rsidR="004038B5" w:rsidRDefault="004038B5">
      <w:pPr>
        <w:spacing w:after="0"/>
        <w:jc w:val="both"/>
        <w:rPr>
          <w:rFonts w:ascii="Times New Roman" w:hAnsi="Times New Roman" w:cs="Times New Roman"/>
          <w:bCs/>
          <w:sz w:val="20"/>
          <w:szCs w:val="20"/>
        </w:rPr>
      </w:pPr>
    </w:p>
    <w:p w14:paraId="52FB2EBE"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Significantly, the recitation is led by a Sikh student. From a semiotic perspective, the selection of this character goes beyond narrative necessity and signifies inclusivity, equality, and a shared national identity. Although the Sikh community represents a minority group within Malaysian society, the student is entrusted with leading the recitation of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a symbol of the principles and values shared by all Malaysians. This portrayal suggests that the appreciation of national values and the responsibility of preserving unity transcend ethnic and cultural boundaries. This finding is consistent with the National Unity Policy, which emphasizes the concept of Unity in Diversity through acceptance and appreciation of diversity within society (Ministry of National Unity, 2021). </w:t>
      </w:r>
    </w:p>
    <w:p w14:paraId="093D142E" w14:textId="77777777" w:rsidR="004038B5" w:rsidRDefault="004038B5">
      <w:pPr>
        <w:spacing w:after="0"/>
        <w:jc w:val="both"/>
        <w:rPr>
          <w:rFonts w:ascii="Times New Roman" w:hAnsi="Times New Roman" w:cs="Times New Roman"/>
          <w:b/>
          <w:sz w:val="20"/>
          <w:szCs w:val="20"/>
        </w:rPr>
      </w:pPr>
    </w:p>
    <w:p w14:paraId="073BEFE6" w14:textId="77777777" w:rsidR="004038B5" w:rsidRDefault="004038B5">
      <w:pPr>
        <w:spacing w:after="0"/>
        <w:jc w:val="center"/>
        <w:rPr>
          <w:rFonts w:ascii="Times New Roman" w:hAnsi="Times New Roman" w:cs="Times New Roman"/>
          <w:b/>
          <w:sz w:val="20"/>
          <w:szCs w:val="20"/>
        </w:rPr>
      </w:pPr>
    </w:p>
    <w:p w14:paraId="216EED19" w14:textId="77777777" w:rsidR="004038B5" w:rsidRDefault="00000000">
      <w:pPr>
        <w:spacing w:after="0"/>
        <w:jc w:val="center"/>
        <w:rPr>
          <w:rFonts w:ascii="Times New Roman" w:hAnsi="Times New Roman" w:cs="Times New Roman"/>
          <w:b/>
          <w:sz w:val="20"/>
          <w:szCs w:val="20"/>
        </w:rPr>
      </w:pPr>
      <w:r>
        <w:rPr>
          <w:rFonts w:ascii="Cambria" w:hAnsi="Cambria" w:cs="Times New Roman"/>
          <w:noProof/>
          <w:lang w:val="ms-MY"/>
        </w:rPr>
        <w:drawing>
          <wp:inline distT="0" distB="0" distL="0" distR="0" wp14:anchorId="487D7FF9" wp14:editId="11A357B7">
            <wp:extent cx="4467860" cy="2513330"/>
            <wp:effectExtent l="0" t="0" r="8890" b="1270"/>
            <wp:docPr id="4592237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223770" name="Picture 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03084" cy="2532922"/>
                    </a:xfrm>
                    <a:prstGeom prst="rect">
                      <a:avLst/>
                    </a:prstGeom>
                  </pic:spPr>
                </pic:pic>
              </a:graphicData>
            </a:graphic>
          </wp:inline>
        </w:drawing>
      </w:r>
    </w:p>
    <w:p w14:paraId="378AA7CE" w14:textId="77777777"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 xml:space="preserve">Figure 5: A Sikh Student Leading the Recitation of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w:t>
      </w:r>
      <w:r>
        <w:rPr>
          <w:rFonts w:ascii="Times New Roman" w:hAnsi="Times New Roman" w:cs="Times New Roman"/>
          <w:b/>
          <w:sz w:val="20"/>
          <w:szCs w:val="20"/>
        </w:rPr>
        <w:t xml:space="preserve">. </w:t>
      </w:r>
    </w:p>
    <w:p w14:paraId="5D546DDD" w14:textId="77777777" w:rsidR="004038B5" w:rsidRDefault="004038B5">
      <w:pPr>
        <w:spacing w:after="0"/>
        <w:jc w:val="center"/>
        <w:rPr>
          <w:rFonts w:ascii="Times New Roman" w:hAnsi="Times New Roman" w:cs="Times New Roman"/>
          <w:b/>
          <w:sz w:val="20"/>
          <w:szCs w:val="20"/>
        </w:rPr>
      </w:pPr>
    </w:p>
    <w:p w14:paraId="0B07A3EF"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However, the advertisement does not merely portray the recitation of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as a routine practice. At minute 0:40,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is shown observing several students who appear inattentive and fail to fully appreciate the recitation. This scene introduces the initial conflict in the narrative and serves as the starting point for the advertisement’s central question: to what extent are the principles of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truly understood and </w:t>
      </w:r>
      <w:proofErr w:type="spellStart"/>
      <w:r>
        <w:rPr>
          <w:rFonts w:ascii="Times New Roman" w:hAnsi="Times New Roman" w:cs="Times New Roman"/>
          <w:bCs/>
          <w:sz w:val="20"/>
          <w:szCs w:val="20"/>
        </w:rPr>
        <w:t>practised</w:t>
      </w:r>
      <w:proofErr w:type="spellEnd"/>
      <w:r>
        <w:rPr>
          <w:rFonts w:ascii="Times New Roman" w:hAnsi="Times New Roman" w:cs="Times New Roman"/>
          <w:bCs/>
          <w:sz w:val="20"/>
          <w:szCs w:val="20"/>
        </w:rPr>
        <w:t xml:space="preserve"> in everyday life? From a semiotic perspective, the teacher functions as a signifier that refers to the signified of education and character formation. This role suggests that the appreciation of unity values does not occur spontaneously but must be nurtured through education and the development of social awareness. This finding is consistent with Wan Husin et al. (2022), who argue that education plays an important role in strengthening unity through the cultivation of tolerance, mutual respect, and social responsibility among younger generations.</w:t>
      </w:r>
    </w:p>
    <w:p w14:paraId="3F28C9D6" w14:textId="77777777" w:rsidR="004038B5" w:rsidRDefault="004038B5">
      <w:pPr>
        <w:spacing w:after="0"/>
        <w:jc w:val="both"/>
        <w:rPr>
          <w:rFonts w:ascii="Times New Roman" w:hAnsi="Times New Roman" w:cs="Times New Roman"/>
          <w:bCs/>
          <w:sz w:val="20"/>
          <w:szCs w:val="20"/>
        </w:rPr>
      </w:pPr>
    </w:p>
    <w:p w14:paraId="1AD3F18F"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Furthermore, between minutes 0:40 and 0:59, three students from Malay, Chinese, and Indian ethnic backgrounds are portrayed teasing one another while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is being recited. From a semiotic perspective, the presence of students from different ethnic groups functions as a signifier referring to the </w:t>
      </w:r>
      <w:proofErr w:type="gramStart"/>
      <w:r>
        <w:rPr>
          <w:rFonts w:ascii="Times New Roman" w:hAnsi="Times New Roman" w:cs="Times New Roman"/>
          <w:bCs/>
          <w:sz w:val="20"/>
          <w:szCs w:val="20"/>
        </w:rPr>
        <w:t>signified</w:t>
      </w:r>
      <w:proofErr w:type="gramEnd"/>
      <w:r>
        <w:rPr>
          <w:rFonts w:ascii="Times New Roman" w:hAnsi="Times New Roman" w:cs="Times New Roman"/>
          <w:bCs/>
          <w:sz w:val="20"/>
          <w:szCs w:val="20"/>
        </w:rPr>
        <w:t xml:space="preserve"> of harmony in diversity. Although their </w:t>
      </w:r>
      <w:proofErr w:type="spellStart"/>
      <w:r>
        <w:rPr>
          <w:rFonts w:ascii="Times New Roman" w:hAnsi="Times New Roman" w:cs="Times New Roman"/>
          <w:bCs/>
          <w:sz w:val="20"/>
          <w:szCs w:val="20"/>
        </w:rPr>
        <w:t>behaviour</w:t>
      </w:r>
      <w:proofErr w:type="spellEnd"/>
      <w:r>
        <w:rPr>
          <w:rFonts w:ascii="Times New Roman" w:hAnsi="Times New Roman" w:cs="Times New Roman"/>
          <w:bCs/>
          <w:sz w:val="20"/>
          <w:szCs w:val="20"/>
        </w:rPr>
        <w:t xml:space="preserve"> reflects a lack of attention to the recitation, their interaction takes place in a friendly atmosphere, free from prejudice or ethnic conflict. This scene suggests that harmonious social relationships already exist in their daily lives, even though their understanding of national values still requires strengthening. According to Wan Husin et al. (2022), unity in a multicultural society can be enhanced through positive social interactions and mutual respect among individuals from</w:t>
      </w:r>
    </w:p>
    <w:p w14:paraId="4FE6B41E" w14:textId="77777777" w:rsidR="004038B5" w:rsidRDefault="004038B5">
      <w:pPr>
        <w:spacing w:after="0"/>
        <w:jc w:val="both"/>
        <w:rPr>
          <w:rFonts w:ascii="Times New Roman" w:hAnsi="Times New Roman" w:cs="Times New Roman"/>
          <w:bCs/>
          <w:sz w:val="20"/>
          <w:szCs w:val="20"/>
        </w:rPr>
      </w:pPr>
    </w:p>
    <w:p w14:paraId="6098D370" w14:textId="77777777" w:rsidR="004038B5" w:rsidRDefault="004038B5">
      <w:pPr>
        <w:spacing w:after="0"/>
        <w:jc w:val="center"/>
        <w:rPr>
          <w:rFonts w:ascii="Times New Roman" w:hAnsi="Times New Roman" w:cs="Times New Roman"/>
          <w:b/>
          <w:sz w:val="20"/>
          <w:szCs w:val="20"/>
        </w:rPr>
      </w:pPr>
    </w:p>
    <w:p w14:paraId="61F46925" w14:textId="77777777" w:rsidR="004038B5" w:rsidRDefault="004038B5">
      <w:pPr>
        <w:spacing w:after="0"/>
        <w:jc w:val="center"/>
        <w:rPr>
          <w:rFonts w:ascii="Times New Roman" w:hAnsi="Times New Roman" w:cs="Times New Roman"/>
          <w:b/>
          <w:sz w:val="20"/>
          <w:szCs w:val="20"/>
        </w:rPr>
      </w:pPr>
    </w:p>
    <w:p w14:paraId="78729B23" w14:textId="77777777" w:rsidR="004038B5" w:rsidRDefault="004038B5">
      <w:pPr>
        <w:spacing w:after="0"/>
        <w:jc w:val="both"/>
        <w:rPr>
          <w:rFonts w:ascii="Times New Roman" w:hAnsi="Times New Roman" w:cs="Times New Roman"/>
          <w:b/>
          <w:sz w:val="20"/>
          <w:szCs w:val="20"/>
        </w:rPr>
      </w:pPr>
    </w:p>
    <w:p w14:paraId="5FB680BA" w14:textId="77777777" w:rsidR="004038B5" w:rsidRDefault="004038B5">
      <w:pPr>
        <w:spacing w:after="0"/>
        <w:jc w:val="center"/>
        <w:rPr>
          <w:rFonts w:ascii="Times New Roman" w:hAnsi="Times New Roman" w:cs="Times New Roman"/>
          <w:b/>
          <w:sz w:val="20"/>
          <w:szCs w:val="20"/>
        </w:rPr>
      </w:pPr>
    </w:p>
    <w:p w14:paraId="777558E0" w14:textId="77777777" w:rsidR="004038B5" w:rsidRDefault="004038B5">
      <w:pPr>
        <w:spacing w:after="0"/>
        <w:jc w:val="center"/>
        <w:rPr>
          <w:rFonts w:ascii="Times New Roman" w:hAnsi="Times New Roman" w:cs="Times New Roman"/>
          <w:b/>
          <w:sz w:val="20"/>
          <w:szCs w:val="20"/>
        </w:rPr>
      </w:pPr>
    </w:p>
    <w:p w14:paraId="6BDF8C7F" w14:textId="77777777" w:rsidR="004038B5" w:rsidRDefault="00000000">
      <w:pPr>
        <w:spacing w:after="0"/>
        <w:jc w:val="center"/>
        <w:rPr>
          <w:rFonts w:ascii="Times New Roman" w:hAnsi="Times New Roman" w:cs="Times New Roman"/>
          <w:b/>
          <w:sz w:val="20"/>
          <w:szCs w:val="20"/>
        </w:rPr>
      </w:pPr>
      <w:r>
        <w:rPr>
          <w:rFonts w:ascii="Cambria" w:hAnsi="Cambria" w:cs="Times New Roman"/>
          <w:noProof/>
          <w:lang w:val="ms-MY"/>
        </w:rPr>
        <w:lastRenderedPageBreak/>
        <w:drawing>
          <wp:inline distT="0" distB="0" distL="0" distR="0" wp14:anchorId="4268BC4E" wp14:editId="470CD859">
            <wp:extent cx="4399915" cy="2474595"/>
            <wp:effectExtent l="0" t="0" r="635" b="1905"/>
            <wp:docPr id="9084875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87571" name="Picture 4"/>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433380" cy="2493715"/>
                    </a:xfrm>
                    <a:prstGeom prst="rect">
                      <a:avLst/>
                    </a:prstGeom>
                  </pic:spPr>
                </pic:pic>
              </a:graphicData>
            </a:graphic>
          </wp:inline>
        </w:drawing>
      </w:r>
    </w:p>
    <w:p w14:paraId="7A1DDF8A" w14:textId="77777777" w:rsidR="004038B5" w:rsidRDefault="00000000">
      <w:pPr>
        <w:spacing w:after="0"/>
        <w:jc w:val="center"/>
        <w:rPr>
          <w:rFonts w:ascii="Times New Roman" w:hAnsi="Times New Roman" w:cs="Times New Roman"/>
          <w:b/>
          <w:sz w:val="20"/>
          <w:szCs w:val="20"/>
        </w:rPr>
      </w:pPr>
      <w:r>
        <w:rPr>
          <w:rFonts w:ascii="Times New Roman" w:hAnsi="Times New Roman" w:cs="Times New Roman"/>
          <w:b/>
          <w:sz w:val="20"/>
          <w:szCs w:val="20"/>
        </w:rPr>
        <w:t xml:space="preserve">Figure 6: A Scene Showing Students Not Paying Attention During the Recitation of the </w:t>
      </w:r>
      <w:proofErr w:type="spellStart"/>
      <w:r>
        <w:rPr>
          <w:rFonts w:ascii="Times New Roman" w:hAnsi="Times New Roman" w:cs="Times New Roman"/>
          <w:b/>
          <w:sz w:val="20"/>
          <w:szCs w:val="20"/>
        </w:rPr>
        <w:t>Rukun</w:t>
      </w:r>
      <w:proofErr w:type="spellEnd"/>
      <w:r>
        <w:rPr>
          <w:rFonts w:ascii="Times New Roman" w:hAnsi="Times New Roman" w:cs="Times New Roman"/>
          <w:b/>
          <w:sz w:val="20"/>
          <w:szCs w:val="20"/>
        </w:rPr>
        <w:t xml:space="preserve"> Negara.</w:t>
      </w:r>
    </w:p>
    <w:p w14:paraId="6715B7A1" w14:textId="77777777" w:rsidR="004038B5" w:rsidRDefault="004038B5">
      <w:pPr>
        <w:spacing w:after="0"/>
        <w:rPr>
          <w:rFonts w:ascii="Times New Roman" w:hAnsi="Times New Roman" w:cs="Times New Roman"/>
          <w:b/>
          <w:sz w:val="20"/>
          <w:szCs w:val="20"/>
        </w:rPr>
      </w:pPr>
    </w:p>
    <w:p w14:paraId="47327720"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Overall, the school assembly scene between minutes 0:30 and 0:59 serves as the foundation of the unity narrative in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 xml:space="preserve">. Signifiers such as the recitation of the </w:t>
      </w:r>
      <w:proofErr w:type="spellStart"/>
      <w:r>
        <w:rPr>
          <w:rFonts w:ascii="Times New Roman" w:hAnsi="Times New Roman" w:cs="Times New Roman"/>
          <w:bCs/>
          <w:sz w:val="20"/>
          <w:szCs w:val="20"/>
        </w:rPr>
        <w:t>Rukun</w:t>
      </w:r>
      <w:proofErr w:type="spellEnd"/>
      <w:r>
        <w:rPr>
          <w:rFonts w:ascii="Times New Roman" w:hAnsi="Times New Roman" w:cs="Times New Roman"/>
          <w:bCs/>
          <w:sz w:val="20"/>
          <w:szCs w:val="20"/>
        </w:rPr>
        <w:t xml:space="preserve"> Negara, the Sikh student leading the recitation, the teacher, and students from diverse ethnic backgrounds generate </w:t>
      </w:r>
      <w:proofErr w:type="spellStart"/>
      <w:r>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related to shared values, inclusivity, education, and social harmony. This relationship constructs a narrative that unity is not merely something to be </w:t>
      </w:r>
      <w:proofErr w:type="spellStart"/>
      <w:r>
        <w:rPr>
          <w:rFonts w:ascii="Times New Roman" w:hAnsi="Times New Roman" w:cs="Times New Roman"/>
          <w:bCs/>
          <w:sz w:val="20"/>
          <w:szCs w:val="20"/>
        </w:rPr>
        <w:t>memorised</w:t>
      </w:r>
      <w:proofErr w:type="spellEnd"/>
      <w:r>
        <w:rPr>
          <w:rFonts w:ascii="Times New Roman" w:hAnsi="Times New Roman" w:cs="Times New Roman"/>
          <w:bCs/>
          <w:sz w:val="20"/>
          <w:szCs w:val="20"/>
        </w:rPr>
        <w:t xml:space="preserve">, but rather something that must be understood, appreciated, and </w:t>
      </w:r>
      <w:proofErr w:type="spellStart"/>
      <w:r>
        <w:rPr>
          <w:rFonts w:ascii="Times New Roman" w:hAnsi="Times New Roman" w:cs="Times New Roman"/>
          <w:bCs/>
          <w:sz w:val="20"/>
          <w:szCs w:val="20"/>
        </w:rPr>
        <w:t>practised</w:t>
      </w:r>
      <w:proofErr w:type="spellEnd"/>
      <w:r>
        <w:rPr>
          <w:rFonts w:ascii="Times New Roman" w:hAnsi="Times New Roman" w:cs="Times New Roman"/>
          <w:bCs/>
          <w:sz w:val="20"/>
          <w:szCs w:val="20"/>
        </w:rPr>
        <w:t xml:space="preserve"> in everyday life.</w:t>
      </w:r>
    </w:p>
    <w:p w14:paraId="7610E615" w14:textId="77777777" w:rsidR="004038B5" w:rsidRDefault="004038B5">
      <w:pPr>
        <w:spacing w:after="0"/>
        <w:jc w:val="center"/>
        <w:rPr>
          <w:rFonts w:ascii="Times New Roman" w:hAnsi="Times New Roman" w:cs="Times New Roman"/>
          <w:b/>
          <w:sz w:val="20"/>
          <w:szCs w:val="20"/>
        </w:rPr>
      </w:pPr>
    </w:p>
    <w:p w14:paraId="01579D35"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5.3.2 Education as a Medium for Fostering Unity</w:t>
      </w:r>
    </w:p>
    <w:p w14:paraId="1936AB2F" w14:textId="77777777" w:rsidR="004038B5" w:rsidRDefault="004038B5">
      <w:pPr>
        <w:spacing w:after="0"/>
        <w:jc w:val="both"/>
        <w:rPr>
          <w:rFonts w:ascii="Times New Roman" w:hAnsi="Times New Roman" w:cs="Times New Roman"/>
          <w:b/>
          <w:bCs/>
          <w:sz w:val="20"/>
          <w:szCs w:val="20"/>
        </w:rPr>
      </w:pPr>
    </w:p>
    <w:p w14:paraId="6151F501" w14:textId="0D3847B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The unity narrative in </w:t>
      </w:r>
      <w:proofErr w:type="spellStart"/>
      <w:r>
        <w:rPr>
          <w:rFonts w:ascii="Times New Roman" w:hAnsi="Times New Roman" w:cs="Times New Roman"/>
          <w:bCs/>
          <w:i/>
          <w:iCs/>
          <w:sz w:val="20"/>
          <w:szCs w:val="20"/>
        </w:rPr>
        <w:t>Sepenuh</w:t>
      </w:r>
      <w:proofErr w:type="spellEnd"/>
      <w:r>
        <w:rPr>
          <w:rFonts w:ascii="Times New Roman" w:hAnsi="Times New Roman" w:cs="Times New Roman"/>
          <w:bCs/>
          <w:i/>
          <w:iCs/>
          <w:sz w:val="20"/>
          <w:szCs w:val="20"/>
        </w:rPr>
        <w:t xml:space="preserve"> Hati</w:t>
      </w:r>
      <w:r>
        <w:rPr>
          <w:rFonts w:ascii="Times New Roman" w:hAnsi="Times New Roman" w:cs="Times New Roman"/>
          <w:bCs/>
          <w:sz w:val="20"/>
          <w:szCs w:val="20"/>
        </w:rPr>
        <w:t xml:space="preserve"> continues to develop through a classroom scene that takes place between minutes 1:55 and 5:06. In this scene,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seeks to help her students understand the true meaning of the pledge they recite every day. From Saussure’s semiotic perspective (1974), the character of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functions as a signifier that refers to the signified of education and character formation. The relationship between this signifier and signified constructs a narrative that unity must be nurtured through an educational process that encourages understanding, appreciation, and the practice of values in everyday life. At minute 1:55,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asks her students, “What did all of you recite during the assembly this morning?” Kenneth Yeong Tuck Wei responds at minute 2:05, stating that they recited the pledge. Subsequently, at minute 2:14,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asks Muthusamy </w:t>
      </w:r>
      <w:proofErr w:type="spellStart"/>
      <w:r>
        <w:rPr>
          <w:rFonts w:ascii="Times New Roman" w:hAnsi="Times New Roman" w:cs="Times New Roman"/>
          <w:bCs/>
          <w:sz w:val="20"/>
          <w:szCs w:val="20"/>
        </w:rPr>
        <w:t>Karupiah</w:t>
      </w:r>
      <w:proofErr w:type="spellEnd"/>
      <w:r>
        <w:rPr>
          <w:rFonts w:ascii="Times New Roman" w:hAnsi="Times New Roman" w:cs="Times New Roman"/>
          <w:bCs/>
          <w:sz w:val="20"/>
          <w:szCs w:val="20"/>
        </w:rPr>
        <w:t xml:space="preserve"> how long they have been reciting the pledge, before Azim interjects at minute 2:31, replying that they have been doing so since Year One. This dialogue illustrates that the pledge has become part of the students’ daily routine. However,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Murni’s question at minute 2:40</w:t>
      </w:r>
      <w:r w:rsidR="00D7564C">
        <w:rPr>
          <w:rFonts w:ascii="Times New Roman" w:hAnsi="Times New Roman" w:cs="Times New Roman"/>
          <w:bCs/>
          <w:sz w:val="20"/>
          <w:szCs w:val="20"/>
        </w:rPr>
        <w:t xml:space="preserve"> </w:t>
      </w:r>
      <w:r>
        <w:rPr>
          <w:rFonts w:ascii="Times New Roman" w:hAnsi="Times New Roman" w:cs="Times New Roman"/>
          <w:bCs/>
          <w:sz w:val="20"/>
          <w:szCs w:val="20"/>
        </w:rPr>
        <w:t>whether they truly understand what they are reciting</w:t>
      </w:r>
      <w:r w:rsidR="00D7564C">
        <w:rPr>
          <w:rFonts w:ascii="Times New Roman" w:hAnsi="Times New Roman" w:cs="Times New Roman"/>
          <w:bCs/>
          <w:sz w:val="20"/>
          <w:szCs w:val="20"/>
        </w:rPr>
        <w:t xml:space="preserve"> </w:t>
      </w:r>
      <w:r>
        <w:rPr>
          <w:rFonts w:ascii="Times New Roman" w:hAnsi="Times New Roman" w:cs="Times New Roman"/>
          <w:bCs/>
          <w:sz w:val="20"/>
          <w:szCs w:val="20"/>
        </w:rPr>
        <w:t>opens the door to reflection on the actual meaning of the pledge.</w:t>
      </w:r>
    </w:p>
    <w:p w14:paraId="2030FEEB" w14:textId="77777777" w:rsidR="004038B5" w:rsidRDefault="004038B5">
      <w:pPr>
        <w:spacing w:after="0"/>
        <w:jc w:val="both"/>
        <w:rPr>
          <w:rFonts w:ascii="Times New Roman" w:hAnsi="Times New Roman" w:cs="Times New Roman"/>
          <w:b/>
          <w:sz w:val="20"/>
          <w:szCs w:val="20"/>
        </w:rPr>
      </w:pPr>
    </w:p>
    <w:p w14:paraId="12B04D8C"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52D4AA45" wp14:editId="4394EE09">
            <wp:extent cx="4591050" cy="2582545"/>
            <wp:effectExtent l="0" t="0" r="0" b="8255"/>
            <wp:docPr id="2419544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954429" name="Picture 8"/>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31318" cy="2605053"/>
                    </a:xfrm>
                    <a:prstGeom prst="rect">
                      <a:avLst/>
                    </a:prstGeom>
                  </pic:spPr>
                </pic:pic>
              </a:graphicData>
            </a:graphic>
          </wp:inline>
        </w:drawing>
      </w:r>
    </w:p>
    <w:p w14:paraId="109BB4FA"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Figure 7: </w:t>
      </w:r>
      <w:proofErr w:type="spellStart"/>
      <w:r>
        <w:rPr>
          <w:rFonts w:ascii="Times New Roman" w:hAnsi="Times New Roman" w:cs="Times New Roman"/>
          <w:b/>
          <w:bCs/>
          <w:sz w:val="20"/>
          <w:szCs w:val="20"/>
        </w:rPr>
        <w:t>Cikgu</w:t>
      </w:r>
      <w:proofErr w:type="spellEnd"/>
      <w:r>
        <w:rPr>
          <w:rFonts w:ascii="Times New Roman" w:hAnsi="Times New Roman" w:cs="Times New Roman"/>
          <w:b/>
          <w:bCs/>
          <w:sz w:val="20"/>
          <w:szCs w:val="20"/>
        </w:rPr>
        <w:t xml:space="preserve"> Murni asking students about the pledge</w:t>
      </w:r>
    </w:p>
    <w:p w14:paraId="407A8861" w14:textId="77777777" w:rsidR="004038B5" w:rsidRDefault="004038B5">
      <w:pPr>
        <w:spacing w:after="0"/>
        <w:jc w:val="both"/>
        <w:rPr>
          <w:rFonts w:ascii="Times New Roman" w:hAnsi="Times New Roman" w:cs="Times New Roman"/>
          <w:b/>
          <w:sz w:val="20"/>
          <w:szCs w:val="20"/>
        </w:rPr>
      </w:pPr>
    </w:p>
    <w:p w14:paraId="37CEB580"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This scene signifies that education is not merely a process of transmitting knowledge but also a means of cultivating awareness and appreciation of values among students. This finding is consistent with Wan Husin et al. (2022), who </w:t>
      </w:r>
      <w:proofErr w:type="gramStart"/>
      <w:r>
        <w:rPr>
          <w:rFonts w:ascii="Times New Roman" w:hAnsi="Times New Roman" w:cs="Times New Roman"/>
          <w:bCs/>
          <w:sz w:val="20"/>
          <w:szCs w:val="20"/>
        </w:rPr>
        <w:t>argue</w:t>
      </w:r>
      <w:proofErr w:type="gramEnd"/>
      <w:r>
        <w:rPr>
          <w:rFonts w:ascii="Times New Roman" w:hAnsi="Times New Roman" w:cs="Times New Roman"/>
          <w:bCs/>
          <w:sz w:val="20"/>
          <w:szCs w:val="20"/>
        </w:rPr>
        <w:t xml:space="preserve"> that education plays an important role in fostering tolerance, social responsibility, and unity within a multicultural society. In the context of this </w:t>
      </w:r>
      <w:r>
        <w:rPr>
          <w:rFonts w:ascii="Times New Roman" w:hAnsi="Times New Roman" w:cs="Times New Roman"/>
          <w:bCs/>
          <w:sz w:val="20"/>
          <w:szCs w:val="20"/>
        </w:rPr>
        <w:lastRenderedPageBreak/>
        <w:t xml:space="preserve">advertisement, the educational process portrayed goes beyond </w:t>
      </w:r>
      <w:proofErr w:type="spellStart"/>
      <w:r>
        <w:rPr>
          <w:rFonts w:ascii="Times New Roman" w:hAnsi="Times New Roman" w:cs="Times New Roman"/>
          <w:bCs/>
          <w:sz w:val="20"/>
          <w:szCs w:val="20"/>
        </w:rPr>
        <w:t>memorisation</w:t>
      </w:r>
      <w:proofErr w:type="spellEnd"/>
      <w:r>
        <w:rPr>
          <w:rFonts w:ascii="Times New Roman" w:hAnsi="Times New Roman" w:cs="Times New Roman"/>
          <w:bCs/>
          <w:sz w:val="20"/>
          <w:szCs w:val="20"/>
        </w:rPr>
        <w:t xml:space="preserve"> and instead emphasizes understanding the values that underpin a particular practice.</w:t>
      </w:r>
    </w:p>
    <w:p w14:paraId="1015B530" w14:textId="77777777" w:rsidR="004038B5" w:rsidRDefault="004038B5">
      <w:pPr>
        <w:spacing w:after="0"/>
        <w:jc w:val="both"/>
        <w:rPr>
          <w:rFonts w:ascii="Times New Roman" w:hAnsi="Times New Roman" w:cs="Times New Roman"/>
          <w:bCs/>
          <w:sz w:val="20"/>
          <w:szCs w:val="20"/>
        </w:rPr>
      </w:pPr>
    </w:p>
    <w:p w14:paraId="2BD4A311" w14:textId="77777777" w:rsidR="004038B5" w:rsidRDefault="00000000">
      <w:pPr>
        <w:spacing w:after="0"/>
        <w:jc w:val="both"/>
        <w:rPr>
          <w:rFonts w:ascii="Times New Roman" w:hAnsi="Times New Roman" w:cs="Times New Roman"/>
          <w:bCs/>
          <w:sz w:val="20"/>
          <w:szCs w:val="20"/>
        </w:rPr>
      </w:pPr>
      <w:r>
        <w:rPr>
          <w:rFonts w:ascii="Times New Roman" w:hAnsi="Times New Roman" w:cs="Times New Roman"/>
          <w:bCs/>
          <w:sz w:val="20"/>
          <w:szCs w:val="20"/>
        </w:rPr>
        <w:t xml:space="preserve">The climax of this scene can be observed between minutes 3:45 and 4:21, when </w:t>
      </w:r>
      <w:proofErr w:type="spellStart"/>
      <w:r>
        <w:rPr>
          <w:rFonts w:ascii="Times New Roman" w:hAnsi="Times New Roman" w:cs="Times New Roman"/>
          <w:bCs/>
          <w:sz w:val="20"/>
          <w:szCs w:val="20"/>
        </w:rPr>
        <w:t>Cikgu</w:t>
      </w:r>
      <w:proofErr w:type="spellEnd"/>
      <w:r>
        <w:rPr>
          <w:rFonts w:ascii="Times New Roman" w:hAnsi="Times New Roman" w:cs="Times New Roman"/>
          <w:bCs/>
          <w:sz w:val="20"/>
          <w:szCs w:val="20"/>
        </w:rPr>
        <w:t xml:space="preserve"> Murni explains the meaning of the pledge in a calm yet deeply reflective tone. She describes the pledge as a promise written to unite society, enabling people with differing views to understand one another, strangers to become like family, and enemies to become friends. During this explanation, the students are shown standing and focusing their attention on the text of the pledge printed on the back cover of their exercise books. This visual focus on the pledge functions as a signifier that reflects a process of reflection and understanding taking place among the students. Unlike the assembly scene at the beginning of the advertisement, where they recite the pledge without appreciation, this scene demonstrates a shift as the students begin to pay attention to the meaning behind the words they recite.</w:t>
      </w:r>
    </w:p>
    <w:p w14:paraId="17809899" w14:textId="77777777" w:rsidR="004038B5" w:rsidRDefault="004038B5">
      <w:pPr>
        <w:spacing w:after="0"/>
        <w:jc w:val="both"/>
        <w:rPr>
          <w:rFonts w:ascii="Times New Roman" w:hAnsi="Times New Roman" w:cs="Times New Roman"/>
          <w:bCs/>
          <w:sz w:val="20"/>
          <w:szCs w:val="20"/>
        </w:rPr>
      </w:pPr>
    </w:p>
    <w:p w14:paraId="3B6ADBC1" w14:textId="77777777" w:rsidR="004038B5" w:rsidRDefault="004038B5">
      <w:pPr>
        <w:spacing w:after="0"/>
        <w:jc w:val="both"/>
        <w:rPr>
          <w:rFonts w:ascii="Times New Roman" w:hAnsi="Times New Roman" w:cs="Times New Roman"/>
          <w:bCs/>
          <w:sz w:val="20"/>
          <w:szCs w:val="20"/>
        </w:rPr>
      </w:pPr>
    </w:p>
    <w:p w14:paraId="0D7D6178"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437CA85C" wp14:editId="2053AA24">
            <wp:extent cx="4326890" cy="2433955"/>
            <wp:effectExtent l="0" t="0" r="0" b="4445"/>
            <wp:docPr id="32053798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537984" name="Picture 10"/>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71610" cy="2458970"/>
                    </a:xfrm>
                    <a:prstGeom prst="rect">
                      <a:avLst/>
                    </a:prstGeom>
                  </pic:spPr>
                </pic:pic>
              </a:graphicData>
            </a:graphic>
          </wp:inline>
        </w:drawing>
      </w:r>
    </w:p>
    <w:p w14:paraId="1E10F0B8" w14:textId="77777777" w:rsidR="004038B5" w:rsidRDefault="00000000">
      <w:pPr>
        <w:spacing w:after="0"/>
        <w:jc w:val="center"/>
        <w:rPr>
          <w:rFonts w:ascii="Times New Roman" w:hAnsi="Times New Roman" w:cs="Times New Roman"/>
          <w:b/>
          <w:sz w:val="20"/>
          <w:szCs w:val="20"/>
        </w:rPr>
      </w:pPr>
      <w:r>
        <w:rPr>
          <w:rFonts w:ascii="Times New Roman" w:hAnsi="Times New Roman" w:cs="Times New Roman"/>
          <w:b/>
          <w:bCs/>
          <w:sz w:val="20"/>
          <w:szCs w:val="20"/>
        </w:rPr>
        <w:t xml:space="preserve">Figure 8: Students looking at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 text printed on the back of their exercise books</w:t>
      </w:r>
    </w:p>
    <w:p w14:paraId="0AEF7832" w14:textId="77777777" w:rsidR="004038B5" w:rsidRDefault="004038B5">
      <w:pPr>
        <w:spacing w:after="0"/>
        <w:rPr>
          <w:rFonts w:ascii="Times New Roman" w:hAnsi="Times New Roman" w:cs="Times New Roman"/>
          <w:b/>
          <w:sz w:val="20"/>
          <w:szCs w:val="20"/>
        </w:rPr>
      </w:pPr>
    </w:p>
    <w:p w14:paraId="1B380952" w14:textId="77777777" w:rsidR="001E472C" w:rsidRPr="001E472C" w:rsidRDefault="001E472C" w:rsidP="001E472C">
      <w:pPr>
        <w:spacing w:after="0"/>
        <w:jc w:val="both"/>
        <w:rPr>
          <w:rFonts w:ascii="Times New Roman" w:hAnsi="Times New Roman" w:cs="Times New Roman"/>
          <w:bCs/>
          <w:sz w:val="20"/>
          <w:szCs w:val="20"/>
        </w:rPr>
      </w:pPr>
      <w:r w:rsidRPr="001E472C">
        <w:rPr>
          <w:rFonts w:ascii="Times New Roman" w:hAnsi="Times New Roman" w:cs="Times New Roman"/>
          <w:bCs/>
          <w:sz w:val="20"/>
          <w:szCs w:val="20"/>
        </w:rPr>
        <w:t xml:space="preserve">At the same time, using soft, quiet background music is crucial to establishing a </w:t>
      </w:r>
      <w:proofErr w:type="gramStart"/>
      <w:r w:rsidRPr="001E472C">
        <w:rPr>
          <w:rFonts w:ascii="Times New Roman" w:hAnsi="Times New Roman" w:cs="Times New Roman"/>
          <w:bCs/>
          <w:sz w:val="20"/>
          <w:szCs w:val="20"/>
        </w:rPr>
        <w:t>deeply</w:t>
      </w:r>
      <w:proofErr w:type="gramEnd"/>
      <w:r w:rsidRPr="001E472C">
        <w:rPr>
          <w:rFonts w:ascii="Times New Roman" w:hAnsi="Times New Roman" w:cs="Times New Roman"/>
          <w:bCs/>
          <w:sz w:val="20"/>
          <w:szCs w:val="20"/>
        </w:rPr>
        <w:t xml:space="preserve"> emotional mood. This aural component serves as a signifier from a semiotic standpoint, referring to the </w:t>
      </w:r>
      <w:proofErr w:type="spellStart"/>
      <w:r w:rsidRPr="001E472C">
        <w:rPr>
          <w:rFonts w:ascii="Times New Roman" w:hAnsi="Times New Roman" w:cs="Times New Roman"/>
          <w:bCs/>
          <w:sz w:val="20"/>
          <w:szCs w:val="20"/>
        </w:rPr>
        <w:t>signifieds</w:t>
      </w:r>
      <w:proofErr w:type="spellEnd"/>
      <w:r w:rsidRPr="001E472C">
        <w:rPr>
          <w:rFonts w:ascii="Times New Roman" w:hAnsi="Times New Roman" w:cs="Times New Roman"/>
          <w:bCs/>
          <w:sz w:val="20"/>
          <w:szCs w:val="20"/>
        </w:rPr>
        <w:t xml:space="preserve"> of awareness, appreciation, and contemplation of the ideals being communicated. </w:t>
      </w:r>
      <w:proofErr w:type="spellStart"/>
      <w:r w:rsidRPr="001E472C">
        <w:rPr>
          <w:rFonts w:ascii="Times New Roman" w:hAnsi="Times New Roman" w:cs="Times New Roman"/>
          <w:bCs/>
          <w:sz w:val="20"/>
          <w:szCs w:val="20"/>
        </w:rPr>
        <w:t>Cikgu</w:t>
      </w:r>
      <w:proofErr w:type="spellEnd"/>
      <w:r w:rsidRPr="001E472C">
        <w:rPr>
          <w:rFonts w:ascii="Times New Roman" w:hAnsi="Times New Roman" w:cs="Times New Roman"/>
          <w:bCs/>
          <w:sz w:val="20"/>
          <w:szCs w:val="20"/>
        </w:rPr>
        <w:t xml:space="preserve"> Murni's speech, the pledge's visual emphasis, and the poignant music all work together to produce a dramatic effect that invites viewers to consider the pledge's actual meaning. The discourse itself serves as a language signifier that alludes to the </w:t>
      </w:r>
      <w:proofErr w:type="spellStart"/>
      <w:r w:rsidRPr="001E472C">
        <w:rPr>
          <w:rFonts w:ascii="Times New Roman" w:hAnsi="Times New Roman" w:cs="Times New Roman"/>
          <w:bCs/>
          <w:sz w:val="20"/>
          <w:szCs w:val="20"/>
        </w:rPr>
        <w:t>signifieds</w:t>
      </w:r>
      <w:proofErr w:type="spellEnd"/>
      <w:r w:rsidRPr="001E472C">
        <w:rPr>
          <w:rFonts w:ascii="Times New Roman" w:hAnsi="Times New Roman" w:cs="Times New Roman"/>
          <w:bCs/>
          <w:sz w:val="20"/>
          <w:szCs w:val="20"/>
        </w:rPr>
        <w:t xml:space="preserve"> of social cohesion, understanding, and unity. The advertisement illustrates that unity is based on a shared commitment to understanding, respecting, and appreciating one another rather than just a shared identity </w:t>
      </w:r>
      <w:proofErr w:type="gramStart"/>
      <w:r w:rsidRPr="001E472C">
        <w:rPr>
          <w:rFonts w:ascii="Times New Roman" w:hAnsi="Times New Roman" w:cs="Times New Roman"/>
          <w:bCs/>
          <w:sz w:val="20"/>
          <w:szCs w:val="20"/>
        </w:rPr>
        <w:t>through the use of</w:t>
      </w:r>
      <w:proofErr w:type="gramEnd"/>
      <w:r w:rsidRPr="001E472C">
        <w:rPr>
          <w:rFonts w:ascii="Times New Roman" w:hAnsi="Times New Roman" w:cs="Times New Roman"/>
          <w:bCs/>
          <w:sz w:val="20"/>
          <w:szCs w:val="20"/>
        </w:rPr>
        <w:t xml:space="preserve"> visual, linguistic, and auditory aspects.</w:t>
      </w:r>
    </w:p>
    <w:p w14:paraId="608A7E2D" w14:textId="4FCA3CB8" w:rsidR="00842A9C" w:rsidRDefault="00842A9C">
      <w:pPr>
        <w:spacing w:after="0"/>
        <w:jc w:val="both"/>
        <w:rPr>
          <w:rFonts w:ascii="Times New Roman" w:hAnsi="Times New Roman" w:cs="Times New Roman"/>
          <w:bCs/>
          <w:sz w:val="20"/>
          <w:szCs w:val="20"/>
        </w:rPr>
      </w:pPr>
    </w:p>
    <w:p w14:paraId="4C98E25C" w14:textId="77777777" w:rsidR="001E472C" w:rsidRPr="001E472C" w:rsidRDefault="001E472C" w:rsidP="001E472C">
      <w:pPr>
        <w:spacing w:after="0"/>
        <w:jc w:val="both"/>
        <w:rPr>
          <w:rFonts w:ascii="Times New Roman" w:hAnsi="Times New Roman" w:cs="Times New Roman"/>
          <w:bCs/>
          <w:sz w:val="20"/>
          <w:szCs w:val="20"/>
        </w:rPr>
      </w:pPr>
      <w:proofErr w:type="spellStart"/>
      <w:r w:rsidRPr="001E472C">
        <w:rPr>
          <w:rFonts w:ascii="Times New Roman" w:hAnsi="Times New Roman" w:cs="Times New Roman"/>
          <w:bCs/>
          <w:sz w:val="20"/>
          <w:szCs w:val="20"/>
        </w:rPr>
        <w:t>Cikgu</w:t>
      </w:r>
      <w:proofErr w:type="spellEnd"/>
      <w:r w:rsidRPr="001E472C">
        <w:rPr>
          <w:rFonts w:ascii="Times New Roman" w:hAnsi="Times New Roman" w:cs="Times New Roman"/>
          <w:bCs/>
          <w:sz w:val="20"/>
          <w:szCs w:val="20"/>
        </w:rPr>
        <w:t xml:space="preserve"> Murni raises her hand between minutes 4:22 and 4:53, reciting her commitment to teaching her students with diligence as a teacher. This scene serves as an illustration of how educators must first model the ideals they teach their students. Semiotically speaking, this activity supports the idea that education is a process of creating values via dedication, sacrifice, and example. The close-up of </w:t>
      </w:r>
      <w:proofErr w:type="spellStart"/>
      <w:r w:rsidRPr="001E472C">
        <w:rPr>
          <w:rFonts w:ascii="Times New Roman" w:hAnsi="Times New Roman" w:cs="Times New Roman"/>
          <w:bCs/>
          <w:sz w:val="20"/>
          <w:szCs w:val="20"/>
        </w:rPr>
        <w:t>Cikgu</w:t>
      </w:r>
      <w:proofErr w:type="spellEnd"/>
      <w:r w:rsidRPr="001E472C">
        <w:rPr>
          <w:rFonts w:ascii="Times New Roman" w:hAnsi="Times New Roman" w:cs="Times New Roman"/>
          <w:bCs/>
          <w:sz w:val="20"/>
          <w:szCs w:val="20"/>
        </w:rPr>
        <w:t xml:space="preserve"> Murni’s tearful eyes while reciting the oath further communicates her sincerity and determination to completing her responsibilities as a teacher.</w:t>
      </w:r>
    </w:p>
    <w:p w14:paraId="51547045" w14:textId="77777777" w:rsidR="004038B5" w:rsidRDefault="004038B5">
      <w:pPr>
        <w:spacing w:after="0"/>
        <w:jc w:val="both"/>
        <w:rPr>
          <w:rFonts w:ascii="Times New Roman" w:hAnsi="Times New Roman" w:cs="Times New Roman"/>
          <w:bCs/>
          <w:sz w:val="20"/>
          <w:szCs w:val="20"/>
        </w:rPr>
      </w:pPr>
    </w:p>
    <w:p w14:paraId="2F63EDDF" w14:textId="77777777" w:rsidR="004038B5" w:rsidRDefault="00000000">
      <w:pPr>
        <w:spacing w:after="0"/>
        <w:jc w:val="center"/>
        <w:rPr>
          <w:rFonts w:ascii="Times New Roman" w:hAnsi="Times New Roman" w:cs="Times New Roman"/>
          <w:bCs/>
          <w:sz w:val="20"/>
          <w:szCs w:val="20"/>
        </w:rPr>
      </w:pPr>
      <w:r>
        <w:rPr>
          <w:rFonts w:ascii="Cambria" w:hAnsi="Cambria" w:cs="Times New Roman"/>
          <w:noProof/>
        </w:rPr>
        <w:drawing>
          <wp:inline distT="0" distB="0" distL="0" distR="0" wp14:anchorId="44B2DCF4" wp14:editId="1CD3471F">
            <wp:extent cx="4479290" cy="2519680"/>
            <wp:effectExtent l="0" t="0" r="0" b="0"/>
            <wp:docPr id="14982360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8236000" name="Picture 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504435" cy="2533682"/>
                    </a:xfrm>
                    <a:prstGeom prst="rect">
                      <a:avLst/>
                    </a:prstGeom>
                  </pic:spPr>
                </pic:pic>
              </a:graphicData>
            </a:graphic>
          </wp:inline>
        </w:drawing>
      </w:r>
    </w:p>
    <w:p w14:paraId="27A93F95"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Figure 9: </w:t>
      </w:r>
      <w:proofErr w:type="spellStart"/>
      <w:r>
        <w:rPr>
          <w:rFonts w:ascii="Times New Roman" w:hAnsi="Times New Roman" w:cs="Times New Roman"/>
          <w:b/>
          <w:bCs/>
          <w:sz w:val="20"/>
          <w:szCs w:val="20"/>
        </w:rPr>
        <w:t>Cikgu</w:t>
      </w:r>
      <w:proofErr w:type="spellEnd"/>
      <w:r>
        <w:rPr>
          <w:rFonts w:ascii="Times New Roman" w:hAnsi="Times New Roman" w:cs="Times New Roman"/>
          <w:b/>
          <w:bCs/>
          <w:sz w:val="20"/>
          <w:szCs w:val="20"/>
        </w:rPr>
        <w:t xml:space="preserve"> Murni reciting her promise as a teacher</w:t>
      </w:r>
    </w:p>
    <w:p w14:paraId="22F8FA1E" w14:textId="77777777" w:rsidR="004038B5" w:rsidRDefault="004038B5">
      <w:pPr>
        <w:spacing w:after="0"/>
        <w:jc w:val="both"/>
        <w:rPr>
          <w:rFonts w:ascii="Times New Roman" w:hAnsi="Times New Roman" w:cs="Times New Roman"/>
          <w:b/>
          <w:sz w:val="20"/>
          <w:szCs w:val="20"/>
        </w:rPr>
      </w:pPr>
    </w:p>
    <w:p w14:paraId="36612725" w14:textId="77777777" w:rsidR="00842A9C" w:rsidRPr="00842A9C" w:rsidRDefault="00842A9C" w:rsidP="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At minute 5:00, Azim willingly raises his hand and says the word "Pledge," and at minute 5:06, the other pupils follow suit, demonstrating the efficacy of this instructional process. Notably, Azim leads the recitation, which reverberates across the school premises. This change signifies a change from reciting the promise </w:t>
      </w:r>
      <w:proofErr w:type="gramStart"/>
      <w:r w:rsidRPr="00842A9C">
        <w:rPr>
          <w:rFonts w:ascii="Times New Roman" w:hAnsi="Times New Roman" w:cs="Times New Roman"/>
          <w:bCs/>
          <w:sz w:val="20"/>
          <w:szCs w:val="20"/>
        </w:rPr>
        <w:t>on a daily basis</w:t>
      </w:r>
      <w:proofErr w:type="gramEnd"/>
      <w:r w:rsidRPr="00842A9C">
        <w:rPr>
          <w:rFonts w:ascii="Times New Roman" w:hAnsi="Times New Roman" w:cs="Times New Roman"/>
          <w:bCs/>
          <w:sz w:val="20"/>
          <w:szCs w:val="20"/>
        </w:rPr>
        <w:t xml:space="preserve"> to truly understanding and appreciating it. From a semiotic standpoint, this behavioral shift shows that good education may foster understanding of the principles of solidarity and shared accountability among Malaysian residents.</w:t>
      </w:r>
    </w:p>
    <w:p w14:paraId="4C0DCEF1" w14:textId="77777777" w:rsidR="004038B5" w:rsidRDefault="004038B5">
      <w:pPr>
        <w:spacing w:after="0"/>
        <w:jc w:val="both"/>
        <w:rPr>
          <w:rFonts w:ascii="Times New Roman" w:hAnsi="Times New Roman" w:cs="Times New Roman"/>
          <w:b/>
          <w:sz w:val="20"/>
          <w:szCs w:val="20"/>
        </w:rPr>
      </w:pPr>
    </w:p>
    <w:p w14:paraId="48C8C29A"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705C38DD" wp14:editId="1CFE76DD">
            <wp:extent cx="4410710" cy="2480945"/>
            <wp:effectExtent l="0" t="0" r="8890" b="0"/>
            <wp:docPr id="14938609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3860962" name="Picture 11"/>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33166" cy="2493595"/>
                    </a:xfrm>
                    <a:prstGeom prst="rect">
                      <a:avLst/>
                    </a:prstGeom>
                  </pic:spPr>
                </pic:pic>
              </a:graphicData>
            </a:graphic>
          </wp:inline>
        </w:drawing>
      </w:r>
    </w:p>
    <w:p w14:paraId="58DE599F"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Figure 10: Azim leading the recitation of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 pledge</w:t>
      </w:r>
    </w:p>
    <w:p w14:paraId="65211422" w14:textId="77777777" w:rsidR="004038B5" w:rsidRDefault="004038B5">
      <w:pPr>
        <w:spacing w:after="0"/>
        <w:jc w:val="center"/>
        <w:rPr>
          <w:rFonts w:ascii="Times New Roman" w:hAnsi="Times New Roman" w:cs="Times New Roman"/>
          <w:b/>
          <w:bCs/>
          <w:sz w:val="20"/>
          <w:szCs w:val="20"/>
        </w:rPr>
      </w:pPr>
    </w:p>
    <w:p w14:paraId="593E6C35" w14:textId="77777777" w:rsidR="00842A9C" w:rsidRPr="00842A9C" w:rsidRDefault="00842A9C" w:rsidP="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All things considered, this school picture creates the impression that education is a vital tool for promoting harmony. The relationship between </w:t>
      </w:r>
      <w:proofErr w:type="spellStart"/>
      <w:r w:rsidRPr="00842A9C">
        <w:rPr>
          <w:rFonts w:ascii="Times New Roman" w:hAnsi="Times New Roman" w:cs="Times New Roman"/>
          <w:bCs/>
          <w:sz w:val="20"/>
          <w:szCs w:val="20"/>
        </w:rPr>
        <w:t>signifieds</w:t>
      </w:r>
      <w:proofErr w:type="spellEnd"/>
      <w:r w:rsidRPr="00842A9C">
        <w:rPr>
          <w:rFonts w:ascii="Times New Roman" w:hAnsi="Times New Roman" w:cs="Times New Roman"/>
          <w:bCs/>
          <w:sz w:val="20"/>
          <w:szCs w:val="20"/>
        </w:rPr>
        <w:t xml:space="preserve"> pertaining to awareness, responsibility, and unity and signifiers like the teacher, dialogue, pledge, and students' responses results in the meaning that unity cannot be established solely through memorization or ritual but rather through understanding and appreciation fostered through an ongoing educational process.</w:t>
      </w:r>
    </w:p>
    <w:p w14:paraId="5AEE1434" w14:textId="77777777" w:rsidR="004038B5" w:rsidRDefault="004038B5">
      <w:pPr>
        <w:spacing w:after="0"/>
        <w:jc w:val="both"/>
        <w:rPr>
          <w:rFonts w:ascii="Times New Roman" w:hAnsi="Times New Roman" w:cs="Times New Roman"/>
          <w:b/>
          <w:sz w:val="20"/>
          <w:szCs w:val="20"/>
        </w:rPr>
      </w:pPr>
    </w:p>
    <w:p w14:paraId="7A89E80D" w14:textId="77777777" w:rsidR="004038B5" w:rsidRDefault="00000000">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5.3.3 </w:t>
      </w:r>
      <w:proofErr w:type="spellStart"/>
      <w:r>
        <w:rPr>
          <w:rFonts w:ascii="Times New Roman" w:hAnsi="Times New Roman" w:cs="Times New Roman"/>
          <w:b/>
          <w:bCs/>
          <w:sz w:val="20"/>
          <w:szCs w:val="20"/>
        </w:rPr>
        <w:t>Internalising</w:t>
      </w:r>
      <w:proofErr w:type="spellEnd"/>
      <w:r>
        <w:rPr>
          <w:rFonts w:ascii="Times New Roman" w:hAnsi="Times New Roman" w:cs="Times New Roman"/>
          <w:b/>
          <w:bCs/>
          <w:sz w:val="20"/>
          <w:szCs w:val="20"/>
        </w:rPr>
        <w:t xml:space="preserve"> Shared Values within the School Community</w:t>
      </w:r>
    </w:p>
    <w:p w14:paraId="179840C6" w14:textId="77777777" w:rsidR="004038B5" w:rsidRDefault="004038B5">
      <w:pPr>
        <w:spacing w:after="0"/>
        <w:jc w:val="both"/>
        <w:rPr>
          <w:rFonts w:ascii="Times New Roman" w:hAnsi="Times New Roman" w:cs="Times New Roman"/>
          <w:b/>
          <w:bCs/>
          <w:sz w:val="20"/>
          <w:szCs w:val="20"/>
        </w:rPr>
      </w:pPr>
    </w:p>
    <w:p w14:paraId="46F99DC2" w14:textId="4ACC3564" w:rsidR="004038B5" w:rsidRDefault="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The instructional process that occurs in the classroom is not the conclusion of </w:t>
      </w:r>
      <w:proofErr w:type="spellStart"/>
      <w:r w:rsidRPr="00842A9C">
        <w:rPr>
          <w:rFonts w:ascii="Times New Roman" w:hAnsi="Times New Roman" w:cs="Times New Roman"/>
          <w:bCs/>
          <w:sz w:val="20"/>
          <w:szCs w:val="20"/>
        </w:rPr>
        <w:t>Sepenuh</w:t>
      </w:r>
      <w:proofErr w:type="spellEnd"/>
      <w:r w:rsidRPr="00842A9C">
        <w:rPr>
          <w:rFonts w:ascii="Times New Roman" w:hAnsi="Times New Roman" w:cs="Times New Roman"/>
          <w:bCs/>
          <w:sz w:val="20"/>
          <w:szCs w:val="20"/>
        </w:rPr>
        <w:t xml:space="preserve"> Hati's unity story; rather, it becomes a common practice that is accepted by the entire school community. This is evident starting </w:t>
      </w:r>
      <w:proofErr w:type="gramStart"/>
      <w:r w:rsidRPr="00842A9C">
        <w:rPr>
          <w:rFonts w:ascii="Times New Roman" w:hAnsi="Times New Roman" w:cs="Times New Roman"/>
          <w:bCs/>
          <w:sz w:val="20"/>
          <w:szCs w:val="20"/>
        </w:rPr>
        <w:t>around</w:t>
      </w:r>
      <w:r>
        <w:rPr>
          <w:rFonts w:ascii="Times New Roman" w:hAnsi="Times New Roman" w:cs="Times New Roman"/>
          <w:bCs/>
          <w:sz w:val="20"/>
          <w:szCs w:val="20"/>
        </w:rPr>
        <w:t xml:space="preserve"> </w:t>
      </w:r>
      <w:r w:rsidRPr="00842A9C">
        <w:rPr>
          <w:rFonts w:ascii="Times New Roman" w:hAnsi="Times New Roman" w:cs="Times New Roman"/>
          <w:bCs/>
          <w:sz w:val="20"/>
          <w:szCs w:val="20"/>
        </w:rPr>
        <w:t>minute</w:t>
      </w:r>
      <w:proofErr w:type="gramEnd"/>
      <w:r w:rsidRPr="00842A9C">
        <w:rPr>
          <w:rFonts w:ascii="Times New Roman" w:hAnsi="Times New Roman" w:cs="Times New Roman"/>
          <w:bCs/>
          <w:sz w:val="20"/>
          <w:szCs w:val="20"/>
        </w:rPr>
        <w:t xml:space="preserve"> 5:06, when Azim leads the other kids in reciting the promise. This picture illustrates how the pupils' appreciation of the commitment, which started out on an individual basis, progressively develops into a shared consciousness. From a semiotic standpoint, the students' group recitation serves as a signifier for the community's shared values, solidarity, and togetherness</w:t>
      </w:r>
      <w:r>
        <w:rPr>
          <w:rFonts w:ascii="Times New Roman" w:hAnsi="Times New Roman" w:cs="Times New Roman"/>
          <w:bCs/>
          <w:sz w:val="20"/>
          <w:szCs w:val="20"/>
        </w:rPr>
        <w:t>. According to Zakaria et al. (2022), social cohesion is formed when members of a community share common values, goals, and experiences, thereby creating a sense of belonging.</w:t>
      </w:r>
    </w:p>
    <w:p w14:paraId="7125ED4C" w14:textId="77777777" w:rsidR="004038B5" w:rsidRDefault="004038B5">
      <w:pPr>
        <w:spacing w:after="0"/>
        <w:jc w:val="both"/>
        <w:rPr>
          <w:rFonts w:ascii="Times New Roman" w:hAnsi="Times New Roman" w:cs="Times New Roman"/>
          <w:b/>
          <w:sz w:val="20"/>
          <w:szCs w:val="20"/>
        </w:rPr>
      </w:pPr>
    </w:p>
    <w:p w14:paraId="570D63EF" w14:textId="77777777" w:rsidR="004038B5" w:rsidRDefault="004038B5">
      <w:pPr>
        <w:spacing w:after="0"/>
        <w:jc w:val="both"/>
        <w:rPr>
          <w:rFonts w:ascii="Times New Roman" w:hAnsi="Times New Roman" w:cs="Times New Roman"/>
          <w:b/>
          <w:sz w:val="20"/>
          <w:szCs w:val="20"/>
        </w:rPr>
      </w:pPr>
    </w:p>
    <w:p w14:paraId="37BFB43F"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6922CA6F" wp14:editId="76BCEF78">
            <wp:extent cx="4796790" cy="2698115"/>
            <wp:effectExtent l="0" t="0" r="3810" b="6985"/>
            <wp:docPr id="205335736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357365" name="Picture 13"/>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813546" cy="2707553"/>
                    </a:xfrm>
                    <a:prstGeom prst="rect">
                      <a:avLst/>
                    </a:prstGeom>
                  </pic:spPr>
                </pic:pic>
              </a:graphicData>
            </a:graphic>
          </wp:inline>
        </w:drawing>
      </w:r>
    </w:p>
    <w:p w14:paraId="5072A85B"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lastRenderedPageBreak/>
        <w:t xml:space="preserve">Figure 11: Students reciting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 in the classroom</w:t>
      </w:r>
    </w:p>
    <w:p w14:paraId="59B1923C" w14:textId="77777777" w:rsidR="004038B5" w:rsidRDefault="004038B5">
      <w:pPr>
        <w:spacing w:after="0"/>
        <w:jc w:val="both"/>
        <w:rPr>
          <w:rFonts w:ascii="Times New Roman" w:hAnsi="Times New Roman" w:cs="Times New Roman"/>
          <w:b/>
          <w:sz w:val="20"/>
          <w:szCs w:val="20"/>
        </w:rPr>
      </w:pPr>
    </w:p>
    <w:p w14:paraId="04192875" w14:textId="77777777" w:rsidR="00842A9C" w:rsidRPr="00842A9C" w:rsidRDefault="00842A9C" w:rsidP="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The director moves the camera to a different classroom at </w:t>
      </w:r>
      <w:proofErr w:type="gramStart"/>
      <w:r w:rsidRPr="00842A9C">
        <w:rPr>
          <w:rFonts w:ascii="Times New Roman" w:hAnsi="Times New Roman" w:cs="Times New Roman"/>
          <w:bCs/>
          <w:sz w:val="20"/>
          <w:szCs w:val="20"/>
        </w:rPr>
        <w:t>minute 5:16</w:t>
      </w:r>
      <w:proofErr w:type="gramEnd"/>
      <w:r w:rsidRPr="00842A9C">
        <w:rPr>
          <w:rFonts w:ascii="Times New Roman" w:hAnsi="Times New Roman" w:cs="Times New Roman"/>
          <w:bCs/>
          <w:sz w:val="20"/>
          <w:szCs w:val="20"/>
        </w:rPr>
        <w:t xml:space="preserve">, when the pledge recitation is also audible. The headmaster is then seen on camera listening to the vow being recited from the classroom at minute 5:17. This change in the camera's focus from one area to another shows how the message is now spread throughout the entire school setting rather than just a certain group of children. From a semiotic standpoint, this storytelling style serves as a visual signifier that alludes to the </w:t>
      </w:r>
      <w:proofErr w:type="spellStart"/>
      <w:r w:rsidRPr="00842A9C">
        <w:rPr>
          <w:rFonts w:ascii="Times New Roman" w:hAnsi="Times New Roman" w:cs="Times New Roman"/>
          <w:bCs/>
          <w:sz w:val="20"/>
          <w:szCs w:val="20"/>
        </w:rPr>
        <w:t>signifieds</w:t>
      </w:r>
      <w:proofErr w:type="spellEnd"/>
      <w:r w:rsidRPr="00842A9C">
        <w:rPr>
          <w:rFonts w:ascii="Times New Roman" w:hAnsi="Times New Roman" w:cs="Times New Roman"/>
          <w:bCs/>
          <w:sz w:val="20"/>
          <w:szCs w:val="20"/>
        </w:rPr>
        <w:t xml:space="preserve"> of value distribution and the growth of collective awareness among school community members. This result is in line with Edgerly's (2022) theory that media representations of common communal experiences might influence social meaning and collective identity.</w:t>
      </w:r>
    </w:p>
    <w:p w14:paraId="23E35400" w14:textId="77777777" w:rsidR="004038B5" w:rsidRDefault="004038B5">
      <w:pPr>
        <w:spacing w:after="0"/>
        <w:jc w:val="both"/>
        <w:rPr>
          <w:rFonts w:ascii="Times New Roman" w:hAnsi="Times New Roman" w:cs="Times New Roman"/>
          <w:b/>
          <w:sz w:val="20"/>
          <w:szCs w:val="20"/>
        </w:rPr>
      </w:pPr>
    </w:p>
    <w:p w14:paraId="631A482F" w14:textId="77777777" w:rsidR="004038B5" w:rsidRDefault="004038B5">
      <w:pPr>
        <w:spacing w:after="0"/>
        <w:jc w:val="both"/>
        <w:rPr>
          <w:rFonts w:ascii="Times New Roman" w:hAnsi="Times New Roman" w:cs="Times New Roman"/>
          <w:b/>
          <w:sz w:val="20"/>
          <w:szCs w:val="20"/>
        </w:rPr>
      </w:pPr>
    </w:p>
    <w:p w14:paraId="02501828"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493BC50E" wp14:editId="15038AAC">
            <wp:extent cx="4699635" cy="3134995"/>
            <wp:effectExtent l="0" t="0" r="5715" b="8255"/>
            <wp:docPr id="16267994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79947" name="Picture 16"/>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2009" cy="3143254"/>
                    </a:xfrm>
                    <a:prstGeom prst="rect">
                      <a:avLst/>
                    </a:prstGeom>
                  </pic:spPr>
                </pic:pic>
              </a:graphicData>
            </a:graphic>
          </wp:inline>
        </w:drawing>
      </w:r>
    </w:p>
    <w:p w14:paraId="55BB6B48"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t>Figure 12: A scene showing the pledge recitation being heard throughout the school grounds</w:t>
      </w:r>
    </w:p>
    <w:p w14:paraId="120F7E35" w14:textId="77777777" w:rsidR="004038B5" w:rsidRDefault="004038B5">
      <w:pPr>
        <w:spacing w:after="0"/>
        <w:jc w:val="both"/>
        <w:rPr>
          <w:rFonts w:ascii="Times New Roman" w:hAnsi="Times New Roman" w:cs="Times New Roman"/>
          <w:b/>
          <w:sz w:val="20"/>
          <w:szCs w:val="20"/>
        </w:rPr>
      </w:pPr>
    </w:p>
    <w:p w14:paraId="240043DC" w14:textId="604C7897" w:rsidR="00842A9C" w:rsidRDefault="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Unity is effectively portrayed by Sepenuh Hati as a virtue that needs to be comprehended, valued, and used in daily life. This study highlights the ability of advertising to serve as a medium of social education that conveys messages of unity to society and shows that the semiotic approach is still applicable for analyzing meaning production in media. Future studies could examine how the advertisement's unifying messages are received by viewers.</w:t>
      </w:r>
    </w:p>
    <w:p w14:paraId="20D1A963" w14:textId="77777777" w:rsidR="004038B5" w:rsidRDefault="004038B5">
      <w:pPr>
        <w:spacing w:after="0"/>
        <w:jc w:val="both"/>
        <w:rPr>
          <w:rFonts w:ascii="Times New Roman" w:hAnsi="Times New Roman" w:cs="Times New Roman"/>
          <w:b/>
          <w:sz w:val="20"/>
          <w:szCs w:val="20"/>
        </w:rPr>
      </w:pPr>
    </w:p>
    <w:p w14:paraId="265BF20A" w14:textId="77777777" w:rsidR="004038B5" w:rsidRDefault="00000000">
      <w:pPr>
        <w:spacing w:after="0"/>
        <w:jc w:val="center"/>
        <w:rPr>
          <w:rFonts w:ascii="Times New Roman" w:hAnsi="Times New Roman" w:cs="Times New Roman"/>
          <w:b/>
          <w:sz w:val="20"/>
          <w:szCs w:val="20"/>
        </w:rPr>
      </w:pPr>
      <w:r>
        <w:rPr>
          <w:rFonts w:ascii="Cambria" w:hAnsi="Cambria" w:cs="Times New Roman"/>
          <w:noProof/>
        </w:rPr>
        <w:drawing>
          <wp:inline distT="0" distB="0" distL="0" distR="0" wp14:anchorId="43EBA121" wp14:editId="4191551E">
            <wp:extent cx="4356100" cy="2449830"/>
            <wp:effectExtent l="0" t="0" r="6350" b="7620"/>
            <wp:docPr id="94473098"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73098" name="Picture 19"/>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86859" cy="2467548"/>
                    </a:xfrm>
                    <a:prstGeom prst="rect">
                      <a:avLst/>
                    </a:prstGeom>
                  </pic:spPr>
                </pic:pic>
              </a:graphicData>
            </a:graphic>
          </wp:inline>
        </w:drawing>
      </w:r>
    </w:p>
    <w:p w14:paraId="30613084" w14:textId="77777777" w:rsidR="004038B5" w:rsidRDefault="00000000">
      <w:pPr>
        <w:spacing w:after="0"/>
        <w:jc w:val="center"/>
        <w:rPr>
          <w:rFonts w:ascii="Times New Roman" w:hAnsi="Times New Roman" w:cs="Times New Roman"/>
          <w:b/>
          <w:bCs/>
          <w:sz w:val="20"/>
          <w:szCs w:val="20"/>
        </w:rPr>
      </w:pPr>
      <w:r>
        <w:rPr>
          <w:rFonts w:ascii="Times New Roman" w:hAnsi="Times New Roman" w:cs="Times New Roman"/>
          <w:b/>
          <w:bCs/>
          <w:sz w:val="20"/>
          <w:szCs w:val="20"/>
        </w:rPr>
        <w:t xml:space="preserve">Figure 13: The security guard reciting the </w:t>
      </w:r>
      <w:proofErr w:type="spellStart"/>
      <w:r>
        <w:rPr>
          <w:rFonts w:ascii="Times New Roman" w:hAnsi="Times New Roman" w:cs="Times New Roman"/>
          <w:b/>
          <w:bCs/>
          <w:sz w:val="20"/>
          <w:szCs w:val="20"/>
        </w:rPr>
        <w:t>Rukun</w:t>
      </w:r>
      <w:proofErr w:type="spellEnd"/>
      <w:r>
        <w:rPr>
          <w:rFonts w:ascii="Times New Roman" w:hAnsi="Times New Roman" w:cs="Times New Roman"/>
          <w:b/>
          <w:bCs/>
          <w:sz w:val="20"/>
          <w:szCs w:val="20"/>
        </w:rPr>
        <w:t xml:space="preserve"> Negara pledge</w:t>
      </w:r>
    </w:p>
    <w:p w14:paraId="1B8F0B5A" w14:textId="77777777" w:rsidR="004038B5" w:rsidRDefault="004038B5">
      <w:pPr>
        <w:spacing w:after="0"/>
        <w:jc w:val="both"/>
        <w:rPr>
          <w:rFonts w:ascii="Times New Roman" w:hAnsi="Times New Roman" w:cs="Times New Roman"/>
          <w:b/>
          <w:sz w:val="20"/>
          <w:szCs w:val="20"/>
        </w:rPr>
      </w:pPr>
    </w:p>
    <w:p w14:paraId="4B19D1AA" w14:textId="65DEECEF" w:rsidR="004038B5" w:rsidRPr="00842A9C" w:rsidRDefault="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Overall, the scenario lasting minutes 5:06 to 5:49 establishes a narrative that unity does not stop at the level of individual knowledge but develops via the sharing of ideals throughout a community. </w:t>
      </w:r>
      <w:proofErr w:type="spellStart"/>
      <w:r w:rsidRPr="00842A9C">
        <w:rPr>
          <w:rFonts w:ascii="Times New Roman" w:hAnsi="Times New Roman" w:cs="Times New Roman"/>
          <w:bCs/>
          <w:sz w:val="20"/>
          <w:szCs w:val="20"/>
        </w:rPr>
        <w:t>Signifieds</w:t>
      </w:r>
      <w:proofErr w:type="spellEnd"/>
      <w:r w:rsidRPr="00842A9C">
        <w:rPr>
          <w:rFonts w:ascii="Times New Roman" w:hAnsi="Times New Roman" w:cs="Times New Roman"/>
          <w:bCs/>
          <w:sz w:val="20"/>
          <w:szCs w:val="20"/>
        </w:rPr>
        <w:t xml:space="preserve"> of unity, belonging, and shared responsibility are produced by the interaction of signifiers like the pledge recitation, the reverberating voices heard throughout the campus, the attention paid by members of the school community, and the security guard's involvement. This scene's narrative illustrates how a community becomes more cohesive when its members share and uphold the principles that they have internalized.</w:t>
      </w:r>
    </w:p>
    <w:p w14:paraId="388D3B21" w14:textId="77777777" w:rsidR="004038B5" w:rsidRDefault="00000000">
      <w:pPr>
        <w:spacing w:after="0"/>
        <w:jc w:val="both"/>
        <w:rPr>
          <w:rFonts w:ascii="Times New Roman" w:hAnsi="Times New Roman" w:cs="Times New Roman"/>
          <w:b/>
          <w:bCs/>
          <w:sz w:val="24"/>
          <w:szCs w:val="24"/>
        </w:rPr>
      </w:pPr>
      <w:r>
        <w:rPr>
          <w:rFonts w:ascii="Times New Roman" w:hAnsi="Times New Roman" w:cs="Times New Roman"/>
          <w:b/>
          <w:bCs/>
          <w:sz w:val="24"/>
          <w:szCs w:val="24"/>
        </w:rPr>
        <w:lastRenderedPageBreak/>
        <w:t>6. CONCLUSION</w:t>
      </w:r>
    </w:p>
    <w:p w14:paraId="1D2228B2" w14:textId="77777777" w:rsidR="004038B5" w:rsidRDefault="004038B5">
      <w:pPr>
        <w:spacing w:after="0"/>
        <w:jc w:val="both"/>
        <w:rPr>
          <w:rFonts w:ascii="Times New Roman" w:hAnsi="Times New Roman" w:cs="Times New Roman"/>
          <w:b/>
          <w:bCs/>
          <w:sz w:val="24"/>
          <w:szCs w:val="24"/>
        </w:rPr>
      </w:pPr>
    </w:p>
    <w:p w14:paraId="37BC2278" w14:textId="32B3537E" w:rsidR="00842A9C" w:rsidRPr="00842A9C" w:rsidRDefault="00842A9C" w:rsidP="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Overall, the results show that the link between signifiers and </w:t>
      </w:r>
      <w:proofErr w:type="spellStart"/>
      <w:r w:rsidRPr="00842A9C">
        <w:rPr>
          <w:rFonts w:ascii="Times New Roman" w:hAnsi="Times New Roman" w:cs="Times New Roman"/>
          <w:bCs/>
          <w:sz w:val="20"/>
          <w:szCs w:val="20"/>
        </w:rPr>
        <w:t>signifieds</w:t>
      </w:r>
      <w:proofErr w:type="spellEnd"/>
      <w:r>
        <w:rPr>
          <w:rFonts w:ascii="Times New Roman" w:hAnsi="Times New Roman" w:cs="Times New Roman"/>
          <w:bCs/>
          <w:sz w:val="20"/>
          <w:szCs w:val="20"/>
        </w:rPr>
        <w:t xml:space="preserve"> </w:t>
      </w:r>
      <w:r w:rsidRPr="00842A9C">
        <w:rPr>
          <w:rFonts w:ascii="Times New Roman" w:hAnsi="Times New Roman" w:cs="Times New Roman"/>
          <w:bCs/>
          <w:sz w:val="20"/>
          <w:szCs w:val="20"/>
        </w:rPr>
        <w:t>represented by the advertisement's visual, linguistic, and aural components</w:t>
      </w:r>
      <w:r>
        <w:rPr>
          <w:rFonts w:ascii="Times New Roman" w:hAnsi="Times New Roman" w:cs="Times New Roman"/>
          <w:bCs/>
          <w:sz w:val="20"/>
          <w:szCs w:val="20"/>
        </w:rPr>
        <w:t xml:space="preserve"> </w:t>
      </w:r>
      <w:r w:rsidRPr="00842A9C">
        <w:rPr>
          <w:rFonts w:ascii="Times New Roman" w:hAnsi="Times New Roman" w:cs="Times New Roman"/>
          <w:bCs/>
          <w:sz w:val="20"/>
          <w:szCs w:val="20"/>
        </w:rPr>
        <w:t xml:space="preserve">constructs the unity story. </w:t>
      </w:r>
      <w:proofErr w:type="spellStart"/>
      <w:r w:rsidRPr="00842A9C">
        <w:rPr>
          <w:rFonts w:ascii="Times New Roman" w:hAnsi="Times New Roman" w:cs="Times New Roman"/>
          <w:bCs/>
          <w:sz w:val="20"/>
          <w:szCs w:val="20"/>
        </w:rPr>
        <w:t>Signifieds</w:t>
      </w:r>
      <w:proofErr w:type="spellEnd"/>
      <w:r w:rsidRPr="00842A9C">
        <w:rPr>
          <w:rFonts w:ascii="Times New Roman" w:hAnsi="Times New Roman" w:cs="Times New Roman"/>
          <w:bCs/>
          <w:sz w:val="20"/>
          <w:szCs w:val="20"/>
        </w:rPr>
        <w:t xml:space="preserve"> about common values, education, social harmony, and national identity are produced by signifiers such the </w:t>
      </w:r>
      <w:proofErr w:type="spellStart"/>
      <w:r w:rsidRPr="00842A9C">
        <w:rPr>
          <w:rFonts w:ascii="Times New Roman" w:hAnsi="Times New Roman" w:cs="Times New Roman"/>
          <w:bCs/>
          <w:sz w:val="20"/>
          <w:szCs w:val="20"/>
        </w:rPr>
        <w:t>Rukun</w:t>
      </w:r>
      <w:proofErr w:type="spellEnd"/>
      <w:r w:rsidRPr="00842A9C">
        <w:rPr>
          <w:rFonts w:ascii="Times New Roman" w:hAnsi="Times New Roman" w:cs="Times New Roman"/>
          <w:bCs/>
          <w:sz w:val="20"/>
          <w:szCs w:val="20"/>
        </w:rPr>
        <w:t xml:space="preserve"> Negara, educators, pupils from various ethnic backgrounds, the school setting, and the Malay language. The research also shows that awareness, appreciation, and the application of values are the methods by which the unity story gradually evolves. The engagement of the entire school community shows that togetherness arises from a shared understanding and appreciation of common ideals, while the character of </w:t>
      </w:r>
      <w:proofErr w:type="spellStart"/>
      <w:r w:rsidRPr="00842A9C">
        <w:rPr>
          <w:rFonts w:ascii="Times New Roman" w:hAnsi="Times New Roman" w:cs="Times New Roman"/>
          <w:bCs/>
          <w:sz w:val="20"/>
          <w:szCs w:val="20"/>
        </w:rPr>
        <w:t>Cikgu</w:t>
      </w:r>
      <w:proofErr w:type="spellEnd"/>
      <w:r w:rsidRPr="00842A9C">
        <w:rPr>
          <w:rFonts w:ascii="Times New Roman" w:hAnsi="Times New Roman" w:cs="Times New Roman"/>
          <w:bCs/>
          <w:sz w:val="20"/>
          <w:szCs w:val="20"/>
        </w:rPr>
        <w:t xml:space="preserve"> Murni serves as an instructional agent who helps students comprehend the true meaning of the vow.</w:t>
      </w:r>
    </w:p>
    <w:p w14:paraId="44BF27C9" w14:textId="77777777" w:rsidR="004038B5" w:rsidRDefault="004038B5">
      <w:pPr>
        <w:spacing w:after="0"/>
        <w:jc w:val="both"/>
        <w:rPr>
          <w:rFonts w:ascii="Times New Roman" w:hAnsi="Times New Roman" w:cs="Times New Roman"/>
          <w:bCs/>
          <w:sz w:val="20"/>
          <w:szCs w:val="20"/>
        </w:rPr>
      </w:pPr>
    </w:p>
    <w:p w14:paraId="03171967" w14:textId="698E4D55" w:rsidR="00842A9C" w:rsidRPr="00842A9C" w:rsidRDefault="00842A9C" w:rsidP="00842A9C">
      <w:pPr>
        <w:spacing w:after="0"/>
        <w:jc w:val="both"/>
        <w:rPr>
          <w:rFonts w:ascii="Times New Roman" w:hAnsi="Times New Roman" w:cs="Times New Roman"/>
          <w:bCs/>
          <w:sz w:val="20"/>
          <w:szCs w:val="20"/>
        </w:rPr>
      </w:pPr>
      <w:r w:rsidRPr="00842A9C">
        <w:rPr>
          <w:rFonts w:ascii="Times New Roman" w:hAnsi="Times New Roman" w:cs="Times New Roman"/>
          <w:bCs/>
          <w:sz w:val="20"/>
          <w:szCs w:val="20"/>
        </w:rPr>
        <w:t xml:space="preserve">Unity is effectively portrayed by </w:t>
      </w:r>
      <w:proofErr w:type="spellStart"/>
      <w:r w:rsidRPr="00842A9C">
        <w:rPr>
          <w:rFonts w:ascii="Times New Roman" w:hAnsi="Times New Roman" w:cs="Times New Roman"/>
          <w:bCs/>
          <w:i/>
          <w:iCs/>
          <w:sz w:val="20"/>
          <w:szCs w:val="20"/>
        </w:rPr>
        <w:t>Sepenuh</w:t>
      </w:r>
      <w:proofErr w:type="spellEnd"/>
      <w:r w:rsidRPr="00842A9C">
        <w:rPr>
          <w:rFonts w:ascii="Times New Roman" w:hAnsi="Times New Roman" w:cs="Times New Roman"/>
          <w:bCs/>
          <w:i/>
          <w:iCs/>
          <w:sz w:val="20"/>
          <w:szCs w:val="20"/>
        </w:rPr>
        <w:t xml:space="preserve"> Hati</w:t>
      </w:r>
      <w:r w:rsidRPr="00842A9C">
        <w:rPr>
          <w:rFonts w:ascii="Times New Roman" w:hAnsi="Times New Roman" w:cs="Times New Roman"/>
          <w:bCs/>
          <w:sz w:val="20"/>
          <w:szCs w:val="20"/>
        </w:rPr>
        <w:t xml:space="preserve"> as a virtue that needs to be comprehended, valued, and used in daily life. This study highlights the ability of advertising to serve as a medium of social education that conveys messages of unity to society and shows that the semiotic approach is still applicable for analyzing meaning production in media. Future studies could examine how the advertisement's unifying messages are received by viewers</w:t>
      </w:r>
      <w:r>
        <w:rPr>
          <w:rFonts w:ascii="Times New Roman" w:hAnsi="Times New Roman" w:cs="Times New Roman"/>
          <w:bCs/>
          <w:sz w:val="20"/>
          <w:szCs w:val="20"/>
        </w:rPr>
        <w:t>.</w:t>
      </w:r>
    </w:p>
    <w:p w14:paraId="6268D364" w14:textId="6A828D93" w:rsidR="00842A9C" w:rsidRDefault="00842A9C" w:rsidP="00842A9C">
      <w:pPr>
        <w:spacing w:after="0"/>
        <w:jc w:val="both"/>
        <w:rPr>
          <w:rFonts w:ascii="Times New Roman" w:hAnsi="Times New Roman" w:cs="Times New Roman"/>
          <w:bCs/>
          <w:sz w:val="20"/>
          <w:szCs w:val="20"/>
        </w:rPr>
      </w:pPr>
      <w:r>
        <w:rPr>
          <w:rFonts w:ascii="Times New Roman" w:hAnsi="Times New Roman" w:cs="Times New Roman"/>
          <w:bCs/>
          <w:sz w:val="20"/>
          <w:szCs w:val="20"/>
        </w:rPr>
        <w:t>.</w:t>
      </w:r>
    </w:p>
    <w:p w14:paraId="0F660A7B" w14:textId="77777777" w:rsidR="004038B5" w:rsidRDefault="004038B5">
      <w:pPr>
        <w:spacing w:after="0"/>
        <w:jc w:val="center"/>
        <w:rPr>
          <w:rFonts w:ascii="Times New Roman" w:hAnsi="Times New Roman" w:cs="Times New Roman"/>
          <w:b/>
          <w:sz w:val="20"/>
          <w:szCs w:val="20"/>
        </w:rPr>
      </w:pPr>
    </w:p>
    <w:p w14:paraId="58ACDBFC" w14:textId="77777777" w:rsidR="004038B5" w:rsidRDefault="00000000">
      <w:pPr>
        <w:jc w:val="both"/>
        <w:rPr>
          <w:rFonts w:ascii="Times New Roman" w:hAnsi="Times New Roman" w:cs="Times New Roman"/>
          <w:b/>
          <w:sz w:val="24"/>
          <w:szCs w:val="24"/>
        </w:rPr>
      </w:pPr>
      <w:r>
        <w:rPr>
          <w:rFonts w:ascii="Times New Roman" w:hAnsi="Times New Roman" w:cs="Times New Roman"/>
          <w:b/>
          <w:sz w:val="24"/>
          <w:szCs w:val="24"/>
        </w:rPr>
        <w:t>REFERENCES</w:t>
      </w:r>
    </w:p>
    <w:p w14:paraId="7A804170" w14:textId="77777777" w:rsidR="004038B5" w:rsidRDefault="00000000">
      <w:pPr>
        <w:spacing w:after="0"/>
        <w:ind w:left="720" w:hanging="720"/>
      </w:pPr>
      <w:r>
        <w:rPr>
          <w:rFonts w:ascii="Times New Roman" w:hAnsi="Times New Roman" w:cs="Times New Roman"/>
          <w:sz w:val="20"/>
          <w:szCs w:val="20"/>
        </w:rPr>
        <w:t xml:space="preserve">Ahmad, J., Saad, S., &amp; </w:t>
      </w:r>
      <w:proofErr w:type="spellStart"/>
      <w:r>
        <w:rPr>
          <w:rFonts w:ascii="Times New Roman" w:hAnsi="Times New Roman" w:cs="Times New Roman"/>
          <w:sz w:val="20"/>
          <w:szCs w:val="20"/>
        </w:rPr>
        <w:t>Sarudin</w:t>
      </w:r>
      <w:proofErr w:type="spellEnd"/>
      <w:r>
        <w:rPr>
          <w:rFonts w:ascii="Times New Roman" w:hAnsi="Times New Roman" w:cs="Times New Roman"/>
          <w:sz w:val="20"/>
          <w:szCs w:val="20"/>
        </w:rPr>
        <w:t xml:space="preserve">, N. (2025). Digital CSR Merdeka advertisements and national unity narratives: A multimodal and NLP analysis of Malaysian social media (2019–2023). </w:t>
      </w:r>
      <w:r>
        <w:rPr>
          <w:rFonts w:ascii="Times New Roman" w:hAnsi="Times New Roman" w:cs="Times New Roman"/>
          <w:i/>
          <w:iCs/>
          <w:sz w:val="20"/>
          <w:szCs w:val="20"/>
        </w:rPr>
        <w:t xml:space="preserve">TPM: Testing, Psychometrics, Methodology in Applied Psychology, </w:t>
      </w:r>
      <w:r w:rsidRPr="00B321E5">
        <w:rPr>
          <w:rFonts w:ascii="Times New Roman" w:hAnsi="Times New Roman" w:cs="Times New Roman"/>
          <w:sz w:val="20"/>
          <w:szCs w:val="20"/>
        </w:rPr>
        <w:t>32</w:t>
      </w:r>
      <w:r>
        <w:rPr>
          <w:rFonts w:ascii="Times New Roman" w:hAnsi="Times New Roman" w:cs="Times New Roman"/>
          <w:sz w:val="20"/>
          <w:szCs w:val="20"/>
        </w:rPr>
        <w:t xml:space="preserve">(S8), 1854–1864. </w:t>
      </w:r>
      <w:hyperlink r:id="rId25" w:history="1">
        <w:r w:rsidR="004038B5">
          <w:rPr>
            <w:rStyle w:val="Hyperlink"/>
            <w:rFonts w:ascii="Times New Roman" w:hAnsi="Times New Roman"/>
            <w:sz w:val="20"/>
            <w:szCs w:val="20"/>
          </w:rPr>
          <w:t>https://tpmap.org/submission/index.php/tpm/article/view/3019</w:t>
        </w:r>
      </w:hyperlink>
    </w:p>
    <w:p w14:paraId="64B6B70D" w14:textId="15A461F2" w:rsidR="00B321E5" w:rsidRPr="00B321E5" w:rsidRDefault="00B321E5">
      <w:pPr>
        <w:spacing w:after="0"/>
        <w:ind w:left="720" w:hanging="720"/>
        <w:rPr>
          <w:rFonts w:ascii="Times New Roman" w:hAnsi="Times New Roman" w:cs="Times New Roman"/>
          <w:sz w:val="20"/>
          <w:szCs w:val="20"/>
        </w:rPr>
      </w:pPr>
      <w:r w:rsidRPr="00B321E5">
        <w:rPr>
          <w:rFonts w:ascii="Times New Roman" w:hAnsi="Times New Roman" w:cs="Times New Roman"/>
          <w:sz w:val="20"/>
          <w:szCs w:val="20"/>
        </w:rPr>
        <w:t>Alyaqoub, R., Khan, M. A., Khan, M. H., &amp; Abdullah, I. H. (2024). Elaboration of underpinning methods and data analysis process of directed qualitative content analysis for communication studies</w:t>
      </w:r>
      <w:r w:rsidRPr="00B321E5">
        <w:rPr>
          <w:rFonts w:ascii="Times New Roman" w:hAnsi="Times New Roman" w:cs="Times New Roman"/>
          <w:i/>
          <w:iCs/>
          <w:sz w:val="20"/>
          <w:szCs w:val="20"/>
        </w:rPr>
        <w:t>. Journal of Intercultural Communication</w:t>
      </w:r>
      <w:r w:rsidRPr="00B321E5">
        <w:rPr>
          <w:rFonts w:ascii="Times New Roman" w:hAnsi="Times New Roman" w:cs="Times New Roman"/>
          <w:sz w:val="20"/>
          <w:szCs w:val="20"/>
        </w:rPr>
        <w:t>, 24(2), 39–56.</w:t>
      </w:r>
    </w:p>
    <w:p w14:paraId="26570EC8" w14:textId="1CF6335E" w:rsidR="00B321E5" w:rsidRDefault="00B321E5">
      <w:pPr>
        <w:spacing w:after="0"/>
        <w:ind w:left="720" w:hanging="720"/>
        <w:rPr>
          <w:rFonts w:ascii="Times New Roman" w:hAnsi="Times New Roman" w:cs="Times New Roman"/>
          <w:sz w:val="20"/>
          <w:szCs w:val="20"/>
        </w:rPr>
      </w:pPr>
      <w:r w:rsidRPr="00B321E5">
        <w:rPr>
          <w:rFonts w:ascii="Times New Roman" w:hAnsi="Times New Roman" w:cs="Times New Roman"/>
          <w:sz w:val="20"/>
          <w:szCs w:val="20"/>
        </w:rPr>
        <w:t xml:space="preserve">Edgerly, S. (2021). The head and heart of news avoidance: How attitudes about the news media relate to levels of news consumption. </w:t>
      </w:r>
      <w:r w:rsidRPr="00B321E5">
        <w:rPr>
          <w:rFonts w:ascii="Times New Roman" w:hAnsi="Times New Roman" w:cs="Times New Roman"/>
          <w:i/>
          <w:iCs/>
          <w:sz w:val="20"/>
          <w:szCs w:val="20"/>
        </w:rPr>
        <w:t>Journalism</w:t>
      </w:r>
      <w:r w:rsidRPr="00B321E5">
        <w:rPr>
          <w:rFonts w:ascii="Times New Roman" w:hAnsi="Times New Roman" w:cs="Times New Roman"/>
          <w:sz w:val="20"/>
          <w:szCs w:val="20"/>
        </w:rPr>
        <w:t xml:space="preserve">. Advance online publication. </w:t>
      </w:r>
      <w:hyperlink r:id="rId26" w:tgtFrame="_new" w:history="1">
        <w:r w:rsidRPr="00B321E5">
          <w:rPr>
            <w:rStyle w:val="Hyperlink"/>
            <w:rFonts w:ascii="Times New Roman" w:hAnsi="Times New Roman"/>
            <w:sz w:val="20"/>
            <w:szCs w:val="20"/>
          </w:rPr>
          <w:t>https://doi.org/10.1177/14648849211012922</w:t>
        </w:r>
      </w:hyperlink>
    </w:p>
    <w:p w14:paraId="3D63B8F5" w14:textId="60209889" w:rsidR="004038B5" w:rsidRDefault="00000000">
      <w:pPr>
        <w:spacing w:after="0"/>
        <w:ind w:left="720" w:hanging="720"/>
      </w:pPr>
      <w:r>
        <w:rPr>
          <w:rFonts w:ascii="Times New Roman" w:hAnsi="Times New Roman" w:cs="Times New Roman"/>
          <w:sz w:val="20"/>
          <w:szCs w:val="20"/>
        </w:rPr>
        <w:t xml:space="preserve">Mahadir, N. B., Osman, Z. J., </w:t>
      </w:r>
      <w:proofErr w:type="spellStart"/>
      <w:r>
        <w:rPr>
          <w:rFonts w:ascii="Times New Roman" w:hAnsi="Times New Roman" w:cs="Times New Roman"/>
          <w:sz w:val="20"/>
          <w:szCs w:val="20"/>
        </w:rPr>
        <w:t>Thambu</w:t>
      </w:r>
      <w:proofErr w:type="spellEnd"/>
      <w:r>
        <w:rPr>
          <w:rFonts w:ascii="Times New Roman" w:hAnsi="Times New Roman" w:cs="Times New Roman"/>
          <w:sz w:val="20"/>
          <w:szCs w:val="20"/>
        </w:rPr>
        <w:t xml:space="preserve">, N., &amp; Piang, T. B. (2019). Malaysian unity and integration aspiration: Enhancing </w:t>
      </w:r>
      <w:proofErr w:type="gramStart"/>
      <w:r>
        <w:rPr>
          <w:rFonts w:ascii="Times New Roman" w:hAnsi="Times New Roman" w:cs="Times New Roman"/>
          <w:sz w:val="20"/>
          <w:szCs w:val="20"/>
        </w:rPr>
        <w:t xml:space="preserve">cultural </w:t>
      </w:r>
      <w:r w:rsidR="00B321E5">
        <w:rPr>
          <w:rFonts w:ascii="Times New Roman" w:hAnsi="Times New Roman" w:cs="Times New Roman"/>
          <w:sz w:val="20"/>
          <w:szCs w:val="20"/>
        </w:rPr>
        <w:t xml:space="preserve"> </w:t>
      </w:r>
      <w:r>
        <w:rPr>
          <w:rFonts w:ascii="Times New Roman" w:hAnsi="Times New Roman" w:cs="Times New Roman"/>
          <w:sz w:val="20"/>
          <w:szCs w:val="20"/>
        </w:rPr>
        <w:t>inclusiveness</w:t>
      </w:r>
      <w:proofErr w:type="gramEnd"/>
      <w:r>
        <w:rPr>
          <w:rFonts w:ascii="Times New Roman" w:hAnsi="Times New Roman" w:cs="Times New Roman"/>
          <w:sz w:val="20"/>
          <w:szCs w:val="20"/>
        </w:rPr>
        <w:t xml:space="preserve"> through investigating minority group identity experiences. </w:t>
      </w:r>
      <w:r>
        <w:rPr>
          <w:rFonts w:ascii="Times New Roman" w:hAnsi="Times New Roman" w:cs="Times New Roman"/>
          <w:i/>
          <w:iCs/>
          <w:sz w:val="20"/>
          <w:szCs w:val="20"/>
        </w:rPr>
        <w:t>International Journal of Academic Research in Business and Social Sciences</w:t>
      </w:r>
      <w:r>
        <w:rPr>
          <w:rFonts w:ascii="Times New Roman" w:hAnsi="Times New Roman" w:cs="Times New Roman"/>
          <w:sz w:val="20"/>
          <w:szCs w:val="20"/>
        </w:rPr>
        <w:t>, </w:t>
      </w:r>
      <w:r>
        <w:rPr>
          <w:rFonts w:ascii="Times New Roman" w:hAnsi="Times New Roman" w:cs="Times New Roman"/>
          <w:i/>
          <w:iCs/>
          <w:sz w:val="20"/>
          <w:szCs w:val="20"/>
        </w:rPr>
        <w:t>9</w:t>
      </w:r>
      <w:r>
        <w:rPr>
          <w:rFonts w:ascii="Times New Roman" w:hAnsi="Times New Roman" w:cs="Times New Roman"/>
          <w:sz w:val="20"/>
          <w:szCs w:val="20"/>
        </w:rPr>
        <w:t xml:space="preserve">(10). </w:t>
      </w:r>
      <w:hyperlink r:id="rId27" w:history="1">
        <w:r w:rsidR="004038B5">
          <w:rPr>
            <w:rStyle w:val="Hyperlink"/>
            <w:rFonts w:ascii="Times New Roman" w:hAnsi="Times New Roman"/>
            <w:sz w:val="20"/>
            <w:szCs w:val="20"/>
          </w:rPr>
          <w:t>https://doi.org/10.6007/ijarbss/v9-i10/6448</w:t>
        </w:r>
      </w:hyperlink>
    </w:p>
    <w:p w14:paraId="74A036EA" w14:textId="3E414467" w:rsidR="00866EE1" w:rsidRDefault="00866EE1" w:rsidP="00866EE1">
      <w:pPr>
        <w:spacing w:after="0"/>
        <w:ind w:left="720" w:hanging="720"/>
        <w:rPr>
          <w:rFonts w:ascii="Times New Roman" w:hAnsi="Times New Roman" w:cs="Times New Roman"/>
          <w:sz w:val="20"/>
          <w:szCs w:val="20"/>
        </w:rPr>
      </w:pPr>
      <w:r>
        <w:rPr>
          <w:rFonts w:ascii="Times New Roman" w:hAnsi="Times New Roman" w:cs="Times New Roman"/>
          <w:sz w:val="20"/>
          <w:szCs w:val="20"/>
        </w:rPr>
        <w:t xml:space="preserve">Ministry of National Unity. (2021). </w:t>
      </w:r>
      <w:r>
        <w:rPr>
          <w:rFonts w:ascii="Times New Roman" w:hAnsi="Times New Roman" w:cs="Times New Roman"/>
          <w:i/>
          <w:iCs/>
          <w:sz w:val="20"/>
          <w:szCs w:val="20"/>
        </w:rPr>
        <w:t xml:space="preserve">Dasar </w:t>
      </w:r>
      <w:proofErr w:type="spellStart"/>
      <w:r>
        <w:rPr>
          <w:rFonts w:ascii="Times New Roman" w:hAnsi="Times New Roman" w:cs="Times New Roman"/>
          <w:i/>
          <w:iCs/>
          <w:sz w:val="20"/>
          <w:szCs w:val="20"/>
        </w:rPr>
        <w:t>Perpaduan</w:t>
      </w:r>
      <w:proofErr w:type="spellEnd"/>
      <w:r>
        <w:rPr>
          <w:rFonts w:ascii="Times New Roman" w:hAnsi="Times New Roman" w:cs="Times New Roman"/>
          <w:i/>
          <w:iCs/>
          <w:sz w:val="20"/>
          <w:szCs w:val="20"/>
        </w:rPr>
        <w:t xml:space="preserve"> Negara</w:t>
      </w:r>
      <w:r>
        <w:rPr>
          <w:rFonts w:ascii="Times New Roman" w:hAnsi="Times New Roman" w:cs="Times New Roman"/>
          <w:sz w:val="20"/>
          <w:szCs w:val="20"/>
        </w:rPr>
        <w:t xml:space="preserve">. Ministry of National Unity. </w:t>
      </w:r>
      <w:hyperlink r:id="rId28" w:tgtFrame="_blank" w:history="1">
        <w:r>
          <w:rPr>
            <w:rStyle w:val="Hyperlink"/>
            <w:rFonts w:ascii="Times New Roman" w:hAnsi="Times New Roman"/>
            <w:sz w:val="20"/>
            <w:szCs w:val="20"/>
          </w:rPr>
          <w:t xml:space="preserve">Dasar </w:t>
        </w:r>
        <w:proofErr w:type="spellStart"/>
        <w:r>
          <w:rPr>
            <w:rStyle w:val="Hyperlink"/>
            <w:rFonts w:ascii="Times New Roman" w:hAnsi="Times New Roman"/>
            <w:sz w:val="20"/>
            <w:szCs w:val="20"/>
          </w:rPr>
          <w:t>Perpaduan</w:t>
        </w:r>
        <w:proofErr w:type="spellEnd"/>
        <w:r>
          <w:rPr>
            <w:rStyle w:val="Hyperlink"/>
            <w:rFonts w:ascii="Times New Roman" w:hAnsi="Times New Roman"/>
            <w:sz w:val="20"/>
            <w:szCs w:val="20"/>
          </w:rPr>
          <w:t xml:space="preserve"> Negara</w:t>
        </w:r>
      </w:hyperlink>
    </w:p>
    <w:p w14:paraId="35BB5A62" w14:textId="1EDCD9D0" w:rsidR="004038B5" w:rsidRDefault="00000000">
      <w:pPr>
        <w:spacing w:after="0"/>
        <w:ind w:left="720" w:hanging="720"/>
        <w:rPr>
          <w:rFonts w:ascii="Times New Roman" w:hAnsi="Times New Roman" w:cs="Times New Roman"/>
          <w:sz w:val="20"/>
          <w:szCs w:val="20"/>
          <w:lang w:val="en-MY"/>
        </w:rPr>
      </w:pPr>
      <w:r>
        <w:rPr>
          <w:rFonts w:ascii="Times New Roman" w:hAnsi="Times New Roman" w:cs="Times New Roman"/>
          <w:sz w:val="20"/>
          <w:szCs w:val="20"/>
        </w:rPr>
        <w:t xml:space="preserve">Mokhtar, Aida and Kasirye, </w:t>
      </w:r>
      <w:proofErr w:type="spellStart"/>
      <w:r>
        <w:rPr>
          <w:rFonts w:ascii="Times New Roman" w:hAnsi="Times New Roman" w:cs="Times New Roman"/>
          <w:sz w:val="20"/>
          <w:szCs w:val="20"/>
        </w:rPr>
        <w:t>Faiswal</w:t>
      </w:r>
      <w:proofErr w:type="spellEnd"/>
      <w:r>
        <w:rPr>
          <w:rFonts w:ascii="Times New Roman" w:hAnsi="Times New Roman" w:cs="Times New Roman"/>
          <w:sz w:val="20"/>
          <w:szCs w:val="20"/>
        </w:rPr>
        <w:t> (2023) </w:t>
      </w:r>
      <w:r>
        <w:rPr>
          <w:rFonts w:ascii="Times New Roman" w:hAnsi="Times New Roman" w:cs="Times New Roman"/>
          <w:i/>
          <w:iCs/>
          <w:sz w:val="20"/>
          <w:szCs w:val="20"/>
        </w:rPr>
        <w:t>Gestalt and semiotic analyses of brand communication on disability inclusion: the case of Malaysia and the US.</w:t>
      </w:r>
      <w:r>
        <w:rPr>
          <w:rFonts w:ascii="Times New Roman" w:hAnsi="Times New Roman" w:cs="Times New Roman"/>
          <w:sz w:val="20"/>
          <w:szCs w:val="20"/>
        </w:rPr>
        <w:t> Intellectual Discourse, 31(1). pp. 83-111. </w:t>
      </w:r>
      <w:hyperlink r:id="rId29" w:history="1">
        <w:r w:rsidR="004038B5">
          <w:rPr>
            <w:rStyle w:val="Hyperlink"/>
            <w:rFonts w:ascii="Times New Roman" w:hAnsi="Times New Roman"/>
            <w:sz w:val="20"/>
            <w:szCs w:val="20"/>
          </w:rPr>
          <w:t>https://doi.org/10.31436/id.v31i1</w:t>
        </w:r>
      </w:hyperlink>
      <w:r>
        <w:rPr>
          <w:rFonts w:ascii="Times New Roman" w:hAnsi="Times New Roman" w:cs="Times New Roman"/>
          <w:sz w:val="20"/>
          <w:szCs w:val="20"/>
        </w:rPr>
        <w:t xml:space="preserve"> </w:t>
      </w:r>
    </w:p>
    <w:p w14:paraId="6F873119" w14:textId="77777777" w:rsidR="004038B5" w:rsidRDefault="00000000">
      <w:pPr>
        <w:spacing w:after="0"/>
        <w:ind w:left="720" w:hanging="720"/>
        <w:rPr>
          <w:rFonts w:ascii="Times New Roman" w:hAnsi="Times New Roman" w:cs="Times New Roman"/>
          <w:sz w:val="20"/>
          <w:szCs w:val="20"/>
          <w:lang w:val="ms-MY"/>
        </w:rPr>
      </w:pPr>
      <w:r>
        <w:rPr>
          <w:rFonts w:ascii="Times New Roman" w:hAnsi="Times New Roman" w:cs="Times New Roman"/>
          <w:sz w:val="20"/>
          <w:szCs w:val="20"/>
          <w:lang w:val="ms-MY"/>
        </w:rPr>
        <w:t xml:space="preserve">Nazri, N. A., Tuan Zaki, T. S. A., Abdullah, N. H., Mohamed Ibrahim, S. B., &amp; Abdul Halim, M. Z. (2025). Iklan hari raya </w:t>
      </w:r>
      <w:proofErr w:type="spellStart"/>
      <w:r>
        <w:rPr>
          <w:rFonts w:ascii="Times New Roman" w:hAnsi="Times New Roman" w:cs="Times New Roman"/>
          <w:sz w:val="20"/>
          <w:szCs w:val="20"/>
          <w:lang w:val="ms-MY"/>
        </w:rPr>
        <w:t>aidilfitri</w:t>
      </w:r>
      <w:proofErr w:type="spellEnd"/>
      <w:r>
        <w:rPr>
          <w:rFonts w:ascii="Times New Roman" w:hAnsi="Times New Roman" w:cs="Times New Roman"/>
          <w:sz w:val="20"/>
          <w:szCs w:val="20"/>
          <w:lang w:val="ms-MY"/>
        </w:rPr>
        <w:t xml:space="preserve"> Petronas: suatu analisis terhadap pembinaan figura bapa melalui naratif semiotik. </w:t>
      </w:r>
      <w:proofErr w:type="spellStart"/>
      <w:r>
        <w:rPr>
          <w:rFonts w:ascii="Times New Roman" w:hAnsi="Times New Roman" w:cs="Times New Roman"/>
          <w:i/>
          <w:iCs/>
          <w:sz w:val="20"/>
          <w:szCs w:val="20"/>
          <w:lang w:val="ms-MY"/>
        </w:rPr>
        <w:t>Journal</w:t>
      </w:r>
      <w:proofErr w:type="spellEnd"/>
      <w:r>
        <w:rPr>
          <w:rFonts w:ascii="Times New Roman" w:hAnsi="Times New Roman" w:cs="Times New Roman"/>
          <w:i/>
          <w:iCs/>
          <w:sz w:val="20"/>
          <w:szCs w:val="20"/>
          <w:lang w:val="ms-MY"/>
        </w:rPr>
        <w:t xml:space="preserve"> </w:t>
      </w:r>
      <w:proofErr w:type="spellStart"/>
      <w:r>
        <w:rPr>
          <w:rFonts w:ascii="Times New Roman" w:hAnsi="Times New Roman" w:cs="Times New Roman"/>
          <w:i/>
          <w:iCs/>
          <w:sz w:val="20"/>
          <w:szCs w:val="20"/>
          <w:lang w:val="ms-MY"/>
        </w:rPr>
        <w:t>of</w:t>
      </w:r>
      <w:proofErr w:type="spellEnd"/>
      <w:r>
        <w:rPr>
          <w:rFonts w:ascii="Times New Roman" w:hAnsi="Times New Roman" w:cs="Times New Roman"/>
          <w:i/>
          <w:iCs/>
          <w:sz w:val="20"/>
          <w:szCs w:val="20"/>
          <w:lang w:val="ms-MY"/>
        </w:rPr>
        <w:t xml:space="preserve"> </w:t>
      </w:r>
      <w:proofErr w:type="spellStart"/>
      <w:r>
        <w:rPr>
          <w:rFonts w:ascii="Times New Roman" w:hAnsi="Times New Roman" w:cs="Times New Roman"/>
          <w:i/>
          <w:iCs/>
          <w:sz w:val="20"/>
          <w:szCs w:val="20"/>
          <w:lang w:val="ms-MY"/>
        </w:rPr>
        <w:t>Human</w:t>
      </w:r>
      <w:proofErr w:type="spellEnd"/>
      <w:r>
        <w:rPr>
          <w:rFonts w:ascii="Times New Roman" w:hAnsi="Times New Roman" w:cs="Times New Roman"/>
          <w:i/>
          <w:iCs/>
          <w:sz w:val="20"/>
          <w:szCs w:val="20"/>
          <w:lang w:val="ms-MY"/>
        </w:rPr>
        <w:t xml:space="preserve"> </w:t>
      </w:r>
      <w:proofErr w:type="spellStart"/>
      <w:r>
        <w:rPr>
          <w:rFonts w:ascii="Times New Roman" w:hAnsi="Times New Roman" w:cs="Times New Roman"/>
          <w:i/>
          <w:iCs/>
          <w:sz w:val="20"/>
          <w:szCs w:val="20"/>
          <w:lang w:val="ms-MY"/>
        </w:rPr>
        <w:t>Development</w:t>
      </w:r>
      <w:proofErr w:type="spellEnd"/>
      <w:r>
        <w:rPr>
          <w:rFonts w:ascii="Times New Roman" w:hAnsi="Times New Roman" w:cs="Times New Roman"/>
          <w:i/>
          <w:iCs/>
          <w:sz w:val="20"/>
          <w:szCs w:val="20"/>
          <w:lang w:val="ms-MY"/>
        </w:rPr>
        <w:t xml:space="preserve"> </w:t>
      </w:r>
      <w:proofErr w:type="spellStart"/>
      <w:r>
        <w:rPr>
          <w:rFonts w:ascii="Times New Roman" w:hAnsi="Times New Roman" w:cs="Times New Roman"/>
          <w:i/>
          <w:iCs/>
          <w:sz w:val="20"/>
          <w:szCs w:val="20"/>
          <w:lang w:val="ms-MY"/>
        </w:rPr>
        <w:t>and</w:t>
      </w:r>
      <w:proofErr w:type="spellEnd"/>
      <w:r>
        <w:rPr>
          <w:rFonts w:ascii="Times New Roman" w:hAnsi="Times New Roman" w:cs="Times New Roman"/>
          <w:i/>
          <w:iCs/>
          <w:sz w:val="20"/>
          <w:szCs w:val="20"/>
          <w:lang w:val="ms-MY"/>
        </w:rPr>
        <w:t xml:space="preserve"> </w:t>
      </w:r>
      <w:proofErr w:type="spellStart"/>
      <w:r>
        <w:rPr>
          <w:rFonts w:ascii="Times New Roman" w:hAnsi="Times New Roman" w:cs="Times New Roman"/>
          <w:i/>
          <w:iCs/>
          <w:sz w:val="20"/>
          <w:szCs w:val="20"/>
          <w:lang w:val="ms-MY"/>
        </w:rPr>
        <w:t>Communication</w:t>
      </w:r>
      <w:proofErr w:type="spellEnd"/>
      <w:r>
        <w:rPr>
          <w:rFonts w:ascii="Times New Roman" w:hAnsi="Times New Roman" w:cs="Times New Roman"/>
          <w:sz w:val="20"/>
          <w:szCs w:val="20"/>
          <w:lang w:val="ms-MY"/>
        </w:rPr>
        <w:t xml:space="preserve">, 14, 37–53. </w:t>
      </w:r>
      <w:hyperlink r:id="rId30" w:history="1">
        <w:r w:rsidR="004038B5">
          <w:rPr>
            <w:rStyle w:val="Hyperlink"/>
            <w:rFonts w:ascii="Times New Roman" w:hAnsi="Times New Roman"/>
            <w:sz w:val="20"/>
            <w:szCs w:val="20"/>
            <w:lang w:val="ms-MY"/>
          </w:rPr>
          <w:t>https://doi.org/10.58915/johdec.v14.2025.2259</w:t>
        </w:r>
      </w:hyperlink>
    </w:p>
    <w:p w14:paraId="30738192" w14:textId="77777777" w:rsidR="004038B5" w:rsidRDefault="00000000">
      <w:pPr>
        <w:spacing w:after="0"/>
        <w:ind w:left="720" w:hanging="720"/>
        <w:rPr>
          <w:rFonts w:ascii="Times New Roman" w:hAnsi="Times New Roman" w:cs="Times New Roman"/>
          <w:sz w:val="20"/>
          <w:szCs w:val="20"/>
        </w:rPr>
      </w:pPr>
      <w:r>
        <w:rPr>
          <w:rFonts w:ascii="Times New Roman" w:hAnsi="Times New Roman" w:cs="Times New Roman"/>
          <w:sz w:val="20"/>
          <w:szCs w:val="20"/>
        </w:rPr>
        <w:t xml:space="preserve">Petronas. (2024, April 4). Petronas Hari Kebangsaan &amp; Hari Malaysia 2025: </w:t>
      </w:r>
      <w:proofErr w:type="spellStart"/>
      <w:r>
        <w:rPr>
          <w:rFonts w:ascii="Times New Roman" w:hAnsi="Times New Roman" w:cs="Times New Roman"/>
          <w:sz w:val="20"/>
          <w:szCs w:val="20"/>
        </w:rPr>
        <w:t>Sepenuh</w:t>
      </w:r>
      <w:proofErr w:type="spellEnd"/>
      <w:r>
        <w:rPr>
          <w:rFonts w:ascii="Times New Roman" w:hAnsi="Times New Roman" w:cs="Times New Roman"/>
          <w:sz w:val="20"/>
          <w:szCs w:val="20"/>
        </w:rPr>
        <w:t xml:space="preserve"> Hati </w:t>
      </w:r>
      <w:proofErr w:type="gramStart"/>
      <w:r>
        <w:rPr>
          <w:rFonts w:ascii="Times New Roman" w:hAnsi="Times New Roman" w:cs="Times New Roman"/>
          <w:sz w:val="20"/>
          <w:szCs w:val="20"/>
        </w:rPr>
        <w:t>With</w:t>
      </w:r>
      <w:proofErr w:type="gramEnd"/>
      <w:r>
        <w:rPr>
          <w:rFonts w:ascii="Times New Roman" w:hAnsi="Times New Roman" w:cs="Times New Roman"/>
          <w:sz w:val="20"/>
          <w:szCs w:val="20"/>
        </w:rPr>
        <w:t xml:space="preserve"> All Our Hearts Petronas. </w:t>
      </w:r>
      <w:hyperlink r:id="rId31" w:history="1">
        <w:r w:rsidR="004038B5">
          <w:rPr>
            <w:rStyle w:val="Hyperlink"/>
            <w:rFonts w:ascii="Times New Roman" w:hAnsi="Times New Roman"/>
            <w:sz w:val="20"/>
            <w:szCs w:val="20"/>
          </w:rPr>
          <w:t>https://www.youtube.com/watch?v=PqMvsD2Cezo&amp;t=29s</w:t>
        </w:r>
      </w:hyperlink>
    </w:p>
    <w:p w14:paraId="5A3E90AF" w14:textId="77777777" w:rsidR="004038B5" w:rsidRDefault="00000000">
      <w:pPr>
        <w:spacing w:after="0"/>
        <w:ind w:left="720" w:hanging="720"/>
        <w:rPr>
          <w:rFonts w:ascii="Times New Roman" w:hAnsi="Times New Roman" w:cs="Times New Roman"/>
          <w:sz w:val="20"/>
          <w:szCs w:val="20"/>
        </w:rPr>
      </w:pPr>
      <w:r>
        <w:rPr>
          <w:rFonts w:ascii="Times New Roman" w:hAnsi="Times New Roman" w:cs="Times New Roman"/>
          <w:sz w:val="20"/>
          <w:szCs w:val="20"/>
        </w:rPr>
        <w:t xml:space="preserve">Rasha Alyaqoub, </w:t>
      </w:r>
      <w:proofErr w:type="spellStart"/>
      <w:r>
        <w:rPr>
          <w:rFonts w:ascii="Times New Roman" w:hAnsi="Times New Roman" w:cs="Times New Roman"/>
          <w:sz w:val="20"/>
          <w:szCs w:val="20"/>
        </w:rPr>
        <w:t>Alsharairi</w:t>
      </w:r>
      <w:proofErr w:type="spellEnd"/>
      <w:r>
        <w:rPr>
          <w:rFonts w:ascii="Times New Roman" w:hAnsi="Times New Roman" w:cs="Times New Roman"/>
          <w:sz w:val="20"/>
          <w:szCs w:val="20"/>
        </w:rPr>
        <w:t xml:space="preserve">, A., &amp; Muhammad </w:t>
      </w:r>
      <w:proofErr w:type="spellStart"/>
      <w:r>
        <w:rPr>
          <w:rFonts w:ascii="Times New Roman" w:hAnsi="Times New Roman" w:cs="Times New Roman"/>
          <w:sz w:val="20"/>
          <w:szCs w:val="20"/>
        </w:rPr>
        <w:t>Zammad</w:t>
      </w:r>
      <w:proofErr w:type="spellEnd"/>
      <w:r>
        <w:rPr>
          <w:rFonts w:ascii="Times New Roman" w:hAnsi="Times New Roman" w:cs="Times New Roman"/>
          <w:sz w:val="20"/>
          <w:szCs w:val="20"/>
        </w:rPr>
        <w:t xml:space="preserve"> Aslam. (2024). elaboration of underpinning methods and data analysis process of directed qualitative content analysis for communication studies. </w:t>
      </w:r>
      <w:r>
        <w:rPr>
          <w:rFonts w:ascii="Times New Roman" w:hAnsi="Times New Roman" w:cs="Times New Roman"/>
          <w:i/>
          <w:iCs/>
          <w:sz w:val="20"/>
          <w:szCs w:val="20"/>
        </w:rPr>
        <w:t>Journal of Intercultural Communication</w:t>
      </w:r>
      <w:r>
        <w:rPr>
          <w:rFonts w:ascii="Times New Roman" w:hAnsi="Times New Roman" w:cs="Times New Roman"/>
          <w:sz w:val="20"/>
          <w:szCs w:val="20"/>
        </w:rPr>
        <w:t xml:space="preserve">, 108–116. </w:t>
      </w:r>
      <w:hyperlink r:id="rId32" w:history="1">
        <w:r w:rsidR="004038B5">
          <w:rPr>
            <w:rStyle w:val="Hyperlink"/>
            <w:rFonts w:ascii="Times New Roman" w:hAnsi="Times New Roman"/>
            <w:sz w:val="20"/>
            <w:szCs w:val="20"/>
          </w:rPr>
          <w:t>https://doi.org/10.36923/jicc.v24i2.573</w:t>
        </w:r>
      </w:hyperlink>
    </w:p>
    <w:p w14:paraId="2D4170D4" w14:textId="77777777" w:rsidR="004038B5" w:rsidRDefault="00000000">
      <w:pPr>
        <w:spacing w:after="0"/>
        <w:ind w:left="720" w:hanging="720"/>
        <w:rPr>
          <w:rFonts w:ascii="Times New Roman" w:hAnsi="Times New Roman" w:cs="Times New Roman"/>
          <w:sz w:val="20"/>
          <w:szCs w:val="20"/>
          <w:lang w:val="ms-MY"/>
        </w:rPr>
      </w:pPr>
      <w:r>
        <w:rPr>
          <w:rFonts w:ascii="Times New Roman" w:hAnsi="Times New Roman" w:cs="Times New Roman"/>
          <w:sz w:val="20"/>
          <w:szCs w:val="20"/>
        </w:rPr>
        <w:t xml:space="preserve">Saleem, M., Ismail, I., </w:t>
      </w:r>
      <w:proofErr w:type="spellStart"/>
      <w:r>
        <w:rPr>
          <w:rFonts w:ascii="Times New Roman" w:hAnsi="Times New Roman" w:cs="Times New Roman"/>
          <w:sz w:val="20"/>
          <w:szCs w:val="20"/>
        </w:rPr>
        <w:t>Tsfati</w:t>
      </w:r>
      <w:proofErr w:type="spellEnd"/>
      <w:r>
        <w:rPr>
          <w:rFonts w:ascii="Times New Roman" w:hAnsi="Times New Roman" w:cs="Times New Roman"/>
          <w:sz w:val="20"/>
          <w:szCs w:val="20"/>
        </w:rPr>
        <w:t xml:space="preserve">, Y., &amp; Ramasubramanian, S. (2025). Testing the bi-directional influence of media and identity: A longitudinal study of Muslim American adolescents. </w:t>
      </w:r>
      <w:r>
        <w:rPr>
          <w:rFonts w:ascii="Times New Roman" w:hAnsi="Times New Roman" w:cs="Times New Roman"/>
          <w:i/>
          <w:iCs/>
          <w:sz w:val="20"/>
          <w:szCs w:val="20"/>
        </w:rPr>
        <w:t>Human Communication Research, 51</w:t>
      </w:r>
      <w:r>
        <w:rPr>
          <w:rFonts w:ascii="Times New Roman" w:hAnsi="Times New Roman" w:cs="Times New Roman"/>
          <w:sz w:val="20"/>
          <w:szCs w:val="20"/>
        </w:rPr>
        <w:t xml:space="preserve">(3), 153–163. </w:t>
      </w:r>
      <w:hyperlink r:id="rId33" w:tgtFrame="_new" w:history="1">
        <w:r w:rsidR="004038B5">
          <w:rPr>
            <w:rStyle w:val="Hyperlink"/>
            <w:rFonts w:ascii="Times New Roman" w:hAnsi="Times New Roman"/>
            <w:sz w:val="20"/>
            <w:szCs w:val="20"/>
          </w:rPr>
          <w:t>https://doi.org/10.1093/hcr/hqaf011</w:t>
        </w:r>
      </w:hyperlink>
      <w:r>
        <w:rPr>
          <w:rFonts w:ascii="Times New Roman" w:hAnsi="Times New Roman" w:cs="Times New Roman"/>
          <w:sz w:val="20"/>
          <w:szCs w:val="20"/>
          <w:lang w:val="ms-MY"/>
        </w:rPr>
        <w:t xml:space="preserve"> </w:t>
      </w:r>
    </w:p>
    <w:p w14:paraId="42923408" w14:textId="77777777" w:rsidR="004038B5" w:rsidRDefault="00000000">
      <w:pPr>
        <w:spacing w:after="0"/>
        <w:ind w:left="720" w:hanging="720"/>
        <w:rPr>
          <w:rFonts w:ascii="Times New Roman" w:hAnsi="Times New Roman" w:cs="Times New Roman"/>
          <w:sz w:val="20"/>
          <w:szCs w:val="20"/>
          <w:lang w:val="en-MY"/>
        </w:rPr>
      </w:pPr>
      <w:r>
        <w:rPr>
          <w:rFonts w:ascii="Times New Roman" w:hAnsi="Times New Roman" w:cs="Times New Roman"/>
          <w:sz w:val="20"/>
          <w:szCs w:val="20"/>
        </w:rPr>
        <w:t>Saussure, F. de. (1974). Course in General Linguistics (W. Baskin, Trans.). London: Fontana.</w:t>
      </w:r>
    </w:p>
    <w:p w14:paraId="7DE2E787" w14:textId="77777777" w:rsidR="004038B5" w:rsidRDefault="00000000">
      <w:pPr>
        <w:spacing w:after="0"/>
        <w:ind w:left="720" w:hanging="720"/>
        <w:rPr>
          <w:rFonts w:ascii="Times New Roman" w:hAnsi="Times New Roman" w:cs="Times New Roman"/>
          <w:sz w:val="20"/>
          <w:szCs w:val="20"/>
        </w:rPr>
      </w:pPr>
      <w:r>
        <w:rPr>
          <w:rFonts w:ascii="Times New Roman" w:hAnsi="Times New Roman" w:cs="Times New Roman"/>
          <w:sz w:val="20"/>
          <w:szCs w:val="20"/>
        </w:rPr>
        <w:t xml:space="preserve">Sazan, D., Md Yusoff, M. Z. N., &amp; </w:t>
      </w:r>
      <w:proofErr w:type="spellStart"/>
      <w:r>
        <w:rPr>
          <w:rFonts w:ascii="Times New Roman" w:hAnsi="Times New Roman" w:cs="Times New Roman"/>
          <w:sz w:val="20"/>
          <w:szCs w:val="20"/>
        </w:rPr>
        <w:t>Karimon</w:t>
      </w:r>
      <w:proofErr w:type="spellEnd"/>
      <w:r>
        <w:rPr>
          <w:rFonts w:ascii="Times New Roman" w:hAnsi="Times New Roman" w:cs="Times New Roman"/>
          <w:sz w:val="20"/>
          <w:szCs w:val="20"/>
        </w:rPr>
        <w:t xml:space="preserve">, J. (2023). </w:t>
      </w:r>
      <w:proofErr w:type="spellStart"/>
      <w:r>
        <w:rPr>
          <w:rFonts w:ascii="Times New Roman" w:hAnsi="Times New Roman" w:cs="Times New Roman"/>
          <w:sz w:val="20"/>
          <w:szCs w:val="20"/>
        </w:rPr>
        <w:t>Analisis</w:t>
      </w:r>
      <w:proofErr w:type="spellEnd"/>
      <w:r>
        <w:rPr>
          <w:rFonts w:ascii="Times New Roman" w:hAnsi="Times New Roman" w:cs="Times New Roman"/>
          <w:sz w:val="20"/>
          <w:szCs w:val="20"/>
        </w:rPr>
        <w:t xml:space="preserve"> poster </w:t>
      </w:r>
      <w:proofErr w:type="spellStart"/>
      <w:r>
        <w:rPr>
          <w:rFonts w:ascii="Times New Roman" w:hAnsi="Times New Roman" w:cs="Times New Roman"/>
          <w:sz w:val="20"/>
          <w:szCs w:val="20"/>
        </w:rPr>
        <w:t>iklan</w:t>
      </w:r>
      <w:proofErr w:type="spellEnd"/>
      <w:r>
        <w:rPr>
          <w:rFonts w:ascii="Times New Roman" w:hAnsi="Times New Roman" w:cs="Times New Roman"/>
          <w:sz w:val="20"/>
          <w:szCs w:val="20"/>
        </w:rPr>
        <w:t xml:space="preserve"> Nescafe </w:t>
      </w:r>
      <w:proofErr w:type="spellStart"/>
      <w:r>
        <w:rPr>
          <w:rFonts w:ascii="Times New Roman" w:hAnsi="Times New Roman" w:cs="Times New Roman"/>
          <w:sz w:val="20"/>
          <w:szCs w:val="20"/>
        </w:rPr>
        <w:t>terpilih</w:t>
      </w:r>
      <w:proofErr w:type="spellEnd"/>
      <w:r>
        <w:rPr>
          <w:rFonts w:ascii="Times New Roman" w:hAnsi="Times New Roman" w:cs="Times New Roman"/>
          <w:sz w:val="20"/>
          <w:szCs w:val="20"/>
        </w:rPr>
        <w:t xml:space="preserve">: Satu </w:t>
      </w:r>
      <w:proofErr w:type="spellStart"/>
      <w:r>
        <w:rPr>
          <w:rFonts w:ascii="Times New Roman" w:hAnsi="Times New Roman" w:cs="Times New Roman"/>
          <w:sz w:val="20"/>
          <w:szCs w:val="20"/>
        </w:rPr>
        <w:t>penelitian</w:t>
      </w:r>
      <w:proofErr w:type="spellEnd"/>
      <w:r>
        <w:rPr>
          <w:rFonts w:ascii="Times New Roman" w:hAnsi="Times New Roman" w:cs="Times New Roman"/>
          <w:sz w:val="20"/>
          <w:szCs w:val="20"/>
        </w:rPr>
        <w:t xml:space="preserve"> </w:t>
      </w:r>
      <w:proofErr w:type="spellStart"/>
      <w:r>
        <w:rPr>
          <w:rFonts w:ascii="Times New Roman" w:hAnsi="Times New Roman" w:cs="Times New Roman"/>
          <w:sz w:val="20"/>
          <w:szCs w:val="20"/>
        </w:rPr>
        <w:t>komunikasi</w:t>
      </w:r>
      <w:proofErr w:type="spellEnd"/>
      <w:r>
        <w:rPr>
          <w:rFonts w:ascii="Times New Roman" w:hAnsi="Times New Roman" w:cs="Times New Roman"/>
          <w:sz w:val="20"/>
          <w:szCs w:val="20"/>
        </w:rPr>
        <w:t xml:space="preserve"> visual. </w:t>
      </w:r>
      <w:r>
        <w:rPr>
          <w:rFonts w:ascii="Times New Roman" w:hAnsi="Times New Roman" w:cs="Times New Roman"/>
          <w:i/>
          <w:iCs/>
          <w:sz w:val="20"/>
          <w:szCs w:val="20"/>
        </w:rPr>
        <w:t>PENDET,14</w:t>
      </w:r>
      <w:r>
        <w:rPr>
          <w:rFonts w:ascii="Times New Roman" w:hAnsi="Times New Roman" w:cs="Times New Roman"/>
          <w:sz w:val="20"/>
          <w:szCs w:val="20"/>
        </w:rPr>
        <w:t xml:space="preserve">(2), 121–130. </w:t>
      </w:r>
      <w:hyperlink r:id="rId34" w:history="1">
        <w:r w:rsidR="004038B5">
          <w:rPr>
            <w:rStyle w:val="Hyperlink"/>
            <w:rFonts w:ascii="Times New Roman" w:hAnsi="Times New Roman"/>
            <w:sz w:val="20"/>
            <w:szCs w:val="20"/>
          </w:rPr>
          <w:t>https://doi.org/10.37134/pendeta.vol14.2.10.2023</w:t>
        </w:r>
      </w:hyperlink>
    </w:p>
    <w:p w14:paraId="04D910F8" w14:textId="77777777" w:rsidR="004038B5" w:rsidRDefault="00000000">
      <w:pPr>
        <w:spacing w:after="0"/>
        <w:ind w:left="720" w:hanging="720"/>
        <w:rPr>
          <w:rFonts w:ascii="Times New Roman" w:hAnsi="Times New Roman" w:cs="Times New Roman"/>
          <w:sz w:val="20"/>
          <w:szCs w:val="20"/>
        </w:rPr>
      </w:pPr>
      <w:proofErr w:type="spellStart"/>
      <w:r>
        <w:rPr>
          <w:rFonts w:ascii="Times New Roman" w:hAnsi="Times New Roman" w:cs="Times New Roman"/>
          <w:sz w:val="20"/>
          <w:szCs w:val="20"/>
        </w:rPr>
        <w:t>Teguh</w:t>
      </w:r>
      <w:proofErr w:type="spellEnd"/>
      <w:r>
        <w:rPr>
          <w:rFonts w:ascii="Times New Roman" w:hAnsi="Times New Roman" w:cs="Times New Roman"/>
          <w:sz w:val="20"/>
          <w:szCs w:val="20"/>
        </w:rPr>
        <w:t xml:space="preserve"> Iman Prasetya. (2025). The role of semiotics analysis in advertisement: Bibliometric analysis. </w:t>
      </w:r>
      <w:r>
        <w:rPr>
          <w:rFonts w:ascii="Times New Roman" w:hAnsi="Times New Roman" w:cs="Times New Roman"/>
          <w:i/>
          <w:iCs/>
          <w:sz w:val="20"/>
          <w:szCs w:val="20"/>
        </w:rPr>
        <w:t>Journal La Sociale</w:t>
      </w:r>
      <w:r>
        <w:rPr>
          <w:rFonts w:ascii="Times New Roman" w:hAnsi="Times New Roman" w:cs="Times New Roman"/>
          <w:sz w:val="20"/>
          <w:szCs w:val="20"/>
        </w:rPr>
        <w:t>, </w:t>
      </w:r>
      <w:r>
        <w:rPr>
          <w:rFonts w:ascii="Times New Roman" w:hAnsi="Times New Roman" w:cs="Times New Roman"/>
          <w:i/>
          <w:iCs/>
          <w:sz w:val="20"/>
          <w:szCs w:val="20"/>
        </w:rPr>
        <w:t>6</w:t>
      </w:r>
      <w:r>
        <w:rPr>
          <w:rFonts w:ascii="Times New Roman" w:hAnsi="Times New Roman" w:cs="Times New Roman"/>
          <w:sz w:val="20"/>
          <w:szCs w:val="20"/>
        </w:rPr>
        <w:t xml:space="preserve">(3), 711–720. </w:t>
      </w:r>
      <w:hyperlink r:id="rId35" w:history="1">
        <w:r w:rsidR="004038B5">
          <w:rPr>
            <w:rStyle w:val="Hyperlink"/>
            <w:rFonts w:ascii="Times New Roman" w:hAnsi="Times New Roman"/>
            <w:sz w:val="20"/>
            <w:szCs w:val="20"/>
          </w:rPr>
          <w:t>https://doi.org/10.37899/journal-la-sociale.v6i3.2029</w:t>
        </w:r>
      </w:hyperlink>
    </w:p>
    <w:p w14:paraId="166CB55D" w14:textId="77777777" w:rsidR="004038B5" w:rsidRDefault="00000000">
      <w:pPr>
        <w:spacing w:after="0"/>
        <w:ind w:left="720" w:hanging="720"/>
        <w:rPr>
          <w:rFonts w:ascii="Times New Roman" w:hAnsi="Times New Roman" w:cs="Times New Roman"/>
          <w:sz w:val="20"/>
          <w:szCs w:val="20"/>
        </w:rPr>
      </w:pPr>
      <w:r>
        <w:rPr>
          <w:rFonts w:ascii="Times New Roman" w:hAnsi="Times New Roman" w:cs="Times New Roman"/>
          <w:sz w:val="20"/>
          <w:szCs w:val="20"/>
        </w:rPr>
        <w:t xml:space="preserve">Wan Husin, W. N., Samsudin, N. K. I., Zainol, N. A., Nordin, N. N. H., Mujani, W. K., </w:t>
      </w:r>
      <w:proofErr w:type="spellStart"/>
      <w:r>
        <w:rPr>
          <w:rFonts w:ascii="Times New Roman" w:hAnsi="Times New Roman" w:cs="Times New Roman"/>
          <w:sz w:val="20"/>
          <w:szCs w:val="20"/>
        </w:rPr>
        <w:t>Zainurin</w:t>
      </w:r>
      <w:proofErr w:type="spellEnd"/>
      <w:r>
        <w:rPr>
          <w:rFonts w:ascii="Times New Roman" w:hAnsi="Times New Roman" w:cs="Times New Roman"/>
          <w:sz w:val="20"/>
          <w:szCs w:val="20"/>
        </w:rPr>
        <w:t xml:space="preserve">, S. J., &amp; Mahmood, N. A. N. (2022). The influence of education, economy and religion domains in enhancing ethnic unity among Malaysian youths. </w:t>
      </w:r>
      <w:r>
        <w:rPr>
          <w:rFonts w:ascii="Times New Roman" w:hAnsi="Times New Roman" w:cs="Times New Roman"/>
          <w:i/>
          <w:iCs/>
          <w:sz w:val="20"/>
          <w:szCs w:val="20"/>
        </w:rPr>
        <w:t>Ethnicities, 22</w:t>
      </w:r>
      <w:r>
        <w:rPr>
          <w:rFonts w:ascii="Times New Roman" w:hAnsi="Times New Roman" w:cs="Times New Roman"/>
          <w:sz w:val="20"/>
          <w:szCs w:val="20"/>
        </w:rPr>
        <w:t xml:space="preserve">(6), 922–942. </w:t>
      </w:r>
      <w:hyperlink r:id="rId36" w:tgtFrame="_new" w:history="1">
        <w:r w:rsidR="004038B5">
          <w:rPr>
            <w:rStyle w:val="Hyperlink"/>
            <w:rFonts w:ascii="Times New Roman" w:hAnsi="Times New Roman"/>
            <w:sz w:val="20"/>
            <w:szCs w:val="20"/>
          </w:rPr>
          <w:t>https://doi.org/10.1177/14687968221101401</w:t>
        </w:r>
      </w:hyperlink>
    </w:p>
    <w:p w14:paraId="63767E42" w14:textId="77777777" w:rsidR="004038B5" w:rsidRDefault="00000000">
      <w:pPr>
        <w:spacing w:after="0"/>
        <w:ind w:left="720" w:hanging="720"/>
        <w:rPr>
          <w:rFonts w:ascii="Times New Roman" w:hAnsi="Times New Roman" w:cs="Times New Roman"/>
          <w:sz w:val="20"/>
          <w:szCs w:val="20"/>
        </w:rPr>
      </w:pPr>
      <w:r>
        <w:rPr>
          <w:rFonts w:ascii="Times New Roman" w:hAnsi="Times New Roman" w:cs="Times New Roman"/>
          <w:sz w:val="20"/>
          <w:szCs w:val="20"/>
        </w:rPr>
        <w:t>Zakaria, J., Yaakob, A. F., &amp; Zawawi, H. Y. (2022). social cohesion for community development in Malaysia: Impact to national integration. </w:t>
      </w:r>
      <w:r>
        <w:rPr>
          <w:rFonts w:ascii="Times New Roman" w:hAnsi="Times New Roman" w:cs="Times New Roman"/>
          <w:i/>
          <w:iCs/>
          <w:sz w:val="20"/>
          <w:szCs w:val="20"/>
        </w:rPr>
        <w:t>International Journal of Academic Research in Business and Social Sciences</w:t>
      </w:r>
      <w:r>
        <w:rPr>
          <w:rFonts w:ascii="Times New Roman" w:hAnsi="Times New Roman" w:cs="Times New Roman"/>
          <w:sz w:val="20"/>
          <w:szCs w:val="20"/>
        </w:rPr>
        <w:t>, </w:t>
      </w:r>
      <w:r>
        <w:rPr>
          <w:rFonts w:ascii="Times New Roman" w:hAnsi="Times New Roman" w:cs="Times New Roman"/>
          <w:i/>
          <w:iCs/>
          <w:sz w:val="20"/>
          <w:szCs w:val="20"/>
        </w:rPr>
        <w:t>12</w:t>
      </w:r>
      <w:r>
        <w:rPr>
          <w:rFonts w:ascii="Times New Roman" w:hAnsi="Times New Roman" w:cs="Times New Roman"/>
          <w:sz w:val="20"/>
          <w:szCs w:val="20"/>
        </w:rPr>
        <w:t xml:space="preserve">(11). </w:t>
      </w:r>
      <w:hyperlink r:id="rId37" w:history="1">
        <w:r w:rsidR="004038B5">
          <w:rPr>
            <w:rStyle w:val="Hyperlink"/>
            <w:rFonts w:ascii="Times New Roman" w:hAnsi="Times New Roman"/>
            <w:sz w:val="20"/>
            <w:szCs w:val="20"/>
          </w:rPr>
          <w:t>https://doi.org/10.6007/ijarbss/v12-i11/15651</w:t>
        </w:r>
      </w:hyperlink>
    </w:p>
    <w:p w14:paraId="53D6A322" w14:textId="77777777" w:rsidR="004038B5" w:rsidRDefault="004038B5">
      <w:pPr>
        <w:spacing w:after="0"/>
        <w:ind w:left="720" w:hanging="720"/>
        <w:rPr>
          <w:rFonts w:ascii="Cambria" w:hAnsi="Cambria"/>
        </w:rPr>
      </w:pPr>
    </w:p>
    <w:p w14:paraId="6C3D4489" w14:textId="77777777" w:rsidR="004038B5" w:rsidRDefault="00000000">
      <w:pPr>
        <w:spacing w:after="0"/>
        <w:ind w:left="720" w:hanging="720"/>
        <w:rPr>
          <w:rFonts w:ascii="Cambria" w:hAnsi="Cambria"/>
        </w:rPr>
      </w:pPr>
      <w:r>
        <w:rPr>
          <w:rFonts w:ascii="Cambria" w:hAnsi="Cambria"/>
        </w:rPr>
        <w:t>‌</w:t>
      </w:r>
    </w:p>
    <w:p w14:paraId="057B3F46" w14:textId="77777777" w:rsidR="004038B5" w:rsidRDefault="004038B5">
      <w:pPr>
        <w:jc w:val="both"/>
        <w:rPr>
          <w:rFonts w:ascii="Times New Roman" w:hAnsi="Times New Roman" w:cs="Times New Roman"/>
          <w:b/>
          <w:sz w:val="24"/>
          <w:szCs w:val="24"/>
        </w:rPr>
      </w:pPr>
    </w:p>
    <w:sectPr w:rsidR="004038B5">
      <w:type w:val="continuous"/>
      <w:pgSz w:w="11906" w:h="16838"/>
      <w:pgMar w:top="720" w:right="720" w:bottom="720" w:left="720" w:header="284" w:footer="284"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03CDF0" w14:textId="77777777" w:rsidR="00267999" w:rsidRDefault="00267999">
      <w:pPr>
        <w:spacing w:line="240" w:lineRule="auto"/>
      </w:pPr>
      <w:r>
        <w:separator/>
      </w:r>
    </w:p>
  </w:endnote>
  <w:endnote w:type="continuationSeparator" w:id="0">
    <w:p w14:paraId="559B1D71" w14:textId="77777777" w:rsidR="00267999" w:rsidRDefault="0026799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default"/>
    <w:sig w:usb0="00000000" w:usb1="00000000" w:usb2="0000003F" w:usb3="00000000" w:csb0="003F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04486"/>
      <w:docPartObj>
        <w:docPartGallery w:val="AutoText"/>
      </w:docPartObj>
    </w:sdtPr>
    <w:sdtContent>
      <w:p w14:paraId="3D6D014C" w14:textId="77777777" w:rsidR="004038B5" w:rsidRDefault="00000000">
        <w:pPr>
          <w:pStyle w:val="Footer"/>
          <w:jc w:val="right"/>
        </w:pPr>
        <w:r>
          <w:fldChar w:fldCharType="begin"/>
        </w:r>
        <w:r>
          <w:instrText xml:space="preserve"> PAGE   \* MERGEFORMAT </w:instrText>
        </w:r>
        <w:r>
          <w:fldChar w:fldCharType="separate"/>
        </w:r>
        <w:r>
          <w:t>2</w:t>
        </w:r>
        <w:r>
          <w:fldChar w:fldCharType="end"/>
        </w:r>
      </w:p>
      <w:p w14:paraId="19D78A91" w14:textId="77777777" w:rsidR="004038B5" w:rsidRDefault="00000000">
        <w:pPr>
          <w:pStyle w:val="Footer"/>
          <w:jc w:val="right"/>
        </w:pPr>
      </w:p>
    </w:sdtContent>
  </w:sdt>
  <w:p w14:paraId="7CEB9ADD" w14:textId="77777777" w:rsidR="004038B5" w:rsidRDefault="004038B5">
    <w:pPr>
      <w:pStyle w:val="Footer"/>
      <w:jc w:val="center"/>
    </w:pPr>
    <w:hyperlink r:id="rId1" w:history="1">
      <w:r>
        <w:rPr>
          <w:rStyle w:val="Hyperlink"/>
        </w:rPr>
        <w:t>www.ijerat.sretechjournal.org</w:t>
      </w:r>
    </w:hyperlink>
  </w:p>
  <w:p w14:paraId="75A10758" w14:textId="77777777" w:rsidR="004038B5" w:rsidRDefault="004038B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04485"/>
      <w:docPartObj>
        <w:docPartGallery w:val="AutoText"/>
      </w:docPartObj>
    </w:sdtPr>
    <w:sdtContent>
      <w:p w14:paraId="4B2E314D" w14:textId="77777777" w:rsidR="004038B5" w:rsidRDefault="004038B5">
        <w:pPr>
          <w:pStyle w:val="Footer"/>
        </w:pPr>
      </w:p>
      <w:p w14:paraId="46264711" w14:textId="77777777" w:rsidR="004038B5" w:rsidRDefault="00000000">
        <w:pPr>
          <w:pStyle w:val="Footer"/>
        </w:pP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9BFB3C" w14:textId="77777777" w:rsidR="004038B5" w:rsidRDefault="00000000">
    <w:pPr>
      <w:spacing w:line="300" w:lineRule="atLeast"/>
      <w:rPr>
        <w:rFonts w:ascii="Helvetica" w:eastAsia="Times New Roman" w:hAnsi="Helvetica" w:cs="Helvetica"/>
        <w:color w:val="222222"/>
        <w:sz w:val="21"/>
        <w:szCs w:val="21"/>
      </w:rPr>
    </w:pPr>
    <w:r>
      <w:t xml:space="preserve">E-mail:  </w:t>
    </w:r>
    <w:hyperlink r:id="rId1" w:history="1">
      <w:r w:rsidR="004038B5">
        <w:rPr>
          <w:rStyle w:val="Hyperlink"/>
          <w:rFonts w:ascii="Helvetica" w:eastAsia="Times New Roman" w:hAnsi="Helvetica" w:cs="Helvetica"/>
          <w:sz w:val="21"/>
          <w:szCs w:val="21"/>
        </w:rPr>
        <w:t>editor.ijrssh@gmail.com</w:t>
      </w:r>
    </w:hyperlink>
  </w:p>
  <w:p w14:paraId="3E01F361" w14:textId="77777777" w:rsidR="004038B5" w:rsidRDefault="004038B5">
    <w:pPr>
      <w:pStyle w:val="Head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34C8C0" w14:textId="77777777" w:rsidR="00267999" w:rsidRDefault="00267999">
      <w:pPr>
        <w:spacing w:after="0"/>
      </w:pPr>
      <w:r>
        <w:separator/>
      </w:r>
    </w:p>
  </w:footnote>
  <w:footnote w:type="continuationSeparator" w:id="0">
    <w:p w14:paraId="515444C5" w14:textId="77777777" w:rsidR="00267999" w:rsidRDefault="0026799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3017B8" w14:textId="77777777" w:rsidR="004038B5" w:rsidRDefault="00000000">
    <w:pPr>
      <w:pStyle w:val="Head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Correspondence author name et al.,   Title of the paper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B49B8" w14:textId="77777777" w:rsidR="004038B5" w:rsidRDefault="00000000">
    <w:pPr>
      <w:pStyle w:val="Header"/>
      <w:jc w:val="center"/>
      <w:rPr>
        <w:rFonts w:ascii="Times New Roman" w:eastAsia="Batang" w:hAnsi="Times New Roman" w:cs="Times New Roman"/>
        <w:b/>
        <w:bCs/>
        <w:color w:val="0000FF"/>
        <w:lang w:eastAsia="en-IN"/>
      </w:rPr>
    </w:pPr>
    <w:r>
      <w:rPr>
        <w:rFonts w:ascii="Times New Roman" w:hAnsi="Times New Roman" w:cs="Times New Roman"/>
        <w:b/>
      </w:rPr>
      <w:t xml:space="preserve">International Journal of Research in Social Science and Humanities (IJRSS)                              </w:t>
    </w:r>
    <w:r>
      <w:rPr>
        <w:rFonts w:ascii="Times New Roman" w:eastAsia="Batang" w:hAnsi="Times New Roman" w:cs="Times New Roman"/>
        <w:b/>
        <w:bCs/>
        <w:lang w:eastAsia="en-IN"/>
      </w:rPr>
      <w:t xml:space="preserve">                                                                                       </w:t>
    </w:r>
  </w:p>
  <w:p w14:paraId="5A07BBE2" w14:textId="77777777" w:rsidR="004038B5" w:rsidRDefault="004038B5">
    <w:pPr>
      <w:pStyle w:val="Header"/>
      <w:jc w:val="center"/>
      <w:rPr>
        <w:rFonts w:ascii="Times New Roman" w:eastAsia="Batang" w:hAnsi="Times New Roman" w:cs="Times New Roman"/>
        <w:b/>
        <w:bCs/>
        <w:lang w:eastAsia="en-IN"/>
      </w:rPr>
    </w:pPr>
  </w:p>
  <w:p w14:paraId="75BFB519" w14:textId="77777777" w:rsidR="004038B5" w:rsidRDefault="00000000">
    <w:pPr>
      <w:pStyle w:val="Header"/>
      <w:jc w:val="center"/>
      <w:rPr>
        <w:rFonts w:ascii="Times New Roman" w:eastAsia="Batang" w:hAnsi="Times New Roman" w:cs="Times New Roman"/>
        <w:b/>
        <w:bCs/>
        <w:u w:val="single"/>
        <w:lang w:eastAsia="en-IN"/>
      </w:rPr>
    </w:pPr>
    <w:r>
      <w:rPr>
        <w:rFonts w:ascii="Times New Roman" w:eastAsia="Batang" w:hAnsi="Times New Roman" w:cs="Times New Roman"/>
        <w:b/>
        <w:bCs/>
        <w:u w:val="single"/>
        <w:lang w:eastAsia="en-IN"/>
      </w:rPr>
      <w:fldChar w:fldCharType="begin"/>
    </w:r>
    <w:r>
      <w:rPr>
        <w:rFonts w:ascii="Times New Roman" w:eastAsia="Batang" w:hAnsi="Times New Roman" w:cs="Times New Roman"/>
        <w:b/>
        <w:bCs/>
        <w:u w:val="single"/>
        <w:lang w:eastAsia="en-IN"/>
      </w:rPr>
      <w:instrText xml:space="preserve"> HYPERLINK "http://www.ijrss.org</w:instrText>
    </w:r>
  </w:p>
  <w:p w14:paraId="569384C7" w14:textId="77777777" w:rsidR="004038B5" w:rsidRDefault="00000000">
    <w:pPr>
      <w:pStyle w:val="Header"/>
      <w:jc w:val="center"/>
      <w:rPr>
        <w:rStyle w:val="Hyperlink"/>
        <w:rFonts w:ascii="Times New Roman" w:eastAsia="Batang" w:hAnsi="Times New Roman"/>
        <w:b/>
        <w:bCs/>
        <w:lang w:eastAsia="en-IN"/>
      </w:rPr>
    </w:pPr>
    <w:r>
      <w:rPr>
        <w:rFonts w:ascii="Times New Roman" w:eastAsia="Batang" w:hAnsi="Times New Roman" w:cs="Times New Roman"/>
        <w:b/>
        <w:bCs/>
        <w:lang w:eastAsia="en-IN"/>
      </w:rPr>
      <w:instrText xml:space="preserve">                 </w:instrText>
    </w:r>
    <w:r>
      <w:rPr>
        <w:rFonts w:ascii="Times New Roman" w:eastAsia="Batang" w:hAnsi="Times New Roman" w:cs="Times New Roman"/>
        <w:b/>
        <w:bCs/>
        <w:u w:val="single"/>
        <w:lang w:eastAsia="en-IN"/>
      </w:rPr>
      <w:instrText xml:space="preserve">" </w:instrText>
    </w:r>
    <w:r>
      <w:rPr>
        <w:rFonts w:ascii="Times New Roman" w:eastAsia="Batang" w:hAnsi="Times New Roman" w:cs="Times New Roman"/>
        <w:b/>
        <w:bCs/>
        <w:u w:val="single"/>
        <w:lang w:eastAsia="en-IN"/>
      </w:rPr>
    </w:r>
    <w:r>
      <w:rPr>
        <w:rFonts w:ascii="Times New Roman" w:eastAsia="Batang" w:hAnsi="Times New Roman" w:cs="Times New Roman"/>
        <w:b/>
        <w:bCs/>
        <w:u w:val="single"/>
        <w:lang w:eastAsia="en-IN"/>
      </w:rPr>
      <w:fldChar w:fldCharType="separate"/>
    </w:r>
    <w:r>
      <w:rPr>
        <w:rStyle w:val="Hyperlink"/>
        <w:rFonts w:ascii="Times New Roman" w:eastAsia="Batang" w:hAnsi="Times New Roman"/>
        <w:b/>
        <w:bCs/>
        <w:lang w:eastAsia="en-IN"/>
      </w:rPr>
      <w:t>www.ijrss.org</w:t>
    </w:r>
  </w:p>
  <w:p w14:paraId="7459BA81" w14:textId="77777777" w:rsidR="004038B5" w:rsidRDefault="00000000">
    <w:pPr>
      <w:pStyle w:val="Header"/>
      <w:jc w:val="center"/>
      <w:rPr>
        <w:b/>
        <w:color w:val="3333CC"/>
      </w:rPr>
    </w:pPr>
    <w:r>
      <w:rPr>
        <w:rStyle w:val="Hyperlink"/>
        <w:rFonts w:ascii="Times New Roman" w:eastAsia="Batang" w:hAnsi="Times New Roman"/>
        <w:b/>
        <w:bCs/>
        <w:lang w:eastAsia="en-IN"/>
      </w:rPr>
      <w:t xml:space="preserve">                 </w:t>
    </w:r>
    <w:r>
      <w:rPr>
        <w:rFonts w:ascii="Times New Roman" w:eastAsia="Batang" w:hAnsi="Times New Roman" w:cs="Times New Roman"/>
        <w:b/>
        <w:bCs/>
        <w:u w:val="single"/>
        <w:lang w:eastAsia="en-IN"/>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B"/>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lvl>
    <w:lvl w:ilvl="2">
      <w:start w:val="1"/>
      <w:numFmt w:val="decimal"/>
      <w:pStyle w:val="Heading3"/>
      <w:lvlText w:val="%3)"/>
      <w:legacy w:legacy="1" w:legacySpace="144" w:legacyIndent="144"/>
      <w:lvlJc w:val="left"/>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15:restartNumberingAfterBreak="0">
    <w:nsid w:val="77A07B36"/>
    <w:multiLevelType w:val="multilevel"/>
    <w:tmpl w:val="77A07B36"/>
    <w:lvl w:ilvl="0">
      <w:start w:val="2"/>
      <w:numFmt w:val="decimal"/>
      <w:lvlText w:val="%1"/>
      <w:lvlJc w:val="left"/>
      <w:pPr>
        <w:tabs>
          <w:tab w:val="left" w:pos="390"/>
        </w:tabs>
        <w:ind w:left="390" w:hanging="390"/>
      </w:pPr>
      <w:rPr>
        <w:rFonts w:hint="default"/>
      </w:rPr>
    </w:lvl>
    <w:lvl w:ilvl="1">
      <w:start w:val="1"/>
      <w:numFmt w:val="decimal"/>
      <w:lvlText w:val="%1.%2"/>
      <w:lvlJc w:val="left"/>
      <w:pPr>
        <w:tabs>
          <w:tab w:val="left" w:pos="390"/>
        </w:tabs>
        <w:ind w:left="390" w:hanging="390"/>
      </w:pPr>
      <w:rPr>
        <w:rFonts w:hint="default"/>
        <w:i w:val="0"/>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720"/>
        </w:tabs>
        <w:ind w:left="720" w:hanging="72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080"/>
        </w:tabs>
        <w:ind w:left="1080" w:hanging="1080"/>
      </w:pPr>
      <w:rPr>
        <w:rFonts w:hint="default"/>
      </w:rPr>
    </w:lvl>
    <w:lvl w:ilvl="6">
      <w:start w:val="1"/>
      <w:numFmt w:val="decimal"/>
      <w:lvlText w:val="%1.%2.%3.%4.%5.%6.%7"/>
      <w:lvlJc w:val="left"/>
      <w:pPr>
        <w:tabs>
          <w:tab w:val="left" w:pos="1440"/>
        </w:tabs>
        <w:ind w:left="1440" w:hanging="1440"/>
      </w:pPr>
      <w:rPr>
        <w:rFonts w:hint="default"/>
      </w:rPr>
    </w:lvl>
    <w:lvl w:ilvl="7">
      <w:start w:val="1"/>
      <w:numFmt w:val="decimal"/>
      <w:lvlText w:val="%1.%2.%3.%4.%5.%6.%7.%8"/>
      <w:lvlJc w:val="left"/>
      <w:pPr>
        <w:tabs>
          <w:tab w:val="left" w:pos="1440"/>
        </w:tabs>
        <w:ind w:left="1440" w:hanging="1440"/>
      </w:pPr>
      <w:rPr>
        <w:rFonts w:hint="default"/>
      </w:rPr>
    </w:lvl>
    <w:lvl w:ilvl="8">
      <w:start w:val="1"/>
      <w:numFmt w:val="decimal"/>
      <w:lvlText w:val="%1.%2.%3.%4.%5.%6.%7.%8.%9"/>
      <w:lvlJc w:val="left"/>
      <w:pPr>
        <w:tabs>
          <w:tab w:val="left" w:pos="1800"/>
        </w:tabs>
        <w:ind w:left="1800" w:hanging="1800"/>
      </w:pPr>
      <w:rPr>
        <w:rFonts w:hint="default"/>
      </w:rPr>
    </w:lvl>
  </w:abstractNum>
  <w:num w:numId="1" w16cid:durableId="807431119">
    <w:abstractNumId w:val="0"/>
  </w:num>
  <w:num w:numId="2" w16cid:durableId="21968138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drawingGridHorizontalSpacing w:val="11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F49"/>
    <w:rsid w:val="00017EA5"/>
    <w:rsid w:val="00035A45"/>
    <w:rsid w:val="00041FE3"/>
    <w:rsid w:val="000565E5"/>
    <w:rsid w:val="00087E61"/>
    <w:rsid w:val="000E2F40"/>
    <w:rsid w:val="0010036C"/>
    <w:rsid w:val="00122F2C"/>
    <w:rsid w:val="00131CFC"/>
    <w:rsid w:val="00154E4D"/>
    <w:rsid w:val="00172957"/>
    <w:rsid w:val="00176804"/>
    <w:rsid w:val="00177656"/>
    <w:rsid w:val="00187248"/>
    <w:rsid w:val="00196E16"/>
    <w:rsid w:val="001A4824"/>
    <w:rsid w:val="001A50E9"/>
    <w:rsid w:val="001A547A"/>
    <w:rsid w:val="001C302F"/>
    <w:rsid w:val="001E472C"/>
    <w:rsid w:val="001E4AD1"/>
    <w:rsid w:val="00207A2B"/>
    <w:rsid w:val="002111CF"/>
    <w:rsid w:val="00211500"/>
    <w:rsid w:val="00215698"/>
    <w:rsid w:val="002210BE"/>
    <w:rsid w:val="002320DE"/>
    <w:rsid w:val="00263408"/>
    <w:rsid w:val="002650B0"/>
    <w:rsid w:val="00267999"/>
    <w:rsid w:val="00285259"/>
    <w:rsid w:val="00292B3D"/>
    <w:rsid w:val="002966B3"/>
    <w:rsid w:val="002B1AF8"/>
    <w:rsid w:val="002B20DE"/>
    <w:rsid w:val="002D5FFA"/>
    <w:rsid w:val="002F34E3"/>
    <w:rsid w:val="00325E07"/>
    <w:rsid w:val="0033485E"/>
    <w:rsid w:val="003370EB"/>
    <w:rsid w:val="00344C58"/>
    <w:rsid w:val="00387A84"/>
    <w:rsid w:val="00395F49"/>
    <w:rsid w:val="003F0478"/>
    <w:rsid w:val="003F11DA"/>
    <w:rsid w:val="003F3F82"/>
    <w:rsid w:val="00402C77"/>
    <w:rsid w:val="004038B5"/>
    <w:rsid w:val="0041418F"/>
    <w:rsid w:val="00423C7B"/>
    <w:rsid w:val="004322FF"/>
    <w:rsid w:val="00441C6C"/>
    <w:rsid w:val="004467A2"/>
    <w:rsid w:val="0045737C"/>
    <w:rsid w:val="00462D1C"/>
    <w:rsid w:val="00477B59"/>
    <w:rsid w:val="004B1A85"/>
    <w:rsid w:val="004C1023"/>
    <w:rsid w:val="004C3B5C"/>
    <w:rsid w:val="004D26F0"/>
    <w:rsid w:val="005066BB"/>
    <w:rsid w:val="00540784"/>
    <w:rsid w:val="005B2AB4"/>
    <w:rsid w:val="005C15B6"/>
    <w:rsid w:val="005D3023"/>
    <w:rsid w:val="005D5393"/>
    <w:rsid w:val="005E247E"/>
    <w:rsid w:val="006030E6"/>
    <w:rsid w:val="00620283"/>
    <w:rsid w:val="00620D06"/>
    <w:rsid w:val="006224B3"/>
    <w:rsid w:val="00624786"/>
    <w:rsid w:val="00631883"/>
    <w:rsid w:val="00632EDB"/>
    <w:rsid w:val="00634FC9"/>
    <w:rsid w:val="00637F77"/>
    <w:rsid w:val="006506AF"/>
    <w:rsid w:val="006558E3"/>
    <w:rsid w:val="00655C28"/>
    <w:rsid w:val="006A356D"/>
    <w:rsid w:val="006A36C4"/>
    <w:rsid w:val="006A7430"/>
    <w:rsid w:val="006C684E"/>
    <w:rsid w:val="006F5B3A"/>
    <w:rsid w:val="0073729E"/>
    <w:rsid w:val="00764008"/>
    <w:rsid w:val="007756E9"/>
    <w:rsid w:val="00777F10"/>
    <w:rsid w:val="0078414B"/>
    <w:rsid w:val="0078524D"/>
    <w:rsid w:val="007A7DBD"/>
    <w:rsid w:val="007C7389"/>
    <w:rsid w:val="007D6E4B"/>
    <w:rsid w:val="007F14A1"/>
    <w:rsid w:val="00801297"/>
    <w:rsid w:val="00804ABC"/>
    <w:rsid w:val="0082489A"/>
    <w:rsid w:val="0083296E"/>
    <w:rsid w:val="00842A9C"/>
    <w:rsid w:val="008525BC"/>
    <w:rsid w:val="008571B2"/>
    <w:rsid w:val="00866EE1"/>
    <w:rsid w:val="008B315C"/>
    <w:rsid w:val="008C1E4F"/>
    <w:rsid w:val="008E4A98"/>
    <w:rsid w:val="009066D5"/>
    <w:rsid w:val="00910E4C"/>
    <w:rsid w:val="00914BBD"/>
    <w:rsid w:val="00940BB8"/>
    <w:rsid w:val="009439C3"/>
    <w:rsid w:val="0094553F"/>
    <w:rsid w:val="00954EF6"/>
    <w:rsid w:val="009745F2"/>
    <w:rsid w:val="00980C56"/>
    <w:rsid w:val="00982FA6"/>
    <w:rsid w:val="009C4470"/>
    <w:rsid w:val="009D5512"/>
    <w:rsid w:val="00A0207F"/>
    <w:rsid w:val="00A041E5"/>
    <w:rsid w:val="00A32C54"/>
    <w:rsid w:val="00A52574"/>
    <w:rsid w:val="00A60461"/>
    <w:rsid w:val="00A71535"/>
    <w:rsid w:val="00A92721"/>
    <w:rsid w:val="00A94E64"/>
    <w:rsid w:val="00A964EA"/>
    <w:rsid w:val="00A97D32"/>
    <w:rsid w:val="00AA663E"/>
    <w:rsid w:val="00AB106D"/>
    <w:rsid w:val="00AB3A1A"/>
    <w:rsid w:val="00AD0A3A"/>
    <w:rsid w:val="00AD57E7"/>
    <w:rsid w:val="00AE4314"/>
    <w:rsid w:val="00AF04CF"/>
    <w:rsid w:val="00AF7BA8"/>
    <w:rsid w:val="00B177F0"/>
    <w:rsid w:val="00B321E5"/>
    <w:rsid w:val="00B71A97"/>
    <w:rsid w:val="00B72206"/>
    <w:rsid w:val="00B81505"/>
    <w:rsid w:val="00B86B62"/>
    <w:rsid w:val="00B87761"/>
    <w:rsid w:val="00BA2290"/>
    <w:rsid w:val="00BA7DDF"/>
    <w:rsid w:val="00BD0CAF"/>
    <w:rsid w:val="00BE5161"/>
    <w:rsid w:val="00BE6D5C"/>
    <w:rsid w:val="00BF55F4"/>
    <w:rsid w:val="00C00BB6"/>
    <w:rsid w:val="00C16D18"/>
    <w:rsid w:val="00C23E36"/>
    <w:rsid w:val="00C72A09"/>
    <w:rsid w:val="00C76AB2"/>
    <w:rsid w:val="00C8588C"/>
    <w:rsid w:val="00C907AB"/>
    <w:rsid w:val="00C9089F"/>
    <w:rsid w:val="00CB5429"/>
    <w:rsid w:val="00CE15C3"/>
    <w:rsid w:val="00CE3EE2"/>
    <w:rsid w:val="00CE4FEB"/>
    <w:rsid w:val="00CF07AE"/>
    <w:rsid w:val="00D05E97"/>
    <w:rsid w:val="00D22073"/>
    <w:rsid w:val="00D25F9A"/>
    <w:rsid w:val="00D319CD"/>
    <w:rsid w:val="00D44DB8"/>
    <w:rsid w:val="00D61638"/>
    <w:rsid w:val="00D64A7E"/>
    <w:rsid w:val="00D72A11"/>
    <w:rsid w:val="00D7564C"/>
    <w:rsid w:val="00D840B1"/>
    <w:rsid w:val="00D912AE"/>
    <w:rsid w:val="00DA05FD"/>
    <w:rsid w:val="00DA0D5D"/>
    <w:rsid w:val="00DA27A6"/>
    <w:rsid w:val="00DB2466"/>
    <w:rsid w:val="00DE010E"/>
    <w:rsid w:val="00DF4605"/>
    <w:rsid w:val="00E01DAE"/>
    <w:rsid w:val="00E07EC2"/>
    <w:rsid w:val="00E135EC"/>
    <w:rsid w:val="00E225FA"/>
    <w:rsid w:val="00E3242A"/>
    <w:rsid w:val="00E42FB8"/>
    <w:rsid w:val="00E81E7F"/>
    <w:rsid w:val="00E86A2B"/>
    <w:rsid w:val="00EA4E9B"/>
    <w:rsid w:val="00EB0EE9"/>
    <w:rsid w:val="00EB3DCE"/>
    <w:rsid w:val="00EC1BBE"/>
    <w:rsid w:val="00ED34F0"/>
    <w:rsid w:val="00F03180"/>
    <w:rsid w:val="00F4613F"/>
    <w:rsid w:val="00F607E6"/>
    <w:rsid w:val="00F61C5F"/>
    <w:rsid w:val="00F859DA"/>
    <w:rsid w:val="00FA0C3F"/>
    <w:rsid w:val="00FC1548"/>
    <w:rsid w:val="2DFA397D"/>
    <w:rsid w:val="62672B1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0F1904"/>
  <w15:docId w15:val="{CC105617-359A-4DAB-90EB-6BF57E133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qFormat="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heme="minorHAnsi" w:eastAsiaTheme="minorEastAsia" w:hAnsiTheme="minorHAnsi" w:cstheme="minorBidi"/>
      <w:sz w:val="22"/>
      <w:szCs w:val="22"/>
    </w:rPr>
  </w:style>
  <w:style w:type="paragraph" w:styleId="Heading1">
    <w:name w:val="heading 1"/>
    <w:basedOn w:val="Normal"/>
    <w:next w:val="Normal"/>
    <w:link w:val="Heading1Char"/>
    <w:qFormat/>
    <w:pPr>
      <w:keepNext/>
      <w:numPr>
        <w:numId w:val="1"/>
      </w:numPr>
      <w:autoSpaceDE w:val="0"/>
      <w:autoSpaceDN w:val="0"/>
      <w:spacing w:before="240" w:after="80" w:line="240" w:lineRule="auto"/>
      <w:jc w:val="center"/>
      <w:outlineLvl w:val="0"/>
    </w:pPr>
    <w:rPr>
      <w:rFonts w:ascii="Times New Roman" w:eastAsia="Times New Roman" w:hAnsi="Times New Roman" w:cs="Times New Roman"/>
      <w:smallCaps/>
      <w:kern w:val="28"/>
      <w:sz w:val="20"/>
      <w:szCs w:val="20"/>
    </w:rPr>
  </w:style>
  <w:style w:type="paragraph" w:styleId="Heading2">
    <w:name w:val="heading 2"/>
    <w:basedOn w:val="Normal"/>
    <w:next w:val="Normal"/>
    <w:link w:val="Heading2Char"/>
    <w:qFormat/>
    <w:pPr>
      <w:keepNext/>
      <w:numPr>
        <w:ilvl w:val="1"/>
        <w:numId w:val="1"/>
      </w:numPr>
      <w:autoSpaceDE w:val="0"/>
      <w:autoSpaceDN w:val="0"/>
      <w:spacing w:before="120" w:after="60" w:line="240" w:lineRule="auto"/>
      <w:outlineLvl w:val="1"/>
    </w:pPr>
    <w:rPr>
      <w:rFonts w:ascii="Times New Roman" w:eastAsia="Times New Roman" w:hAnsi="Times New Roman" w:cs="Times New Roman"/>
      <w:i/>
      <w:iCs/>
      <w:sz w:val="20"/>
      <w:szCs w:val="20"/>
    </w:rPr>
  </w:style>
  <w:style w:type="paragraph" w:styleId="Heading3">
    <w:name w:val="heading 3"/>
    <w:basedOn w:val="Normal"/>
    <w:next w:val="Normal"/>
    <w:link w:val="Heading3Char"/>
    <w:qFormat/>
    <w:pPr>
      <w:keepNext/>
      <w:numPr>
        <w:ilvl w:val="2"/>
        <w:numId w:val="1"/>
      </w:numPr>
      <w:autoSpaceDE w:val="0"/>
      <w:autoSpaceDN w:val="0"/>
      <w:spacing w:after="0" w:line="240" w:lineRule="auto"/>
      <w:outlineLvl w:val="2"/>
    </w:pPr>
    <w:rPr>
      <w:rFonts w:ascii="Times New Roman" w:eastAsia="Times New Roman" w:hAnsi="Times New Roman" w:cs="Times New Roman"/>
      <w:i/>
      <w:iCs/>
      <w:sz w:val="20"/>
      <w:szCs w:val="20"/>
    </w:rPr>
  </w:style>
  <w:style w:type="paragraph" w:styleId="Heading4">
    <w:name w:val="heading 4"/>
    <w:basedOn w:val="Normal"/>
    <w:next w:val="Normal"/>
    <w:link w:val="Heading4Char"/>
    <w:qFormat/>
    <w:pPr>
      <w:keepNext/>
      <w:numPr>
        <w:ilvl w:val="3"/>
        <w:numId w:val="1"/>
      </w:numPr>
      <w:autoSpaceDE w:val="0"/>
      <w:autoSpaceDN w:val="0"/>
      <w:spacing w:before="240" w:after="60" w:line="240" w:lineRule="auto"/>
      <w:outlineLvl w:val="3"/>
    </w:pPr>
    <w:rPr>
      <w:rFonts w:ascii="Times New Roman" w:eastAsia="Times New Roman" w:hAnsi="Times New Roman" w:cs="Times New Roman"/>
      <w:i/>
      <w:iCs/>
      <w:sz w:val="18"/>
      <w:szCs w:val="18"/>
    </w:rPr>
  </w:style>
  <w:style w:type="paragraph" w:styleId="Heading5">
    <w:name w:val="heading 5"/>
    <w:basedOn w:val="Normal"/>
    <w:next w:val="Normal"/>
    <w:link w:val="Heading5Char"/>
    <w:qFormat/>
    <w:pPr>
      <w:numPr>
        <w:ilvl w:val="4"/>
        <w:numId w:val="1"/>
      </w:numPr>
      <w:autoSpaceDE w:val="0"/>
      <w:autoSpaceDN w:val="0"/>
      <w:spacing w:before="240" w:after="60" w:line="240" w:lineRule="auto"/>
      <w:outlineLvl w:val="4"/>
    </w:pPr>
    <w:rPr>
      <w:rFonts w:ascii="Times New Roman" w:eastAsia="Times New Roman" w:hAnsi="Times New Roman" w:cs="Times New Roman"/>
      <w:sz w:val="18"/>
      <w:szCs w:val="18"/>
    </w:rPr>
  </w:style>
  <w:style w:type="paragraph" w:styleId="Heading6">
    <w:name w:val="heading 6"/>
    <w:basedOn w:val="Normal"/>
    <w:next w:val="Normal"/>
    <w:link w:val="Heading6Char"/>
    <w:qFormat/>
    <w:pPr>
      <w:numPr>
        <w:ilvl w:val="5"/>
        <w:numId w:val="1"/>
      </w:numPr>
      <w:autoSpaceDE w:val="0"/>
      <w:autoSpaceDN w:val="0"/>
      <w:spacing w:before="240" w:after="60" w:line="240" w:lineRule="auto"/>
      <w:outlineLvl w:val="5"/>
    </w:pPr>
    <w:rPr>
      <w:rFonts w:ascii="Times New Roman" w:eastAsia="Times New Roman" w:hAnsi="Times New Roman" w:cs="Times New Roman"/>
      <w:i/>
      <w:iCs/>
      <w:sz w:val="16"/>
      <w:szCs w:val="16"/>
    </w:rPr>
  </w:style>
  <w:style w:type="paragraph" w:styleId="Heading7">
    <w:name w:val="heading 7"/>
    <w:basedOn w:val="Normal"/>
    <w:next w:val="Normal"/>
    <w:link w:val="Heading7Char"/>
    <w:qFormat/>
    <w:pPr>
      <w:numPr>
        <w:ilvl w:val="6"/>
        <w:numId w:val="1"/>
      </w:numPr>
      <w:autoSpaceDE w:val="0"/>
      <w:autoSpaceDN w:val="0"/>
      <w:spacing w:before="240" w:after="60" w:line="240" w:lineRule="auto"/>
      <w:outlineLvl w:val="6"/>
    </w:pPr>
    <w:rPr>
      <w:rFonts w:ascii="Times New Roman" w:eastAsia="Times New Roman" w:hAnsi="Times New Roman" w:cs="Times New Roman"/>
      <w:sz w:val="16"/>
      <w:szCs w:val="16"/>
    </w:rPr>
  </w:style>
  <w:style w:type="paragraph" w:styleId="Heading8">
    <w:name w:val="heading 8"/>
    <w:basedOn w:val="Normal"/>
    <w:next w:val="Normal"/>
    <w:link w:val="Heading8Char"/>
    <w:qFormat/>
    <w:pPr>
      <w:numPr>
        <w:ilvl w:val="7"/>
        <w:numId w:val="1"/>
      </w:numPr>
      <w:autoSpaceDE w:val="0"/>
      <w:autoSpaceDN w:val="0"/>
      <w:spacing w:before="240" w:after="60" w:line="240" w:lineRule="auto"/>
      <w:outlineLvl w:val="7"/>
    </w:pPr>
    <w:rPr>
      <w:rFonts w:ascii="Times New Roman" w:eastAsia="Times New Roman" w:hAnsi="Times New Roman" w:cs="Times New Roman"/>
      <w:i/>
      <w:iCs/>
      <w:sz w:val="16"/>
      <w:szCs w:val="16"/>
    </w:rPr>
  </w:style>
  <w:style w:type="paragraph" w:styleId="Heading9">
    <w:name w:val="heading 9"/>
    <w:basedOn w:val="Normal"/>
    <w:next w:val="Normal"/>
    <w:link w:val="Heading9Char"/>
    <w:qFormat/>
    <w:pPr>
      <w:numPr>
        <w:ilvl w:val="8"/>
        <w:numId w:val="1"/>
      </w:numPr>
      <w:autoSpaceDE w:val="0"/>
      <w:autoSpaceDN w:val="0"/>
      <w:spacing w:before="240" w:after="60" w:line="240" w:lineRule="auto"/>
      <w:outlineLvl w:val="8"/>
    </w:pPr>
    <w:rPr>
      <w:rFonts w:ascii="Times New Roman" w:eastAsia="Times New Roman" w:hAnsi="Times New Roman" w:cs="Times New Roman"/>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qFormat/>
    <w:pPr>
      <w:spacing w:after="0" w:line="240" w:lineRule="auto"/>
    </w:pPr>
    <w:rPr>
      <w:rFonts w:ascii="Tahoma" w:hAnsi="Tahoma" w:cs="Tahoma"/>
      <w:sz w:val="16"/>
      <w:szCs w:val="16"/>
    </w:rPr>
  </w:style>
  <w:style w:type="paragraph" w:styleId="BodyText">
    <w:name w:val="Body Text"/>
    <w:basedOn w:val="Normal"/>
    <w:link w:val="BodyTextChar"/>
    <w:semiHidden/>
    <w:qFormat/>
    <w:pPr>
      <w:autoSpaceDE w:val="0"/>
      <w:autoSpaceDN w:val="0"/>
      <w:spacing w:after="120" w:line="240" w:lineRule="auto"/>
    </w:pPr>
    <w:rPr>
      <w:rFonts w:ascii="Times New Roman" w:eastAsia="Times New Roman" w:hAnsi="Times New Roman" w:cs="Times New Roman"/>
      <w:sz w:val="20"/>
      <w:szCs w:val="20"/>
    </w:rPr>
  </w:style>
  <w:style w:type="paragraph" w:styleId="Footer">
    <w:name w:val="footer"/>
    <w:basedOn w:val="Normal"/>
    <w:link w:val="FooterChar"/>
    <w:uiPriority w:val="99"/>
    <w:unhideWhenUsed/>
    <w:pPr>
      <w:tabs>
        <w:tab w:val="center" w:pos="4513"/>
        <w:tab w:val="right" w:pos="9026"/>
      </w:tabs>
      <w:spacing w:after="0" w:line="240" w:lineRule="auto"/>
    </w:pPr>
  </w:style>
  <w:style w:type="paragraph" w:styleId="Header">
    <w:name w:val="header"/>
    <w:basedOn w:val="Normal"/>
    <w:link w:val="HeaderChar"/>
    <w:uiPriority w:val="99"/>
    <w:unhideWhenUsed/>
    <w:qFormat/>
    <w:pPr>
      <w:tabs>
        <w:tab w:val="center" w:pos="4513"/>
        <w:tab w:val="right" w:pos="9026"/>
      </w:tabs>
      <w:spacing w:after="0" w:line="240" w:lineRule="auto"/>
    </w:pPr>
  </w:style>
  <w:style w:type="character" w:styleId="Hyperlink">
    <w:name w:val="Hyperlink"/>
    <w:basedOn w:val="DefaultParagraphFont"/>
    <w:uiPriority w:val="99"/>
    <w:qFormat/>
    <w:rPr>
      <w:rFonts w:cs="Times New Roman"/>
      <w:color w:val="0000FF"/>
      <w:u w:val="single"/>
    </w:rPr>
  </w:style>
  <w:style w:type="paragraph" w:styleId="NormalWeb">
    <w:name w:val="Normal (Web)"/>
    <w:basedOn w:val="Normal"/>
    <w:uiPriority w:val="99"/>
    <w:qFormat/>
    <w:pPr>
      <w:spacing w:before="100" w:beforeAutospacing="1" w:after="100" w:afterAutospacing="1" w:line="240" w:lineRule="auto"/>
    </w:pPr>
    <w:rPr>
      <w:rFonts w:ascii="Arial Unicode MS" w:eastAsia="Arial Unicode MS" w:hAnsi="Arial Unicode MS" w:cs="Arial Unicode MS"/>
      <w:sz w:val="24"/>
      <w:szCs w:val="24"/>
    </w:rPr>
  </w:style>
  <w:style w:type="character" w:styleId="Strong">
    <w:name w:val="Strong"/>
    <w:basedOn w:val="DefaultParagraphFont"/>
    <w:uiPriority w:val="22"/>
    <w:qFormat/>
    <w:rPr>
      <w:b/>
      <w:bCs/>
    </w:rPr>
  </w:style>
  <w:style w:type="table" w:styleId="TableGrid">
    <w:name w:val="Table Grid"/>
    <w:basedOn w:val="TableNormal"/>
    <w:uiPriority w:val="59"/>
    <w:qFormat/>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BalloonTextChar">
    <w:name w:val="Balloon Text Char"/>
    <w:basedOn w:val="DefaultParagraphFont"/>
    <w:link w:val="BalloonText"/>
    <w:uiPriority w:val="99"/>
    <w:semiHidden/>
    <w:qFormat/>
    <w:rPr>
      <w:rFonts w:ascii="Tahoma" w:hAnsi="Tahoma" w:cs="Tahoma"/>
      <w:sz w:val="16"/>
      <w:szCs w:val="16"/>
    </w:rPr>
  </w:style>
  <w:style w:type="character" w:customStyle="1" w:styleId="BodyTextChar">
    <w:name w:val="Body Text Char"/>
    <w:basedOn w:val="DefaultParagraphFont"/>
    <w:link w:val="BodyText"/>
    <w:semiHidden/>
    <w:qFormat/>
    <w:rPr>
      <w:rFonts w:ascii="Times New Roman" w:eastAsia="Times New Roman" w:hAnsi="Times New Roman" w:cs="Times New Roman"/>
      <w:sz w:val="20"/>
      <w:szCs w:val="20"/>
      <w:lang w:val="en-US"/>
    </w:rPr>
  </w:style>
  <w:style w:type="paragraph" w:customStyle="1" w:styleId="IndexTerms">
    <w:name w:val="IndexTerms"/>
    <w:basedOn w:val="Normal"/>
    <w:next w:val="Normal"/>
    <w:qFormat/>
    <w:pPr>
      <w:autoSpaceDE w:val="0"/>
      <w:autoSpaceDN w:val="0"/>
      <w:spacing w:after="0" w:line="240" w:lineRule="auto"/>
      <w:ind w:firstLine="202"/>
      <w:jc w:val="both"/>
    </w:pPr>
    <w:rPr>
      <w:rFonts w:ascii="Times New Roman" w:eastAsia="Times New Roman" w:hAnsi="Times New Roman" w:cs="Times New Roman"/>
      <w:b/>
      <w:bCs/>
      <w:sz w:val="18"/>
      <w:szCs w:val="18"/>
    </w:rPr>
  </w:style>
  <w:style w:type="character" w:customStyle="1" w:styleId="Heading1Char">
    <w:name w:val="Heading 1 Char"/>
    <w:basedOn w:val="DefaultParagraphFont"/>
    <w:link w:val="Heading1"/>
    <w:qFormat/>
    <w:rPr>
      <w:rFonts w:ascii="Times New Roman" w:eastAsia="Times New Roman" w:hAnsi="Times New Roman" w:cs="Times New Roman"/>
      <w:smallCaps/>
      <w:kern w:val="28"/>
      <w:sz w:val="20"/>
      <w:szCs w:val="20"/>
      <w:lang w:val="en-US"/>
    </w:rPr>
  </w:style>
  <w:style w:type="character" w:customStyle="1" w:styleId="Heading2Char">
    <w:name w:val="Heading 2 Char"/>
    <w:basedOn w:val="DefaultParagraphFont"/>
    <w:link w:val="Heading2"/>
    <w:qFormat/>
    <w:rPr>
      <w:rFonts w:ascii="Times New Roman" w:eastAsia="Times New Roman" w:hAnsi="Times New Roman" w:cs="Times New Roman"/>
      <w:i/>
      <w:iCs/>
      <w:sz w:val="20"/>
      <w:szCs w:val="20"/>
      <w:lang w:val="en-US"/>
    </w:rPr>
  </w:style>
  <w:style w:type="character" w:customStyle="1" w:styleId="Heading3Char">
    <w:name w:val="Heading 3 Char"/>
    <w:basedOn w:val="DefaultParagraphFont"/>
    <w:link w:val="Heading3"/>
    <w:qFormat/>
    <w:rPr>
      <w:rFonts w:ascii="Times New Roman" w:eastAsia="Times New Roman" w:hAnsi="Times New Roman" w:cs="Times New Roman"/>
      <w:i/>
      <w:iCs/>
      <w:sz w:val="20"/>
      <w:szCs w:val="20"/>
      <w:lang w:val="en-US"/>
    </w:rPr>
  </w:style>
  <w:style w:type="character" w:customStyle="1" w:styleId="Heading4Char">
    <w:name w:val="Heading 4 Char"/>
    <w:basedOn w:val="DefaultParagraphFont"/>
    <w:link w:val="Heading4"/>
    <w:qFormat/>
    <w:rPr>
      <w:rFonts w:ascii="Times New Roman" w:eastAsia="Times New Roman" w:hAnsi="Times New Roman" w:cs="Times New Roman"/>
      <w:i/>
      <w:iCs/>
      <w:sz w:val="18"/>
      <w:szCs w:val="18"/>
      <w:lang w:val="en-US"/>
    </w:rPr>
  </w:style>
  <w:style w:type="character" w:customStyle="1" w:styleId="Heading5Char">
    <w:name w:val="Heading 5 Char"/>
    <w:basedOn w:val="DefaultParagraphFont"/>
    <w:link w:val="Heading5"/>
    <w:qFormat/>
    <w:rPr>
      <w:rFonts w:ascii="Times New Roman" w:eastAsia="Times New Roman" w:hAnsi="Times New Roman" w:cs="Times New Roman"/>
      <w:sz w:val="18"/>
      <w:szCs w:val="18"/>
      <w:lang w:val="en-US"/>
    </w:rPr>
  </w:style>
  <w:style w:type="character" w:customStyle="1" w:styleId="Heading6Char">
    <w:name w:val="Heading 6 Char"/>
    <w:basedOn w:val="DefaultParagraphFont"/>
    <w:link w:val="Heading6"/>
    <w:qFormat/>
    <w:rPr>
      <w:rFonts w:ascii="Times New Roman" w:eastAsia="Times New Roman" w:hAnsi="Times New Roman" w:cs="Times New Roman"/>
      <w:i/>
      <w:iCs/>
      <w:sz w:val="16"/>
      <w:szCs w:val="16"/>
      <w:lang w:val="en-US"/>
    </w:rPr>
  </w:style>
  <w:style w:type="character" w:customStyle="1" w:styleId="Heading7Char">
    <w:name w:val="Heading 7 Char"/>
    <w:basedOn w:val="DefaultParagraphFont"/>
    <w:link w:val="Heading7"/>
    <w:qFormat/>
    <w:rPr>
      <w:rFonts w:ascii="Times New Roman" w:eastAsia="Times New Roman" w:hAnsi="Times New Roman" w:cs="Times New Roman"/>
      <w:sz w:val="16"/>
      <w:szCs w:val="16"/>
      <w:lang w:val="en-US"/>
    </w:rPr>
  </w:style>
  <w:style w:type="character" w:customStyle="1" w:styleId="Heading8Char">
    <w:name w:val="Heading 8 Char"/>
    <w:basedOn w:val="DefaultParagraphFont"/>
    <w:link w:val="Heading8"/>
    <w:qFormat/>
    <w:rPr>
      <w:rFonts w:ascii="Times New Roman" w:eastAsia="Times New Roman" w:hAnsi="Times New Roman" w:cs="Times New Roman"/>
      <w:i/>
      <w:iCs/>
      <w:sz w:val="16"/>
      <w:szCs w:val="16"/>
      <w:lang w:val="en-US"/>
    </w:rPr>
  </w:style>
  <w:style w:type="character" w:customStyle="1" w:styleId="Heading9Char">
    <w:name w:val="Heading 9 Char"/>
    <w:basedOn w:val="DefaultParagraphFont"/>
    <w:link w:val="Heading9"/>
    <w:qFormat/>
    <w:rPr>
      <w:rFonts w:ascii="Times New Roman" w:eastAsia="Times New Roman" w:hAnsi="Times New Roman" w:cs="Times New Roman"/>
      <w:sz w:val="16"/>
      <w:szCs w:val="16"/>
      <w:lang w:val="en-US"/>
    </w:rPr>
  </w:style>
  <w:style w:type="paragraph" w:styleId="ListParagraph">
    <w:name w:val="List Paragraph"/>
    <w:basedOn w:val="Normal"/>
    <w:uiPriority w:val="34"/>
    <w:qFormat/>
    <w:pPr>
      <w:ind w:left="720"/>
      <w:contextualSpacing/>
    </w:pPr>
  </w:style>
  <w:style w:type="paragraph" w:customStyle="1" w:styleId="cmtext">
    <w:name w:val="cmtext"/>
    <w:basedOn w:val="Normal"/>
    <w:qFormat/>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gi">
    <w:name w:val="gi"/>
    <w:basedOn w:val="DefaultParagraphFont"/>
    <w:qFormat/>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styleId="FollowedHyperlink">
    <w:name w:val="FollowedHyperlink"/>
    <w:basedOn w:val="DefaultParagraphFont"/>
    <w:uiPriority w:val="99"/>
    <w:semiHidden/>
    <w:unhideWhenUsed/>
    <w:rsid w:val="00866EE1"/>
    <w:rPr>
      <w:color w:val="800080" w:themeColor="followedHyperlink"/>
      <w:u w:val="single"/>
    </w:rPr>
  </w:style>
  <w:style w:type="character" w:styleId="UnresolvedMention">
    <w:name w:val="Unresolved Mention"/>
    <w:basedOn w:val="DefaultParagraphFont"/>
    <w:uiPriority w:val="99"/>
    <w:semiHidden/>
    <w:unhideWhenUsed/>
    <w:rsid w:val="00B321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yperlink" Target="https://doi.org/10.1177/14648849211012922" TargetMode="External"/><Relationship Id="rId39" Type="http://schemas.openxmlformats.org/officeDocument/2006/relationships/theme" Target="theme/theme1.xml"/><Relationship Id="rId21" Type="http://schemas.openxmlformats.org/officeDocument/2006/relationships/image" Target="media/image10.png"/><Relationship Id="rId34" Type="http://schemas.openxmlformats.org/officeDocument/2006/relationships/hyperlink" Target="https://doi.org/10.37134/pendeta.vol14.2.10.2023" TargetMode="External"/><Relationship Id="rId7" Type="http://schemas.openxmlformats.org/officeDocument/2006/relationships/header" Target="header1.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tpmap.org/submission/index.php/tpm/article/view/3019" TargetMode="External"/><Relationship Id="rId33" Type="http://schemas.openxmlformats.org/officeDocument/2006/relationships/hyperlink" Target="https://doi.org/10.1093/hcr/hqaf011"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doi.org/10.31436/id.v31i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hyperlink" Target="https://doi.org/10.36923/jicc.v24i2.573" TargetMode="External"/><Relationship Id="rId37" Type="http://schemas.openxmlformats.org/officeDocument/2006/relationships/hyperlink" Target="https://doi.org/10.6007/ijarbss/v12-i11/15651" TargetMode="External"/><Relationship Id="rId5"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hyperlink" Target="https://www.perpaduan.gov.my/images/document/penerbitan/Dasar_Perpaduan_Negara-1.pdf?utm_source=chatgpt.com" TargetMode="External"/><Relationship Id="rId36" Type="http://schemas.openxmlformats.org/officeDocument/2006/relationships/hyperlink" Target="https://doi.org/10.1177/14687968221101401" TargetMode="External"/><Relationship Id="rId10" Type="http://schemas.openxmlformats.org/officeDocument/2006/relationships/header" Target="header2.xml"/><Relationship Id="rId19" Type="http://schemas.openxmlformats.org/officeDocument/2006/relationships/image" Target="media/image8.png"/><Relationship Id="rId31" Type="http://schemas.openxmlformats.org/officeDocument/2006/relationships/hyperlink" Target="https://www.youtube.com/watch?v=PqMvsD2Cezo&amp;t=29s"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doi.org/10.6007/ijarbss/v9-i10/6448" TargetMode="External"/><Relationship Id="rId30" Type="http://schemas.openxmlformats.org/officeDocument/2006/relationships/hyperlink" Target="https://doi.org/10.58915/johdec.v14.2025.2259" TargetMode="External"/><Relationship Id="rId35" Type="http://schemas.openxmlformats.org/officeDocument/2006/relationships/hyperlink" Target="https://doi.org/10.37899/journal-la-sociale.v6i3.2029" TargetMode="External"/><Relationship Id="rId8" Type="http://schemas.openxmlformats.org/officeDocument/2006/relationships/footer" Target="footer1.xml"/><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1" Type="http://schemas.openxmlformats.org/officeDocument/2006/relationships/hyperlink" Target="http://www.ijerat.sretechjournal.org"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mailto:editor.ijrssh@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91</TotalTime>
  <Pages>13</Pages>
  <Words>6924</Words>
  <Characters>39467</Characters>
  <Application>Microsoft Office Word</Application>
  <DocSecurity>0</DocSecurity>
  <Lines>328</Lines>
  <Paragraphs>92</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46299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sumanth</dc:creator>
  <cp:lastModifiedBy>SITI NURUL JANNAH BINTI FITAL</cp:lastModifiedBy>
  <cp:revision>6</cp:revision>
  <cp:lastPrinted>2026-07-03T07:53:00Z</cp:lastPrinted>
  <dcterms:created xsi:type="dcterms:W3CDTF">2026-07-03T16:53:00Z</dcterms:created>
  <dcterms:modified xsi:type="dcterms:W3CDTF">2026-07-06T08:06:00Z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eyJoZGlkIjoiNmVkMDFhYzYwYjc0MjRhZGY3YWQ1M2YyOTZjNzYzNGMiLCJ1c2VySWQiOiI4ODEzNjEyMzc5MTM2In0=</vt:lpwstr>
  </property>
  <property fmtid="{D5CDD505-2E9C-101B-9397-08002B2CF9AE}" pid="3" name="KSOProductBuildVer">
    <vt:lpwstr>1033-12.1.0.26880</vt:lpwstr>
  </property>
  <property fmtid="{D5CDD505-2E9C-101B-9397-08002B2CF9AE}" pid="4" name="ICV">
    <vt:lpwstr>7CDF609595D44A37AC9F35D1069DAAFB_12</vt:lpwstr>
  </property>
</Properties>
</file>