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6A3B">
      <w:pPr>
        <w:spacing w:after="0" w:line="360" w:lineRule="auto"/>
        <w:jc w:val="center"/>
        <w:rPr>
          <w:rFonts w:ascii="Times New Roman" w:hAnsi="Times New Roman" w:cs="Times New Roman"/>
          <w:bCs/>
          <w:sz w:val="28"/>
          <w:szCs w:val="28"/>
          <w:lang w:val="id-ID"/>
        </w:rPr>
      </w:pPr>
      <w:r>
        <w:rPr>
          <w:rFonts w:ascii="Times New Roman" w:hAnsi="Times New Roman" w:cs="Times New Roman"/>
          <w:bCs/>
          <w:sz w:val="28"/>
          <w:szCs w:val="28"/>
          <w:lang w:val="id-ID"/>
        </w:rPr>
        <w:t>THE EFFECT OF VISUAL MERCHANDISING ON IMPULSE BUYING THROUGH POSITIVE EMOTIONS AMONG RETAIL CONSUMERS IN KUPANG CITY</w:t>
      </w:r>
    </w:p>
    <w:p w14:paraId="1DD26CFF">
      <w:pPr>
        <w:spacing w:after="0" w:line="360" w:lineRule="auto"/>
        <w:jc w:val="center"/>
        <w:rPr>
          <w:rFonts w:hint="default" w:ascii="Times New Roman" w:hAnsi="Times New Roman" w:cs="Times New Roman"/>
          <w:bCs/>
          <w:sz w:val="28"/>
          <w:szCs w:val="28"/>
          <w:lang w:val="id-ID"/>
        </w:rPr>
      </w:pPr>
      <w:r>
        <w:rPr>
          <w:rFonts w:ascii="Times New Roman" w:hAnsi="Times New Roman" w:cs="Times New Roman"/>
          <w:bCs/>
          <w:sz w:val="28"/>
          <w:szCs w:val="28"/>
          <w:lang w:val="id-ID"/>
        </w:rPr>
        <w:cr/>
      </w:r>
      <w:r>
        <w:rPr>
          <w:rFonts w:hint="default" w:ascii="Times New Roman" w:hAnsi="Times New Roman" w:cs="Times New Roman"/>
          <w:bCs/>
          <w:sz w:val="28"/>
          <w:szCs w:val="28"/>
          <w:lang w:val="id-ID"/>
        </w:rPr>
        <w:t/>
      </w:r>
    </w:p>
    <w:p w14:paraId="6B1F47D6">
      <w:pPr>
        <w:spacing w:after="0" w:line="360" w:lineRule="auto"/>
        <w:jc w:val="center"/>
        <w:rPr>
          <w:rFonts w:hint="default" w:ascii="Times New Roman" w:hAnsi="Times New Roman" w:cs="Times New Roman"/>
          <w:bCs/>
          <w:sz w:val="28"/>
          <w:szCs w:val="28"/>
          <w:lang w:val="id-ID"/>
        </w:rPr>
      </w:pPr>
      <w:r>
        <w:rPr>
          <w:rFonts w:hint="default" w:ascii="Times New Roman" w:hAnsi="Times New Roman" w:cs="Times New Roman"/>
          <w:bCs/>
          <w:sz w:val="28"/>
          <w:szCs w:val="28"/>
          <w:lang w:val="id-ID"/>
        </w:rPr>
        <w:t/>
      </w:r>
      <w:bookmarkStart w:id="0" w:name="_GoBack"/>
      <w:bookmarkEnd w:id="0"/>
    </w:p>
    <w:p w14:paraId="6ADE5B6B">
      <w:pPr>
        <w:spacing w:after="0" w:line="360" w:lineRule="auto"/>
        <w:jc w:val="center"/>
        <w:rPr>
          <w:rFonts w:ascii="Times New Roman" w:hAnsi="Times New Roman" w:cs="Times New Roman"/>
          <w:bCs/>
          <w:sz w:val="28"/>
          <w:szCs w:val="28"/>
          <w:lang w:val="id-ID"/>
        </w:rPr>
      </w:pPr>
      <w:r>
        <w:rPr>
          <w:rFonts w:ascii="Times New Roman" w:hAnsi="Times New Roman" w:cs="Times New Roman"/>
          <w:bCs/>
          <w:sz w:val="28"/>
          <w:szCs w:val="28"/>
          <w:lang w:val="id-ID"/>
        </w:rPr>
        <w:t/>
      </w:r>
    </w:p>
    <w:p w14:paraId="0D3BD1C0">
      <w:pPr>
        <w:spacing w:line="480" w:lineRule="auto"/>
        <w:jc w:val="center"/>
        <w:rPr>
          <w:rFonts w:ascii="Times New Roman" w:hAnsi="Times New Roman" w:cs="Times New Roman"/>
          <w:b/>
          <w:i/>
          <w:sz w:val="28"/>
          <w:szCs w:val="28"/>
          <w:lang w:val="en-GB"/>
        </w:rPr>
      </w:pPr>
      <w:r>
        <w:rPr>
          <w:rFonts w:ascii="Times New Roman" w:hAnsi="Times New Roman" w:cs="Times New Roman"/>
          <w:b/>
          <w:i/>
          <w:sz w:val="28"/>
          <w:szCs w:val="28"/>
          <w:lang w:val="en-GB"/>
        </w:rPr>
        <w:t/>
      </w:r>
    </w:p>
    <w:p w14:paraId="7507B908">
      <w:pPr>
        <w:spacing w:line="276" w:lineRule="auto"/>
        <w:ind w:firstLine="720"/>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w:r>
    </w:p>
    <w:p w14:paraId="44527166">
      <w:pPr>
        <w:spacing w:line="276" w:lineRule="auto"/>
        <w:ind w:firstLine="720"/>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w:r>
    </w:p>
    <w:p w14:paraId="194F0691">
      <w:pPr>
        <w:spacing w:line="276"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w:r>
    </w:p>
    <w:p w14:paraId="216FAA85">
      <w:pPr>
        <w:spacing w:line="276" w:lineRule="auto"/>
        <w:jc w:val="both"/>
        <w:rPr>
          <w:rFonts w:ascii="Times New Roman" w:hAnsi="Times New Roman" w:cs="Times New Roman"/>
          <w:b/>
          <w:bCs/>
          <w:i/>
          <w:iCs/>
          <w:sz w:val="24"/>
          <w:szCs w:val="24"/>
          <w:lang w:val="en-GB"/>
        </w:rPr>
      </w:pPr>
    </w:p>
    <w:p w14:paraId="0020C926">
      <w:pPr>
        <w:spacing w:line="360" w:lineRule="auto"/>
        <w:jc w:val="both"/>
        <w:rPr>
          <w:rFonts w:ascii="Times New Roman" w:hAnsi="Times New Roman" w:cs="Times New Roman"/>
          <w:b/>
          <w:i/>
          <w:sz w:val="24"/>
          <w:szCs w:val="24"/>
          <w:lang w:val="id-ID"/>
        </w:rPr>
      </w:pPr>
    </w:p>
    <w:p w14:paraId="7E838030">
      <w:pPr>
        <w:jc w:val="center"/>
        <w:rPr>
          <w:rFonts w:ascii="Times New Roman" w:hAnsi="Times New Roman" w:cs="Times New Roman"/>
          <w:bCs/>
          <w:sz w:val="24"/>
          <w:szCs w:val="24"/>
          <w:lang w:val="id-ID"/>
        </w:rPr>
      </w:pPr>
      <w:r>
        <w:rPr>
          <w:rFonts w:ascii="Times New Roman" w:hAnsi="Times New Roman" w:cs="Times New Roman"/>
          <w:bCs/>
          <w:sz w:val="28"/>
          <w:szCs w:val="28"/>
          <w:lang w:val="id-ID"/>
        </w:rPr>
        <w:t/>
      </w:r>
      <w:r>
        <w:rPr>
          <w:rFonts w:hint="default" w:ascii="Times New Roman" w:hAnsi="Times New Roman" w:cs="Times New Roman"/>
          <w:bCs/>
          <w:sz w:val="28"/>
          <w:szCs w:val="28"/>
          <w:lang w:val="id-ID"/>
        </w:rPr>
        <w:t xml:space="preserve"/>
      </w:r>
      <w:r>
        <w:rPr>
          <w:rFonts w:ascii="Times New Roman" w:hAnsi="Times New Roman" w:cs="Times New Roman"/>
          <w:bCs/>
          <w:sz w:val="28"/>
          <w:szCs w:val="28"/>
          <w:lang w:val="id-ID"/>
        </w:rPr>
        <w:t/>
      </w:r>
    </w:p>
    <w:p w14:paraId="0FABF17E">
      <w:pPr>
        <w:pStyle w:val="13"/>
        <w:numPr>
          <w:ilvl w:val="1"/>
          <w:numId w:val="1"/>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Background </w:t>
      </w:r>
    </w:p>
    <w:p w14:paraId="62E058DB">
      <w:pPr>
        <w:pStyle w:val="13"/>
        <w:spacing w:line="360" w:lineRule="auto"/>
        <w:ind w:left="420" w:firstLine="289"/>
        <w:jc w:val="both"/>
        <w:rPr>
          <w:rFonts w:ascii="Times New Roman" w:hAnsi="Times New Roman" w:cs="Times New Roman"/>
          <w:bCs/>
          <w:sz w:val="24"/>
          <w:szCs w:val="24"/>
          <w:lang w:val="id-ID"/>
        </w:rPr>
      </w:pPr>
      <w:r>
        <w:rPr>
          <w:rFonts w:ascii="Times New Roman" w:hAnsi="Times New Roman" w:cs="Times New Roman"/>
          <w:bCs/>
          <w:sz w:val="24"/>
          <w:szCs w:val="24"/>
          <w:lang w:val="id-ID"/>
        </w:rPr>
        <w:t>The retail business encompasses all activities related to the direct sale of products and services to end consumers for personal use, rather than solely for business or corporate purposes. Furthermore, the retail sector plays a role in enhancing the value of products and services sold to consumers to meet individual and family needs (Sudigdo, 2020). The retail sector in Indonesia has experienced rapid growth in recent years, particularly in modern retail with its various forms and types. Several factors driving this rapid growth include the increasing openness of market opportunities, the rise of manufacturing businesses supplying their products to retailers, and government efforts to boost economic growth through the development of the retail sector. The large number of businesses operating in the retail sector has intensified competition significantly. International modern retail companies such as Carrefour, Miniso, Uniqlo, and Lotte Mart are increasingly expanding their business operations in Indonesia, whilst local retailers such as Alfamart, Indomaret, Hypermart, Ramayana, and Transmart are also continuing to grow in order to maintain their market share (Utomo, 2010).</w:t>
      </w:r>
    </w:p>
    <w:p w14:paraId="674AE3CA">
      <w:pPr>
        <w:spacing w:line="360" w:lineRule="auto"/>
        <w:ind w:left="420" w:firstLine="289"/>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As the retail sector in Indonesia continues to grow, competition among retailers is becoming increasingly fierce. This trend is reflected in a shift in consumer preferences from traditional markets towards modern retail outlets (Cahyani &amp; Purwanto, 2022). The trend towards retail modernisation is developing in tandem with the accelerating economic growth in Indonesia. The intensifying competition in the retail sector, particularly within modern retail, is driving retailers to compete to showcase the strengths of their outlets in order to attract consumers’ attention by implementing various strategies that can influence consumers’ purchasing decisions. The retail strategies implemented by retailers can capture the attention of enthusiastic consumers regarding the products offered; this creates an enjoyable shopping experience for consumers, thereby encouraging them to make a purchase. This is not solely based on rational considerations but is also influenced by emotional factors (Anggraini &amp; Sulistyowati, 2020).</w:t>
      </w:r>
    </w:p>
    <w:p w14:paraId="0B0EC764">
      <w:pPr>
        <w:spacing w:line="360" w:lineRule="auto"/>
        <w:ind w:left="420" w:firstLine="289"/>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At present, the retail sector in Indonesia continues to grow, offering consumers a wide variety of products. Generally, the retail sector can be categorised into three main types: goods retailing, which covers fashion, electronics, groceries and food, health and beauty, and household appliances; service retailing, such as salons and garages; and e-commerce retailing, such as marketplaces and others. One retail segment experiencing rapid growth is fashion retail, which covers clothing, footwear, and accessories. Retailers are competing to implement innovative marketing strategies to attract customers and boost consumer loyalty. The development of digital technology in the global era is increasingly driving fashion retailers to optimise marketing through online platforms, collaborate with influencers, and enhance the shopping experience both physically and digitally. With the right strategy, consumers do not merely make purchases based on rational needs, but are also influenced by emotional factors, such as brand preferences and an enjoyable shopping experience (Ompi et al., 2018)</w:t>
      </w:r>
    </w:p>
    <w:p w14:paraId="640F4797">
      <w:pPr>
        <w:spacing w:line="360" w:lineRule="auto"/>
        <w:ind w:left="420" w:firstLine="289"/>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Business dynamics in Indonesia’s retail sector show sustained growth, driven by the continued vast market potential and trends towards modernisation across various sectors, including fashion retail. The rapid development of the fashion industry in the era of globalisation is driving retailers to continuously innovate in their marketing strategies and business models. The opening up of domestic market opportunities is also attracting foreign retail companies to expand into Indonesia, as evidenced by the increasing number of modern retail outlets offering a growing variety of foreign products in the Indonesian market. This increasingly fierce level of competition presents both challenges and opportunities for local businesses to implement more competitive strategies in their efforts to attract and retain customer loyalty, particularly within the fashion sector, which is currently undergoing constant changes in trends and lifestyles (Hermanto, 2016).  Kupang, as the capital of East Nusa Tenggara Province, serves not only as a centre of government but also holds significant potential in terms of labour availability and consumer market share. With relatively stable economic growth, there has been a significant increase in the purchasing power of the population in Kupang. This situation is reinforced by various government initiatives to strengthen infrastructure and facilitate growth across diverse business sectors. As more families in Kupang City experience an increase in their income, this may encourage them to allocate a larger portion of their budget to household needs, entertainment, and lifestyle products. This rise in purchasing power also creates significant opportunities for the retail and hospitality sectors, marked by the growing number of shopping centres and modern shops emerging to serve the increasingly diverse and complex needs of the community. These changes have a positive impact on the local economy, which benefits from them, ultimately improving the standard of living for residents. Kupang City, with a population of 466,632 in 2023, has approximately 70 per cent of its population in the working-age bracket. This demographic composition makes Kupang a city with an abundant human resource pool, ready to support the development of various industrial sectors (Medcom.id, 2024).</w:t>
      </w:r>
    </w:p>
    <w:p w14:paraId="1B7118D1">
      <w:pPr>
        <w:spacing w:after="0" w:line="360" w:lineRule="auto"/>
        <w:ind w:left="426"/>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Based on this, household consumption in Kupang City has shown a significant increase, particularly in the fashion sector. According to records from the Central Statistics Agency (BPS) of East Nusa Tenggara Province, there has been an increase in the average monthly per capita expenditure of Kupang City residents on clothing, footwear and headwear, rising from Rp 69,207 in 2022 to Rp 89,947 in 2023. This 30% increase indicates that public interest in fashion products is accompanied by a growing purchasing power, and demonstrates that fashion needs have become an important component of the household expenditure structure of urban communities, including in Kupang. Household consumption expenditure in Kupang City has shown a significant upward trend over the past few years. According to data recorded by the Regional Gross Domestic Product (RGDP) at current prices, household consumption expenditure in Kupang City has continued to rise. This increase reflects growth in purchasing power and heightened economic activity within the household consumption sector. This dominance indicates that household consumption plays a central role in the regional economy. This increase also reflects changes in the increasingly diverse consumption patterns of the population, including within the fashion sector, which has become one of the key necessities within households. Table 1.1 below illustrates the development of average fashion expenditure, the value of household consumption RDP, and its contribution to the RDP in Kupang City, namely:</w:t>
      </w:r>
    </w:p>
    <w:p w14:paraId="55CE0C81">
      <w:pPr>
        <w:spacing w:after="0" w:line="360" w:lineRule="auto"/>
        <w:ind w:left="426"/>
        <w:rPr>
          <w:rFonts w:ascii="Times New Roman" w:hAnsi="Times New Roman" w:eastAsia="Calibri" w:cs="Times New Roman"/>
          <w:sz w:val="24"/>
          <w:szCs w:val="24"/>
          <w:lang w:val="id-ID"/>
        </w:rPr>
      </w:pPr>
    </w:p>
    <w:p w14:paraId="44D3F638">
      <w:pPr>
        <w:tabs>
          <w:tab w:val="left" w:pos="6562"/>
        </w:tabs>
        <w:spacing w:after="0" w:line="240" w:lineRule="auto"/>
        <w:ind w:left="426"/>
        <w:rPr>
          <w:rFonts w:ascii="Times New Roman" w:hAnsi="Times New Roman" w:eastAsia="Calibri" w:cs="Times New Roman"/>
          <w:b/>
          <w:sz w:val="20"/>
          <w:szCs w:val="20"/>
          <w:lang w:val="id-ID"/>
        </w:rPr>
      </w:pPr>
      <w:r>
        <w:rPr>
          <w:rFonts w:ascii="Times New Roman" w:hAnsi="Times New Roman" w:eastAsia="Calibri" w:cs="Times New Roman"/>
          <w:b/>
          <w:sz w:val="20"/>
          <w:szCs w:val="20"/>
          <w:lang w:val="id-ID"/>
        </w:rPr>
        <w:t>Table 1.1  Trends in Average Fashion Expenditure and its Contribution to the Regional Gross Domestic Product (RGDP) in Kupang City, 2022–2024</w:t>
      </w:r>
      <w:r>
        <w:rPr>
          <w:rFonts w:ascii="Times New Roman" w:hAnsi="Times New Roman" w:eastAsia="Calibri" w:cs="Times New Roman"/>
          <w:b/>
          <w:sz w:val="20"/>
          <w:szCs w:val="20"/>
          <w:lang w:val="id-ID"/>
        </w:rPr>
        <w:tab/>
      </w:r>
    </w:p>
    <w:tbl>
      <w:tblPr>
        <w:tblStyle w:val="12"/>
        <w:tblpPr w:leftFromText="180" w:rightFromText="180" w:vertAnchor="text" w:horzAnchor="margin" w:tblpXSpec="center" w:tblpY="4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701"/>
        <w:gridCol w:w="2268"/>
        <w:gridCol w:w="1630"/>
      </w:tblGrid>
      <w:tr w14:paraId="7918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299ABEC">
            <w:pPr>
              <w:spacing w:after="0" w:line="240" w:lineRule="auto"/>
              <w:ind w:left="284" w:firstLine="567"/>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NNo</w:t>
            </w:r>
          </w:p>
        </w:tc>
        <w:tc>
          <w:tcPr>
            <w:tcW w:w="1701" w:type="dxa"/>
          </w:tcPr>
          <w:p w14:paraId="2C652D97">
            <w:pPr>
              <w:spacing w:after="0" w:line="240" w:lineRule="auto"/>
              <w:rPr>
                <w:rFonts w:ascii="Times New Roman" w:hAnsi="Times New Roman" w:eastAsia="Calibri" w:cs="Times New Roman"/>
                <w:sz w:val="20"/>
                <w:szCs w:val="20"/>
                <w:lang w:val="id-ID"/>
              </w:rPr>
            </w:pPr>
          </w:p>
          <w:p w14:paraId="4092BDD1">
            <w:pPr>
              <w:spacing w:after="0" w:line="240" w:lineRule="auto"/>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Year</w:t>
            </w:r>
          </w:p>
        </w:tc>
        <w:tc>
          <w:tcPr>
            <w:tcW w:w="1701" w:type="dxa"/>
          </w:tcPr>
          <w:p w14:paraId="5888CB19">
            <w:pPr>
              <w:spacing w:after="0" w:line="240" w:lineRule="auto"/>
              <w:ind w:left="29" w:hanging="2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Average Fashion Expenditure (in billions of rupiah)</w:t>
            </w:r>
          </w:p>
        </w:tc>
        <w:tc>
          <w:tcPr>
            <w:tcW w:w="2268" w:type="dxa"/>
          </w:tcPr>
          <w:p w14:paraId="12E46590">
            <w:pPr>
              <w:spacing w:after="0" w:line="240" w:lineRule="auto"/>
              <w:ind w:left="118" w:firstLine="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 xml:space="preserve">GRDP from Household Consumption </w:t>
            </w:r>
            <w:r>
              <w:rPr>
                <w:rFonts w:ascii="Times New Roman" w:hAnsi="Times New Roman" w:eastAsia="Calibri" w:cs="Times New Roman"/>
                <w:sz w:val="20"/>
                <w:szCs w:val="20"/>
                <w:lang w:val="id-ID"/>
              </w:rPr>
              <w:cr/>
            </w:r>
            <w:r>
              <w:rPr>
                <w:rFonts w:ascii="Times New Roman" w:hAnsi="Times New Roman" w:eastAsia="Calibri" w:cs="Times New Roman"/>
                <w:sz w:val="20"/>
                <w:szCs w:val="20"/>
                <w:lang w:val="id-ID"/>
              </w:rPr>
              <w:t>(Rp billion)</w:t>
            </w:r>
          </w:p>
        </w:tc>
        <w:tc>
          <w:tcPr>
            <w:tcW w:w="1630" w:type="dxa"/>
          </w:tcPr>
          <w:p w14:paraId="5B2A1945">
            <w:pPr>
              <w:spacing w:after="0" w:line="240" w:lineRule="auto"/>
              <w:ind w:left="107"/>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Contribution to GRDP (%)</w:t>
            </w:r>
          </w:p>
        </w:tc>
      </w:tr>
      <w:tr w14:paraId="44D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5F92787">
            <w:pPr>
              <w:spacing w:after="0" w:line="240" w:lineRule="auto"/>
              <w:ind w:left="284" w:firstLine="567"/>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11</w:t>
            </w:r>
          </w:p>
        </w:tc>
        <w:tc>
          <w:tcPr>
            <w:tcW w:w="1701" w:type="dxa"/>
          </w:tcPr>
          <w:p w14:paraId="326E3B8A">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2022</w:t>
            </w:r>
          </w:p>
        </w:tc>
        <w:tc>
          <w:tcPr>
            <w:tcW w:w="1701" w:type="dxa"/>
          </w:tcPr>
          <w:p w14:paraId="49EEDA46">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69.207</w:t>
            </w:r>
          </w:p>
        </w:tc>
        <w:tc>
          <w:tcPr>
            <w:tcW w:w="2268" w:type="dxa"/>
          </w:tcPr>
          <w:p w14:paraId="6B3891A9">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18.497,67</w:t>
            </w:r>
          </w:p>
        </w:tc>
        <w:tc>
          <w:tcPr>
            <w:tcW w:w="1630" w:type="dxa"/>
          </w:tcPr>
          <w:p w14:paraId="7438DF40">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70,34%</w:t>
            </w:r>
          </w:p>
        </w:tc>
      </w:tr>
      <w:tr w14:paraId="007B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ACDA879">
            <w:pPr>
              <w:spacing w:after="0" w:line="240" w:lineRule="auto"/>
              <w:ind w:left="284" w:firstLine="567"/>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22</w:t>
            </w:r>
          </w:p>
        </w:tc>
        <w:tc>
          <w:tcPr>
            <w:tcW w:w="1701" w:type="dxa"/>
          </w:tcPr>
          <w:p w14:paraId="6EC51002">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2023</w:t>
            </w:r>
          </w:p>
        </w:tc>
        <w:tc>
          <w:tcPr>
            <w:tcW w:w="1701" w:type="dxa"/>
          </w:tcPr>
          <w:p w14:paraId="190405DB">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89.947</w:t>
            </w:r>
          </w:p>
        </w:tc>
        <w:tc>
          <w:tcPr>
            <w:tcW w:w="2268" w:type="dxa"/>
          </w:tcPr>
          <w:p w14:paraId="4A61500A">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19.883,64</w:t>
            </w:r>
          </w:p>
        </w:tc>
        <w:tc>
          <w:tcPr>
            <w:tcW w:w="1630" w:type="dxa"/>
          </w:tcPr>
          <w:p w14:paraId="1248734A">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70,39%</w:t>
            </w:r>
          </w:p>
        </w:tc>
      </w:tr>
      <w:tr w14:paraId="7336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2DCE18F">
            <w:pPr>
              <w:spacing w:after="0" w:line="240" w:lineRule="auto"/>
              <w:ind w:left="284" w:firstLine="567"/>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33</w:t>
            </w:r>
          </w:p>
        </w:tc>
        <w:tc>
          <w:tcPr>
            <w:tcW w:w="1701" w:type="dxa"/>
          </w:tcPr>
          <w:p w14:paraId="0EC5DD88">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2024</w:t>
            </w:r>
          </w:p>
        </w:tc>
        <w:tc>
          <w:tcPr>
            <w:tcW w:w="1701" w:type="dxa"/>
          </w:tcPr>
          <w:p w14:paraId="57D05A52">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w:t>
            </w:r>
          </w:p>
        </w:tc>
        <w:tc>
          <w:tcPr>
            <w:tcW w:w="2268" w:type="dxa"/>
          </w:tcPr>
          <w:p w14:paraId="6F25EEEA">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21.086,15</w:t>
            </w:r>
          </w:p>
        </w:tc>
        <w:tc>
          <w:tcPr>
            <w:tcW w:w="1630" w:type="dxa"/>
          </w:tcPr>
          <w:p w14:paraId="1D4B778D">
            <w:pPr>
              <w:spacing w:after="0" w:line="240" w:lineRule="auto"/>
              <w:ind w:left="118" w:firstLine="49"/>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70,57%</w:t>
            </w:r>
          </w:p>
        </w:tc>
      </w:tr>
    </w:tbl>
    <w:p w14:paraId="0F0A6936">
      <w:pPr>
        <w:spacing w:line="360" w:lineRule="auto"/>
        <w:rPr>
          <w:rFonts w:ascii="Times New Roman" w:hAnsi="Times New Roman" w:eastAsia="Calibri" w:cs="Times New Roman"/>
          <w:i/>
          <w:sz w:val="20"/>
          <w:szCs w:val="20"/>
          <w:lang w:val="id-ID"/>
        </w:rPr>
      </w:pPr>
      <w:r>
        <w:rPr>
          <w:rFonts w:ascii="Times New Roman" w:hAnsi="Times New Roman" w:eastAsia="Calibri" w:cs="Times New Roman"/>
          <w:sz w:val="24"/>
          <w:szCs w:val="24"/>
          <w:lang w:val="id-ID"/>
        </w:rPr>
        <w:t xml:space="preserve">  </w:t>
      </w:r>
      <w:r>
        <w:rPr>
          <w:rFonts w:ascii="Times New Roman" w:hAnsi="Times New Roman" w:eastAsia="Calibri" w:cs="Times New Roman"/>
          <w:i/>
          <w:sz w:val="20"/>
          <w:szCs w:val="20"/>
          <w:lang w:val="id-ID"/>
        </w:rPr>
        <w:t xml:space="preserve">(Source : </w:t>
      </w:r>
      <w:r>
        <w:fldChar w:fldCharType="begin"/>
      </w:r>
      <w:r>
        <w:instrText xml:space="preserve"> HYPERLINK "http://www.NTT.BPs.go.id/2024" </w:instrText>
      </w:r>
      <w:r>
        <w:fldChar w:fldCharType="separate"/>
      </w:r>
      <w:r>
        <w:rPr>
          <w:rFonts w:ascii="Times New Roman" w:hAnsi="Times New Roman" w:eastAsia="Calibri" w:cs="Times New Roman"/>
          <w:i/>
          <w:color w:val="0563C1"/>
          <w:sz w:val="20"/>
          <w:szCs w:val="20"/>
          <w:u w:val="single"/>
          <w:lang w:val="id-ID"/>
        </w:rPr>
        <w:t>www.NTT.BPs.go.id/2024</w:t>
      </w:r>
      <w:r>
        <w:rPr>
          <w:rFonts w:ascii="Times New Roman" w:hAnsi="Times New Roman" w:eastAsia="Calibri" w:cs="Times New Roman"/>
          <w:i/>
          <w:color w:val="0563C1"/>
          <w:sz w:val="20"/>
          <w:szCs w:val="20"/>
          <w:u w:val="single"/>
          <w:lang w:val="id-ID"/>
        </w:rPr>
        <w:fldChar w:fldCharType="end"/>
      </w:r>
      <w:r>
        <w:rPr>
          <w:rFonts w:ascii="Times New Roman" w:hAnsi="Times New Roman" w:eastAsia="Calibri" w:cs="Times New Roman"/>
          <w:i/>
          <w:sz w:val="20"/>
          <w:szCs w:val="20"/>
          <w:lang w:val="id-ID"/>
        </w:rPr>
        <w:t xml:space="preserve"> )</w:t>
      </w:r>
    </w:p>
    <w:p w14:paraId="4AD7DC90">
      <w:pPr>
        <w:spacing w:line="360" w:lineRule="auto"/>
        <w:ind w:left="426" w:firstLine="283"/>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As shown in Table 1.1 above, the retail sector in Kupang City has seen significant growth in recent years, driven by stable regional economic growth and rising consumer purchasing power. Other contributing factors include changing lifestyles and consumer preferences for modern fashion products, which have spurred the emergence of various shopping centres and retail outlets in the region. With rising household incomes in Kupang City, people are allocating a larger portion of their budget to expenditure on domestic needs, lifestyle, and entertainment. These conditions have created opportunities in the retail sector, particularly in fashion, as reflected in the development of modern shopping centres such as Flobamora Mall, Lippo Plaza, Transmart, Kupang Trend Centre, Suba Suka Kupang and other shopping centres (Nilan et al., 2013). </w:t>
      </w:r>
    </w:p>
    <w:p w14:paraId="03609FC7">
      <w:pPr>
        <w:spacing w:line="360" w:lineRule="auto"/>
        <w:ind w:left="426" w:firstLine="283"/>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The retail sector in Kupang City has shown a growing trend in recent years. This is evidenced by the establishment of various modern shopping centres offering an integrated shopping experience for the public (Kupang City BPS, 2024). Flobamora Mall is one of the main shopping centres frequented by the public in Kupang City, featuring a variety of fashion retailers with the latest collections. Lippo Plaza Kupang enriches consumer choice with renowned fashion brands, whilst Transmart Kupang offers an integrated shopping concept (one-stop shopping) covering fashion, household goods, and entertainment all in one location. Meanwhile, Suba Suka Kupang plays a role in strengthening the local fashion retail industry with products tailored to the needs of the local community. Kupang Trend Centre (KTC) also plays a significant role in Kupang’s fashion industry, providing quality products that follow the latest fashion trends and attract consumers, particularly the younger generation. One example of a fashion shopping centre reflecting modern retail development in Kupang is Kupang Trend Centre (KTC), which offers quality products and keeps pace with the latest fashion trends. However, similar phenomena can also be found in other shopping centres such as Flobamora Mall, Lippo Plaza, Transmart, Suba Suka Kupang and other fashion shopping centres that offer a wide range of fashion choices to consumers.  According to data from the Kupang City BPS (2024), the number of public visits to modern shopping centres in Kupang City shows an upward trend every year. The average number of visitors to Flobamora Mall, Lippo Plaza Kupang, Transmart, and Kupang Trend Centre (KTC) reaches 15,000–20,000 people per month, with an increase of around 10%–12% per year since 2021. These high visitor figures indicate that modern shopping centres are increasingly becoming the public’s primary choice for meeting their fashion and lifestyle needs. This phenomenon of rising visitor numbers has a direct implication for the likelihood of impulse buying. The more people visit shopping centres, the greater the likelihood they will be exposed to the visual merchandising strategies employed by retailers, such as shop layout, lighting, product displays, and visual promotions. This can evoke positive emotions such as joy, comfort, and enthusiasm, which ultimately encourage consumers to make spontaneous purchases. </w:t>
      </w:r>
    </w:p>
    <w:p w14:paraId="35655548">
      <w:pPr>
        <w:spacing w:line="360" w:lineRule="auto"/>
        <w:ind w:left="426" w:firstLine="283"/>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As current fashion trends evolve, competition in the retail market is becoming increasingly fierce. Retail companies and shops must be able to survive amidst the emergence of various competitors offering similar products. To face this competition, businesses need to devise effective strategies to attract customers’ attention. One strategic approach that can be implemented is to encourage impulse buying through the use of attractive visual merchandising. By arranging the shop’s display aesthetically and offering a variety of products alongside appealing promotions (impulse buying), shops can enhance their appeal to consumers. In the fashion industry, visual merchandising is a key element in enticing customers to enter the shop. These elements include artistic interior design, a comfortable shop atmosphere, and optimal lighting, thereby creating a shopping experience that is more appealing to consumers and triggers spontaneous purchasing decisions. (Sinaga &amp; Marpaung, 2023)</w:t>
      </w:r>
    </w:p>
    <w:p w14:paraId="141E3E51">
      <w:pPr>
        <w:spacing w:line="360" w:lineRule="auto"/>
        <w:ind w:left="426" w:firstLine="283"/>
        <w:jc w:val="both"/>
        <w:rPr>
          <w:rFonts w:ascii="Times New Roman" w:hAnsi="Times New Roman" w:eastAsia="Calibri" w:cs="Times New Roman"/>
          <w:iCs/>
          <w:sz w:val="24"/>
          <w:szCs w:val="24"/>
          <w:lang w:val="id-ID"/>
        </w:rPr>
      </w:pPr>
      <w:r>
        <w:rPr>
          <w:rFonts w:ascii="Times New Roman" w:hAnsi="Times New Roman" w:eastAsia="Calibri" w:cs="Times New Roman"/>
          <w:iCs/>
          <w:sz w:val="24"/>
          <w:szCs w:val="24"/>
          <w:lang w:val="id-ID"/>
        </w:rPr>
        <w:t>Visual merchandising serves as both a strategy for product display and an in-store promotional tool designed to attract customers’ attention and encourage purchasing decisions. According to Mehta &amp; Chugan (2013), based on their research findings, there are several key indicators in applying visual merchandising to retail stores. Firstly, window displays, which play a role in attracting customers’ interest and can influence their attention to entice them into the store. Secondly, mannequin displays, which involve the use of mannequins as a communication tool to showcase the latest fashion trends. Third, promotional signage, which are boards or promotional media providing product information and purchase recommendations to boost sales. Fourth, floor merchandising, which involves the layout and arrangement of elements within the shop to create a comfortable browsing space for customers, making it easier for them to explore and find the products they desire (Kertiana &amp; Artini, 2019). Impulse buying often arises due to emotional triggers. A person’s positive emotions can be heightened by supportive factors in the shopping environment, such as an interest in a particular product or the presence of sales promotions. Consumers with positive emotions tend to make larger impulse purchases due to an uncontrollable emotional urge, coupled with a desire for self-indulgence and a high level of energy. Impulse buying is a purchasing pattern or shopping activity carried out without prior planning (Hermanto, 2016).</w:t>
      </w:r>
    </w:p>
    <w:p w14:paraId="0B0256E1">
      <w:pPr>
        <w:spacing w:line="360" w:lineRule="auto"/>
        <w:ind w:left="426" w:firstLine="283"/>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To cope with fierce competition, retailers need to implement an effective retail mix strategy. This retail mix strategy serves to help consumers decide which shop to visit. One factor influencing purchasing decisions is the emotional motivation of consumers, which manifests in their behaviour whilst shopping. Furthermore, the personal experience felt whilst shopping is also a key factor that can trigger a person to make a purchase. One common shopping behaviour is impulse buying, which is a purchase not planned in advance. Although many customers have made plans or shopping lists beforehand, the strategies implemented in the shops they visit can influence their decisions, prompting them to buy items outside their shopping list or even alter their initial shopping plans. Consequently, consumer behaviour is significantly influenced by the marketing strategies employed by the shop. One of the key elements in retail strategy is the shop’s physical facilities. Facilities designed to attract the attention of potential buyers before they enter the shop. An attractive exterior display, supported by appropriate lighting, along with an appealing and comfortable interior design, can create visual appeal for consumers. Therefore, retailers need to design effective visual merchandising strategies to entice customers to enter the shop and ultimately make unplanned purchases (Anggraini &amp; Sulistyowati, 2020). </w:t>
      </w:r>
    </w:p>
    <w:p w14:paraId="398FCB28">
      <w:pPr>
        <w:spacing w:line="360" w:lineRule="auto"/>
        <w:ind w:left="426" w:firstLine="283"/>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Fashion shopping centres in Kupang have seen significant growth in line with rising demand amongst the public, particularly for fashion products, which have become an integral part of daily life. Demand for fashion continues to grow alongside rising living standards and purchasing power. Fashion outlets such as Flobamora Mall, Lippo Plaza, Transmart, Kupang Trend Centre (KTC), and several other fashion stores are constantly innovating by implementing visual merchandising strategies to attract consumers. These strategies include attractive display arrangements, the use of visual promotions, and adapting shop designs to align with the latest fashion trends and local consumer preferences, particularly those of the younger generation. One example of a retail outlet implementing such strategies is KTC, which is known for offering clothing with trendy designs and a diverse range of styles. However, the same phenomenon is evident in various other fashion outlets across Kupang City, all competing to provide an engaging shopping experience. Kupang Trend Centre (KTC) is a retail company specialising in the sale of fashion products and contemporary lifestyle items. Kupang Trend Centre (KTC) falls into the category of a fairly exclusive outlet, as KTC does not prioritise the sheer volume of products but instead focuses on offering a diverse range of clothing styles and garments in line with current trends. The phenomenon of impulse buying at KTC arises during product purchases, particularly during promotions or discounts, and specific seasonal events such as autumn, winter, spring and summer. However, with the emergence of numerous competitors in the fashion industry in Kupang, an optimal marketing strategy is required to maintain customer loyalty and boost sales. One strategy that can be implemented is the optimisation of visual merchandising to create a more engaging shopping experience and encourage impulse buying.</w:t>
      </w:r>
    </w:p>
    <w:p w14:paraId="2137DD26">
      <w:pPr>
        <w:spacing w:line="360" w:lineRule="auto"/>
        <w:ind w:left="426" w:firstLine="283"/>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When consumers are exposed to a visually well-designed shop environment, this can evoke positive emotions, such as feelings of joy, comfort and enjoyment (Kotler &amp; Keller, 2016). These positive emotions experienced by consumers act as a psychological mediator linking visual stimuli to purchasing behaviour. Consumers who feel comfortable and enthusiastic whilst in the shop are more likely to make spontaneous purchases, a phenomenon known as impulse buying (Rosenbaum &amp; Massiah, 2011). This causal relationship is reinforced by the findings of Sudarsono’s (2017) study of Zara consumers in Surabaya, which indicated that visual merchandising has a significant direct effect on impulse buying but is not significant, whilst visual merchandising influences positive emotion and positive emotion has a significant effect on impulse buying. A similar study conducted by Efendy (2022), which examined 100 Uniqlo consumers in Yogyakarta using the SEM-PLS method, showed that visual merchandising has a significant effect on positive emotion, and positive emotion has a significant effect on impulse buying, thereby reinforcing the role of positive emotion as a mediator in this relationship.</w:t>
      </w:r>
    </w:p>
    <w:p w14:paraId="6C1316DA">
      <w:pPr>
        <w:spacing w:line="360" w:lineRule="auto"/>
        <w:ind w:left="426" w:firstLine="283"/>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 study conducted by Nazarudin &amp; Widiastuti (2022) involving 50 young women aged 18–21 found that a hedonistic lifestyle has a positive influence on consumer behaviour, particularly in the purchase of fashion products. Adolescents with a hedonistic lifestyle tend to pursue personal satisfaction and momentary pleasure through consumption activities, including shopping for clothes, accessories, and other fashion products without considering functional needs. This indicates that fashion consumption is not merely to meet basic needs, but forms part of a person’s self-expression and lifestyle. Previous studies have shown that visual merchandising has a significant influence on impulse buying behaviour, particularly when mediated by positive emotion. Research by Anggreni et al. (2022), involving 120 respondents, also yielded similar results, where visual merchandising influenced positive emotion and positive emotion, in turn, influenced impulse buying. In this study, positive emotion acted as a partial mediator between visual merchandising and impulse buying.</w:t>
      </w:r>
    </w:p>
    <w:p w14:paraId="0DE4D41D">
      <w:pPr>
        <w:spacing w:line="360" w:lineRule="auto"/>
        <w:ind w:left="426" w:firstLine="283"/>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Meanwhile, Afriany et al. (2023), through their study of 150 respondents at Ramayana Department Store in Yogyakarta, found—using multiple linear regression analysis—that visual merchandising has a positive influence on positive emotion, which in turn impacts impulse buying; furthermore, the Sobel test indicated that positive emotion acts as a significant mediator. This indicates that differences in consumer behaviour contexts, product types, and retail environments influence the relationships between variables. The differences in these research findings indicate that the influence of visual merchandising on impulse buying via positive emotion is contextual. Consequently, further research is required in areas that have not been extensively studied, such as Kupang City, to determine whether the relationship between these variables remains consistent within the local retail context, which features distinct cultural and consumer characteristics. Although various studies have discussed the relationship between visual merchandising and impulse buying, research on the role of positive emotion as a mediating variable in the context of fashion retail in Kupang City remains limited. This situation is due to several factors, including the fact that Kupang City has not yet become a major fashion retail hub like Jakarta, Surabaya, or Bandung. Consequently, research in the field of fashion marketing focusing on consumer psychological aspects such as impulse buying and positive emotion is still rarely conducted. Furthermore, much research in Kupang City has focused on sectors that are more dominant in the region, such as agriculture, fisheries, and general trade, rather than the fashion and modern retail sectors (Sumampouw, 2020). On the other hand, some retailers still rely on conventional marketing strategies and have not fully taken consumer psychological factors into account in driving impulse purchasing decisions. In the fashion retail industry, increasingly fierce competition requires businesses to continuously innovate to attract consumer interest. Today’s fashion retail consumers tend to make purchases not only based on functional needs, but are also influenced by emotional aspects and the shopping experience. However, in reality,   many consumers still make purchases rationally by considering the product’s needs, price, and function, rather than due to emotional impulses triggered by the shop’s appearance or the shopping atmosphere (Engel et al., 2012).</w:t>
      </w:r>
      <w:r>
        <w:rPr>
          <w:rFonts w:hint="default" w:ascii="Times New Roman" w:hAnsi="Times New Roman" w:eastAsia="Calibri" w:cs="Times New Roman"/>
          <w:sz w:val="24"/>
          <w:szCs w:val="24"/>
          <w:lang w:val="id-ID"/>
        </w:rPr>
        <w:t xml:space="preserve"> </w:t>
      </w:r>
      <w:r>
        <w:rPr>
          <w:rFonts w:ascii="Times New Roman" w:hAnsi="Times New Roman" w:eastAsia="Calibri" w:cs="Times New Roman"/>
          <w:sz w:val="24"/>
          <w:szCs w:val="24"/>
          <w:lang w:val="id-ID"/>
        </w:rPr>
        <w:t>On the other hand, rapidly changing fashion trends mean that consumers can easily grow tired of the products available on the market. Constant changes in style, colour and design encourage consumers to always seek out something new, thereby creating a challenge for businesses to maintain consumer interest. Nevertheless, many fashion retailers have yet to maximise the potential of visual merchandising as an effective marketing strategy. Visual merchandising is often viewed as an additional element rather than a strategic investment. Many shops focus more on increasing product stock without paying attention to the shop’s visual appearance, display layout, lighting, and other supporting elements. Yet, an appealing visual design can foster positive emotional responses in consumers, ultimately encouraging them to make impulse purchases. This phenomenon highlights a gap between the importance of a shop’s visual presentation in triggering positive emotions and consumer behaviour towards impulse buying, and current practices that still neglect these aspects. Based on this explanation of the phenomenon, the author wishes to investigate the “</w:t>
      </w:r>
      <w:r>
        <w:rPr>
          <w:rFonts w:ascii="Times New Roman" w:hAnsi="Times New Roman" w:eastAsia="Calibri" w:cs="Times New Roman"/>
          <w:b/>
          <w:bCs/>
          <w:i/>
          <w:iCs/>
          <w:sz w:val="24"/>
          <w:szCs w:val="24"/>
          <w:lang w:val="id-ID"/>
        </w:rPr>
        <w:t>Effect of visual merchandising on impulse buying through positive emotions among retail consumers in Kupang City</w:t>
      </w:r>
      <w:r>
        <w:rPr>
          <w:rFonts w:ascii="Times New Roman" w:hAnsi="Times New Roman" w:eastAsia="Calibri" w:cs="Times New Roman"/>
          <w:sz w:val="24"/>
          <w:szCs w:val="24"/>
          <w:lang w:val="id-ID"/>
        </w:rPr>
        <w:t>”.</w:t>
      </w:r>
    </w:p>
    <w:p w14:paraId="06CBE56A">
      <w:pPr>
        <w:pStyle w:val="13"/>
        <w:numPr>
          <w:ilvl w:val="1"/>
          <w:numId w:val="1"/>
        </w:numPr>
        <w:spacing w:line="360" w:lineRule="auto"/>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Statement Of The Problem</w:t>
      </w:r>
    </w:p>
    <w:p w14:paraId="4BF5A7A3">
      <w:pPr>
        <w:spacing w:line="360" w:lineRule="auto"/>
        <w:ind w:left="420"/>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Based on the background section, the author has formulated the research questions that form the basis of this study, namely: </w:t>
      </w:r>
    </w:p>
    <w:p w14:paraId="3FF50BDF">
      <w:pPr>
        <w:spacing w:line="360" w:lineRule="auto"/>
        <w:ind w:left="420"/>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1. Does visual merchandising influence positive emotions among retail consumers in Kupang?</w:t>
      </w:r>
    </w:p>
    <w:p w14:paraId="1EA8BD44">
      <w:pPr>
        <w:spacing w:line="360" w:lineRule="auto"/>
        <w:ind w:left="420"/>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2. Does positive emotion influence impulse buying among retail consumers in Kupang?</w:t>
      </w:r>
      <w:r>
        <w:rPr>
          <w:rFonts w:ascii="Times New Roman" w:hAnsi="Times New Roman" w:eastAsia="Calibri" w:cs="Times New Roman"/>
          <w:sz w:val="24"/>
          <w:szCs w:val="24"/>
          <w:lang w:val="id-ID"/>
        </w:rPr>
        <w:cr/>
      </w:r>
      <w:r>
        <w:rPr>
          <w:rFonts w:ascii="Times New Roman" w:hAnsi="Times New Roman" w:eastAsia="Calibri" w:cs="Times New Roman"/>
          <w:sz w:val="24"/>
          <w:szCs w:val="24"/>
          <w:lang w:val="id-ID"/>
        </w:rPr>
        <w:t>3. Does visual merchandising have a direct influence on impulse buying behaviour among retail consumers in Kupang?</w:t>
      </w:r>
      <w:r>
        <w:rPr>
          <w:rFonts w:ascii="Times New Roman" w:hAnsi="Times New Roman" w:eastAsia="Calibri" w:cs="Times New Roman"/>
          <w:sz w:val="24"/>
          <w:szCs w:val="24"/>
          <w:lang w:val="id-ID"/>
        </w:rPr>
        <w:cr/>
      </w:r>
      <w:r>
        <w:rPr>
          <w:rFonts w:ascii="Times New Roman" w:hAnsi="Times New Roman" w:eastAsia="Calibri" w:cs="Times New Roman"/>
          <w:sz w:val="24"/>
          <w:szCs w:val="24"/>
          <w:lang w:val="id-ID"/>
        </w:rPr>
        <w:t>4. Does visual merchandising have an indirect influence on impulse buying via positive emotion among retail consumers in Kupang?</w:t>
      </w:r>
    </w:p>
    <w:p w14:paraId="6B798CCC">
      <w:pP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br w:type="page"/>
      </w:r>
    </w:p>
    <w:p w14:paraId="489999A4">
      <w:pPr>
        <w:spacing w:line="360" w:lineRule="auto"/>
        <w:contextualSpacing/>
        <w:jc w:val="both"/>
        <w:rPr>
          <w:rFonts w:ascii="Times New Roman" w:hAnsi="Times New Roman" w:eastAsia="Calibri" w:cs="Times New Roman"/>
          <w:sz w:val="24"/>
          <w:szCs w:val="24"/>
          <w:lang w:val="id-ID"/>
        </w:rPr>
      </w:pPr>
    </w:p>
    <w:p w14:paraId="080B2DFE">
      <w:pPr>
        <w:spacing w:line="360" w:lineRule="auto"/>
        <w:jc w:val="both"/>
        <w:rPr>
          <w:rFonts w:ascii="Times New Roman" w:hAnsi="Times New Roman" w:eastAsia="Calibri" w:cs="Times New Roman"/>
          <w:b/>
          <w:sz w:val="28"/>
          <w:szCs w:val="28"/>
          <w:lang w:val="id-ID"/>
        </w:rPr>
      </w:pPr>
      <w:r>
        <w:rPr>
          <w:rFonts w:ascii="Times New Roman" w:hAnsi="Times New Roman" w:eastAsia="Calibri" w:cs="Times New Roman"/>
          <w:b/>
          <w:sz w:val="28"/>
          <w:szCs w:val="28"/>
          <w:lang w:val="id-ID"/>
        </w:rPr>
        <w:t xml:space="preserve"> II</w:t>
      </w:r>
      <w:r>
        <w:rPr>
          <w:rFonts w:hint="default" w:ascii="Times New Roman" w:hAnsi="Times New Roman" w:eastAsia="Calibri" w:cs="Times New Roman"/>
          <w:b/>
          <w:sz w:val="28"/>
          <w:szCs w:val="28"/>
          <w:lang w:val="id-ID"/>
        </w:rPr>
        <w:t>.</w:t>
      </w:r>
      <w:r>
        <w:rPr>
          <w:rFonts w:ascii="Times New Roman" w:hAnsi="Times New Roman" w:eastAsia="Calibri" w:cs="Times New Roman"/>
          <w:b/>
          <w:sz w:val="28"/>
          <w:szCs w:val="28"/>
          <w:lang w:val="id-ID"/>
        </w:rPr>
        <w:t>RESEARCH METHODOLOGY</w:t>
      </w:r>
    </w:p>
    <w:p w14:paraId="74450893">
      <w:pPr>
        <w:spacing w:line="360" w:lineRule="auto"/>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3.1 Type of Research</w:t>
      </w:r>
    </w:p>
    <w:p w14:paraId="5697DA74">
      <w:pPr>
        <w:spacing w:line="360" w:lineRule="auto"/>
        <w:ind w:left="284" w:firstLine="436"/>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This study is a quantitative study employing an explanatory research approach, which aims to test the causal relationship between variables. This approach is used to test hypotheses formulated on the basis of theoretical foundations through the analysis of data collected from respondents as the study subjects. In the context of this study, explanatory research is used to analyse how visual merchandising, as the independent variable, influences impulse buying, as the dependent variable, both directly and through positive emotion, as the mediating variable. </w:t>
      </w:r>
    </w:p>
    <w:p w14:paraId="5B1695A2">
      <w:pPr>
        <w:spacing w:line="360" w:lineRule="auto"/>
        <w:ind w:left="284" w:firstLine="436"/>
        <w:contextualSpacing/>
        <w:jc w:val="both"/>
        <w:rPr>
          <w:rFonts w:ascii="Times New Roman" w:hAnsi="Times New Roman" w:eastAsia="Calibri" w:cs="Times New Roman"/>
          <w:sz w:val="24"/>
          <w:szCs w:val="24"/>
          <w:lang w:val="id-ID"/>
        </w:rPr>
      </w:pPr>
    </w:p>
    <w:p w14:paraId="5EC44FF0">
      <w:pPr>
        <w:spacing w:line="360" w:lineRule="auto"/>
        <w:contextualSpacing/>
        <w:jc w:val="both"/>
        <w:rPr>
          <w:rFonts w:ascii="Times New Roman" w:hAnsi="Times New Roman" w:eastAsia="Calibri" w:cs="Times New Roman"/>
          <w:b/>
          <w:bCs/>
          <w:sz w:val="24"/>
          <w:szCs w:val="24"/>
          <w:lang w:val="id-ID"/>
        </w:rPr>
      </w:pPr>
      <w:r>
        <w:rPr>
          <w:rFonts w:ascii="Times New Roman" w:hAnsi="Times New Roman" w:eastAsia="Calibri" w:cs="Times New Roman"/>
          <w:b/>
          <w:bCs/>
          <w:sz w:val="24"/>
          <w:szCs w:val="24"/>
          <w:lang w:val="id-ID"/>
        </w:rPr>
        <w:t>3.2 Population and Sample</w:t>
      </w:r>
    </w:p>
    <w:p w14:paraId="5DC70047">
      <w:pPr>
        <w:spacing w:line="360" w:lineRule="auto"/>
        <w:ind w:left="284"/>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In quantitative research, the population and the sample are two key factors that determine the validity and reliability of the research findings</w:t>
      </w:r>
    </w:p>
    <w:p w14:paraId="35A8077D">
      <w:pPr>
        <w:pStyle w:val="13"/>
        <w:numPr>
          <w:ilvl w:val="0"/>
          <w:numId w:val="2"/>
        </w:numPr>
        <w:spacing w:line="36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 The population refers to the totality of individuals, groups, or objects that share certain characteristics and form the focus of the research (Sugiyono, 2017). In this study, the population under investigation comprises all fashion retail consumers in Kupang City who shop at fashion (clothing) shopping centres such as Kupang Trend Centre, Flobamora Mall, Lippo Plaza, Transmart Kupang, and other fashion clothing shopping centres. This population was selected because the fashion retail business in Kupang City is growing rapidly, and consumers are frequently exposed to visual merchandising strategies that can influence impulsive purchasing decisions. </w:t>
      </w:r>
    </w:p>
    <w:p w14:paraId="061D6682">
      <w:pPr>
        <w:pStyle w:val="13"/>
        <w:numPr>
          <w:ilvl w:val="0"/>
          <w:numId w:val="2"/>
        </w:numPr>
        <w:spacing w:line="36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 sample is a portion of a population selected for analysis so that it represents the characteristics of the population as a whole (Cooper &amp; Schindler, 2014). The sample was selected using a non-probability sampling method, specifically purposive sampling, which is a technique for selecting a sample based on specific criteria relevant to the research (Sekaran &amp; Bougie, 2016). To determine the sample size, this study used the Slovin formula or other approaches such as (Hair et al., 2010), which recommend a minimum of 5–10 times the number of indicators in Structural Equation Modelling (SEM) analysis. In this study, there were 20 indicators representing three main variables, namely visual merchandising, positive emotion and impulse buying. Therefore, the minimum sample size set for this study is 155 respondents.</w:t>
      </w:r>
    </w:p>
    <w:p w14:paraId="34889FA9">
      <w:pPr>
        <w:spacing w:line="360" w:lineRule="auto"/>
        <w:ind w:left="709"/>
        <w:contextualSpacing/>
        <w:jc w:val="both"/>
        <w:rPr>
          <w:rFonts w:ascii="Times New Roman" w:hAnsi="Times New Roman" w:eastAsia="Calibri" w:cs="Times New Roman"/>
          <w:b/>
          <w:sz w:val="24"/>
          <w:szCs w:val="24"/>
          <w:lang w:val="id-ID"/>
        </w:rPr>
      </w:pPr>
    </w:p>
    <w:p w14:paraId="3683FF6C">
      <w:pPr>
        <w:spacing w:line="360" w:lineRule="auto"/>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3.2 Jenis dan Teknik Pengumpulan Data</w:t>
      </w:r>
    </w:p>
    <w:p w14:paraId="3105BDBD">
      <w:pPr>
        <w:spacing w:line="360" w:lineRule="auto"/>
        <w:ind w:left="426" w:firstLine="294"/>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The type of data used in this study is primary data. Primary data is data collected directly from the primary source or respondents through a data collection process carried out by the researcher themselves (Sugiyono, 2017). In this study, primary data was obtained through a questionnaire distributed to fashion retail consumers in Kupang City. This data was used to measure the relationship between visual merchandising, positive emotion, and impulse buying in accordance with the research variables. According to Sugiyono (2017), data collection techniques are the most crucial step in a study, as the primary objective of research is to obtain relevant data. </w:t>
      </w:r>
    </w:p>
    <w:p w14:paraId="1C506AF5">
      <w:pPr>
        <w:spacing w:line="360" w:lineRule="auto"/>
        <w:contextualSpacing/>
        <w:jc w:val="both"/>
        <w:rPr>
          <w:rFonts w:ascii="Times New Roman" w:hAnsi="Times New Roman" w:eastAsia="Calibri" w:cs="Times New Roman"/>
          <w:sz w:val="24"/>
          <w:szCs w:val="24"/>
          <w:lang w:val="id-ID"/>
        </w:rPr>
      </w:pPr>
    </w:p>
    <w:p w14:paraId="2EA03895">
      <w:pPr>
        <w:spacing w:line="360" w:lineRule="auto"/>
        <w:contextualSpacing/>
        <w:jc w:val="both"/>
        <w:rPr>
          <w:rFonts w:ascii="Times New Roman" w:hAnsi="Times New Roman" w:eastAsia="Calibri" w:cs="Times New Roman"/>
          <w:b/>
          <w:bCs/>
          <w:sz w:val="24"/>
          <w:szCs w:val="24"/>
          <w:lang w:val="id-ID"/>
        </w:rPr>
      </w:pPr>
      <w:r>
        <w:rPr>
          <w:rFonts w:ascii="Times New Roman" w:hAnsi="Times New Roman" w:eastAsia="Calibri" w:cs="Times New Roman"/>
          <w:b/>
          <w:bCs/>
          <w:sz w:val="24"/>
          <w:szCs w:val="24"/>
          <w:lang w:val="id-ID"/>
        </w:rPr>
        <w:t>3.3 Data Analysis Techniques</w:t>
      </w:r>
    </w:p>
    <w:p w14:paraId="0522B687">
      <w:pPr>
        <w:spacing w:line="360" w:lineRule="auto"/>
        <w:ind w:left="426" w:firstLine="294"/>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PLS is one of the approaches within SEM based on a component or variance model. Structural Equation Modelling itself is a statistical technique used to analyse complex relationships between variables simultaneously, particularly when these variables are difficult to measure directly (Natalia et al., 2018). According to Santoso (2014), SEM is a multivariate analysis technique that combines regression and other statistical methods to test relationships between variables within a model, both between constructs and between indicators and the constructs they represent. </w:t>
      </w:r>
    </w:p>
    <w:p w14:paraId="1F855695">
      <w:pPr>
        <w:pStyle w:val="13"/>
        <w:numPr>
          <w:ilvl w:val="0"/>
          <w:numId w:val="3"/>
        </w:numPr>
        <w:spacing w:line="360" w:lineRule="auto"/>
        <w:rPr>
          <w:rFonts w:ascii="Times New Roman" w:hAnsi="Times New Roman" w:eastAsia="Calibri" w:cs="Times New Roman"/>
          <w:sz w:val="24"/>
          <w:szCs w:val="24"/>
          <w:lang w:val="id-ID"/>
        </w:rPr>
      </w:pPr>
      <w:r>
        <w:rPr>
          <w:rFonts w:ascii="Times New Roman" w:hAnsi="Times New Roman" w:eastAsia="Calibri" w:cs="Times New Roman"/>
          <w:b/>
          <w:sz w:val="24"/>
          <w:szCs w:val="24"/>
          <w:lang w:val="id-ID"/>
        </w:rPr>
        <w:t>Descriptive Analysis</w:t>
      </w:r>
      <w:r>
        <w:rPr>
          <w:rFonts w:ascii="Times New Roman" w:hAnsi="Times New Roman" w:eastAsia="Calibri" w:cs="Times New Roman"/>
          <w:b/>
          <w:sz w:val="24"/>
          <w:szCs w:val="24"/>
          <w:lang w:val="id-ID"/>
        </w:rPr>
        <w:cr/>
      </w:r>
      <w:r>
        <w:rPr>
          <w:rFonts w:ascii="Times New Roman" w:hAnsi="Times New Roman" w:eastAsia="Calibri" w:cs="Times New Roman"/>
          <w:sz w:val="24"/>
          <w:szCs w:val="24"/>
          <w:lang w:val="id-ID"/>
        </w:rPr>
        <w:t>Descriptive analysis is a method of data analysis used to present or explain the characteristics of data collected from respondents in a study.</w:t>
      </w:r>
    </w:p>
    <w:p w14:paraId="2C6A75EC">
      <w:pPr>
        <w:pStyle w:val="13"/>
        <w:numPr>
          <w:ilvl w:val="0"/>
          <w:numId w:val="3"/>
        </w:numPr>
        <w:spacing w:line="360" w:lineRule="auto"/>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 xml:space="preserve">Analysis </w:t>
      </w:r>
      <w:r>
        <w:rPr>
          <w:rFonts w:ascii="Times New Roman" w:hAnsi="Times New Roman" w:eastAsia="Calibri" w:cs="Times New Roman"/>
          <w:b/>
          <w:i/>
          <w:iCs/>
          <w:sz w:val="24"/>
          <w:szCs w:val="24"/>
          <w:lang w:val="id-ID"/>
        </w:rPr>
        <w:t>Structural Equation Modeling</w:t>
      </w:r>
      <w:r>
        <w:rPr>
          <w:rFonts w:ascii="Times New Roman" w:hAnsi="Times New Roman" w:eastAsia="Calibri" w:cs="Times New Roman"/>
          <w:b/>
          <w:sz w:val="24"/>
          <w:szCs w:val="24"/>
          <w:lang w:val="id-ID"/>
        </w:rPr>
        <w:t xml:space="preserve"> (SEM) based </w:t>
      </w:r>
      <w:r>
        <w:rPr>
          <w:rFonts w:ascii="Times New Roman" w:hAnsi="Times New Roman" w:eastAsia="Calibri" w:cs="Times New Roman"/>
          <w:b/>
          <w:i/>
          <w:iCs/>
          <w:sz w:val="24"/>
          <w:szCs w:val="24"/>
          <w:lang w:val="id-ID"/>
        </w:rPr>
        <w:t xml:space="preserve">Partial Least Square </w:t>
      </w:r>
    </w:p>
    <w:p w14:paraId="07CD922D">
      <w:pPr>
        <w:pStyle w:val="13"/>
        <w:spacing w:line="360" w:lineRule="auto"/>
        <w:ind w:left="1140"/>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Compared with covariance-based SEM, this approach is more flexible and is suitable for studies with limited sample sizes, complex models, and latent variables with many indicators. According to Hair et al. (2010), PLS-SEM has a number of advantages, including its suitability for data that are not normally distributed or for small sample sizes.</w:t>
      </w:r>
    </w:p>
    <w:p w14:paraId="79A2D911">
      <w:pPr>
        <w:pStyle w:val="13"/>
        <w:numPr>
          <w:ilvl w:val="0"/>
          <w:numId w:val="3"/>
        </w:numPr>
        <w:spacing w:line="360" w:lineRule="auto"/>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rPr>
        <w:t>Model Measurement (</w:t>
      </w:r>
      <w:r>
        <w:rPr>
          <w:rFonts w:ascii="Times New Roman" w:hAnsi="Times New Roman" w:eastAsia="Calibri" w:cs="Times New Roman"/>
          <w:b/>
          <w:i/>
          <w:iCs/>
          <w:sz w:val="24"/>
          <w:szCs w:val="24"/>
        </w:rPr>
        <w:t>Out</w:t>
      </w:r>
      <w:r>
        <w:rPr>
          <w:rFonts w:ascii="Times New Roman" w:hAnsi="Times New Roman" w:eastAsia="Calibri" w:cs="Times New Roman"/>
          <w:b/>
          <w:i/>
          <w:iCs/>
          <w:sz w:val="24"/>
          <w:szCs w:val="24"/>
          <w:lang w:val="id-ID"/>
        </w:rPr>
        <w:t>h</w:t>
      </w:r>
      <w:r>
        <w:rPr>
          <w:rFonts w:ascii="Times New Roman" w:hAnsi="Times New Roman" w:eastAsia="Calibri" w:cs="Times New Roman"/>
          <w:b/>
          <w:i/>
          <w:iCs/>
          <w:sz w:val="24"/>
          <w:szCs w:val="24"/>
        </w:rPr>
        <w:t>er Model</w:t>
      </w:r>
      <w:r>
        <w:rPr>
          <w:rFonts w:ascii="Times New Roman" w:hAnsi="Times New Roman" w:eastAsia="Calibri" w:cs="Times New Roman"/>
          <w:b/>
          <w:sz w:val="24"/>
          <w:szCs w:val="24"/>
        </w:rPr>
        <w:t>)</w:t>
      </w:r>
    </w:p>
    <w:p w14:paraId="5E20BE3E">
      <w:pPr>
        <w:spacing w:line="360" w:lineRule="auto"/>
        <w:ind w:left="1140"/>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The researcher conducted an instrument validation test to assess the quality of the research data. The instrument validation test comprised two tests, namely:</w:t>
      </w:r>
    </w:p>
    <w:p w14:paraId="292F3514">
      <w:pPr>
        <w:pStyle w:val="13"/>
        <w:numPr>
          <w:ilvl w:val="0"/>
          <w:numId w:val="4"/>
        </w:numPr>
        <w:spacing w:line="36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Uji validitas </w:t>
      </w:r>
    </w:p>
    <w:p w14:paraId="47AA17B5">
      <w:pPr>
        <w:spacing w:line="360" w:lineRule="auto"/>
        <w:ind w:left="1800"/>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Validity refers to the degree to which a measurement tool (research instrument) accurately measures the concept it is intended to measure. A valid instrument will produce data that corresponds to reality or the concept intended by the researcher (Ghozali, 2016).</w:t>
      </w:r>
    </w:p>
    <w:p w14:paraId="2CAF19A1">
      <w:pPr>
        <w:spacing w:line="360" w:lineRule="auto"/>
        <w:ind w:left="1800"/>
        <w:contextualSpacing/>
        <w:jc w:val="both"/>
        <w:rPr>
          <w:rFonts w:ascii="Times New Roman" w:hAnsi="Times New Roman" w:eastAsia="Calibri" w:cs="Times New Roman"/>
          <w:sz w:val="24"/>
          <w:szCs w:val="24"/>
          <w:lang w:val="id-ID"/>
        </w:rPr>
      </w:pPr>
    </w:p>
    <w:p w14:paraId="4A22F20A">
      <w:pPr>
        <w:spacing w:line="360" w:lineRule="auto"/>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 xml:space="preserve">3.4 </w:t>
      </w:r>
      <w:r>
        <w:rPr>
          <w:rFonts w:ascii="Times New Roman" w:hAnsi="Times New Roman" w:eastAsia="Calibri" w:cs="Times New Roman"/>
          <w:b/>
          <w:i/>
          <w:sz w:val="24"/>
          <w:szCs w:val="24"/>
          <w:lang w:val="id-ID"/>
        </w:rPr>
        <w:t>Inner Model</w:t>
      </w:r>
      <w:r>
        <w:rPr>
          <w:rFonts w:ascii="Times New Roman" w:hAnsi="Times New Roman" w:eastAsia="Calibri" w:cs="Times New Roman"/>
          <w:b/>
          <w:sz w:val="24"/>
          <w:szCs w:val="24"/>
          <w:lang w:val="id-ID"/>
        </w:rPr>
        <w:t xml:space="preserve"> ( Model Struktural )</w:t>
      </w:r>
    </w:p>
    <w:p w14:paraId="1FD37412">
      <w:pPr>
        <w:spacing w:line="360" w:lineRule="auto"/>
        <w:ind w:firstLine="426"/>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 Hypothesis Testing.</w:t>
      </w:r>
    </w:p>
    <w:p w14:paraId="73EBBDF1">
      <w:pPr>
        <w:spacing w:line="360" w:lineRule="auto"/>
        <w:ind w:firstLine="426"/>
        <w:contextualSpacing/>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b. F-Test (</w:t>
      </w:r>
      <w:r>
        <w:rPr>
          <w:rFonts w:ascii="Times New Roman" w:hAnsi="Times New Roman" w:eastAsia="Calibri" w:cs="Times New Roman"/>
          <w:i/>
          <w:iCs/>
          <w:sz w:val="24"/>
          <w:szCs w:val="24"/>
          <w:lang w:val="id-ID"/>
        </w:rPr>
        <w:t>Goodness of Fit</w:t>
      </w:r>
      <w:r>
        <w:rPr>
          <w:rFonts w:ascii="Times New Roman" w:hAnsi="Times New Roman" w:eastAsia="Calibri" w:cs="Times New Roman"/>
          <w:sz w:val="24"/>
          <w:szCs w:val="24"/>
          <w:lang w:val="id-ID"/>
        </w:rPr>
        <w:t>).</w:t>
      </w:r>
    </w:p>
    <w:p w14:paraId="34DEA649">
      <w:pPr>
        <w:rPr>
          <w:rFonts w:ascii="Times New Roman" w:hAnsi="Times New Roman" w:eastAsia="Calibri" w:cs="Times New Roman"/>
          <w:b/>
          <w:sz w:val="28"/>
          <w:szCs w:val="28"/>
          <w:lang w:val="en-GB"/>
        </w:rPr>
      </w:pPr>
      <w:r>
        <w:rPr>
          <w:rFonts w:ascii="Times New Roman" w:hAnsi="Times New Roman" w:eastAsia="Calibri" w:cs="Times New Roman"/>
          <w:b/>
          <w:sz w:val="28"/>
          <w:szCs w:val="28"/>
          <w:lang w:val="en-GB"/>
        </w:rPr>
        <w:br w:type="page"/>
      </w:r>
    </w:p>
    <w:p w14:paraId="142DBE48">
      <w:pPr>
        <w:spacing w:line="360" w:lineRule="auto"/>
        <w:contextualSpacing/>
        <w:jc w:val="both"/>
        <w:rPr>
          <w:rFonts w:ascii="Times New Roman" w:hAnsi="Times New Roman" w:eastAsia="Calibri" w:cs="Times New Roman"/>
          <w:b/>
          <w:sz w:val="28"/>
          <w:szCs w:val="28"/>
          <w:lang w:val="en-GB"/>
        </w:rPr>
      </w:pPr>
      <w:r>
        <w:rPr>
          <w:rFonts w:hint="default" w:ascii="Times New Roman" w:hAnsi="Times New Roman" w:eastAsia="Calibri" w:cs="Times New Roman"/>
          <w:b/>
          <w:sz w:val="28"/>
          <w:szCs w:val="28"/>
          <w:lang w:val="id-ID"/>
        </w:rPr>
        <w:t>111.</w:t>
      </w:r>
      <w:r>
        <w:rPr>
          <w:rFonts w:ascii="Times New Roman" w:hAnsi="Times New Roman" w:eastAsia="Calibri" w:cs="Times New Roman"/>
          <w:b/>
          <w:sz w:val="28"/>
          <w:szCs w:val="28"/>
          <w:lang w:val="en-GB"/>
        </w:rPr>
        <w:t>RESULTS AND DISCUSSION</w:t>
      </w:r>
    </w:p>
    <w:p w14:paraId="77FD9D2D">
      <w:pPr>
        <w:pStyle w:val="13"/>
        <w:numPr>
          <w:ilvl w:val="1"/>
          <w:numId w:val="5"/>
        </w:numPr>
        <w:spacing w:line="360" w:lineRule="auto"/>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Research Findings</w:t>
      </w:r>
    </w:p>
    <w:p w14:paraId="449AE637">
      <w:pPr>
        <w:pStyle w:val="13"/>
        <w:numPr>
          <w:ilvl w:val="0"/>
          <w:numId w:val="6"/>
        </w:numPr>
        <w:spacing w:line="360" w:lineRule="auto"/>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 xml:space="preserve">PLS Test Results - </w:t>
      </w:r>
      <w:r>
        <w:rPr>
          <w:rFonts w:ascii="Times New Roman" w:hAnsi="Times New Roman" w:eastAsia="Calibri" w:cs="Times New Roman"/>
          <w:b/>
          <w:i/>
          <w:iCs/>
          <w:sz w:val="24"/>
          <w:szCs w:val="24"/>
          <w:lang w:val="id-ID"/>
        </w:rPr>
        <w:t>Algorithm</w:t>
      </w:r>
      <w:r>
        <w:rPr>
          <w:rFonts w:ascii="Times New Roman" w:hAnsi="Times New Roman" w:eastAsia="Calibri" w:cs="Times New Roman"/>
          <w:b/>
          <w:sz w:val="24"/>
          <w:szCs w:val="24"/>
          <w:lang w:val="id-ID"/>
        </w:rPr>
        <w:t xml:space="preserve"> (</w:t>
      </w:r>
      <w:r>
        <w:rPr>
          <w:rFonts w:ascii="Times New Roman" w:hAnsi="Times New Roman" w:eastAsia="Calibri" w:cs="Times New Roman"/>
          <w:b/>
          <w:i/>
          <w:iCs/>
          <w:sz w:val="24"/>
          <w:szCs w:val="24"/>
          <w:lang w:val="id-ID"/>
        </w:rPr>
        <w:t>Outher Model</w:t>
      </w:r>
      <w:r>
        <w:rPr>
          <w:rFonts w:ascii="Times New Roman" w:hAnsi="Times New Roman" w:eastAsia="Calibri" w:cs="Times New Roman"/>
          <w:b/>
          <w:sz w:val="24"/>
          <w:szCs w:val="24"/>
          <w:lang w:val="id-ID"/>
        </w:rPr>
        <w:t>)</w:t>
      </w:r>
    </w:p>
    <w:p w14:paraId="057E9677">
      <w:pPr>
        <w:numPr>
          <w:ilvl w:val="0"/>
          <w:numId w:val="7"/>
        </w:numPr>
        <w:spacing w:line="360" w:lineRule="auto"/>
        <w:contextualSpacing/>
        <w:jc w:val="both"/>
        <w:rPr>
          <w:rFonts w:ascii="Times New Roman" w:hAnsi="Times New Roman" w:eastAsia="Calibri" w:cs="Times New Roman"/>
          <w:b/>
          <w:i/>
          <w:iCs/>
          <w:sz w:val="24"/>
          <w:szCs w:val="24"/>
          <w:lang w:val="id-ID"/>
        </w:rPr>
      </w:pPr>
      <w:r>
        <w:rPr>
          <w:rFonts w:ascii="Times New Roman" w:hAnsi="Times New Roman" w:eastAsia="Calibri" w:cs="Times New Roman"/>
          <w:b/>
          <w:i/>
          <w:iCs/>
          <w:sz w:val="24"/>
          <w:szCs w:val="24"/>
          <w:lang w:val="id-ID"/>
        </w:rPr>
        <w:t>Outer Loading</w:t>
      </w:r>
    </w:p>
    <w:p w14:paraId="6141F72A">
      <w:pPr>
        <w:spacing w:line="360" w:lineRule="auto"/>
        <w:ind w:left="720" w:firstLine="556"/>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 xml:space="preserve">The results of the outer loading test aim to evaluate the validity of the indicators through the outer loading values of each questionnaire item. According to the literature by Hair et al. (2010), an indicator is considered valid if it has an outer loading value greater than 0.70. If the outer loading value falls within the range of 0.40–0.70, the indicator may be considered for removal if its removal improves the AVE and composite reliability. However, if the outer loading value falls within the range (0.60–0.70), the indicator may still be retained if its contribution is significant to the Average Variance Extracted (AVE) and the overall construct reliability. </w:t>
      </w:r>
    </w:p>
    <w:p w14:paraId="17E23DC0">
      <w:pPr>
        <w:spacing w:line="360" w:lineRule="auto"/>
        <w:ind w:left="720" w:firstLine="556"/>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Based on these results, the researchers decided to remove two indicators, namely VM1 and VM2, as their outer loadings were well below 0.70 and could undermine the overall construct validity of visual merchandising. Meanwhile, indicators VM4 and VM7 were retained even though their values were close to 0.70, as both remained within the tolerance range (0.60–0.70) and did not reduce the AVE value below 0.50. This decision was also supported by the consideration that the content of the indicators remained relevant to the visual merchandising construct. All outer loading values are above 0.70 or close to 0.70, so it can be concluded that these indicators are valid for use in further testing.</w:t>
      </w:r>
    </w:p>
    <w:p w14:paraId="3D6E5E96">
      <w:pPr>
        <w:spacing w:line="360" w:lineRule="auto"/>
        <w:contextualSpacing/>
        <w:jc w:val="both"/>
        <w:rPr>
          <w:rFonts w:ascii="Times New Roman" w:hAnsi="Times New Roman" w:eastAsia="Calibri" w:cs="Times New Roman"/>
          <w:bCs/>
          <w:sz w:val="24"/>
          <w:szCs w:val="24"/>
          <w:lang w:val="id-ID"/>
        </w:rPr>
      </w:pPr>
    </w:p>
    <w:p w14:paraId="5363C2B7">
      <w:pPr>
        <w:numPr>
          <w:ilvl w:val="0"/>
          <w:numId w:val="7"/>
        </w:numPr>
        <w:spacing w:line="360" w:lineRule="auto"/>
        <w:ind w:left="284" w:firstLine="0"/>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Construct Validity and Reliability</w:t>
      </w:r>
    </w:p>
    <w:p w14:paraId="151DE290">
      <w:pPr>
        <w:spacing w:after="0" w:line="360" w:lineRule="auto"/>
        <w:ind w:left="720" w:firstLine="556"/>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Following the outer loading analysis for each indicator, the next step is to test the construct validity and reliability. The construct validity test aims to ensure that the indicators used can indeed measure the intended construct or latent variable. Meanwhile, the construct reliability test is conducted to determine the extent to which the research instrument yields consistent and stable results when measured repeatedly. In this study, construct validity was tested using the Average Variance Extracted (AVE) value, whilst construct reliability was tested using the Composite Reliability (CR) and Cronbach’s Alpha values. An AVE value is considered to meet the criteria for convergent validity if it is greater than 0.50, whilst the Composite Reliability (CR) and Cronbach’s Alpha values are considered reliable if they are above 0.70 (Hair et al., 2010). The results of the construct validity and reliability tests for each research variable are presented in Table 4.6 as follows:</w:t>
      </w:r>
    </w:p>
    <w:p w14:paraId="7F8E229B">
      <w:pPr>
        <w:spacing w:after="0" w:line="360" w:lineRule="auto"/>
        <w:ind w:left="720" w:firstLine="556"/>
        <w:contextualSpacing/>
        <w:jc w:val="both"/>
        <w:rPr>
          <w:rFonts w:ascii="Times New Roman" w:hAnsi="Times New Roman" w:eastAsia="Calibri" w:cs="Times New Roman"/>
          <w:bCs/>
          <w:sz w:val="24"/>
          <w:szCs w:val="24"/>
          <w:lang w:val="id-ID"/>
        </w:rPr>
      </w:pPr>
    </w:p>
    <w:p w14:paraId="4FF103DE">
      <w:pPr>
        <w:spacing w:after="0" w:line="240" w:lineRule="auto"/>
        <w:contextualSpacing/>
        <w:rPr>
          <w:rFonts w:ascii="Times New Roman" w:hAnsi="Times New Roman" w:eastAsia="Calibri" w:cs="Times New Roman"/>
          <w:b/>
          <w:bCs/>
          <w:sz w:val="20"/>
          <w:szCs w:val="20"/>
          <w:lang w:val="id-ID"/>
        </w:rPr>
      </w:pPr>
      <w:r>
        <w:rPr>
          <w:rFonts w:ascii="Times New Roman" w:hAnsi="Times New Roman" w:eastAsia="Calibri" w:cs="Times New Roman"/>
          <w:b/>
          <w:bCs/>
          <w:sz w:val="20"/>
          <w:szCs w:val="20"/>
          <w:lang w:val="id-ID"/>
        </w:rPr>
        <w:t xml:space="preserve"> Tabel 4.6 Construct Validity and Reliability</w:t>
      </w:r>
    </w:p>
    <w:p w14:paraId="0AD6A5EE">
      <w:pPr>
        <w:spacing w:after="0" w:line="240" w:lineRule="auto"/>
        <w:ind w:left="567" w:firstLine="709"/>
        <w:contextualSpacing/>
        <w:rPr>
          <w:rFonts w:ascii="Times New Roman" w:hAnsi="Times New Roman" w:eastAsia="Calibri" w:cs="Times New Roman"/>
          <w:bCs/>
          <w:sz w:val="20"/>
          <w:szCs w:val="20"/>
          <w:lang w:val="id-ID"/>
        </w:rPr>
      </w:pP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126"/>
        <w:gridCol w:w="1448"/>
        <w:gridCol w:w="1847"/>
        <w:gridCol w:w="1808"/>
      </w:tblGrid>
      <w:tr w14:paraId="50AF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84" w:type="dxa"/>
            <w:noWrap/>
          </w:tcPr>
          <w:p w14:paraId="6C2E345C">
            <w:pPr>
              <w:spacing w:after="0" w:line="240" w:lineRule="auto"/>
              <w:contextualSpacing/>
              <w:jc w:val="center"/>
              <w:rPr>
                <w:rFonts w:ascii="Times New Roman" w:hAnsi="Times New Roman" w:eastAsia="Calibri" w:cs="Times New Roman"/>
                <w:sz w:val="20"/>
                <w:szCs w:val="20"/>
                <w:lang w:val="id-ID"/>
              </w:rPr>
            </w:pPr>
            <w:r>
              <w:rPr>
                <w:rFonts w:ascii="Times New Roman" w:hAnsi="Times New Roman" w:eastAsia="Calibri" w:cs="Times New Roman"/>
                <w:sz w:val="20"/>
                <w:szCs w:val="20"/>
                <w:lang w:val="id-ID"/>
              </w:rPr>
              <w:t>Indicator</w:t>
            </w:r>
          </w:p>
        </w:tc>
        <w:tc>
          <w:tcPr>
            <w:tcW w:w="2126" w:type="dxa"/>
            <w:noWrap/>
          </w:tcPr>
          <w:p w14:paraId="439BB006">
            <w:pPr>
              <w:spacing w:after="0" w:line="240" w:lineRule="auto"/>
              <w:ind w:left="39" w:hanging="39"/>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Cronbach's Alpha</w:t>
            </w:r>
          </w:p>
        </w:tc>
        <w:tc>
          <w:tcPr>
            <w:tcW w:w="1448" w:type="dxa"/>
            <w:noWrap/>
          </w:tcPr>
          <w:p w14:paraId="46BCA0BC">
            <w:pPr>
              <w:spacing w:after="0" w:line="240" w:lineRule="auto"/>
              <w:ind w:left="35" w:hanging="35"/>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rho_A</w:t>
            </w:r>
          </w:p>
        </w:tc>
        <w:tc>
          <w:tcPr>
            <w:tcW w:w="1847" w:type="dxa"/>
            <w:noWrap/>
          </w:tcPr>
          <w:p w14:paraId="4D6F1BDF">
            <w:pPr>
              <w:spacing w:after="0" w:line="240" w:lineRule="auto"/>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Composite Reliability</w:t>
            </w:r>
          </w:p>
        </w:tc>
        <w:tc>
          <w:tcPr>
            <w:tcW w:w="1808" w:type="dxa"/>
            <w:noWrap/>
          </w:tcPr>
          <w:p w14:paraId="3A8D101B">
            <w:pPr>
              <w:spacing w:after="0" w:line="240" w:lineRule="auto"/>
              <w:ind w:left="145"/>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Average Variance Extracted (AVE)</w:t>
            </w:r>
          </w:p>
        </w:tc>
      </w:tr>
      <w:tr w14:paraId="652B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84" w:type="dxa"/>
            <w:noWrap/>
          </w:tcPr>
          <w:p w14:paraId="7E266680">
            <w:pPr>
              <w:spacing w:after="0" w:line="240" w:lineRule="auto"/>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M</w:t>
            </w:r>
          </w:p>
        </w:tc>
        <w:tc>
          <w:tcPr>
            <w:tcW w:w="2126" w:type="dxa"/>
            <w:noWrap/>
          </w:tcPr>
          <w:p w14:paraId="223744B9">
            <w:pPr>
              <w:spacing w:after="0" w:line="240" w:lineRule="auto"/>
              <w:ind w:left="39"/>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0,890</w:t>
            </w:r>
          </w:p>
        </w:tc>
        <w:tc>
          <w:tcPr>
            <w:tcW w:w="1448" w:type="dxa"/>
            <w:noWrap/>
          </w:tcPr>
          <w:p w14:paraId="3D542960">
            <w:pPr>
              <w:spacing w:after="0" w:line="240" w:lineRule="auto"/>
              <w:ind w:left="35"/>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0,896</w:t>
            </w:r>
          </w:p>
        </w:tc>
        <w:tc>
          <w:tcPr>
            <w:tcW w:w="1847" w:type="dxa"/>
            <w:noWrap/>
          </w:tcPr>
          <w:p w14:paraId="60C41C3E">
            <w:pPr>
              <w:spacing w:after="0" w:line="240" w:lineRule="auto"/>
              <w:ind w:left="1"/>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0,916</w:t>
            </w:r>
          </w:p>
        </w:tc>
        <w:tc>
          <w:tcPr>
            <w:tcW w:w="1808" w:type="dxa"/>
            <w:noWrap/>
          </w:tcPr>
          <w:p w14:paraId="5E7C6497">
            <w:pPr>
              <w:spacing w:after="0" w:line="240" w:lineRule="auto"/>
              <w:ind w:left="3"/>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0,647</w:t>
            </w:r>
          </w:p>
        </w:tc>
      </w:tr>
      <w:tr w14:paraId="34F7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84" w:type="dxa"/>
            <w:noWrap/>
          </w:tcPr>
          <w:p w14:paraId="616AFD5F">
            <w:pPr>
              <w:spacing w:after="0" w:line="240" w:lineRule="auto"/>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X</w:t>
            </w:r>
          </w:p>
        </w:tc>
        <w:tc>
          <w:tcPr>
            <w:tcW w:w="2126" w:type="dxa"/>
            <w:noWrap/>
          </w:tcPr>
          <w:p w14:paraId="60870C29">
            <w:pPr>
              <w:spacing w:after="0" w:line="240" w:lineRule="auto"/>
              <w:ind w:left="39" w:hanging="39"/>
              <w:contextualSpacing/>
              <w:jc w:val="center"/>
              <w:rPr>
                <w:rFonts w:ascii="Times New Roman" w:hAnsi="Times New Roman" w:eastAsia="Calibri" w:cs="Times New Roman"/>
                <w:sz w:val="20"/>
                <w:szCs w:val="20"/>
                <w:lang w:val="id-ID"/>
              </w:rPr>
            </w:pPr>
            <w:r>
              <w:rPr>
                <w:rFonts w:ascii="Times New Roman" w:hAnsi="Times New Roman" w:eastAsia="Calibri" w:cs="Times New Roman"/>
                <w:sz w:val="20"/>
                <w:szCs w:val="20"/>
              </w:rPr>
              <w:t>0,88</w:t>
            </w:r>
            <w:r>
              <w:rPr>
                <w:rFonts w:ascii="Times New Roman" w:hAnsi="Times New Roman" w:eastAsia="Calibri" w:cs="Times New Roman"/>
                <w:sz w:val="20"/>
                <w:szCs w:val="20"/>
                <w:lang w:val="id-ID"/>
              </w:rPr>
              <w:t>6</w:t>
            </w:r>
          </w:p>
        </w:tc>
        <w:tc>
          <w:tcPr>
            <w:tcW w:w="1448" w:type="dxa"/>
            <w:noWrap/>
          </w:tcPr>
          <w:p w14:paraId="37EA7B41">
            <w:pPr>
              <w:spacing w:after="0" w:line="240" w:lineRule="auto"/>
              <w:ind w:left="35"/>
              <w:contextualSpacing/>
              <w:jc w:val="center"/>
              <w:rPr>
                <w:rFonts w:ascii="Times New Roman" w:hAnsi="Times New Roman" w:eastAsia="Calibri" w:cs="Times New Roman"/>
                <w:sz w:val="20"/>
                <w:szCs w:val="20"/>
                <w:lang w:val="id-ID"/>
              </w:rPr>
            </w:pPr>
            <w:r>
              <w:rPr>
                <w:rFonts w:ascii="Times New Roman" w:hAnsi="Times New Roman" w:eastAsia="Calibri" w:cs="Times New Roman"/>
                <w:sz w:val="20"/>
                <w:szCs w:val="20"/>
              </w:rPr>
              <w:t>0,8</w:t>
            </w:r>
            <w:r>
              <w:rPr>
                <w:rFonts w:ascii="Times New Roman" w:hAnsi="Times New Roman" w:eastAsia="Calibri" w:cs="Times New Roman"/>
                <w:sz w:val="20"/>
                <w:szCs w:val="20"/>
                <w:lang w:val="id-ID"/>
              </w:rPr>
              <w:t>88</w:t>
            </w:r>
          </w:p>
        </w:tc>
        <w:tc>
          <w:tcPr>
            <w:tcW w:w="1847" w:type="dxa"/>
            <w:noWrap/>
          </w:tcPr>
          <w:p w14:paraId="398737D8">
            <w:pPr>
              <w:spacing w:after="0" w:line="240" w:lineRule="auto"/>
              <w:ind w:left="1"/>
              <w:contextualSpacing/>
              <w:jc w:val="center"/>
              <w:rPr>
                <w:rFonts w:ascii="Times New Roman" w:hAnsi="Times New Roman" w:eastAsia="Calibri" w:cs="Times New Roman"/>
                <w:sz w:val="20"/>
                <w:szCs w:val="20"/>
                <w:lang w:val="id-ID"/>
              </w:rPr>
            </w:pPr>
            <w:r>
              <w:rPr>
                <w:rFonts w:ascii="Times New Roman" w:hAnsi="Times New Roman" w:eastAsia="Calibri" w:cs="Times New Roman"/>
                <w:sz w:val="20"/>
                <w:szCs w:val="20"/>
              </w:rPr>
              <w:t>0,9</w:t>
            </w:r>
            <w:r>
              <w:rPr>
                <w:rFonts w:ascii="Times New Roman" w:hAnsi="Times New Roman" w:eastAsia="Calibri" w:cs="Times New Roman"/>
                <w:sz w:val="20"/>
                <w:szCs w:val="20"/>
                <w:lang w:val="id-ID"/>
              </w:rPr>
              <w:t>10</w:t>
            </w:r>
          </w:p>
        </w:tc>
        <w:tc>
          <w:tcPr>
            <w:tcW w:w="1808" w:type="dxa"/>
            <w:noWrap/>
          </w:tcPr>
          <w:p w14:paraId="13761B09">
            <w:pPr>
              <w:spacing w:after="0" w:line="240" w:lineRule="auto"/>
              <w:ind w:left="3"/>
              <w:contextualSpacing/>
              <w:jc w:val="center"/>
              <w:rPr>
                <w:rFonts w:ascii="Times New Roman" w:hAnsi="Times New Roman" w:eastAsia="Calibri" w:cs="Times New Roman"/>
                <w:sz w:val="20"/>
                <w:szCs w:val="20"/>
                <w:lang w:val="id-ID"/>
              </w:rPr>
            </w:pPr>
            <w:r>
              <w:rPr>
                <w:rFonts w:ascii="Times New Roman" w:hAnsi="Times New Roman" w:eastAsia="Calibri" w:cs="Times New Roman"/>
                <w:sz w:val="20"/>
                <w:szCs w:val="20"/>
              </w:rPr>
              <w:t>0,5</w:t>
            </w:r>
            <w:r>
              <w:rPr>
                <w:rFonts w:ascii="Times New Roman" w:hAnsi="Times New Roman" w:eastAsia="Calibri" w:cs="Times New Roman"/>
                <w:sz w:val="20"/>
                <w:szCs w:val="20"/>
                <w:lang w:val="id-ID"/>
              </w:rPr>
              <w:t>58</w:t>
            </w:r>
          </w:p>
        </w:tc>
      </w:tr>
      <w:tr w14:paraId="3B20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84" w:type="dxa"/>
            <w:noWrap/>
          </w:tcPr>
          <w:p w14:paraId="23572454">
            <w:pPr>
              <w:spacing w:after="0" w:line="240" w:lineRule="auto"/>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Y</w:t>
            </w:r>
          </w:p>
        </w:tc>
        <w:tc>
          <w:tcPr>
            <w:tcW w:w="2126" w:type="dxa"/>
            <w:noWrap/>
          </w:tcPr>
          <w:p w14:paraId="61197272">
            <w:pPr>
              <w:spacing w:after="0" w:line="240" w:lineRule="auto"/>
              <w:ind w:left="39"/>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0,848</w:t>
            </w:r>
          </w:p>
        </w:tc>
        <w:tc>
          <w:tcPr>
            <w:tcW w:w="1448" w:type="dxa"/>
            <w:noWrap/>
          </w:tcPr>
          <w:p w14:paraId="284867A4">
            <w:pPr>
              <w:spacing w:after="0" w:line="240" w:lineRule="auto"/>
              <w:ind w:left="35"/>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0,851</w:t>
            </w:r>
          </w:p>
        </w:tc>
        <w:tc>
          <w:tcPr>
            <w:tcW w:w="1847" w:type="dxa"/>
            <w:noWrap/>
          </w:tcPr>
          <w:p w14:paraId="7CBCCB74">
            <w:pPr>
              <w:spacing w:after="0" w:line="240" w:lineRule="auto"/>
              <w:ind w:left="1"/>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0,898</w:t>
            </w:r>
          </w:p>
        </w:tc>
        <w:tc>
          <w:tcPr>
            <w:tcW w:w="1808" w:type="dxa"/>
            <w:noWrap/>
          </w:tcPr>
          <w:p w14:paraId="71D608EA">
            <w:pPr>
              <w:spacing w:after="0" w:line="240" w:lineRule="auto"/>
              <w:ind w:left="3"/>
              <w:contextualSpacing/>
              <w:jc w:val="center"/>
              <w:rPr>
                <w:rFonts w:ascii="Times New Roman" w:hAnsi="Times New Roman" w:eastAsia="Calibri" w:cs="Times New Roman"/>
                <w:sz w:val="20"/>
                <w:szCs w:val="20"/>
              </w:rPr>
            </w:pPr>
            <w:r>
              <w:rPr>
                <w:rFonts w:ascii="Times New Roman" w:hAnsi="Times New Roman" w:eastAsia="Calibri" w:cs="Times New Roman"/>
                <w:sz w:val="20"/>
                <w:szCs w:val="20"/>
              </w:rPr>
              <w:t>0,688</w:t>
            </w:r>
          </w:p>
        </w:tc>
      </w:tr>
    </w:tbl>
    <w:p w14:paraId="7892BA8E">
      <w:pPr>
        <w:spacing w:after="0" w:line="360" w:lineRule="auto"/>
        <w:rPr>
          <w:rFonts w:ascii="Times New Roman" w:hAnsi="Times New Roman" w:eastAsia="Calibri" w:cs="Times New Roman"/>
          <w:bCs/>
          <w:i/>
          <w:iCs/>
          <w:sz w:val="20"/>
          <w:szCs w:val="20"/>
          <w:lang w:val="id-ID"/>
        </w:rPr>
      </w:pPr>
      <w:r>
        <w:rPr>
          <w:rFonts w:ascii="Times New Roman" w:hAnsi="Times New Roman" w:eastAsia="Calibri" w:cs="Times New Roman"/>
          <w:bCs/>
          <w:i/>
          <w:iCs/>
          <w:sz w:val="20"/>
          <w:szCs w:val="20"/>
          <w:lang w:val="id-ID"/>
        </w:rPr>
        <w:t>(Source : Data Diolah, 2025)</w:t>
      </w:r>
    </w:p>
    <w:p w14:paraId="6B9603CF">
      <w:pPr>
        <w:spacing w:after="0" w:line="360" w:lineRule="auto"/>
        <w:rPr>
          <w:rFonts w:ascii="Times New Roman" w:hAnsi="Times New Roman" w:eastAsia="Calibri" w:cs="Times New Roman"/>
          <w:bCs/>
          <w:i/>
          <w:iCs/>
          <w:sz w:val="20"/>
          <w:szCs w:val="20"/>
          <w:lang w:val="id-ID"/>
        </w:rPr>
      </w:pPr>
    </w:p>
    <w:p w14:paraId="52C94D78">
      <w:pPr>
        <w:pStyle w:val="13"/>
        <w:numPr>
          <w:ilvl w:val="0"/>
          <w:numId w:val="7"/>
        </w:numPr>
        <w:spacing w:line="360" w:lineRule="auto"/>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Based on Table 4.6 above, it can be seen that the Cronbach’s Alpha values for all constructs (M, X, and Y) range from 0.848 to 0.890, thus meeting the reliability criteria as the values are greater than 0.70. This indicates that the research instrument possesses good internal consistency.  The Composite Reliability (CR) values are also above 0.70, ranging from 0.898 to 0.916. This means that the constructs used in this study possess good composite reliability, meaning the indicators comprising the constructs can be consistently relied upon to measure the latent variables in question. Meanwhile, the Average Variance Extracted (AVE) values for each construct also met the criteria for convergent validity as they were greater than 0.50. The AVE values were 0.647 for construct M, 0.558 for construct X, and 0.688 for construct Y. This means that the average variance successfully extracted by the indicators for their respective constructs is sufficiently large, so that the constructs can be said to possess adequate convergent validity. Consequently, it can be concluded that all constructs in this study have met the requirements for convergent validity and reliability, and can therefore be used for testing the structural model (inner model) in the subsequent stage.</w:t>
      </w:r>
    </w:p>
    <w:p w14:paraId="5A99678B">
      <w:pPr>
        <w:pStyle w:val="13"/>
        <w:numPr>
          <w:ilvl w:val="0"/>
          <w:numId w:val="7"/>
        </w:numPr>
        <w:spacing w:line="360" w:lineRule="auto"/>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Discriminant Validity</w:t>
      </w:r>
    </w:p>
    <w:p w14:paraId="5D3E80E4">
      <w:pPr>
        <w:spacing w:line="360" w:lineRule="auto"/>
        <w:ind w:left="567" w:firstLine="709"/>
        <w:contextualSpacing/>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 xml:space="preserve">The results of the discriminant validity test for this research model are presented in Table </w:t>
      </w:r>
      <w:r>
        <w:rPr>
          <w:rFonts w:hint="default" w:ascii="Times New Roman" w:hAnsi="Times New Roman" w:eastAsia="Calibri" w:cs="Times New Roman"/>
          <w:bCs/>
          <w:sz w:val="24"/>
          <w:szCs w:val="24"/>
          <w:lang w:val="id-ID"/>
        </w:rPr>
        <w:t>3,</w:t>
      </w:r>
      <w:r>
        <w:rPr>
          <w:rFonts w:ascii="Times New Roman" w:hAnsi="Times New Roman" w:eastAsia="Calibri" w:cs="Times New Roman"/>
          <w:bCs/>
          <w:sz w:val="24"/>
          <w:szCs w:val="24"/>
          <w:lang w:val="id-ID"/>
        </w:rPr>
        <w:t>7 below, based on the Fornell–Larcker criteria, as follows:</w:t>
      </w:r>
      <w:r>
        <w:rPr>
          <w:rFonts w:ascii="Times New Roman" w:hAnsi="Times New Roman" w:eastAsia="Calibri" w:cs="Times New Roman"/>
          <w:bCs/>
          <w:sz w:val="24"/>
          <w:szCs w:val="24"/>
          <w:lang w:val="id-ID"/>
        </w:rPr>
        <w:cr/>
      </w:r>
    </w:p>
    <w:p w14:paraId="37D80065">
      <w:pPr>
        <w:spacing w:line="360" w:lineRule="auto"/>
        <w:ind w:left="567" w:firstLine="709"/>
        <w:contextualSpacing/>
        <w:rPr>
          <w:rFonts w:ascii="Times New Roman" w:hAnsi="Times New Roman" w:eastAsia="Calibri" w:cs="Times New Roman"/>
          <w:b/>
          <w:sz w:val="20"/>
          <w:szCs w:val="20"/>
          <w:lang w:val="id-ID"/>
        </w:rPr>
      </w:pPr>
      <w:r>
        <w:rPr>
          <w:rFonts w:ascii="Times New Roman" w:hAnsi="Times New Roman" w:eastAsia="Calibri" w:cs="Times New Roman"/>
          <w:b/>
          <w:sz w:val="24"/>
          <w:szCs w:val="24"/>
          <w:lang w:val="id-ID"/>
        </w:rPr>
        <w:t xml:space="preserve">                             </w:t>
      </w:r>
      <w:r>
        <w:rPr>
          <w:rFonts w:ascii="Times New Roman" w:hAnsi="Times New Roman" w:eastAsia="Calibri" w:cs="Times New Roman"/>
          <w:b/>
          <w:sz w:val="20"/>
          <w:szCs w:val="20"/>
          <w:lang w:val="id-ID"/>
        </w:rPr>
        <w:t>Tabel 4.7 Fornell Larcker</w:t>
      </w:r>
    </w:p>
    <w:tbl>
      <w:tblPr>
        <w:tblStyle w:val="12"/>
        <w:tblW w:w="0" w:type="auto"/>
        <w:tblInd w:w="1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418"/>
        <w:gridCol w:w="1276"/>
        <w:gridCol w:w="1275"/>
      </w:tblGrid>
      <w:tr w14:paraId="007E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2" w:type="dxa"/>
            <w:noWrap/>
          </w:tcPr>
          <w:p w14:paraId="7493E599">
            <w:pPr>
              <w:spacing w:after="0" w:line="240" w:lineRule="auto"/>
              <w:ind w:left="28"/>
              <w:contextualSpacing/>
              <w:jc w:val="center"/>
              <w:rPr>
                <w:rFonts w:ascii="Times New Roman" w:hAnsi="Times New Roman" w:eastAsia="Calibri" w:cs="Times New Roman"/>
                <w:b/>
                <w:bCs/>
                <w:sz w:val="20"/>
                <w:szCs w:val="20"/>
              </w:rPr>
            </w:pPr>
          </w:p>
        </w:tc>
        <w:tc>
          <w:tcPr>
            <w:tcW w:w="1418" w:type="dxa"/>
            <w:noWrap/>
          </w:tcPr>
          <w:p w14:paraId="68DC26A6">
            <w:pPr>
              <w:spacing w:after="0" w:line="240" w:lineRule="auto"/>
              <w:ind w:left="14"/>
              <w:contextualSpacing/>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M</w:t>
            </w:r>
          </w:p>
        </w:tc>
        <w:tc>
          <w:tcPr>
            <w:tcW w:w="1276" w:type="dxa"/>
            <w:noWrap/>
          </w:tcPr>
          <w:p w14:paraId="60C3A91C">
            <w:pPr>
              <w:spacing w:after="0" w:line="240" w:lineRule="auto"/>
              <w:contextualSpacing/>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X</w:t>
            </w:r>
          </w:p>
        </w:tc>
        <w:tc>
          <w:tcPr>
            <w:tcW w:w="1275" w:type="dxa"/>
            <w:noWrap/>
          </w:tcPr>
          <w:p w14:paraId="4D3B8C36">
            <w:pPr>
              <w:spacing w:after="0" w:line="240" w:lineRule="auto"/>
              <w:ind w:firstLine="20"/>
              <w:contextualSpacing/>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Y</w:t>
            </w:r>
          </w:p>
        </w:tc>
      </w:tr>
      <w:tr w14:paraId="42A6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2" w:type="dxa"/>
            <w:noWrap/>
          </w:tcPr>
          <w:p w14:paraId="1A04A58B">
            <w:pPr>
              <w:spacing w:after="0" w:line="240" w:lineRule="auto"/>
              <w:ind w:left="28"/>
              <w:contextualSpacing/>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M</w:t>
            </w:r>
          </w:p>
        </w:tc>
        <w:tc>
          <w:tcPr>
            <w:tcW w:w="1418" w:type="dxa"/>
            <w:noWrap/>
          </w:tcPr>
          <w:p w14:paraId="3F4F8244">
            <w:pPr>
              <w:spacing w:after="0" w:line="240" w:lineRule="auto"/>
              <w:ind w:left="14"/>
              <w:contextualSpacing/>
              <w:jc w:val="center"/>
              <w:rPr>
                <w:rFonts w:ascii="Times New Roman" w:hAnsi="Times New Roman" w:eastAsia="Calibri" w:cs="Times New Roman"/>
                <w:bCs/>
                <w:sz w:val="20"/>
                <w:szCs w:val="20"/>
              </w:rPr>
            </w:pPr>
            <w:r>
              <w:rPr>
                <w:rFonts w:ascii="Times New Roman" w:hAnsi="Times New Roman" w:eastAsia="Calibri" w:cs="Times New Roman"/>
                <w:bCs/>
                <w:sz w:val="20"/>
                <w:szCs w:val="20"/>
              </w:rPr>
              <w:t>0,805</w:t>
            </w:r>
          </w:p>
        </w:tc>
        <w:tc>
          <w:tcPr>
            <w:tcW w:w="1276" w:type="dxa"/>
            <w:noWrap/>
          </w:tcPr>
          <w:p w14:paraId="68453598">
            <w:pPr>
              <w:spacing w:after="0" w:line="240" w:lineRule="auto"/>
              <w:ind w:left="6"/>
              <w:contextualSpacing/>
              <w:jc w:val="center"/>
              <w:rPr>
                <w:rFonts w:ascii="Times New Roman" w:hAnsi="Times New Roman" w:eastAsia="Calibri" w:cs="Times New Roman"/>
                <w:bCs/>
                <w:sz w:val="20"/>
                <w:szCs w:val="20"/>
              </w:rPr>
            </w:pPr>
          </w:p>
        </w:tc>
        <w:tc>
          <w:tcPr>
            <w:tcW w:w="1275" w:type="dxa"/>
            <w:noWrap/>
          </w:tcPr>
          <w:p w14:paraId="4225E3EE">
            <w:pPr>
              <w:spacing w:after="0" w:line="240" w:lineRule="auto"/>
              <w:ind w:left="303"/>
              <w:contextualSpacing/>
              <w:jc w:val="center"/>
              <w:rPr>
                <w:rFonts w:ascii="Times New Roman" w:hAnsi="Times New Roman" w:eastAsia="Calibri" w:cs="Times New Roman"/>
                <w:bCs/>
                <w:sz w:val="20"/>
                <w:szCs w:val="20"/>
              </w:rPr>
            </w:pPr>
          </w:p>
        </w:tc>
      </w:tr>
      <w:tr w14:paraId="424A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2" w:type="dxa"/>
            <w:noWrap/>
          </w:tcPr>
          <w:p w14:paraId="768974EA">
            <w:pPr>
              <w:spacing w:after="0" w:line="240" w:lineRule="auto"/>
              <w:ind w:left="28"/>
              <w:contextualSpacing/>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X</w:t>
            </w:r>
          </w:p>
        </w:tc>
        <w:tc>
          <w:tcPr>
            <w:tcW w:w="1418" w:type="dxa"/>
            <w:noWrap/>
          </w:tcPr>
          <w:p w14:paraId="125732F7">
            <w:pPr>
              <w:spacing w:after="0" w:line="240" w:lineRule="auto"/>
              <w:ind w:left="14"/>
              <w:contextualSpacing/>
              <w:jc w:val="center"/>
              <w:rPr>
                <w:rFonts w:ascii="Times New Roman" w:hAnsi="Times New Roman" w:eastAsia="Calibri" w:cs="Times New Roman"/>
                <w:bCs/>
                <w:sz w:val="20"/>
                <w:szCs w:val="20"/>
                <w:lang w:val="id-ID"/>
              </w:rPr>
            </w:pPr>
            <w:r>
              <w:rPr>
                <w:rFonts w:ascii="Times New Roman" w:hAnsi="Times New Roman" w:eastAsia="Calibri" w:cs="Times New Roman"/>
                <w:bCs/>
                <w:sz w:val="20"/>
                <w:szCs w:val="20"/>
              </w:rPr>
              <w:t>0,8</w:t>
            </w:r>
            <w:r>
              <w:rPr>
                <w:rFonts w:ascii="Times New Roman" w:hAnsi="Times New Roman" w:eastAsia="Calibri" w:cs="Times New Roman"/>
                <w:bCs/>
                <w:sz w:val="20"/>
                <w:szCs w:val="20"/>
                <w:lang w:val="id-ID"/>
              </w:rPr>
              <w:t>55</w:t>
            </w:r>
          </w:p>
        </w:tc>
        <w:tc>
          <w:tcPr>
            <w:tcW w:w="1276" w:type="dxa"/>
            <w:noWrap/>
          </w:tcPr>
          <w:p w14:paraId="364AEE3F">
            <w:pPr>
              <w:spacing w:after="0" w:line="240" w:lineRule="auto"/>
              <w:ind w:left="6"/>
              <w:contextualSpacing/>
              <w:jc w:val="center"/>
              <w:rPr>
                <w:rFonts w:ascii="Times New Roman" w:hAnsi="Times New Roman" w:eastAsia="Calibri" w:cs="Times New Roman"/>
                <w:bCs/>
                <w:sz w:val="20"/>
                <w:szCs w:val="20"/>
                <w:lang w:val="id-ID"/>
              </w:rPr>
            </w:pPr>
            <w:r>
              <w:rPr>
                <w:rFonts w:ascii="Times New Roman" w:hAnsi="Times New Roman" w:eastAsia="Calibri" w:cs="Times New Roman"/>
                <w:bCs/>
                <w:sz w:val="20"/>
                <w:szCs w:val="20"/>
              </w:rPr>
              <w:t>0,7</w:t>
            </w:r>
            <w:r>
              <w:rPr>
                <w:rFonts w:ascii="Times New Roman" w:hAnsi="Times New Roman" w:eastAsia="Calibri" w:cs="Times New Roman"/>
                <w:bCs/>
                <w:sz w:val="20"/>
                <w:szCs w:val="20"/>
                <w:lang w:val="id-ID"/>
              </w:rPr>
              <w:t>47</w:t>
            </w:r>
          </w:p>
        </w:tc>
        <w:tc>
          <w:tcPr>
            <w:tcW w:w="1275" w:type="dxa"/>
            <w:noWrap/>
          </w:tcPr>
          <w:p w14:paraId="73A2A96C">
            <w:pPr>
              <w:spacing w:after="0" w:line="240" w:lineRule="auto"/>
              <w:ind w:left="303"/>
              <w:contextualSpacing/>
              <w:jc w:val="center"/>
              <w:rPr>
                <w:rFonts w:ascii="Times New Roman" w:hAnsi="Times New Roman" w:eastAsia="Calibri" w:cs="Times New Roman"/>
                <w:bCs/>
                <w:sz w:val="20"/>
                <w:szCs w:val="20"/>
              </w:rPr>
            </w:pPr>
          </w:p>
        </w:tc>
      </w:tr>
      <w:tr w14:paraId="0C5C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2" w:type="dxa"/>
            <w:noWrap/>
          </w:tcPr>
          <w:p w14:paraId="3E228CFE">
            <w:pPr>
              <w:spacing w:after="0" w:line="240" w:lineRule="auto"/>
              <w:ind w:left="28"/>
              <w:contextualSpacing/>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Y</w:t>
            </w:r>
          </w:p>
        </w:tc>
        <w:tc>
          <w:tcPr>
            <w:tcW w:w="1418" w:type="dxa"/>
            <w:noWrap/>
          </w:tcPr>
          <w:p w14:paraId="4E87C00B">
            <w:pPr>
              <w:spacing w:after="0" w:line="240" w:lineRule="auto"/>
              <w:ind w:left="14"/>
              <w:contextualSpacing/>
              <w:jc w:val="center"/>
              <w:rPr>
                <w:rFonts w:ascii="Times New Roman" w:hAnsi="Times New Roman" w:eastAsia="Calibri" w:cs="Times New Roman"/>
                <w:bCs/>
                <w:sz w:val="20"/>
                <w:szCs w:val="20"/>
              </w:rPr>
            </w:pPr>
            <w:r>
              <w:rPr>
                <w:rFonts w:ascii="Times New Roman" w:hAnsi="Times New Roman" w:eastAsia="Calibri" w:cs="Times New Roman"/>
                <w:bCs/>
                <w:sz w:val="20"/>
                <w:szCs w:val="20"/>
              </w:rPr>
              <w:t>0,472</w:t>
            </w:r>
          </w:p>
        </w:tc>
        <w:tc>
          <w:tcPr>
            <w:tcW w:w="1276" w:type="dxa"/>
            <w:noWrap/>
          </w:tcPr>
          <w:p w14:paraId="48DF42AF">
            <w:pPr>
              <w:spacing w:after="0" w:line="240" w:lineRule="auto"/>
              <w:ind w:left="6"/>
              <w:contextualSpacing/>
              <w:jc w:val="center"/>
              <w:rPr>
                <w:rFonts w:ascii="Times New Roman" w:hAnsi="Times New Roman" w:eastAsia="Calibri" w:cs="Times New Roman"/>
                <w:bCs/>
                <w:sz w:val="20"/>
                <w:szCs w:val="20"/>
                <w:lang w:val="id-ID"/>
              </w:rPr>
            </w:pPr>
            <w:r>
              <w:rPr>
                <w:rFonts w:ascii="Times New Roman" w:hAnsi="Times New Roman" w:eastAsia="Calibri" w:cs="Times New Roman"/>
                <w:bCs/>
                <w:sz w:val="20"/>
                <w:szCs w:val="20"/>
              </w:rPr>
              <w:t>0,42</w:t>
            </w:r>
            <w:r>
              <w:rPr>
                <w:rFonts w:ascii="Times New Roman" w:hAnsi="Times New Roman" w:eastAsia="Calibri" w:cs="Times New Roman"/>
                <w:bCs/>
                <w:sz w:val="20"/>
                <w:szCs w:val="20"/>
                <w:lang w:val="id-ID"/>
              </w:rPr>
              <w:t>0</w:t>
            </w:r>
          </w:p>
        </w:tc>
        <w:tc>
          <w:tcPr>
            <w:tcW w:w="1275" w:type="dxa"/>
            <w:noWrap/>
          </w:tcPr>
          <w:p w14:paraId="380E0180">
            <w:pPr>
              <w:spacing w:after="0" w:line="240" w:lineRule="auto"/>
              <w:ind w:left="303"/>
              <w:contextualSpacing/>
              <w:jc w:val="center"/>
              <w:rPr>
                <w:rFonts w:ascii="Times New Roman" w:hAnsi="Times New Roman" w:eastAsia="Calibri" w:cs="Times New Roman"/>
                <w:bCs/>
                <w:sz w:val="20"/>
                <w:szCs w:val="20"/>
              </w:rPr>
            </w:pPr>
            <w:r>
              <w:rPr>
                <w:rFonts w:ascii="Times New Roman" w:hAnsi="Times New Roman" w:eastAsia="Calibri" w:cs="Times New Roman"/>
                <w:bCs/>
                <w:sz w:val="20"/>
                <w:szCs w:val="20"/>
              </w:rPr>
              <w:t>0,829</w:t>
            </w:r>
          </w:p>
        </w:tc>
      </w:tr>
    </w:tbl>
    <w:p w14:paraId="4F1E927C">
      <w:pPr>
        <w:spacing w:line="360" w:lineRule="auto"/>
        <w:ind w:left="720"/>
        <w:contextualSpacing/>
        <w:rPr>
          <w:rFonts w:ascii="Times New Roman" w:hAnsi="Times New Roman" w:eastAsia="Calibri" w:cs="Times New Roman"/>
          <w:bCs/>
          <w:sz w:val="20"/>
          <w:szCs w:val="20"/>
          <w:lang w:val="id-ID"/>
        </w:rPr>
      </w:pPr>
      <w:r>
        <w:rPr>
          <w:rFonts w:ascii="Times New Roman" w:hAnsi="Times New Roman" w:eastAsia="Calibri" w:cs="Times New Roman"/>
          <w:bCs/>
          <w:sz w:val="20"/>
          <w:szCs w:val="20"/>
          <w:lang w:val="id-ID"/>
        </w:rPr>
        <w:t xml:space="preserve">                    (</w:t>
      </w:r>
      <w:r>
        <w:rPr>
          <w:rFonts w:ascii="Times New Roman" w:hAnsi="Times New Roman" w:eastAsia="Calibri" w:cs="Times New Roman"/>
          <w:bCs/>
          <w:i/>
          <w:iCs/>
          <w:sz w:val="20"/>
          <w:szCs w:val="20"/>
          <w:lang w:val="id-ID"/>
        </w:rPr>
        <w:t>Source : Data Diolah, 2025</w:t>
      </w:r>
      <w:r>
        <w:rPr>
          <w:rFonts w:ascii="Times New Roman" w:hAnsi="Times New Roman" w:eastAsia="Calibri" w:cs="Times New Roman"/>
          <w:bCs/>
          <w:sz w:val="20"/>
          <w:szCs w:val="20"/>
          <w:lang w:val="id-ID"/>
        </w:rPr>
        <w:t>)</w:t>
      </w:r>
    </w:p>
    <w:p w14:paraId="33F16A9C">
      <w:pPr>
        <w:spacing w:line="360" w:lineRule="auto"/>
        <w:ind w:left="720"/>
        <w:contextualSpacing/>
        <w:rPr>
          <w:rFonts w:ascii="Times New Roman" w:hAnsi="Times New Roman" w:eastAsia="Calibri" w:cs="Times New Roman"/>
          <w:bCs/>
          <w:sz w:val="20"/>
          <w:szCs w:val="20"/>
          <w:lang w:val="id-ID"/>
        </w:rPr>
      </w:pPr>
    </w:p>
    <w:p w14:paraId="7268F365">
      <w:pPr>
        <w:spacing w:line="360" w:lineRule="auto"/>
        <w:ind w:left="720" w:firstLine="720"/>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 xml:space="preserve">Based on Table </w:t>
      </w:r>
      <w:r>
        <w:rPr>
          <w:rFonts w:hint="default" w:ascii="Times New Roman" w:hAnsi="Times New Roman" w:eastAsia="Calibri" w:cs="Times New Roman"/>
          <w:bCs/>
          <w:sz w:val="24"/>
          <w:szCs w:val="24"/>
          <w:lang w:val="id-ID"/>
        </w:rPr>
        <w:t>3</w:t>
      </w:r>
      <w:r>
        <w:rPr>
          <w:rFonts w:ascii="Times New Roman" w:hAnsi="Times New Roman" w:eastAsia="Calibri" w:cs="Times New Roman"/>
          <w:bCs/>
          <w:sz w:val="24"/>
          <w:szCs w:val="24"/>
          <w:lang w:val="id-ID"/>
        </w:rPr>
        <w:t>.7, the test results show that construct Y (Impulse Buying) has a root mean square error of approximation (RMSEA) of 0.829, which is higher than its correlations with other constructs, namely 0.472 (M) and 0.420 (X). This means that the discriminant validity of construct Y is met. However, construct M has a root mean square error of approximation (RMSEA) of 0.805, but its correlation with X is 0.855, which is greater than its RMSEA. Similarly, construct X has an RMSEA of 0.747, but its correlation with M is 0.855. Consequently, constructs M and X do not yet meet the Fornell-Larcker criteria for discriminant validity. Nevertheless, according to Hair et al. (2017), in models involving a mediator construct, overlap between constructs may occur because, theoretically, the mediator construct Positive Emotion (M) does indeed have a close relationship with the independent construct Visual Merchandising (X) and the dependent construct Impulse Buying (Y). This is reasonable because, conceptually, positive emotion acts as a bridge of influence between visual merchandising and impulse buying, so the interrelationship between constructs is indeed very high. To ensure that discriminant validity is still met, the researchers also used additional testing via the Heterotrait-Monotrait Ratio (HTMT) method.</w:t>
      </w:r>
    </w:p>
    <w:p w14:paraId="457D6129">
      <w:pPr>
        <w:spacing w:line="360" w:lineRule="auto"/>
        <w:ind w:left="720" w:firstLine="720"/>
        <w:contextualSpacing/>
        <w:jc w:val="both"/>
        <w:rPr>
          <w:rFonts w:ascii="Times New Roman" w:hAnsi="Times New Roman" w:eastAsia="Calibri" w:cs="Times New Roman"/>
          <w:bCs/>
          <w:sz w:val="24"/>
          <w:szCs w:val="24"/>
          <w:lang w:val="id-ID"/>
        </w:rPr>
      </w:pPr>
    </w:p>
    <w:p w14:paraId="24C0AA04">
      <w:pPr>
        <w:spacing w:line="360" w:lineRule="auto"/>
        <w:ind w:left="2891" w:firstLine="709"/>
        <w:contextualSpacing/>
        <w:rPr>
          <w:rFonts w:ascii="Times New Roman" w:hAnsi="Times New Roman" w:eastAsia="Calibri" w:cs="Times New Roman"/>
          <w:b/>
          <w:sz w:val="20"/>
          <w:szCs w:val="20"/>
          <w:lang w:val="id-ID"/>
        </w:rPr>
      </w:pPr>
      <w:r>
        <w:rPr>
          <w:rFonts w:ascii="Times New Roman" w:hAnsi="Times New Roman" w:eastAsia="Calibri" w:cs="Times New Roman"/>
          <w:b/>
          <w:sz w:val="20"/>
          <w:szCs w:val="20"/>
          <w:lang w:val="id-ID"/>
        </w:rPr>
        <w:t>Tabel 4.8 Cross Loading</w:t>
      </w:r>
    </w:p>
    <w:tbl>
      <w:tblPr>
        <w:tblStyle w:val="12"/>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1942"/>
        <w:gridCol w:w="1942"/>
        <w:gridCol w:w="1942"/>
      </w:tblGrid>
      <w:tr w14:paraId="152E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0E471F0B">
            <w:pPr>
              <w:spacing w:after="0" w:line="240" w:lineRule="auto"/>
              <w:contextualSpacing/>
              <w:jc w:val="center"/>
              <w:rPr>
                <w:rFonts w:ascii="Times New Roman" w:hAnsi="Times New Roman" w:eastAsia="Calibri" w:cs="Times New Roman"/>
                <w:b/>
                <w:bCs/>
                <w:sz w:val="20"/>
                <w:szCs w:val="20"/>
                <w:lang w:val="id-ID"/>
              </w:rPr>
            </w:pPr>
            <w:r>
              <w:rPr>
                <w:rFonts w:ascii="Times New Roman" w:hAnsi="Times New Roman" w:eastAsia="Calibri" w:cs="Times New Roman"/>
                <w:b/>
                <w:bCs/>
                <w:sz w:val="20"/>
                <w:szCs w:val="20"/>
              </w:rPr>
              <w:t>Indicator</w:t>
            </w:r>
          </w:p>
        </w:tc>
        <w:tc>
          <w:tcPr>
            <w:tcW w:w="2214" w:type="dxa"/>
            <w:noWrap/>
          </w:tcPr>
          <w:p w14:paraId="597E9654">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M</w:t>
            </w:r>
          </w:p>
        </w:tc>
        <w:tc>
          <w:tcPr>
            <w:tcW w:w="2214" w:type="dxa"/>
            <w:noWrap/>
          </w:tcPr>
          <w:p w14:paraId="6859EA3B">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X</w:t>
            </w:r>
          </w:p>
        </w:tc>
        <w:tc>
          <w:tcPr>
            <w:tcW w:w="2214" w:type="dxa"/>
            <w:noWrap/>
          </w:tcPr>
          <w:p w14:paraId="5C7BD1D8">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Y</w:t>
            </w:r>
          </w:p>
        </w:tc>
      </w:tr>
      <w:tr w14:paraId="4A0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25C1C03A">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IB17</w:t>
            </w:r>
          </w:p>
        </w:tc>
        <w:tc>
          <w:tcPr>
            <w:tcW w:w="2214" w:type="dxa"/>
            <w:noWrap/>
          </w:tcPr>
          <w:p w14:paraId="14F83EB3">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0,386</w:t>
            </w:r>
          </w:p>
        </w:tc>
        <w:tc>
          <w:tcPr>
            <w:tcW w:w="2214" w:type="dxa"/>
            <w:noWrap/>
          </w:tcPr>
          <w:p w14:paraId="128A1366">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0,355</w:t>
            </w:r>
          </w:p>
        </w:tc>
        <w:tc>
          <w:tcPr>
            <w:tcW w:w="2214" w:type="dxa"/>
            <w:noWrap/>
          </w:tcPr>
          <w:p w14:paraId="5616F6A3">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0,817</w:t>
            </w:r>
          </w:p>
        </w:tc>
      </w:tr>
      <w:tr w14:paraId="5C41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166414C7">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IB18</w:t>
            </w:r>
          </w:p>
        </w:tc>
        <w:tc>
          <w:tcPr>
            <w:tcW w:w="2214" w:type="dxa"/>
            <w:noWrap/>
          </w:tcPr>
          <w:p w14:paraId="187DD0F7">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0,368</w:t>
            </w:r>
          </w:p>
        </w:tc>
        <w:tc>
          <w:tcPr>
            <w:tcW w:w="2214" w:type="dxa"/>
            <w:noWrap/>
          </w:tcPr>
          <w:p w14:paraId="2DC64FD3">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0,343</w:t>
            </w:r>
          </w:p>
        </w:tc>
        <w:tc>
          <w:tcPr>
            <w:tcW w:w="2214" w:type="dxa"/>
            <w:noWrap/>
          </w:tcPr>
          <w:p w14:paraId="2BF11F0E">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0,845</w:t>
            </w:r>
          </w:p>
        </w:tc>
      </w:tr>
      <w:tr w14:paraId="1AB8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4AA50EF4">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IB19</w:t>
            </w:r>
          </w:p>
        </w:tc>
        <w:tc>
          <w:tcPr>
            <w:tcW w:w="2214" w:type="dxa"/>
            <w:noWrap/>
          </w:tcPr>
          <w:p w14:paraId="393B8367">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0,428</w:t>
            </w:r>
          </w:p>
        </w:tc>
        <w:tc>
          <w:tcPr>
            <w:tcW w:w="2214" w:type="dxa"/>
            <w:noWrap/>
          </w:tcPr>
          <w:p w14:paraId="3B2CDB50">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0,348</w:t>
            </w:r>
          </w:p>
        </w:tc>
        <w:tc>
          <w:tcPr>
            <w:tcW w:w="2214" w:type="dxa"/>
            <w:noWrap/>
          </w:tcPr>
          <w:p w14:paraId="42E65E2F">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0,878</w:t>
            </w:r>
          </w:p>
        </w:tc>
      </w:tr>
      <w:tr w14:paraId="66C8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21FA7F82">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IB20</w:t>
            </w:r>
          </w:p>
        </w:tc>
        <w:tc>
          <w:tcPr>
            <w:tcW w:w="2214" w:type="dxa"/>
            <w:noWrap/>
          </w:tcPr>
          <w:p w14:paraId="21FA6C3B">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0,379</w:t>
            </w:r>
          </w:p>
        </w:tc>
        <w:tc>
          <w:tcPr>
            <w:tcW w:w="2214" w:type="dxa"/>
            <w:noWrap/>
          </w:tcPr>
          <w:p w14:paraId="1F16CA49">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0,357</w:t>
            </w:r>
          </w:p>
        </w:tc>
        <w:tc>
          <w:tcPr>
            <w:tcW w:w="2214" w:type="dxa"/>
            <w:noWrap/>
          </w:tcPr>
          <w:p w14:paraId="485B047F">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0,774</w:t>
            </w:r>
          </w:p>
        </w:tc>
      </w:tr>
      <w:tr w14:paraId="6574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2F7A3F47">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PE11</w:t>
            </w:r>
          </w:p>
        </w:tc>
        <w:tc>
          <w:tcPr>
            <w:tcW w:w="2214" w:type="dxa"/>
            <w:noWrap/>
          </w:tcPr>
          <w:p w14:paraId="7FDA4D86">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0,800</w:t>
            </w:r>
          </w:p>
        </w:tc>
        <w:tc>
          <w:tcPr>
            <w:tcW w:w="2214" w:type="dxa"/>
            <w:noWrap/>
          </w:tcPr>
          <w:p w14:paraId="74DCF980">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0,650</w:t>
            </w:r>
          </w:p>
        </w:tc>
        <w:tc>
          <w:tcPr>
            <w:tcW w:w="2214" w:type="dxa"/>
            <w:noWrap/>
          </w:tcPr>
          <w:p w14:paraId="5C5C8C06">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0,385</w:t>
            </w:r>
          </w:p>
        </w:tc>
      </w:tr>
      <w:tr w14:paraId="4D2E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47D1239F">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PE12</w:t>
            </w:r>
          </w:p>
        </w:tc>
        <w:tc>
          <w:tcPr>
            <w:tcW w:w="2214" w:type="dxa"/>
            <w:noWrap/>
          </w:tcPr>
          <w:p w14:paraId="3D5077EF">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0,707</w:t>
            </w:r>
          </w:p>
        </w:tc>
        <w:tc>
          <w:tcPr>
            <w:tcW w:w="2214" w:type="dxa"/>
            <w:noWrap/>
          </w:tcPr>
          <w:p w14:paraId="5315D840">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0,680</w:t>
            </w:r>
          </w:p>
        </w:tc>
        <w:tc>
          <w:tcPr>
            <w:tcW w:w="2214" w:type="dxa"/>
            <w:noWrap/>
          </w:tcPr>
          <w:p w14:paraId="0815F395">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0,271</w:t>
            </w:r>
          </w:p>
        </w:tc>
      </w:tr>
      <w:tr w14:paraId="7FA5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05C973A1">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PE13</w:t>
            </w:r>
          </w:p>
        </w:tc>
        <w:tc>
          <w:tcPr>
            <w:tcW w:w="2214" w:type="dxa"/>
            <w:noWrap/>
          </w:tcPr>
          <w:p w14:paraId="1C659D70">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0,793</w:t>
            </w:r>
          </w:p>
        </w:tc>
        <w:tc>
          <w:tcPr>
            <w:tcW w:w="2214" w:type="dxa"/>
            <w:noWrap/>
          </w:tcPr>
          <w:p w14:paraId="0155A324">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0,683</w:t>
            </w:r>
          </w:p>
        </w:tc>
        <w:tc>
          <w:tcPr>
            <w:tcW w:w="2214" w:type="dxa"/>
            <w:noWrap/>
          </w:tcPr>
          <w:p w14:paraId="4D603A33">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0,331</w:t>
            </w:r>
          </w:p>
        </w:tc>
      </w:tr>
      <w:tr w14:paraId="6AF7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0DBD01FF">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PE14</w:t>
            </w:r>
          </w:p>
        </w:tc>
        <w:tc>
          <w:tcPr>
            <w:tcW w:w="2214" w:type="dxa"/>
            <w:noWrap/>
          </w:tcPr>
          <w:p w14:paraId="27023BE0">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0,798</w:t>
            </w:r>
          </w:p>
        </w:tc>
        <w:tc>
          <w:tcPr>
            <w:tcW w:w="2214" w:type="dxa"/>
            <w:noWrap/>
          </w:tcPr>
          <w:p w14:paraId="1BBFC89C">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0,635</w:t>
            </w:r>
          </w:p>
        </w:tc>
        <w:tc>
          <w:tcPr>
            <w:tcW w:w="2214" w:type="dxa"/>
            <w:noWrap/>
          </w:tcPr>
          <w:p w14:paraId="277FC00C">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0,341</w:t>
            </w:r>
          </w:p>
        </w:tc>
      </w:tr>
      <w:tr w14:paraId="5B6C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2BAED707">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PE15</w:t>
            </w:r>
          </w:p>
        </w:tc>
        <w:tc>
          <w:tcPr>
            <w:tcW w:w="2214" w:type="dxa"/>
            <w:noWrap/>
          </w:tcPr>
          <w:p w14:paraId="6D7BE2F5">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0,872</w:t>
            </w:r>
          </w:p>
        </w:tc>
        <w:tc>
          <w:tcPr>
            <w:tcW w:w="2214" w:type="dxa"/>
            <w:noWrap/>
          </w:tcPr>
          <w:p w14:paraId="44BED2C8">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0,749</w:t>
            </w:r>
          </w:p>
        </w:tc>
        <w:tc>
          <w:tcPr>
            <w:tcW w:w="2214" w:type="dxa"/>
            <w:noWrap/>
          </w:tcPr>
          <w:p w14:paraId="67A90D35">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0,457</w:t>
            </w:r>
          </w:p>
        </w:tc>
      </w:tr>
      <w:tr w14:paraId="1FEF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714A4DE4">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PE16</w:t>
            </w:r>
          </w:p>
        </w:tc>
        <w:tc>
          <w:tcPr>
            <w:tcW w:w="2214" w:type="dxa"/>
            <w:noWrap/>
          </w:tcPr>
          <w:p w14:paraId="4A9B18B7">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0,848</w:t>
            </w:r>
          </w:p>
        </w:tc>
        <w:tc>
          <w:tcPr>
            <w:tcW w:w="2214" w:type="dxa"/>
            <w:noWrap/>
          </w:tcPr>
          <w:p w14:paraId="3B100C1B">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0,745</w:t>
            </w:r>
          </w:p>
        </w:tc>
        <w:tc>
          <w:tcPr>
            <w:tcW w:w="2214" w:type="dxa"/>
            <w:noWrap/>
          </w:tcPr>
          <w:p w14:paraId="71AD49AA">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0,466</w:t>
            </w:r>
          </w:p>
        </w:tc>
      </w:tr>
      <w:tr w14:paraId="66A0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509CE896">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 1</w:t>
            </w:r>
          </w:p>
        </w:tc>
        <w:tc>
          <w:tcPr>
            <w:tcW w:w="2214" w:type="dxa"/>
            <w:noWrap/>
          </w:tcPr>
          <w:p w14:paraId="2E939969">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0,485</w:t>
            </w:r>
          </w:p>
        </w:tc>
        <w:tc>
          <w:tcPr>
            <w:tcW w:w="2214" w:type="dxa"/>
            <w:noWrap/>
          </w:tcPr>
          <w:p w14:paraId="6F711F98">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0,544</w:t>
            </w:r>
          </w:p>
        </w:tc>
        <w:tc>
          <w:tcPr>
            <w:tcW w:w="2214" w:type="dxa"/>
            <w:noWrap/>
          </w:tcPr>
          <w:p w14:paraId="61D5EAE0">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0,342</w:t>
            </w:r>
          </w:p>
        </w:tc>
      </w:tr>
      <w:tr w14:paraId="43FA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35621372">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 2</w:t>
            </w:r>
          </w:p>
        </w:tc>
        <w:tc>
          <w:tcPr>
            <w:tcW w:w="2214" w:type="dxa"/>
            <w:noWrap/>
          </w:tcPr>
          <w:p w14:paraId="0E90BE21">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0,464</w:t>
            </w:r>
          </w:p>
        </w:tc>
        <w:tc>
          <w:tcPr>
            <w:tcW w:w="2214" w:type="dxa"/>
            <w:noWrap/>
          </w:tcPr>
          <w:p w14:paraId="61DAB6ED">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0,603</w:t>
            </w:r>
          </w:p>
        </w:tc>
        <w:tc>
          <w:tcPr>
            <w:tcW w:w="2214" w:type="dxa"/>
            <w:noWrap/>
          </w:tcPr>
          <w:p w14:paraId="1EA8921E">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0,097</w:t>
            </w:r>
          </w:p>
        </w:tc>
      </w:tr>
      <w:tr w14:paraId="02A8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75187BF2">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 3</w:t>
            </w:r>
          </w:p>
        </w:tc>
        <w:tc>
          <w:tcPr>
            <w:tcW w:w="2214" w:type="dxa"/>
            <w:noWrap/>
          </w:tcPr>
          <w:p w14:paraId="4757E34E">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0,675</w:t>
            </w:r>
          </w:p>
        </w:tc>
        <w:tc>
          <w:tcPr>
            <w:tcW w:w="2214" w:type="dxa"/>
            <w:noWrap/>
          </w:tcPr>
          <w:p w14:paraId="11B812DC">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0,707</w:t>
            </w:r>
          </w:p>
        </w:tc>
        <w:tc>
          <w:tcPr>
            <w:tcW w:w="2214" w:type="dxa"/>
            <w:noWrap/>
          </w:tcPr>
          <w:p w14:paraId="5DB84E7F">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0,334</w:t>
            </w:r>
          </w:p>
        </w:tc>
      </w:tr>
      <w:tr w14:paraId="52C9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0E215956">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VM10</w:t>
            </w:r>
          </w:p>
        </w:tc>
        <w:tc>
          <w:tcPr>
            <w:tcW w:w="2214" w:type="dxa"/>
            <w:noWrap/>
          </w:tcPr>
          <w:p w14:paraId="306CEA86">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0,700</w:t>
            </w:r>
          </w:p>
        </w:tc>
        <w:tc>
          <w:tcPr>
            <w:tcW w:w="2214" w:type="dxa"/>
            <w:noWrap/>
          </w:tcPr>
          <w:p w14:paraId="5D6DDC96">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0,812</w:t>
            </w:r>
          </w:p>
        </w:tc>
        <w:tc>
          <w:tcPr>
            <w:tcW w:w="2214" w:type="dxa"/>
            <w:noWrap/>
          </w:tcPr>
          <w:p w14:paraId="5AB45263">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0,347</w:t>
            </w:r>
          </w:p>
        </w:tc>
      </w:tr>
      <w:tr w14:paraId="0264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198E8044">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VM4</w:t>
            </w:r>
          </w:p>
        </w:tc>
        <w:tc>
          <w:tcPr>
            <w:tcW w:w="2214" w:type="dxa"/>
            <w:noWrap/>
          </w:tcPr>
          <w:p w14:paraId="0ADB6621">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0,641</w:t>
            </w:r>
          </w:p>
        </w:tc>
        <w:tc>
          <w:tcPr>
            <w:tcW w:w="2214" w:type="dxa"/>
            <w:noWrap/>
          </w:tcPr>
          <w:p w14:paraId="1DE9C706">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0,694</w:t>
            </w:r>
          </w:p>
        </w:tc>
        <w:tc>
          <w:tcPr>
            <w:tcW w:w="2214" w:type="dxa"/>
            <w:noWrap/>
          </w:tcPr>
          <w:p w14:paraId="2C84EC26">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0,327</w:t>
            </w:r>
          </w:p>
        </w:tc>
      </w:tr>
      <w:tr w14:paraId="7C69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5BD579D8">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VM5</w:t>
            </w:r>
          </w:p>
        </w:tc>
        <w:tc>
          <w:tcPr>
            <w:tcW w:w="2214" w:type="dxa"/>
            <w:noWrap/>
          </w:tcPr>
          <w:p w14:paraId="27B0472A">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0,617</w:t>
            </w:r>
          </w:p>
        </w:tc>
        <w:tc>
          <w:tcPr>
            <w:tcW w:w="2214" w:type="dxa"/>
            <w:noWrap/>
          </w:tcPr>
          <w:p w14:paraId="30A6CBC2">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0,741</w:t>
            </w:r>
          </w:p>
        </w:tc>
        <w:tc>
          <w:tcPr>
            <w:tcW w:w="2214" w:type="dxa"/>
            <w:noWrap/>
          </w:tcPr>
          <w:p w14:paraId="09E39F7B">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0,263</w:t>
            </w:r>
          </w:p>
        </w:tc>
      </w:tr>
      <w:tr w14:paraId="37D3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060A81C0">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VM6</w:t>
            </w:r>
          </w:p>
        </w:tc>
        <w:tc>
          <w:tcPr>
            <w:tcW w:w="2214" w:type="dxa"/>
            <w:noWrap/>
          </w:tcPr>
          <w:p w14:paraId="5C205C38">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0,692</w:t>
            </w:r>
          </w:p>
        </w:tc>
        <w:tc>
          <w:tcPr>
            <w:tcW w:w="2214" w:type="dxa"/>
            <w:noWrap/>
          </w:tcPr>
          <w:p w14:paraId="607EB665">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0,811</w:t>
            </w:r>
          </w:p>
        </w:tc>
        <w:tc>
          <w:tcPr>
            <w:tcW w:w="2214" w:type="dxa"/>
            <w:noWrap/>
          </w:tcPr>
          <w:p w14:paraId="782829AA">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0,318</w:t>
            </w:r>
          </w:p>
        </w:tc>
      </w:tr>
      <w:tr w14:paraId="4453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3FEF5792">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VM7</w:t>
            </w:r>
          </w:p>
        </w:tc>
        <w:tc>
          <w:tcPr>
            <w:tcW w:w="2214" w:type="dxa"/>
            <w:noWrap/>
          </w:tcPr>
          <w:p w14:paraId="5BFF4937">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0,564</w:t>
            </w:r>
          </w:p>
        </w:tc>
        <w:tc>
          <w:tcPr>
            <w:tcW w:w="2214" w:type="dxa"/>
            <w:noWrap/>
          </w:tcPr>
          <w:p w14:paraId="6BA8A044">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0,688</w:t>
            </w:r>
          </w:p>
        </w:tc>
        <w:tc>
          <w:tcPr>
            <w:tcW w:w="2214" w:type="dxa"/>
            <w:noWrap/>
          </w:tcPr>
          <w:p w14:paraId="3F193003">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0,349</w:t>
            </w:r>
          </w:p>
        </w:tc>
      </w:tr>
      <w:tr w14:paraId="3EFA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5BC8C507">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VM8</w:t>
            </w:r>
          </w:p>
        </w:tc>
        <w:tc>
          <w:tcPr>
            <w:tcW w:w="2214" w:type="dxa"/>
            <w:noWrap/>
          </w:tcPr>
          <w:p w14:paraId="403B871E">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0,578</w:t>
            </w:r>
          </w:p>
        </w:tc>
        <w:tc>
          <w:tcPr>
            <w:tcW w:w="2214" w:type="dxa"/>
            <w:noWrap/>
          </w:tcPr>
          <w:p w14:paraId="46BB611D">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0,746</w:t>
            </w:r>
          </w:p>
        </w:tc>
        <w:tc>
          <w:tcPr>
            <w:tcW w:w="2214" w:type="dxa"/>
            <w:noWrap/>
          </w:tcPr>
          <w:p w14:paraId="1D897FDC">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0,337</w:t>
            </w:r>
          </w:p>
        </w:tc>
      </w:tr>
      <w:tr w14:paraId="5B72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14" w:type="dxa"/>
            <w:noWrap/>
          </w:tcPr>
          <w:p w14:paraId="3B19DF32">
            <w:pPr>
              <w:spacing w:after="0" w:line="240" w:lineRule="auto"/>
              <w:ind w:left="720"/>
              <w:contextualSpacing/>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VM9</w:t>
            </w:r>
          </w:p>
        </w:tc>
        <w:tc>
          <w:tcPr>
            <w:tcW w:w="2214" w:type="dxa"/>
            <w:noWrap/>
          </w:tcPr>
          <w:p w14:paraId="6A945515">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0,620</w:t>
            </w:r>
          </w:p>
        </w:tc>
        <w:tc>
          <w:tcPr>
            <w:tcW w:w="2214" w:type="dxa"/>
            <w:noWrap/>
          </w:tcPr>
          <w:p w14:paraId="5790F140">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0,702</w:t>
            </w:r>
          </w:p>
        </w:tc>
        <w:tc>
          <w:tcPr>
            <w:tcW w:w="2214" w:type="dxa"/>
            <w:noWrap/>
          </w:tcPr>
          <w:p w14:paraId="6E84104B">
            <w:pPr>
              <w:spacing w:after="0" w:line="240" w:lineRule="auto"/>
              <w:ind w:left="720"/>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t>0,225</w:t>
            </w:r>
          </w:p>
        </w:tc>
      </w:tr>
    </w:tbl>
    <w:p w14:paraId="410D8B70">
      <w:pPr>
        <w:spacing w:line="360" w:lineRule="auto"/>
        <w:rPr>
          <w:rFonts w:ascii="Times New Roman" w:hAnsi="Times New Roman" w:eastAsia="Calibri" w:cs="Times New Roman"/>
          <w:bCs/>
          <w:i/>
          <w:iCs/>
          <w:sz w:val="20"/>
          <w:szCs w:val="20"/>
          <w:lang w:val="id-ID"/>
        </w:rPr>
      </w:pPr>
      <w:r>
        <w:rPr>
          <w:rFonts w:ascii="Times New Roman" w:hAnsi="Times New Roman" w:eastAsia="Calibri" w:cs="Times New Roman"/>
          <w:bCs/>
          <w:i/>
          <w:iCs/>
          <w:sz w:val="20"/>
          <w:szCs w:val="20"/>
          <w:lang w:val="id-ID"/>
        </w:rPr>
        <w:t xml:space="preserve">             (Source : Data Diolah,2025)</w:t>
      </w:r>
    </w:p>
    <w:p w14:paraId="6326E6C3">
      <w:pPr>
        <w:spacing w:line="360" w:lineRule="auto"/>
        <w:ind w:left="720" w:firstLine="556"/>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The results of the cross-loading analysis indicate that the indicators within the Impulse Buying construct (IB17–IB20) have higher loadings on construct Y than on other constructs, and are therefore valid. Similarly, the positive emotion indicators (PE11–PE16) generally have higher loadings on construct X. However, within the visual merchandising construct, there are several indicators (e.g. VM3) that have loadings on construct X that are slightly higher or comparable, suggesting a potential overlap between constructs. This indicates that the items within the visual merchandising construct still share a similar meaning with positive emotion. This occurs because, conceptually, visual merchandising is not merely the arrangement of goods or physical displays, but also constitutes visual stimuli specifically designed to evoke positive emotions in consumers. According to Mehrabian and Russell (1974) in the Stimulus–Organism–Response (SOR) theory, visual stimuli within a shop influence psychological states or emotions (the organism), which in turn drive behavioural responses such as impulse buying.</w:t>
      </w:r>
    </w:p>
    <w:p w14:paraId="2DCC989D">
      <w:pPr>
        <w:spacing w:line="360" w:lineRule="auto"/>
        <w:ind w:left="720" w:firstLine="556"/>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Furthermore, Kotler (1973), in his concept of ‘Atmospherics as a Marketing Tool’, explains that a visually arranged shop atmosphere can create a specific mood among customers, thereby fostering feelings of joy, comfort and interest. Consequently, some items within the visual merchandising indicators may, in substance, carry dual meanings closely linked to positive emotions. This phenomenon is to be expected in research using a mediation model, as, in theory, stimulus indicators are indeed designed to influence the psychological variables that function as mediators.</w:t>
      </w:r>
    </w:p>
    <w:p w14:paraId="4162C66F">
      <w:pPr>
        <w:spacing w:line="360" w:lineRule="auto"/>
        <w:ind w:left="720" w:firstLine="556"/>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According to Hair et al. (2017), a situation where there is partial overlap between constructs is acceptable provided it can be theoretically justified. These findings of cross-loading and near-equivalence in the HTMT actually support the tested mediation model pathway, whereby visual merchandising influences positive emotion, which in turn impacts impulse buying</w:t>
      </w:r>
      <w:r>
        <w:rPr>
          <w:rFonts w:ascii="Times New Roman" w:hAnsi="Times New Roman" w:eastAsia="Calibri" w:cs="Times New Roman"/>
          <w:bCs/>
          <w:i/>
          <w:iCs/>
          <w:sz w:val="24"/>
          <w:szCs w:val="24"/>
          <w:lang w:val="id-ID"/>
        </w:rPr>
        <w:t>.</w:t>
      </w:r>
    </w:p>
    <w:p w14:paraId="0DEFECD3">
      <w:pPr>
        <w:numPr>
          <w:ilvl w:val="0"/>
          <w:numId w:val="8"/>
        </w:numPr>
        <w:spacing w:line="360" w:lineRule="auto"/>
        <w:ind w:left="0" w:firstLine="0"/>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 xml:space="preserve">PLS Test Result - </w:t>
      </w:r>
      <w:r>
        <w:rPr>
          <w:rFonts w:ascii="Times New Roman" w:hAnsi="Times New Roman" w:eastAsia="Calibri" w:cs="Times New Roman"/>
          <w:b/>
          <w:i/>
          <w:iCs/>
          <w:sz w:val="24"/>
          <w:szCs w:val="24"/>
          <w:lang w:val="id-ID"/>
        </w:rPr>
        <w:t>Algorithm</w:t>
      </w:r>
      <w:r>
        <w:rPr>
          <w:rFonts w:ascii="Times New Roman" w:hAnsi="Times New Roman" w:eastAsia="Calibri" w:cs="Times New Roman"/>
          <w:b/>
          <w:sz w:val="24"/>
          <w:szCs w:val="24"/>
          <w:lang w:val="id-ID"/>
        </w:rPr>
        <w:t xml:space="preserve"> ( </w:t>
      </w:r>
      <w:r>
        <w:rPr>
          <w:rFonts w:ascii="Times New Roman" w:hAnsi="Times New Roman" w:eastAsia="Calibri" w:cs="Times New Roman"/>
          <w:b/>
          <w:i/>
          <w:iCs/>
          <w:sz w:val="24"/>
          <w:szCs w:val="24"/>
          <w:lang w:val="id-ID"/>
        </w:rPr>
        <w:t>Inner Model</w:t>
      </w:r>
      <w:r>
        <w:rPr>
          <w:rFonts w:ascii="Times New Roman" w:hAnsi="Times New Roman" w:eastAsia="Calibri" w:cs="Times New Roman"/>
          <w:b/>
          <w:sz w:val="24"/>
          <w:szCs w:val="24"/>
          <w:lang w:val="id-ID"/>
        </w:rPr>
        <w:t xml:space="preserve"> )</w:t>
      </w:r>
    </w:p>
    <w:p w14:paraId="0DFD2C71">
      <w:pPr>
        <w:spacing w:line="360" w:lineRule="auto"/>
        <w:ind w:left="720"/>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 xml:space="preserve">This internal model analysis was carried out using the Partial Least Squares (PLS) technique via SmartPLS software version 3.2.9. Several evaluation indicators used at this stage include Path Coefficients, R-Square (R²), f-Square (f²), Collinearity Statistics (VIF), and Model Fit. The results of the inner model testing are presented below. </w:t>
      </w:r>
    </w:p>
    <w:p w14:paraId="4A8E26D8">
      <w:pPr>
        <w:spacing w:line="360" w:lineRule="auto"/>
        <w:ind w:left="720"/>
        <w:contextualSpacing/>
        <w:jc w:val="both"/>
        <w:rPr>
          <w:rFonts w:ascii="Times New Roman" w:hAnsi="Times New Roman" w:eastAsia="Calibri" w:cs="Times New Roman"/>
          <w:bCs/>
          <w:sz w:val="24"/>
          <w:szCs w:val="24"/>
          <w:lang w:val="id-ID"/>
        </w:rPr>
      </w:pPr>
    </w:p>
    <w:p w14:paraId="761C9453">
      <w:pPr>
        <w:spacing w:line="360" w:lineRule="auto"/>
        <w:ind w:left="720"/>
        <w:contextualSpacing/>
        <w:jc w:val="both"/>
        <w:rPr>
          <w:rFonts w:ascii="Times New Roman" w:hAnsi="Times New Roman" w:eastAsia="Calibri" w:cs="Times New Roman"/>
          <w:bCs/>
          <w:sz w:val="24"/>
          <w:szCs w:val="24"/>
          <w:lang w:val="id-ID"/>
        </w:rPr>
      </w:pPr>
    </w:p>
    <w:p w14:paraId="64A0B998">
      <w:pPr>
        <w:spacing w:line="360" w:lineRule="auto"/>
        <w:ind w:left="720"/>
        <w:contextualSpacing/>
        <w:jc w:val="both"/>
        <w:rPr>
          <w:rFonts w:ascii="Times New Roman" w:hAnsi="Times New Roman" w:eastAsia="Calibri" w:cs="Times New Roman"/>
          <w:bCs/>
          <w:sz w:val="24"/>
          <w:szCs w:val="24"/>
          <w:lang w:val="id-ID"/>
        </w:rPr>
      </w:pPr>
    </w:p>
    <w:p w14:paraId="2B700179">
      <w:pPr>
        <w:spacing w:line="360" w:lineRule="auto"/>
        <w:ind w:left="720"/>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cr/>
      </w:r>
    </w:p>
    <w:p w14:paraId="3885F089">
      <w:pPr>
        <w:numPr>
          <w:ilvl w:val="0"/>
          <w:numId w:val="9"/>
        </w:numPr>
        <w:spacing w:line="360" w:lineRule="auto"/>
        <w:ind w:left="426" w:firstLine="0"/>
        <w:contextualSpacing/>
        <w:jc w:val="both"/>
        <w:rPr>
          <w:rFonts w:ascii="Times New Roman" w:hAnsi="Times New Roman" w:eastAsia="Calibri" w:cs="Times New Roman"/>
          <w:b/>
          <w:sz w:val="24"/>
          <w:szCs w:val="24"/>
          <w:lang w:val="id-ID"/>
        </w:rPr>
      </w:pPr>
      <w:r>
        <w:rPr>
          <w:rFonts w:ascii="Times New Roman" w:hAnsi="Times New Roman" w:eastAsia="Calibri" w:cs="Times New Roman"/>
          <w:b/>
          <w:i/>
          <w:iCs/>
          <w:sz w:val="24"/>
          <w:szCs w:val="24"/>
          <w:lang w:val="id-ID"/>
        </w:rPr>
        <w:t>Path Coefficient</w:t>
      </w:r>
    </w:p>
    <w:p w14:paraId="24E0F1D1">
      <w:pPr>
        <w:spacing w:line="240" w:lineRule="auto"/>
        <w:ind w:left="567"/>
        <w:contextualSpacing/>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 xml:space="preserve">The results of the path coefficient tests for the inner model are presented below: </w:t>
      </w:r>
    </w:p>
    <w:p w14:paraId="3D06EABA">
      <w:pPr>
        <w:spacing w:line="240" w:lineRule="auto"/>
        <w:ind w:left="567"/>
        <w:contextualSpacing/>
        <w:rPr>
          <w:rFonts w:ascii="Times New Roman" w:hAnsi="Times New Roman" w:eastAsia="Calibri" w:cs="Times New Roman"/>
          <w:bCs/>
          <w:sz w:val="20"/>
          <w:szCs w:val="20"/>
          <w:lang w:val="id-ID"/>
        </w:rPr>
      </w:pPr>
      <w:r>
        <w:rPr>
          <w:rFonts w:ascii="Times New Roman" w:hAnsi="Times New Roman" w:eastAsia="Calibri" w:cs="Times New Roman"/>
          <w:bCs/>
          <w:sz w:val="24"/>
          <w:szCs w:val="24"/>
          <w:lang w:val="id-ID"/>
        </w:rPr>
        <w:cr/>
      </w:r>
      <w:r>
        <w:rPr>
          <w:rFonts w:ascii="Times New Roman" w:hAnsi="Times New Roman" w:eastAsia="Calibri" w:cs="Times New Roman"/>
          <w:b/>
          <w:bCs/>
          <w:sz w:val="20"/>
          <w:szCs w:val="20"/>
          <w:lang w:val="id-ID"/>
        </w:rPr>
        <w:t xml:space="preserve">                      Tabel 4.10 Koefisien Jalur</w:t>
      </w:r>
    </w:p>
    <w:tbl>
      <w:tblPr>
        <w:tblStyle w:val="12"/>
        <w:tblW w:w="0" w:type="auto"/>
        <w:tblInd w:w="8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115"/>
        <w:gridCol w:w="1357"/>
        <w:gridCol w:w="1356"/>
        <w:gridCol w:w="1332"/>
        <w:gridCol w:w="1235"/>
      </w:tblGrid>
      <w:tr w14:paraId="0B97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2" w:type="dxa"/>
            <w:noWrap/>
          </w:tcPr>
          <w:p w14:paraId="4D67A5FB">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 </w:t>
            </w:r>
          </w:p>
        </w:tc>
        <w:tc>
          <w:tcPr>
            <w:tcW w:w="1115" w:type="dxa"/>
            <w:noWrap/>
          </w:tcPr>
          <w:p w14:paraId="1C5761CE">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Sampel Asli (O)</w:t>
            </w:r>
          </w:p>
        </w:tc>
        <w:tc>
          <w:tcPr>
            <w:tcW w:w="1357" w:type="dxa"/>
            <w:noWrap/>
          </w:tcPr>
          <w:p w14:paraId="5F4FEA96">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Rata-rata Sampel (M)</w:t>
            </w:r>
          </w:p>
        </w:tc>
        <w:tc>
          <w:tcPr>
            <w:tcW w:w="1356" w:type="dxa"/>
            <w:noWrap/>
          </w:tcPr>
          <w:p w14:paraId="17E752AA">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Standar Deviasi (STDEV)</w:t>
            </w:r>
          </w:p>
        </w:tc>
        <w:tc>
          <w:tcPr>
            <w:tcW w:w="1332" w:type="dxa"/>
            <w:noWrap/>
          </w:tcPr>
          <w:p w14:paraId="205AF2E4">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T Statistik (| O/STDEV |)</w:t>
            </w:r>
          </w:p>
        </w:tc>
        <w:tc>
          <w:tcPr>
            <w:tcW w:w="1235" w:type="dxa"/>
            <w:noWrap/>
          </w:tcPr>
          <w:p w14:paraId="5C24D1F8">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P Values</w:t>
            </w:r>
          </w:p>
        </w:tc>
      </w:tr>
      <w:tr w14:paraId="3462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2" w:type="dxa"/>
            <w:noWrap/>
          </w:tcPr>
          <w:p w14:paraId="6044C403">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M -&gt; Y</w:t>
            </w:r>
          </w:p>
        </w:tc>
        <w:tc>
          <w:tcPr>
            <w:tcW w:w="1115" w:type="dxa"/>
            <w:noWrap/>
          </w:tcPr>
          <w:p w14:paraId="49207F48">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0,419</w:t>
            </w:r>
          </w:p>
        </w:tc>
        <w:tc>
          <w:tcPr>
            <w:tcW w:w="1357" w:type="dxa"/>
            <w:noWrap/>
          </w:tcPr>
          <w:p w14:paraId="7EBFBEF9">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0,417</w:t>
            </w:r>
          </w:p>
        </w:tc>
        <w:tc>
          <w:tcPr>
            <w:tcW w:w="1356" w:type="dxa"/>
            <w:noWrap/>
          </w:tcPr>
          <w:p w14:paraId="1D0E6426">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0,147</w:t>
            </w:r>
          </w:p>
        </w:tc>
        <w:tc>
          <w:tcPr>
            <w:tcW w:w="1332" w:type="dxa"/>
            <w:noWrap/>
          </w:tcPr>
          <w:p w14:paraId="4C24CBDD">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2,844</w:t>
            </w:r>
          </w:p>
        </w:tc>
        <w:tc>
          <w:tcPr>
            <w:tcW w:w="1235" w:type="dxa"/>
            <w:noWrap/>
          </w:tcPr>
          <w:p w14:paraId="3AADB0C2">
            <w:pPr>
              <w:spacing w:after="0" w:line="240" w:lineRule="auto"/>
              <w:jc w:val="right"/>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0,005</w:t>
            </w:r>
          </w:p>
        </w:tc>
      </w:tr>
      <w:tr w14:paraId="5B15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2" w:type="dxa"/>
            <w:noWrap/>
          </w:tcPr>
          <w:p w14:paraId="4BEACC4B">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X -&gt; M</w:t>
            </w:r>
          </w:p>
        </w:tc>
        <w:tc>
          <w:tcPr>
            <w:tcW w:w="1115" w:type="dxa"/>
            <w:noWrap/>
          </w:tcPr>
          <w:p w14:paraId="09AC2DFE">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0,855</w:t>
            </w:r>
          </w:p>
        </w:tc>
        <w:tc>
          <w:tcPr>
            <w:tcW w:w="1357" w:type="dxa"/>
            <w:noWrap/>
          </w:tcPr>
          <w:p w14:paraId="2D6D2D76">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0,857</w:t>
            </w:r>
          </w:p>
        </w:tc>
        <w:tc>
          <w:tcPr>
            <w:tcW w:w="1356" w:type="dxa"/>
            <w:noWrap/>
          </w:tcPr>
          <w:p w14:paraId="5075C695">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0,025</w:t>
            </w:r>
          </w:p>
        </w:tc>
        <w:tc>
          <w:tcPr>
            <w:tcW w:w="1332" w:type="dxa"/>
            <w:noWrap/>
          </w:tcPr>
          <w:p w14:paraId="51501D3E">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33,917</w:t>
            </w:r>
          </w:p>
        </w:tc>
        <w:tc>
          <w:tcPr>
            <w:tcW w:w="1235" w:type="dxa"/>
            <w:noWrap/>
          </w:tcPr>
          <w:p w14:paraId="097EA892">
            <w:pPr>
              <w:spacing w:after="0" w:line="240" w:lineRule="auto"/>
              <w:jc w:val="right"/>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0,000</w:t>
            </w:r>
          </w:p>
        </w:tc>
      </w:tr>
      <w:tr w14:paraId="3A17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2" w:type="dxa"/>
            <w:noWrap/>
          </w:tcPr>
          <w:p w14:paraId="6810DAE4">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X -&gt; Y</w:t>
            </w:r>
          </w:p>
        </w:tc>
        <w:tc>
          <w:tcPr>
            <w:tcW w:w="1115" w:type="dxa"/>
            <w:noWrap/>
          </w:tcPr>
          <w:p w14:paraId="69AA3970">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0,062</w:t>
            </w:r>
          </w:p>
        </w:tc>
        <w:tc>
          <w:tcPr>
            <w:tcW w:w="1357" w:type="dxa"/>
            <w:noWrap/>
          </w:tcPr>
          <w:p w14:paraId="426A6B02">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0,064</w:t>
            </w:r>
          </w:p>
        </w:tc>
        <w:tc>
          <w:tcPr>
            <w:tcW w:w="1356" w:type="dxa"/>
            <w:noWrap/>
          </w:tcPr>
          <w:p w14:paraId="07980618">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0,137</w:t>
            </w:r>
          </w:p>
        </w:tc>
        <w:tc>
          <w:tcPr>
            <w:tcW w:w="1332" w:type="dxa"/>
            <w:noWrap/>
          </w:tcPr>
          <w:p w14:paraId="6E2E7C71">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0,451</w:t>
            </w:r>
          </w:p>
        </w:tc>
        <w:tc>
          <w:tcPr>
            <w:tcW w:w="1235" w:type="dxa"/>
            <w:noWrap/>
          </w:tcPr>
          <w:p w14:paraId="0868DDF6">
            <w:pPr>
              <w:spacing w:after="0" w:line="240" w:lineRule="auto"/>
              <w:jc w:val="right"/>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0,653</w:t>
            </w:r>
          </w:p>
        </w:tc>
      </w:tr>
    </w:tbl>
    <w:p w14:paraId="3EB414A9">
      <w:pPr>
        <w:spacing w:line="360" w:lineRule="auto"/>
        <w:rPr>
          <w:rFonts w:ascii="Times New Roman" w:hAnsi="Times New Roman" w:eastAsia="Calibri" w:cs="Times New Roman"/>
          <w:bCs/>
          <w:i/>
          <w:iCs/>
          <w:sz w:val="20"/>
          <w:szCs w:val="20"/>
          <w:lang w:val="id-ID"/>
        </w:rPr>
      </w:pPr>
      <w:r>
        <w:rPr>
          <w:rFonts w:ascii="Times New Roman" w:hAnsi="Times New Roman" w:eastAsia="Calibri" w:cs="Times New Roman"/>
          <w:bCs/>
          <w:i/>
          <w:iCs/>
          <w:sz w:val="20"/>
          <w:szCs w:val="20"/>
          <w:lang w:val="id-ID"/>
        </w:rPr>
        <w:t xml:space="preserve">               ( Sumber : Data Diolah, 2025 )</w:t>
      </w:r>
    </w:p>
    <w:p w14:paraId="35874215">
      <w:pPr>
        <w:spacing w:line="360" w:lineRule="auto"/>
        <w:ind w:left="850" w:firstLine="284"/>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Based on the results in Table 4.10, a relationship path is considered significant if the t-statistic is greater than 1.96 at a 5% significance level (p-value &lt; 0.05). Based on the bootstrapping output shown in Table 4.10 below, it can be explained that the path M → X has a t-statistic of 33.917 and a p-value of 0.000, so the effect of M on X is significant. The path M → Y has a t-statistic of 2.844 and a p-value of 0.005, so the effect of M on Y is significant. The path X → Y has a t-statistic of 0.451 and a p-value of 0.653, so the effect of X on Y is deemed insignificant, as the p-value exceeds 0.05. These results indicate that :</w:t>
      </w:r>
    </w:p>
    <w:p w14:paraId="720E1BC2">
      <w:pPr>
        <w:numPr>
          <w:ilvl w:val="0"/>
          <w:numId w:val="10"/>
        </w:numPr>
        <w:spacing w:line="360" w:lineRule="auto"/>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Variable M has a significant direct effect on variable X, meaning that as variable M increases, variable X also tends to increase.</w:t>
      </w:r>
    </w:p>
    <w:p w14:paraId="224BE534">
      <w:pPr>
        <w:pStyle w:val="13"/>
        <w:numPr>
          <w:ilvl w:val="0"/>
          <w:numId w:val="10"/>
        </w:numPr>
        <w:spacing w:line="360" w:lineRule="auto"/>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Variable M also has a significant direct effect on variable Y, which means that variable M also has a positive impact on Y.</w:t>
      </w:r>
    </w:p>
    <w:p w14:paraId="3229ACCE">
      <w:pPr>
        <w:pStyle w:val="13"/>
        <w:numPr>
          <w:ilvl w:val="0"/>
          <w:numId w:val="10"/>
        </w:numPr>
        <w:spacing w:line="360" w:lineRule="auto"/>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However, the direct effect of variable X on variable Y is not significant, which means that an increase in X does not necessarily have a direct effect on Y at the 5% significance level. Consequently, the hypotheses regarding the M → X and M → Y pathways are supported by the data, whereas the X → Y pathway hypothesis is not supported as it is not significant.</w:t>
      </w:r>
    </w:p>
    <w:p w14:paraId="3AA0EA46">
      <w:pPr>
        <w:pStyle w:val="13"/>
        <w:numPr>
          <w:ilvl w:val="0"/>
          <w:numId w:val="10"/>
        </w:numPr>
        <w:spacing w:line="360" w:lineRule="auto"/>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 xml:space="preserve">Based on the results of the path analysis above, it can be concluded that variable M plays a significant role as it has a significant effect on variables X and Y, whereas X does not have a significant direct effect on Y. </w:t>
      </w:r>
    </w:p>
    <w:p w14:paraId="6BF2214F">
      <w:pPr>
        <w:numPr>
          <w:ilvl w:val="0"/>
          <w:numId w:val="9"/>
        </w:numPr>
        <w:spacing w:line="360" w:lineRule="auto"/>
        <w:ind w:left="284" w:firstLine="0"/>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R-Square (R</w:t>
      </w:r>
      <w:r>
        <w:rPr>
          <w:rFonts w:ascii="Times New Roman" w:hAnsi="Times New Roman" w:eastAsia="Calibri" w:cs="Times New Roman"/>
          <w:b/>
          <w:sz w:val="24"/>
          <w:szCs w:val="24"/>
          <w:vertAlign w:val="superscript"/>
          <w:lang w:val="id-ID"/>
        </w:rPr>
        <w:t>2)</w:t>
      </w:r>
      <w:r>
        <w:rPr>
          <w:rFonts w:ascii="Times New Roman" w:hAnsi="Times New Roman" w:eastAsia="Calibri" w:cs="Times New Roman"/>
          <w:b/>
          <w:sz w:val="24"/>
          <w:szCs w:val="24"/>
          <w:lang w:val="id-ID"/>
        </w:rPr>
        <w:t xml:space="preserve"> </w:t>
      </w:r>
    </w:p>
    <w:p w14:paraId="41A3A26E">
      <w:pPr>
        <w:spacing w:line="360" w:lineRule="auto"/>
        <w:ind w:left="1440"/>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The R-Square analysis is used to determine the extent to which the independent variables explain the variation in the dependent variable. The R-Square value is interpreted as a measure of the strength or weakness of the influence of exogenous constructs on endogenous constructs. The closer the value is to 1, the better the model explains the variance in the dependent construct (Hair et al., 2010). The results are presented in Table follows:</w:t>
      </w:r>
    </w:p>
    <w:p w14:paraId="24D4D696">
      <w:pPr>
        <w:spacing w:line="240" w:lineRule="auto"/>
        <w:rPr>
          <w:rFonts w:ascii="Times New Roman" w:hAnsi="Times New Roman" w:eastAsia="Calibri" w:cs="Times New Roman"/>
          <w:b/>
          <w:sz w:val="20"/>
          <w:szCs w:val="20"/>
          <w:lang w:val="id-ID"/>
        </w:rPr>
      </w:pPr>
      <w:r>
        <w:rPr>
          <w:rFonts w:ascii="Times New Roman" w:hAnsi="Times New Roman" w:eastAsia="Calibri" w:cs="Times New Roman"/>
          <w:b/>
          <w:sz w:val="20"/>
          <w:szCs w:val="20"/>
          <w:lang w:val="id-ID"/>
        </w:rPr>
        <w:t xml:space="preserve">                                                                Tabel R Square</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559"/>
        <w:gridCol w:w="1984"/>
      </w:tblGrid>
      <w:tr w14:paraId="7439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55" w:type="dxa"/>
            <w:noWrap/>
          </w:tcPr>
          <w:p w14:paraId="3D9B3F50">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 </w:t>
            </w:r>
          </w:p>
        </w:tc>
        <w:tc>
          <w:tcPr>
            <w:tcW w:w="1559" w:type="dxa"/>
            <w:noWrap/>
          </w:tcPr>
          <w:p w14:paraId="07D8A261">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R Square</w:t>
            </w:r>
          </w:p>
        </w:tc>
        <w:tc>
          <w:tcPr>
            <w:tcW w:w="1984" w:type="dxa"/>
            <w:noWrap/>
          </w:tcPr>
          <w:p w14:paraId="1CDA0D33">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Adjusted R Square</w:t>
            </w:r>
          </w:p>
        </w:tc>
      </w:tr>
      <w:tr w14:paraId="1525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55" w:type="dxa"/>
            <w:noWrap/>
          </w:tcPr>
          <w:p w14:paraId="506FF571">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M</w:t>
            </w:r>
          </w:p>
        </w:tc>
        <w:tc>
          <w:tcPr>
            <w:tcW w:w="1559" w:type="dxa"/>
            <w:noWrap/>
          </w:tcPr>
          <w:p w14:paraId="7227DB92">
            <w:pPr>
              <w:spacing w:after="0" w:line="240" w:lineRule="auto"/>
              <w:jc w:val="center"/>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0,731</w:t>
            </w:r>
          </w:p>
        </w:tc>
        <w:tc>
          <w:tcPr>
            <w:tcW w:w="1984" w:type="dxa"/>
            <w:noWrap/>
          </w:tcPr>
          <w:p w14:paraId="7E1F62FA">
            <w:pPr>
              <w:spacing w:after="0" w:line="240" w:lineRule="auto"/>
              <w:jc w:val="center"/>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0,729</w:t>
            </w:r>
          </w:p>
        </w:tc>
      </w:tr>
      <w:tr w14:paraId="40E2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55" w:type="dxa"/>
            <w:noWrap/>
          </w:tcPr>
          <w:p w14:paraId="47F9FCB9">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Y</w:t>
            </w:r>
          </w:p>
        </w:tc>
        <w:tc>
          <w:tcPr>
            <w:tcW w:w="1559" w:type="dxa"/>
            <w:noWrap/>
          </w:tcPr>
          <w:p w14:paraId="5C611C92">
            <w:pPr>
              <w:spacing w:after="0" w:line="240" w:lineRule="auto"/>
              <w:jc w:val="center"/>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0,224</w:t>
            </w:r>
          </w:p>
        </w:tc>
        <w:tc>
          <w:tcPr>
            <w:tcW w:w="1984" w:type="dxa"/>
            <w:noWrap/>
          </w:tcPr>
          <w:p w14:paraId="1492054D">
            <w:pPr>
              <w:spacing w:after="0" w:line="240" w:lineRule="auto"/>
              <w:jc w:val="center"/>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0,213</w:t>
            </w:r>
          </w:p>
        </w:tc>
      </w:tr>
    </w:tbl>
    <w:p w14:paraId="3E61E025">
      <w:pPr>
        <w:spacing w:line="360" w:lineRule="auto"/>
        <w:ind w:left="1080"/>
        <w:contextualSpacing/>
        <w:rPr>
          <w:rFonts w:ascii="Times New Roman" w:hAnsi="Times New Roman" w:eastAsia="Calibri" w:cs="Times New Roman"/>
          <w:bCs/>
          <w:sz w:val="20"/>
          <w:szCs w:val="20"/>
          <w:lang w:val="id-ID"/>
        </w:rPr>
      </w:pPr>
      <w:r>
        <w:rPr>
          <w:rFonts w:ascii="Times New Roman" w:hAnsi="Times New Roman" w:eastAsia="Calibri" w:cs="Times New Roman"/>
          <w:bCs/>
          <w:sz w:val="20"/>
          <w:szCs w:val="20"/>
          <w:lang w:val="id-ID"/>
        </w:rPr>
        <w:t xml:space="preserve">              (</w:t>
      </w:r>
      <w:r>
        <w:rPr>
          <w:rFonts w:ascii="Times New Roman" w:hAnsi="Times New Roman" w:eastAsia="Calibri" w:cs="Times New Roman"/>
          <w:bCs/>
          <w:i/>
          <w:iCs/>
          <w:sz w:val="20"/>
          <w:szCs w:val="20"/>
          <w:lang w:val="id-ID"/>
        </w:rPr>
        <w:t>Sumber: Data Diolah,2025</w:t>
      </w:r>
      <w:r>
        <w:rPr>
          <w:rFonts w:ascii="Times New Roman" w:hAnsi="Times New Roman" w:eastAsia="Calibri" w:cs="Times New Roman"/>
          <w:bCs/>
          <w:sz w:val="20"/>
          <w:szCs w:val="20"/>
          <w:lang w:val="id-ID"/>
        </w:rPr>
        <w:t>)</w:t>
      </w:r>
    </w:p>
    <w:p w14:paraId="2EAE14D7">
      <w:pPr>
        <w:spacing w:line="360" w:lineRule="auto"/>
        <w:ind w:left="1080"/>
        <w:contextualSpacing/>
        <w:rPr>
          <w:rFonts w:ascii="Times New Roman" w:hAnsi="Times New Roman" w:eastAsia="Calibri" w:cs="Times New Roman"/>
          <w:bCs/>
          <w:sz w:val="20"/>
          <w:szCs w:val="20"/>
          <w:lang w:val="id-ID"/>
        </w:rPr>
      </w:pPr>
    </w:p>
    <w:p w14:paraId="731E388B">
      <w:pPr>
        <w:spacing w:line="360" w:lineRule="auto"/>
        <w:ind w:left="720" w:firstLine="720"/>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The results of the R-Square tests show that construct X has an R-Square value of 0.731, whilst construct Y has an R-Square value of 0.224. These R-Square values indicate the proportion of variation in the endogenous construct that can be explained by the exogenous construct in the research model. An R-Square value of 0.731 for construct X indicates that 73.1% of the variation in X can be explained by variable M, whilst the remaining 26.9% is explained by other variables outside the model. Based on the criteria of Hair et al. (2010), an R-Square value of 0.67 can be categorised as strong, meaning that construct X has good predictive power. Meanwhile, the R-Square value of 0.224 for construct Y indicates that 22.4% of the variation in Y can be explained by variables M and X.</w:t>
      </w:r>
      <w:r>
        <w:rPr>
          <w:rFonts w:hint="default" w:ascii="Times New Roman" w:hAnsi="Times New Roman" w:eastAsia="Calibri" w:cs="Times New Roman"/>
          <w:bCs/>
          <w:sz w:val="24"/>
          <w:szCs w:val="24"/>
          <w:lang w:val="id-ID"/>
        </w:rPr>
        <w:t xml:space="preserve"> </w:t>
      </w:r>
      <w:r>
        <w:rPr>
          <w:rFonts w:ascii="Times New Roman" w:hAnsi="Times New Roman" w:eastAsia="Calibri" w:cs="Times New Roman"/>
          <w:bCs/>
          <w:sz w:val="24"/>
          <w:szCs w:val="24"/>
          <w:lang w:val="id-ID"/>
        </w:rPr>
        <w:t>whilst the remaining 77.6% is influenced by other factors outside the scope of this study. Based on the criteria of Hair et al. (2010), an R-Square value of around 0.19–0.33 can be categorised as weak to moderate, meaning that construct Y has low to moderate predictive power. Overall, these results indicate that the model has good predictive power for construct X, but predictive power for construct Y remains relatively limited; therefore, the interpretation of the influence on variable Y must be undertaken with caution.</w:t>
      </w:r>
    </w:p>
    <w:p w14:paraId="6E180B51">
      <w:pPr>
        <w:spacing w:line="360" w:lineRule="auto"/>
        <w:ind w:left="1080"/>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 xml:space="preserve">F-Square ( </w:t>
      </w:r>
      <w:r>
        <w:rPr>
          <w:rFonts w:ascii="Times New Roman" w:hAnsi="Times New Roman" w:eastAsia="Calibri" w:cs="Times New Roman"/>
          <w:b/>
          <w:i/>
          <w:iCs/>
          <w:sz w:val="24"/>
          <w:szCs w:val="24"/>
          <w:lang w:val="id-ID"/>
        </w:rPr>
        <w:t>Effect Size</w:t>
      </w:r>
      <w:r>
        <w:rPr>
          <w:rFonts w:ascii="Times New Roman" w:hAnsi="Times New Roman" w:eastAsia="Calibri" w:cs="Times New Roman"/>
          <w:b/>
          <w:sz w:val="24"/>
          <w:szCs w:val="24"/>
          <w:lang w:val="id-ID"/>
        </w:rPr>
        <w:t xml:space="preserve"> )</w:t>
      </w:r>
    </w:p>
    <w:p w14:paraId="1F2B21B8">
      <w:pPr>
        <w:spacing w:line="240" w:lineRule="auto"/>
        <w:ind w:firstLine="1024" w:firstLineChars="427"/>
        <w:contextualSpacing/>
        <w:rPr>
          <w:rFonts w:ascii="Times New Roman" w:hAnsi="Times New Roman" w:eastAsia="Calibri" w:cs="Times New Roman"/>
          <w:bCs/>
          <w:sz w:val="20"/>
          <w:szCs w:val="20"/>
          <w:lang w:val="id-ID"/>
        </w:rPr>
      </w:pPr>
      <w:r>
        <w:rPr>
          <w:rFonts w:ascii="Times New Roman" w:hAnsi="Times New Roman" w:eastAsia="Calibri" w:cs="Times New Roman"/>
          <w:bCs/>
          <w:sz w:val="24"/>
          <w:szCs w:val="24"/>
          <w:lang w:val="id-ID"/>
        </w:rPr>
        <w:t xml:space="preserve">The larger the F-square value, the greater the influence of the independent </w:t>
      </w:r>
      <w:r>
        <w:rPr>
          <w:rFonts w:hint="default" w:ascii="Times New Roman" w:hAnsi="Times New Roman" w:eastAsia="Calibri" w:cs="Times New Roman"/>
          <w:bCs/>
          <w:sz w:val="24"/>
          <w:szCs w:val="24"/>
          <w:lang w:val="id-ID"/>
        </w:rPr>
        <w:tab/>
      </w:r>
      <w:r>
        <w:rPr>
          <w:rFonts w:hint="default" w:ascii="Times New Roman" w:hAnsi="Times New Roman" w:eastAsia="Calibri" w:cs="Times New Roman"/>
          <w:bCs/>
          <w:sz w:val="24"/>
          <w:szCs w:val="24"/>
          <w:lang w:val="id-ID"/>
        </w:rPr>
        <w:t xml:space="preserve">      </w:t>
      </w:r>
      <w:r>
        <w:rPr>
          <w:rFonts w:ascii="Times New Roman" w:hAnsi="Times New Roman" w:eastAsia="Calibri" w:cs="Times New Roman"/>
          <w:bCs/>
          <w:sz w:val="24"/>
          <w:szCs w:val="24"/>
          <w:lang w:val="id-ID"/>
        </w:rPr>
        <w:t>construct on the dependent construct.</w:t>
      </w:r>
      <w:r>
        <w:rPr>
          <w:rFonts w:ascii="Times New Roman" w:hAnsi="Times New Roman" w:eastAsia="Calibri" w:cs="Times New Roman"/>
          <w:bCs/>
          <w:sz w:val="24"/>
          <w:szCs w:val="24"/>
          <w:lang w:val="id-ID"/>
        </w:rPr>
        <w:cr/>
      </w:r>
      <w:r>
        <w:rPr>
          <w:rFonts w:ascii="Times New Roman" w:hAnsi="Times New Roman" w:eastAsia="Calibri" w:cs="Times New Roman"/>
          <w:b/>
          <w:bCs/>
          <w:sz w:val="20"/>
          <w:szCs w:val="20"/>
          <w:lang w:val="id-ID"/>
        </w:rPr>
        <w:t xml:space="preserve">                                                          Tabel 4.12 Effect Size</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276"/>
        <w:gridCol w:w="1275"/>
        <w:gridCol w:w="1276"/>
      </w:tblGrid>
      <w:tr w14:paraId="6F39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73" w:type="dxa"/>
            <w:noWrap/>
          </w:tcPr>
          <w:p w14:paraId="54B95B72">
            <w:pPr>
              <w:spacing w:after="0" w:line="240" w:lineRule="auto"/>
              <w:jc w:val="center"/>
              <w:rPr>
                <w:rFonts w:ascii="Times New Roman" w:hAnsi="Times New Roman" w:eastAsia="Times New Roman" w:cs="Times New Roman"/>
                <w:b/>
                <w:bCs/>
                <w:color w:val="000000"/>
                <w:sz w:val="20"/>
                <w:szCs w:val="20"/>
                <w:lang w:eastAsia="zh-CN"/>
              </w:rPr>
            </w:pPr>
          </w:p>
        </w:tc>
        <w:tc>
          <w:tcPr>
            <w:tcW w:w="1276" w:type="dxa"/>
            <w:noWrap/>
          </w:tcPr>
          <w:p w14:paraId="65F608D1">
            <w:pPr>
              <w:spacing w:after="0" w:line="240" w:lineRule="auto"/>
              <w:jc w:val="center"/>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M</w:t>
            </w:r>
          </w:p>
        </w:tc>
        <w:tc>
          <w:tcPr>
            <w:tcW w:w="1275" w:type="dxa"/>
            <w:noWrap/>
          </w:tcPr>
          <w:p w14:paraId="2ABD230D">
            <w:pPr>
              <w:spacing w:after="0" w:line="240" w:lineRule="auto"/>
              <w:jc w:val="center"/>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X</w:t>
            </w:r>
          </w:p>
        </w:tc>
        <w:tc>
          <w:tcPr>
            <w:tcW w:w="1276" w:type="dxa"/>
            <w:noWrap/>
          </w:tcPr>
          <w:p w14:paraId="34F67D7E">
            <w:pPr>
              <w:spacing w:after="0" w:line="240" w:lineRule="auto"/>
              <w:jc w:val="center"/>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Y</w:t>
            </w:r>
          </w:p>
        </w:tc>
      </w:tr>
      <w:tr w14:paraId="3950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73" w:type="dxa"/>
            <w:noWrap/>
          </w:tcPr>
          <w:p w14:paraId="7EABA7CA">
            <w:pPr>
              <w:spacing w:after="0" w:line="240" w:lineRule="auto"/>
              <w:jc w:val="center"/>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M</w:t>
            </w:r>
          </w:p>
        </w:tc>
        <w:tc>
          <w:tcPr>
            <w:tcW w:w="1276" w:type="dxa"/>
            <w:noWrap/>
          </w:tcPr>
          <w:p w14:paraId="1A50ECFE">
            <w:pPr>
              <w:spacing w:after="0" w:line="240" w:lineRule="auto"/>
              <w:jc w:val="center"/>
              <w:rPr>
                <w:rFonts w:ascii="Times New Roman" w:hAnsi="Times New Roman" w:eastAsia="Times New Roman" w:cs="Times New Roman"/>
                <w:b/>
                <w:bCs/>
                <w:color w:val="800000"/>
                <w:sz w:val="20"/>
                <w:szCs w:val="20"/>
                <w:lang w:eastAsia="zh-CN"/>
              </w:rPr>
            </w:pPr>
          </w:p>
        </w:tc>
        <w:tc>
          <w:tcPr>
            <w:tcW w:w="1275" w:type="dxa"/>
            <w:noWrap/>
          </w:tcPr>
          <w:p w14:paraId="2DA08273">
            <w:pPr>
              <w:spacing w:after="0" w:line="240" w:lineRule="auto"/>
              <w:jc w:val="center"/>
              <w:rPr>
                <w:rFonts w:ascii="Times New Roman" w:hAnsi="Times New Roman" w:eastAsia="Times New Roman" w:cs="Times New Roman"/>
                <w:b/>
                <w:bCs/>
                <w:color w:val="800000"/>
                <w:sz w:val="20"/>
                <w:szCs w:val="20"/>
                <w:lang w:eastAsia="zh-CN"/>
              </w:rPr>
            </w:pPr>
          </w:p>
        </w:tc>
        <w:tc>
          <w:tcPr>
            <w:tcW w:w="1276" w:type="dxa"/>
            <w:noWrap/>
          </w:tcPr>
          <w:p w14:paraId="01B935C5">
            <w:pPr>
              <w:spacing w:after="0" w:line="240" w:lineRule="auto"/>
              <w:jc w:val="center"/>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0,061</w:t>
            </w:r>
          </w:p>
        </w:tc>
      </w:tr>
      <w:tr w14:paraId="423F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73" w:type="dxa"/>
            <w:noWrap/>
          </w:tcPr>
          <w:p w14:paraId="601901A7">
            <w:pPr>
              <w:spacing w:after="0" w:line="240" w:lineRule="auto"/>
              <w:jc w:val="center"/>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X</w:t>
            </w:r>
          </w:p>
        </w:tc>
        <w:tc>
          <w:tcPr>
            <w:tcW w:w="1276" w:type="dxa"/>
            <w:noWrap/>
          </w:tcPr>
          <w:p w14:paraId="3A613ABC">
            <w:pPr>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2,714</w:t>
            </w:r>
          </w:p>
        </w:tc>
        <w:tc>
          <w:tcPr>
            <w:tcW w:w="1275" w:type="dxa"/>
            <w:noWrap/>
          </w:tcPr>
          <w:p w14:paraId="3F171AAF">
            <w:pPr>
              <w:spacing w:after="0" w:line="240" w:lineRule="auto"/>
              <w:jc w:val="center"/>
              <w:rPr>
                <w:rFonts w:ascii="Times New Roman" w:hAnsi="Times New Roman" w:eastAsia="Times New Roman" w:cs="Times New Roman"/>
                <w:b/>
                <w:bCs/>
                <w:sz w:val="20"/>
                <w:szCs w:val="20"/>
                <w:lang w:eastAsia="zh-CN"/>
              </w:rPr>
            </w:pPr>
          </w:p>
        </w:tc>
        <w:tc>
          <w:tcPr>
            <w:tcW w:w="1276" w:type="dxa"/>
            <w:noWrap/>
          </w:tcPr>
          <w:p w14:paraId="746783FD">
            <w:pPr>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0,001</w:t>
            </w:r>
          </w:p>
        </w:tc>
      </w:tr>
      <w:tr w14:paraId="527D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73" w:type="dxa"/>
            <w:noWrap/>
          </w:tcPr>
          <w:p w14:paraId="1577B341">
            <w:pPr>
              <w:spacing w:after="0" w:line="240" w:lineRule="auto"/>
              <w:jc w:val="center"/>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Y</w:t>
            </w:r>
          </w:p>
        </w:tc>
        <w:tc>
          <w:tcPr>
            <w:tcW w:w="1276" w:type="dxa"/>
            <w:noWrap/>
          </w:tcPr>
          <w:p w14:paraId="2C2492B1">
            <w:pPr>
              <w:spacing w:after="0" w:line="240" w:lineRule="auto"/>
              <w:jc w:val="center"/>
              <w:rPr>
                <w:rFonts w:ascii="Times New Roman" w:hAnsi="Times New Roman" w:eastAsia="Times New Roman" w:cs="Times New Roman"/>
                <w:b/>
                <w:bCs/>
                <w:color w:val="800000"/>
                <w:sz w:val="20"/>
                <w:szCs w:val="20"/>
                <w:lang w:eastAsia="zh-CN"/>
              </w:rPr>
            </w:pPr>
          </w:p>
        </w:tc>
        <w:tc>
          <w:tcPr>
            <w:tcW w:w="1275" w:type="dxa"/>
            <w:noWrap/>
          </w:tcPr>
          <w:p w14:paraId="121C4E1F">
            <w:pPr>
              <w:spacing w:after="0" w:line="240" w:lineRule="auto"/>
              <w:jc w:val="center"/>
              <w:rPr>
                <w:rFonts w:ascii="Times New Roman" w:hAnsi="Times New Roman" w:eastAsia="Times New Roman" w:cs="Times New Roman"/>
                <w:b/>
                <w:bCs/>
                <w:color w:val="800000"/>
                <w:sz w:val="20"/>
                <w:szCs w:val="20"/>
                <w:lang w:eastAsia="zh-CN"/>
              </w:rPr>
            </w:pPr>
          </w:p>
        </w:tc>
        <w:tc>
          <w:tcPr>
            <w:tcW w:w="1276" w:type="dxa"/>
            <w:noWrap/>
          </w:tcPr>
          <w:p w14:paraId="62EDA91E">
            <w:pPr>
              <w:spacing w:after="0" w:line="240" w:lineRule="auto"/>
              <w:jc w:val="center"/>
              <w:rPr>
                <w:rFonts w:ascii="Times New Roman" w:hAnsi="Times New Roman" w:eastAsia="Times New Roman" w:cs="Times New Roman"/>
                <w:b/>
                <w:bCs/>
                <w:color w:val="800000"/>
                <w:sz w:val="20"/>
                <w:szCs w:val="20"/>
                <w:lang w:eastAsia="zh-CN"/>
              </w:rPr>
            </w:pPr>
          </w:p>
        </w:tc>
      </w:tr>
    </w:tbl>
    <w:p w14:paraId="3DD64278">
      <w:pPr>
        <w:spacing w:line="360" w:lineRule="auto"/>
        <w:contextualSpacing/>
        <w:rPr>
          <w:rFonts w:ascii="Times New Roman" w:hAnsi="Times New Roman" w:eastAsia="Calibri" w:cs="Times New Roman"/>
          <w:bCs/>
          <w:i/>
          <w:iCs/>
          <w:sz w:val="20"/>
          <w:szCs w:val="20"/>
          <w:lang w:val="id-ID"/>
        </w:rPr>
      </w:pPr>
      <w:r>
        <w:rPr>
          <w:rFonts w:ascii="Times New Roman" w:hAnsi="Times New Roman" w:eastAsia="Calibri" w:cs="Times New Roman"/>
          <w:bCs/>
          <w:i/>
          <w:iCs/>
          <w:sz w:val="20"/>
          <w:szCs w:val="20"/>
          <w:lang w:val="id-ID"/>
        </w:rPr>
        <w:t xml:space="preserve">                               (Sumber : Data Diolah,2025)</w:t>
      </w:r>
    </w:p>
    <w:p w14:paraId="631B7D6A">
      <w:pPr>
        <w:numPr>
          <w:ilvl w:val="0"/>
          <w:numId w:val="0"/>
        </w:numPr>
        <w:spacing w:line="360" w:lineRule="auto"/>
        <w:ind w:left="1425" w:leftChars="0"/>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The effect size f² is used to evaluate the extent to which a predictor construct influences a dependent construct in a PLS-SEM structural model. The f² value indicates the relative contribution of each construct to the R² of the construct it influences. Based on the guidelines proposed by Cohen (1988), effect sizes are categorised into three groups: small (≥ 0.02), moderate (≥ 0.15), and large (≥ 0.35). The results of the f² analysis in this study indicate that the visual merchandising construct (X) has a very large influence on the positive emotion construct (M), with an f² value of 2.714. This value far exceeds the threshold for a large effect, so it can be concluded that changes in the positive emotion construct significantly influence changes in visual merchandising. This indicates that the more positive the emotions felt by consumers, the stronger their perception of visual merchandising elements. Furthermore, the influence of the visual merchandising construct (X) on impulse buying (Y) shows an f² value of 0.061, which falls within the small effect category. Nevertheless, this value still contributes to changes in the impulse buying construct, albeit on a limited scale. Meanwhile, the direct effect of the positive emotion construct (M) on impulse buying (Y) has a very small f² value of just 0.001. This value falls below the minimum threshold (0.02), so it can be concluded that, directly, positive emotion does not have a significant effect on impulse buying in this model. Overall, these results suggest that the role of positive emotion in impulse buying is likely to be indirect, namely through the mediating role of visual merchandising.</w:t>
      </w:r>
    </w:p>
    <w:p w14:paraId="4358C0E4">
      <w:pPr>
        <w:numPr>
          <w:ilvl w:val="0"/>
          <w:numId w:val="9"/>
        </w:numPr>
        <w:spacing w:line="360" w:lineRule="auto"/>
        <w:ind w:left="284" w:firstLine="0"/>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Collinearity Statistic melalui pengujian (VIF)</w:t>
      </w:r>
    </w:p>
    <w:p w14:paraId="33E4EABD">
      <w:pPr>
        <w:spacing w:line="240" w:lineRule="auto"/>
        <w:ind w:left="142" w:hanging="142"/>
        <w:contextualSpacing/>
        <w:jc w:val="center"/>
        <w:rPr>
          <w:rFonts w:ascii="Times New Roman" w:hAnsi="Times New Roman" w:eastAsia="Calibri" w:cs="Times New Roman"/>
          <w:bCs/>
          <w:sz w:val="20"/>
          <w:szCs w:val="20"/>
          <w:lang w:val="id-ID"/>
        </w:rPr>
      </w:pPr>
      <w:r>
        <w:rPr>
          <w:rFonts w:ascii="Times New Roman" w:hAnsi="Times New Roman" w:eastAsia="Calibri" w:cs="Times New Roman"/>
          <w:b/>
          <w:bCs/>
          <w:sz w:val="20"/>
          <w:szCs w:val="20"/>
          <w:lang w:val="id-ID"/>
        </w:rPr>
        <w:t>Tabel 4.13 VIF</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276"/>
        <w:gridCol w:w="1134"/>
        <w:gridCol w:w="1408"/>
      </w:tblGrid>
      <w:tr w14:paraId="1B71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28" w:type="dxa"/>
            <w:noWrap/>
          </w:tcPr>
          <w:p w14:paraId="700E12A0">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 </w:t>
            </w:r>
          </w:p>
        </w:tc>
        <w:tc>
          <w:tcPr>
            <w:tcW w:w="1276" w:type="dxa"/>
            <w:noWrap/>
          </w:tcPr>
          <w:p w14:paraId="66ED6647">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M</w:t>
            </w:r>
          </w:p>
        </w:tc>
        <w:tc>
          <w:tcPr>
            <w:tcW w:w="1134" w:type="dxa"/>
            <w:noWrap/>
          </w:tcPr>
          <w:p w14:paraId="3C79B033">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X</w:t>
            </w:r>
          </w:p>
        </w:tc>
        <w:tc>
          <w:tcPr>
            <w:tcW w:w="1408" w:type="dxa"/>
            <w:noWrap/>
          </w:tcPr>
          <w:p w14:paraId="2369586A">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Y</w:t>
            </w:r>
          </w:p>
        </w:tc>
      </w:tr>
      <w:tr w14:paraId="192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28" w:type="dxa"/>
            <w:noWrap/>
          </w:tcPr>
          <w:p w14:paraId="71A268B6">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M</w:t>
            </w:r>
          </w:p>
        </w:tc>
        <w:tc>
          <w:tcPr>
            <w:tcW w:w="1276" w:type="dxa"/>
            <w:noWrap/>
          </w:tcPr>
          <w:p w14:paraId="7E980806">
            <w:pPr>
              <w:spacing w:after="0" w:line="240" w:lineRule="auto"/>
              <w:rPr>
                <w:rFonts w:ascii="Times New Roman" w:hAnsi="Times New Roman" w:eastAsia="Times New Roman" w:cs="Times New Roman"/>
                <w:b/>
                <w:bCs/>
                <w:color w:val="008000"/>
                <w:sz w:val="20"/>
                <w:szCs w:val="20"/>
                <w:lang w:eastAsia="zh-CN"/>
              </w:rPr>
            </w:pPr>
            <w:r>
              <w:rPr>
                <w:rFonts w:ascii="Times New Roman" w:hAnsi="Times New Roman" w:eastAsia="Times New Roman" w:cs="Times New Roman"/>
                <w:b/>
                <w:bCs/>
                <w:color w:val="008000"/>
                <w:sz w:val="20"/>
                <w:szCs w:val="20"/>
                <w:lang w:eastAsia="zh-CN"/>
              </w:rPr>
              <w:t> </w:t>
            </w:r>
          </w:p>
        </w:tc>
        <w:tc>
          <w:tcPr>
            <w:tcW w:w="1134" w:type="dxa"/>
            <w:noWrap/>
          </w:tcPr>
          <w:p w14:paraId="2978BC67">
            <w:pPr>
              <w:spacing w:after="0" w:line="240" w:lineRule="auto"/>
              <w:rPr>
                <w:rFonts w:ascii="Times New Roman" w:hAnsi="Times New Roman" w:eastAsia="Times New Roman" w:cs="Times New Roman"/>
                <w:b/>
                <w:bCs/>
                <w:color w:val="008000"/>
                <w:sz w:val="20"/>
                <w:szCs w:val="20"/>
                <w:lang w:eastAsia="zh-CN"/>
              </w:rPr>
            </w:pPr>
            <w:r>
              <w:rPr>
                <w:rFonts w:ascii="Times New Roman" w:hAnsi="Times New Roman" w:eastAsia="Times New Roman" w:cs="Times New Roman"/>
                <w:b/>
                <w:bCs/>
                <w:color w:val="008000"/>
                <w:sz w:val="20"/>
                <w:szCs w:val="20"/>
                <w:lang w:eastAsia="zh-CN"/>
              </w:rPr>
              <w:t> </w:t>
            </w:r>
          </w:p>
        </w:tc>
        <w:tc>
          <w:tcPr>
            <w:tcW w:w="1408" w:type="dxa"/>
            <w:noWrap/>
          </w:tcPr>
          <w:p w14:paraId="17E07664">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3,714</w:t>
            </w:r>
          </w:p>
        </w:tc>
      </w:tr>
      <w:tr w14:paraId="07EB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28" w:type="dxa"/>
            <w:noWrap/>
          </w:tcPr>
          <w:p w14:paraId="10470CBF">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X</w:t>
            </w:r>
          </w:p>
        </w:tc>
        <w:tc>
          <w:tcPr>
            <w:tcW w:w="1276" w:type="dxa"/>
            <w:noWrap/>
          </w:tcPr>
          <w:p w14:paraId="10C0A25A">
            <w:pPr>
              <w:spacing w:after="0" w:line="240" w:lineRule="auto"/>
              <w:jc w:val="right"/>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1,000</w:t>
            </w:r>
          </w:p>
        </w:tc>
        <w:tc>
          <w:tcPr>
            <w:tcW w:w="1134" w:type="dxa"/>
            <w:noWrap/>
          </w:tcPr>
          <w:p w14:paraId="49211B8E">
            <w:pPr>
              <w:spacing w:after="0" w:line="240" w:lineRule="auto"/>
              <w:rPr>
                <w:rFonts w:ascii="Times New Roman" w:hAnsi="Times New Roman" w:eastAsia="Times New Roman" w:cs="Times New Roman"/>
                <w:b/>
                <w:bCs/>
                <w:color w:val="008000"/>
                <w:sz w:val="20"/>
                <w:szCs w:val="20"/>
                <w:lang w:eastAsia="zh-CN"/>
              </w:rPr>
            </w:pPr>
            <w:r>
              <w:rPr>
                <w:rFonts w:ascii="Times New Roman" w:hAnsi="Times New Roman" w:eastAsia="Times New Roman" w:cs="Times New Roman"/>
                <w:b/>
                <w:bCs/>
                <w:color w:val="008000"/>
                <w:sz w:val="20"/>
                <w:szCs w:val="20"/>
                <w:lang w:eastAsia="zh-CN"/>
              </w:rPr>
              <w:t> </w:t>
            </w:r>
          </w:p>
        </w:tc>
        <w:tc>
          <w:tcPr>
            <w:tcW w:w="1408" w:type="dxa"/>
            <w:noWrap/>
          </w:tcPr>
          <w:p w14:paraId="162AEDA8">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3,714</w:t>
            </w:r>
          </w:p>
        </w:tc>
      </w:tr>
      <w:tr w14:paraId="3770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28" w:type="dxa"/>
            <w:noWrap/>
          </w:tcPr>
          <w:p w14:paraId="03317D81">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Y</w:t>
            </w:r>
          </w:p>
        </w:tc>
        <w:tc>
          <w:tcPr>
            <w:tcW w:w="1276" w:type="dxa"/>
            <w:noWrap/>
          </w:tcPr>
          <w:p w14:paraId="1CA87E3B">
            <w:pPr>
              <w:spacing w:after="0" w:line="240" w:lineRule="auto"/>
              <w:rPr>
                <w:rFonts w:ascii="Times New Roman" w:hAnsi="Times New Roman" w:eastAsia="Times New Roman" w:cs="Times New Roman"/>
                <w:b/>
                <w:bCs/>
                <w:color w:val="008000"/>
                <w:sz w:val="20"/>
                <w:szCs w:val="20"/>
                <w:lang w:eastAsia="zh-CN"/>
              </w:rPr>
            </w:pPr>
            <w:r>
              <w:rPr>
                <w:rFonts w:ascii="Times New Roman" w:hAnsi="Times New Roman" w:eastAsia="Times New Roman" w:cs="Times New Roman"/>
                <w:b/>
                <w:bCs/>
                <w:color w:val="008000"/>
                <w:sz w:val="20"/>
                <w:szCs w:val="20"/>
                <w:lang w:eastAsia="zh-CN"/>
              </w:rPr>
              <w:t> </w:t>
            </w:r>
          </w:p>
        </w:tc>
        <w:tc>
          <w:tcPr>
            <w:tcW w:w="1134" w:type="dxa"/>
            <w:noWrap/>
          </w:tcPr>
          <w:p w14:paraId="06FF520A">
            <w:pPr>
              <w:spacing w:after="0" w:line="240" w:lineRule="auto"/>
              <w:rPr>
                <w:rFonts w:ascii="Times New Roman" w:hAnsi="Times New Roman" w:eastAsia="Times New Roman" w:cs="Times New Roman"/>
                <w:b/>
                <w:bCs/>
                <w:color w:val="008000"/>
                <w:sz w:val="20"/>
                <w:szCs w:val="20"/>
                <w:lang w:eastAsia="zh-CN"/>
              </w:rPr>
            </w:pPr>
            <w:r>
              <w:rPr>
                <w:rFonts w:ascii="Times New Roman" w:hAnsi="Times New Roman" w:eastAsia="Times New Roman" w:cs="Times New Roman"/>
                <w:b/>
                <w:bCs/>
                <w:color w:val="008000"/>
                <w:sz w:val="20"/>
                <w:szCs w:val="20"/>
                <w:lang w:eastAsia="zh-CN"/>
              </w:rPr>
              <w:t> </w:t>
            </w:r>
          </w:p>
        </w:tc>
        <w:tc>
          <w:tcPr>
            <w:tcW w:w="1408" w:type="dxa"/>
            <w:noWrap/>
          </w:tcPr>
          <w:p w14:paraId="0BFB0162">
            <w:pPr>
              <w:spacing w:after="0" w:line="240" w:lineRule="auto"/>
              <w:rPr>
                <w:rFonts w:ascii="Times New Roman" w:hAnsi="Times New Roman" w:eastAsia="Times New Roman" w:cs="Times New Roman"/>
                <w:b/>
                <w:bCs/>
                <w:color w:val="008000"/>
                <w:sz w:val="20"/>
                <w:szCs w:val="20"/>
                <w:lang w:eastAsia="zh-CN"/>
              </w:rPr>
            </w:pPr>
            <w:r>
              <w:rPr>
                <w:rFonts w:ascii="Times New Roman" w:hAnsi="Times New Roman" w:eastAsia="Times New Roman" w:cs="Times New Roman"/>
                <w:b/>
                <w:bCs/>
                <w:color w:val="008000"/>
                <w:sz w:val="20"/>
                <w:szCs w:val="20"/>
                <w:lang w:eastAsia="zh-CN"/>
              </w:rPr>
              <w:t> </w:t>
            </w:r>
          </w:p>
        </w:tc>
      </w:tr>
    </w:tbl>
    <w:p w14:paraId="7C54879F">
      <w:pPr>
        <w:spacing w:line="360" w:lineRule="auto"/>
        <w:rPr>
          <w:rFonts w:ascii="Times New Roman" w:hAnsi="Times New Roman" w:eastAsia="Calibri" w:cs="Times New Roman"/>
          <w:bCs/>
          <w:sz w:val="20"/>
          <w:szCs w:val="20"/>
          <w:lang w:val="id-ID"/>
        </w:rPr>
      </w:pPr>
      <w:r>
        <w:rPr>
          <w:rFonts w:ascii="Times New Roman" w:hAnsi="Times New Roman" w:eastAsia="Calibri" w:cs="Times New Roman"/>
          <w:bCs/>
          <w:i/>
          <w:iCs/>
          <w:sz w:val="20"/>
          <w:szCs w:val="20"/>
          <w:lang w:val="id-ID"/>
        </w:rPr>
        <w:t xml:space="preserve">                                   ( Sumber :</w:t>
      </w:r>
      <w:r>
        <w:rPr>
          <w:rFonts w:ascii="Times New Roman" w:hAnsi="Times New Roman" w:eastAsia="Calibri" w:cs="Times New Roman"/>
          <w:bCs/>
          <w:sz w:val="20"/>
          <w:szCs w:val="20"/>
          <w:lang w:val="id-ID"/>
        </w:rPr>
        <w:t xml:space="preserve"> </w:t>
      </w:r>
      <w:r>
        <w:rPr>
          <w:rFonts w:ascii="Times New Roman" w:hAnsi="Times New Roman" w:eastAsia="Calibri" w:cs="Times New Roman"/>
          <w:bCs/>
          <w:i/>
          <w:iCs/>
          <w:sz w:val="20"/>
          <w:szCs w:val="20"/>
          <w:lang w:val="id-ID"/>
        </w:rPr>
        <w:t>Data Diolah, 2025</w:t>
      </w:r>
      <w:r>
        <w:rPr>
          <w:rFonts w:ascii="Times New Roman" w:hAnsi="Times New Roman" w:eastAsia="Calibri" w:cs="Times New Roman"/>
          <w:bCs/>
          <w:sz w:val="20"/>
          <w:szCs w:val="20"/>
          <w:lang w:val="id-ID"/>
        </w:rPr>
        <w:t>)</w:t>
      </w:r>
    </w:p>
    <w:p w14:paraId="2DF4C281">
      <w:pPr>
        <w:numPr>
          <w:ilvl w:val="0"/>
          <w:numId w:val="9"/>
        </w:numPr>
        <w:spacing w:line="360" w:lineRule="auto"/>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Based on the results of the inner VIF test in Table 4.13 above, it was found that the VIF value of the visual merchandising (M) and positive emotion (X) constructs relative to the impulse buying (Y) construct was 3.714. This value remains below the 5 threshold; therefore, it can be concluded that there is no multicollinearity issue between the constructs in this model. Outer VIF (Between Indicators): The VIF test on the indicators forming the constructs also yielded favourable results. The VIF values for all these indicators ranged from 1.602 to 2.835. Overall, the VIF test results—both at the construct level (inner VIF) and the indicator level (outer VIF)—indicate that the model is free from multicollinearity issues.</w:t>
      </w:r>
    </w:p>
    <w:p w14:paraId="127F94E2">
      <w:pPr>
        <w:numPr>
          <w:ilvl w:val="0"/>
          <w:numId w:val="9"/>
        </w:numPr>
        <w:spacing w:line="360" w:lineRule="auto"/>
        <w:ind w:left="284" w:firstLine="0"/>
        <w:contextualSpacing/>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Model Fit (SRMR, NFI, Chi-Square)</w:t>
      </w:r>
    </w:p>
    <w:p w14:paraId="5113F54F">
      <w:pPr>
        <w:spacing w:line="360" w:lineRule="auto"/>
        <w:ind w:left="567"/>
        <w:contextualSpacing/>
        <w:jc w:val="both"/>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t xml:space="preserve">In addition to validity, reliability and structural equation modelling tests, a goodness-of-fit evaluation was also carried out to ensure that the estimated model fits the data. In the PLS-SEM approach, the most commonly used measure of model fit is the Standardised Root Mean Square Residual (SRMR) </w:t>
      </w:r>
    </w:p>
    <w:p w14:paraId="30ADBC67">
      <w:pPr>
        <w:spacing w:line="360" w:lineRule="auto"/>
        <w:ind w:left="567"/>
        <w:jc w:val="both"/>
        <w:rPr>
          <w:rFonts w:ascii="Times New Roman" w:hAnsi="Times New Roman" w:eastAsia="Calibri" w:cs="Times New Roman"/>
          <w:bCs/>
          <w:sz w:val="24"/>
          <w:szCs w:val="24"/>
          <w:lang w:val="id-ID"/>
        </w:rPr>
      </w:pPr>
      <w:r>
        <w:rPr>
          <w:rFonts w:ascii="Times New Roman" w:hAnsi="Times New Roman" w:eastAsia="Calibri" w:cs="Times New Roman"/>
          <w:b/>
          <w:sz w:val="24"/>
          <w:szCs w:val="24"/>
          <w:lang w:val="id-ID"/>
        </w:rPr>
        <w:t>7. Hypothesis Testing Using the Bootstrapping Technique</w:t>
      </w:r>
      <w:r>
        <w:rPr>
          <w:rFonts w:ascii="Times New Roman" w:hAnsi="Times New Roman" w:eastAsia="Calibri" w:cs="Times New Roman"/>
          <w:b/>
          <w:sz w:val="24"/>
          <w:szCs w:val="24"/>
          <w:lang w:val="id-ID"/>
        </w:rPr>
        <w:cr/>
      </w:r>
      <w:r>
        <w:rPr>
          <w:rFonts w:ascii="Times New Roman" w:hAnsi="Times New Roman" w:eastAsia="Calibri" w:cs="Times New Roman"/>
          <w:bCs/>
          <w:sz w:val="24"/>
          <w:szCs w:val="24"/>
          <w:lang w:val="id-ID"/>
        </w:rPr>
        <w:t>Based on the results of the bootstrapping test, the path coefficients, t-statistics and p-values were obtained as shown in Table 4.14 below</w:t>
      </w:r>
    </w:p>
    <w:p w14:paraId="3F55326B">
      <w:pPr>
        <w:spacing w:line="360" w:lineRule="auto"/>
        <w:jc w:val="center"/>
        <w:rPr>
          <w:rFonts w:ascii="Times New Roman" w:hAnsi="Times New Roman" w:eastAsia="Calibri" w:cs="Times New Roman"/>
          <w:b/>
          <w:sz w:val="20"/>
          <w:szCs w:val="20"/>
          <w:lang w:val="id-ID"/>
        </w:rPr>
      </w:pPr>
      <w:r>
        <w:rPr>
          <w:rFonts w:ascii="Times New Roman" w:hAnsi="Times New Roman" w:eastAsia="Calibri" w:cs="Times New Roman"/>
          <w:b/>
          <w:sz w:val="20"/>
          <w:szCs w:val="20"/>
          <w:lang w:val="id-ID"/>
        </w:rPr>
        <w:t>Tabel 4.14 Bootsrapping</w:t>
      </w:r>
    </w:p>
    <w:tbl>
      <w:tblPr>
        <w:tblStyle w:val="12"/>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5"/>
        <w:gridCol w:w="1295"/>
        <w:gridCol w:w="1295"/>
      </w:tblGrid>
      <w:tr w14:paraId="2132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6" w:type="dxa"/>
            <w:noWrap/>
          </w:tcPr>
          <w:p w14:paraId="427C164D">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 </w:t>
            </w:r>
          </w:p>
        </w:tc>
        <w:tc>
          <w:tcPr>
            <w:tcW w:w="1476" w:type="dxa"/>
            <w:noWrap/>
          </w:tcPr>
          <w:p w14:paraId="2D70633D">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Sampel Asli (O)</w:t>
            </w:r>
          </w:p>
        </w:tc>
        <w:tc>
          <w:tcPr>
            <w:tcW w:w="1476" w:type="dxa"/>
            <w:noWrap/>
          </w:tcPr>
          <w:p w14:paraId="4B9BD7C7">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Rata-rata Sampel (M)</w:t>
            </w:r>
          </w:p>
        </w:tc>
        <w:tc>
          <w:tcPr>
            <w:tcW w:w="1476" w:type="dxa"/>
            <w:noWrap/>
          </w:tcPr>
          <w:p w14:paraId="34B1C51C">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Standar Deviasi (STDEV)</w:t>
            </w:r>
          </w:p>
        </w:tc>
        <w:tc>
          <w:tcPr>
            <w:tcW w:w="1476" w:type="dxa"/>
            <w:noWrap/>
          </w:tcPr>
          <w:p w14:paraId="22E39884">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T Statistik (| O/STDEV |)</w:t>
            </w:r>
          </w:p>
        </w:tc>
        <w:tc>
          <w:tcPr>
            <w:tcW w:w="1476" w:type="dxa"/>
            <w:noWrap/>
          </w:tcPr>
          <w:p w14:paraId="105ED586">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P Values</w:t>
            </w:r>
          </w:p>
        </w:tc>
      </w:tr>
      <w:tr w14:paraId="2158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6" w:type="dxa"/>
            <w:noWrap/>
          </w:tcPr>
          <w:p w14:paraId="1EDFD87F">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M -&gt; Y</w:t>
            </w:r>
          </w:p>
        </w:tc>
        <w:tc>
          <w:tcPr>
            <w:tcW w:w="1476" w:type="dxa"/>
            <w:noWrap/>
          </w:tcPr>
          <w:p w14:paraId="0C813903">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0,419</w:t>
            </w:r>
          </w:p>
        </w:tc>
        <w:tc>
          <w:tcPr>
            <w:tcW w:w="1476" w:type="dxa"/>
            <w:noWrap/>
          </w:tcPr>
          <w:p w14:paraId="5474D665">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0,417</w:t>
            </w:r>
          </w:p>
        </w:tc>
        <w:tc>
          <w:tcPr>
            <w:tcW w:w="1476" w:type="dxa"/>
            <w:noWrap/>
          </w:tcPr>
          <w:p w14:paraId="2151C446">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0,147</w:t>
            </w:r>
          </w:p>
        </w:tc>
        <w:tc>
          <w:tcPr>
            <w:tcW w:w="1476" w:type="dxa"/>
            <w:noWrap/>
          </w:tcPr>
          <w:p w14:paraId="58E37444">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2,844</w:t>
            </w:r>
          </w:p>
        </w:tc>
        <w:tc>
          <w:tcPr>
            <w:tcW w:w="1476" w:type="dxa"/>
            <w:noWrap/>
          </w:tcPr>
          <w:p w14:paraId="28F02F71">
            <w:pPr>
              <w:spacing w:after="0" w:line="240" w:lineRule="auto"/>
              <w:jc w:val="right"/>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0,005</w:t>
            </w:r>
          </w:p>
        </w:tc>
      </w:tr>
      <w:tr w14:paraId="7C0D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6" w:type="dxa"/>
            <w:noWrap/>
          </w:tcPr>
          <w:p w14:paraId="68C7ADB2">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X -&gt; M</w:t>
            </w:r>
          </w:p>
        </w:tc>
        <w:tc>
          <w:tcPr>
            <w:tcW w:w="1476" w:type="dxa"/>
            <w:noWrap/>
          </w:tcPr>
          <w:p w14:paraId="4F5F7EBF">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0,855</w:t>
            </w:r>
          </w:p>
        </w:tc>
        <w:tc>
          <w:tcPr>
            <w:tcW w:w="1476" w:type="dxa"/>
            <w:noWrap/>
          </w:tcPr>
          <w:p w14:paraId="1D8E539C">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0,857</w:t>
            </w:r>
          </w:p>
        </w:tc>
        <w:tc>
          <w:tcPr>
            <w:tcW w:w="1476" w:type="dxa"/>
            <w:noWrap/>
          </w:tcPr>
          <w:p w14:paraId="782A4290">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0,025</w:t>
            </w:r>
          </w:p>
        </w:tc>
        <w:tc>
          <w:tcPr>
            <w:tcW w:w="1476" w:type="dxa"/>
            <w:noWrap/>
          </w:tcPr>
          <w:p w14:paraId="084885AD">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33,917</w:t>
            </w:r>
          </w:p>
        </w:tc>
        <w:tc>
          <w:tcPr>
            <w:tcW w:w="1476" w:type="dxa"/>
            <w:noWrap/>
          </w:tcPr>
          <w:p w14:paraId="613CFEF5">
            <w:pPr>
              <w:spacing w:after="0" w:line="240" w:lineRule="auto"/>
              <w:jc w:val="right"/>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0,000</w:t>
            </w:r>
          </w:p>
        </w:tc>
      </w:tr>
      <w:tr w14:paraId="14E1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6" w:type="dxa"/>
            <w:noWrap/>
          </w:tcPr>
          <w:p w14:paraId="3ED49625">
            <w:pPr>
              <w:spacing w:after="0" w:line="240" w:lineRule="auto"/>
              <w:rPr>
                <w:rFonts w:ascii="Times New Roman" w:hAnsi="Times New Roman" w:eastAsia="Times New Roman" w:cs="Times New Roman"/>
                <w:b/>
                <w:bCs/>
                <w:color w:val="000000"/>
                <w:sz w:val="20"/>
                <w:szCs w:val="20"/>
                <w:lang w:eastAsia="zh-CN"/>
              </w:rPr>
            </w:pPr>
            <w:r>
              <w:rPr>
                <w:rFonts w:ascii="Times New Roman" w:hAnsi="Times New Roman" w:eastAsia="Times New Roman" w:cs="Times New Roman"/>
                <w:b/>
                <w:bCs/>
                <w:color w:val="000000"/>
                <w:sz w:val="20"/>
                <w:szCs w:val="20"/>
                <w:lang w:eastAsia="zh-CN"/>
              </w:rPr>
              <w:t>X -&gt; Y</w:t>
            </w:r>
          </w:p>
        </w:tc>
        <w:tc>
          <w:tcPr>
            <w:tcW w:w="1476" w:type="dxa"/>
            <w:noWrap/>
          </w:tcPr>
          <w:p w14:paraId="7C90CF32">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0,062</w:t>
            </w:r>
          </w:p>
        </w:tc>
        <w:tc>
          <w:tcPr>
            <w:tcW w:w="1476" w:type="dxa"/>
            <w:noWrap/>
          </w:tcPr>
          <w:p w14:paraId="5A69B57C">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0,064</w:t>
            </w:r>
          </w:p>
        </w:tc>
        <w:tc>
          <w:tcPr>
            <w:tcW w:w="1476" w:type="dxa"/>
            <w:noWrap/>
          </w:tcPr>
          <w:p w14:paraId="24644DDC">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0,137</w:t>
            </w:r>
          </w:p>
        </w:tc>
        <w:tc>
          <w:tcPr>
            <w:tcW w:w="1476" w:type="dxa"/>
            <w:noWrap/>
          </w:tcPr>
          <w:p w14:paraId="370BB568">
            <w:pPr>
              <w:spacing w:after="0" w:line="240" w:lineRule="auto"/>
              <w:jc w:val="right"/>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0,451</w:t>
            </w:r>
          </w:p>
        </w:tc>
        <w:tc>
          <w:tcPr>
            <w:tcW w:w="1476" w:type="dxa"/>
            <w:noWrap/>
          </w:tcPr>
          <w:p w14:paraId="573B315E">
            <w:pPr>
              <w:spacing w:after="0" w:line="240" w:lineRule="auto"/>
              <w:jc w:val="right"/>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0,653</w:t>
            </w:r>
          </w:p>
        </w:tc>
      </w:tr>
    </w:tbl>
    <w:p w14:paraId="1B5034AC">
      <w:pPr>
        <w:spacing w:line="360" w:lineRule="auto"/>
        <w:ind w:left="720"/>
        <w:rPr>
          <w:rFonts w:ascii="Times New Roman" w:hAnsi="Times New Roman" w:eastAsia="Calibri" w:cs="Times New Roman"/>
          <w:bCs/>
          <w:sz w:val="24"/>
          <w:szCs w:val="24"/>
          <w:lang w:val="id-ID"/>
        </w:rPr>
      </w:pPr>
      <w:r>
        <w:rPr>
          <w:rFonts w:ascii="Times New Roman" w:hAnsi="Times New Roman" w:eastAsia="Calibri" w:cs="Times New Roman"/>
          <w:bCs/>
          <w:sz w:val="20"/>
          <w:szCs w:val="20"/>
          <w:lang w:val="id-ID"/>
        </w:rPr>
        <w:t>(</w:t>
      </w:r>
      <w:r>
        <w:rPr>
          <w:rFonts w:ascii="Times New Roman" w:hAnsi="Times New Roman" w:eastAsia="Calibri" w:cs="Times New Roman"/>
          <w:bCs/>
          <w:i/>
          <w:iCs/>
          <w:sz w:val="20"/>
          <w:szCs w:val="20"/>
          <w:lang w:val="id-ID"/>
        </w:rPr>
        <w:t>Sumber : Data Diolah, 2025</w:t>
      </w:r>
      <w:r>
        <w:rPr>
          <w:rFonts w:ascii="Times New Roman" w:hAnsi="Times New Roman" w:eastAsia="Calibri" w:cs="Times New Roman"/>
          <w:bCs/>
          <w:sz w:val="20"/>
          <w:szCs w:val="20"/>
          <w:lang w:val="id-ID"/>
        </w:rPr>
        <w:t>)</w:t>
      </w:r>
    </w:p>
    <w:p w14:paraId="26B09A00">
      <w:pPr>
        <w:spacing w:line="360" w:lineRule="auto"/>
        <w:contextualSpacing/>
        <w:rPr>
          <w:rFonts w:hint="default" w:ascii="Times New Roman" w:hAnsi="Times New Roman" w:eastAsia="Calibri" w:cs="Times New Roman"/>
          <w:b/>
          <w:sz w:val="24"/>
          <w:szCs w:val="24"/>
          <w:lang w:val="en-GB"/>
        </w:rPr>
      </w:pPr>
      <w:r>
        <w:rPr>
          <w:rFonts w:hint="default" w:ascii="Times New Roman" w:hAnsi="Times New Roman" w:eastAsia="Calibri" w:cs="Times New Roman"/>
          <w:b/>
          <w:sz w:val="24"/>
          <w:szCs w:val="24"/>
          <w:lang w:val="en-GB"/>
        </w:rPr>
        <w:t xml:space="preserve">4.2.1 The Effect of Visual Merchandising on Positive Emotion (H1) </w:t>
      </w:r>
    </w:p>
    <w:p w14:paraId="4B3B2529">
      <w:pPr>
        <w:spacing w:line="360" w:lineRule="auto"/>
        <w:ind w:left="720" w:leftChars="0" w:firstLine="720" w:firstLineChars="0"/>
        <w:contextualSpacing/>
        <w:jc w:val="both"/>
        <w:rPr>
          <w:rFonts w:hint="default" w:ascii="Times New Roman" w:hAnsi="Times New Roman" w:eastAsia="Calibri" w:cs="Times New Roman"/>
          <w:b w:val="0"/>
          <w:bCs/>
          <w:sz w:val="24"/>
          <w:szCs w:val="24"/>
          <w:lang w:val="en-GB"/>
        </w:rPr>
      </w:pPr>
      <w:r>
        <w:rPr>
          <w:rFonts w:hint="default" w:ascii="Times New Roman" w:hAnsi="Times New Roman" w:eastAsia="Calibri" w:cs="Times New Roman"/>
          <w:b w:val="0"/>
          <w:bCs/>
          <w:sz w:val="24"/>
          <w:szCs w:val="24"/>
          <w:lang w:val="en-GB"/>
        </w:rPr>
        <w:t xml:space="preserve">The test results indicate that the first hypothesis (H1) is accepted, meaning that visual merchandising has a positive and significant effect on positive emotion. A path coefficient of 0.855, a t-statistic of 33.917, and a p-value of 0.000 support this conclusion. This implies that the more appealing a store’s appearance is in terms of layout, lighting, color, and product arrangement, the greater the likelihood that consumers will experience positive feelings such as joy, comfort, and enthusiasm. These results align with the Stimulus-Organism-Response (S-O-R) theoretical framework by Mehrabian and Russel (1974), which states that the store environment, as a stimulus, can influence the psychological or emotional state of consumers as organisms. Thus, an aesthetically pleasing store display evokes positive emotions that serve as the starting point for purchase decisions. </w:t>
      </w:r>
    </w:p>
    <w:p w14:paraId="782AE017">
      <w:pPr>
        <w:spacing w:line="360" w:lineRule="auto"/>
        <w:contextualSpacing/>
        <w:rPr>
          <w:rFonts w:ascii="Times New Roman" w:hAnsi="Times New Roman" w:eastAsia="Calibri" w:cs="Times New Roman"/>
          <w:b/>
          <w:sz w:val="24"/>
          <w:szCs w:val="24"/>
          <w:lang w:val="id-ID"/>
        </w:rPr>
      </w:pPr>
    </w:p>
    <w:p w14:paraId="35546337">
      <w:pPr>
        <w:pStyle w:val="11"/>
        <w:keepNext w:val="0"/>
        <w:keepLines w:val="0"/>
        <w:widowControl/>
        <w:suppressLineNumbers w:val="0"/>
        <w:spacing w:line="360" w:lineRule="auto"/>
        <w:ind w:left="720" w:leftChars="0" w:firstLine="720" w:firstLineChars="0"/>
        <w:jc w:val="both"/>
        <w:rPr>
          <w:b/>
          <w:bCs/>
        </w:rPr>
      </w:pPr>
      <w:r>
        <w:rPr>
          <w:b/>
          <w:bCs/>
        </w:rPr>
        <w:t xml:space="preserve">4.2.2 The Effect of Positive Emotion on Impulse Buying (H2) </w:t>
      </w:r>
    </w:p>
    <w:p w14:paraId="309B465E">
      <w:pPr>
        <w:pStyle w:val="11"/>
        <w:keepNext w:val="0"/>
        <w:keepLines w:val="0"/>
        <w:widowControl/>
        <w:suppressLineNumbers w:val="0"/>
        <w:spacing w:line="360" w:lineRule="auto"/>
        <w:ind w:left="720" w:leftChars="0" w:firstLine="720" w:firstLineChars="0"/>
        <w:jc w:val="both"/>
      </w:pPr>
      <w:r>
        <w:t>Based on the results of the path analysis, the effect of positive emotion on impulse buying among retail consumers in Kupang City was found to be significant, with a coefficient of 0.419, a t-statistic of 2.844, and a p-value of 0.005. These results support Hypothesis H2, which states that the higher the positive emotions felt by consumers, the higher their tendency to make impulse purchases. This finding aligns with several previous studies confirming that positive emotions play a significant role in driving unplanned purchasing behavior.</w:t>
      </w:r>
    </w:p>
    <w:p w14:paraId="3E0B58D7">
      <w:pPr>
        <w:pStyle w:val="11"/>
        <w:keepNext w:val="0"/>
        <w:keepLines w:val="0"/>
        <w:widowControl/>
        <w:suppressLineNumbers w:val="0"/>
        <w:spacing w:line="360" w:lineRule="auto"/>
        <w:ind w:left="720" w:leftChars="0" w:firstLine="720" w:firstLineChars="0"/>
        <w:jc w:val="both"/>
      </w:pPr>
      <w:r>
        <w:t>This explanation can be linked to the Stimulus-Organism-Response (SOR) Theory proposed by Mehrabian and Russell (1974). In this context, positive emotions act as the organism that processes stimuli from the store environment and influences the final response, namely impulsive purchasing behavior. This indicates that impulsive purchasing is not only influenced by visual or physical stimuli but is also influenced by the consumer’s psychological state. Furthermore, the Pleasure-Arousal-Dominance (PAD) Theory proposed by Mehrabian and Russell (1974) also supports these findings. The PAD theory explains that consumer behavior is strongly influenced by feelings of pleasure and arousal that arise in the store environment. Positive emotions such as joy, satisfaction, or comfort increase the likelihood that consumers will act spontaneously and make unplanned purchases.</w:t>
      </w:r>
    </w:p>
    <w:p w14:paraId="1AEE21E1">
      <w:pPr>
        <w:pStyle w:val="11"/>
        <w:keepNext w:val="0"/>
        <w:keepLines w:val="0"/>
        <w:widowControl/>
        <w:suppressLineNumbers w:val="0"/>
        <w:spacing w:line="360" w:lineRule="auto"/>
        <w:ind w:left="720" w:leftChars="0" w:firstLine="720" w:firstLineChars="0"/>
        <w:jc w:val="both"/>
        <w:rPr>
          <w:b/>
          <w:bCs/>
        </w:rPr>
      </w:pPr>
      <w:r>
        <w:rPr>
          <w:b/>
          <w:bCs/>
        </w:rPr>
        <w:t xml:space="preserve">4.2.3 The Effect of Visual Merchandising on Impulse Buying (H3) </w:t>
      </w:r>
    </w:p>
    <w:p w14:paraId="45219EB7">
      <w:pPr>
        <w:pStyle w:val="11"/>
        <w:keepNext w:val="0"/>
        <w:keepLines w:val="0"/>
        <w:widowControl/>
        <w:suppressLineNumbers w:val="0"/>
        <w:spacing w:line="360" w:lineRule="auto"/>
        <w:ind w:left="720" w:leftChars="0" w:firstLine="720" w:firstLineChars="0"/>
        <w:jc w:val="both"/>
      </w:pPr>
      <w:r>
        <w:t>Based on the path analysis results, visual merchandising does not have a significant direct effect on impulse buying, with a coefficient of 0.062, a t-statistic of 0.451, and a p-value of 0.653. These results indicate that Hypothesis H3 is rejected. This means that an attractive store layout does not automatically encourage consumers to make impulse purchases unless accompanied by emotional stimuli. Theoretically, these results can be explained through the Stimulus-Organism-Response (SOR) framework proposed by Mehrabian and Russel (1974). According to this theory, environmental stimuli such as visual merchandising do not directly influence the response (impulse buying) but must pass through the organism’s internal processes, specifically positive emotion. When visual merchandising is viewed merely as a stimulus without evoking emotion, the impulse to buy does not occur significantly. This finding is also consistent with Jacoby’s (1972) Cue Utilization Theory, which explains that consumers use external cues—such as product displays, layout, lighting, and store decor—to form initial perceptions. However, these cues only function effectively if they successfully influence emotional interpretation. Without emotional processing, visual cues remain merely passive information insufficient to trigger impulsive behavior.</w:t>
      </w:r>
    </w:p>
    <w:p w14:paraId="789C01D7">
      <w:pPr>
        <w:pStyle w:val="11"/>
        <w:keepNext w:val="0"/>
        <w:keepLines w:val="0"/>
        <w:widowControl/>
        <w:suppressLineNumbers w:val="0"/>
        <w:spacing w:line="360" w:lineRule="auto"/>
        <w:ind w:left="720" w:leftChars="0" w:firstLine="720" w:firstLineChars="0"/>
        <w:jc w:val="both"/>
      </w:pPr>
      <w:r>
        <w:t>Within the context of the Pleasure-Arousal-Dominance Theory proposed by Mehrabian and Russel (1974), positive emotions—specifically pleasure and arousal—are key elements. Visual merchandising does play a role in creating a store atmosphere, but without evoking feelings of joy and sufficient emotional stimulation, its influence is not immediately felt on impulsive behavior. This explains why the direct path from visual merchandising to impulse buying was found to be insignificant.</w:t>
      </w:r>
    </w:p>
    <w:p w14:paraId="79FAD82B">
      <w:pPr>
        <w:pStyle w:val="11"/>
        <w:keepNext w:val="0"/>
        <w:keepLines w:val="0"/>
        <w:widowControl/>
        <w:suppressLineNumbers w:val="0"/>
        <w:spacing w:line="360" w:lineRule="auto"/>
        <w:ind w:left="720" w:leftChars="0" w:firstLine="720" w:firstLineChars="0"/>
        <w:jc w:val="both"/>
      </w:pPr>
      <w:r>
        <w:t xml:space="preserve">The results of the fourth hypothesis test indicate that H4 is accepted, meaning that positive emotion mediates the effect of visual merchandising on impulse buying. The indirect path coefficient of 0.358, t-statistic of 2.775, and p-value of 0.006 reinforce that this mediation is statistically significant. Interestingly, although the direct relationship between visual merchandising and impulse buying (H3) is not significant, the indirect effect through the mediation of positive emotion (H4) remains significant. </w:t>
      </w:r>
    </w:p>
    <w:p w14:paraId="4CF33425">
      <w:pPr>
        <w:pStyle w:val="11"/>
        <w:keepNext w:val="0"/>
        <w:keepLines w:val="0"/>
        <w:widowControl/>
        <w:suppressLineNumbers w:val="0"/>
        <w:spacing w:line="360" w:lineRule="auto"/>
        <w:ind w:left="720" w:leftChars="0" w:firstLine="720" w:firstLineChars="0"/>
        <w:jc w:val="both"/>
      </w:pPr>
      <w:r>
        <w:t>Conceptually, this indicates that visual merchandising not only directly drives impulse buying but also creates an emotional atmosphere that reinforces this effect. The emotions evoked by viewing an attractive store layout help facilitate the purchasing decision-making process, even though they are not the primary factor. In the literature, this finding aligns with research by Efendy (2022) and Afriany et al. (2023), which shows that positive emotion plays a crucial role as a mediating variable. In various cases, consumers’ moods do serve as a trigger that smooths the transition from visual interest to the act of purchasing.</w:t>
      </w:r>
    </w:p>
    <w:p w14:paraId="39975859">
      <w:pPr>
        <w:keepNext w:val="0"/>
        <w:keepLines w:val="0"/>
        <w:widowControl/>
        <w:suppressLineNumbers w:val="0"/>
        <w:jc w:val="left"/>
      </w:pPr>
    </w:p>
    <w:p w14:paraId="3EDE073E">
      <w:pPr>
        <w:spacing w:line="360" w:lineRule="auto"/>
        <w:ind w:left="720" w:firstLine="720"/>
        <w:contextualSpacing/>
        <w:jc w:val="both"/>
        <w:rPr>
          <w:rFonts w:ascii="Times New Roman" w:hAnsi="Times New Roman" w:eastAsia="Calibri" w:cs="Times New Roman"/>
          <w:bCs/>
          <w:sz w:val="24"/>
          <w:szCs w:val="24"/>
          <w:lang w:val="id-ID"/>
        </w:rPr>
      </w:pPr>
    </w:p>
    <w:p w14:paraId="55460641">
      <w:pPr>
        <w:pStyle w:val="11"/>
        <w:keepNext w:val="0"/>
        <w:keepLines w:val="0"/>
        <w:widowControl/>
        <w:suppressLineNumbers w:val="0"/>
      </w:pPr>
    </w:p>
    <w:p w14:paraId="1D270C68">
      <w:pPr>
        <w:pStyle w:val="11"/>
        <w:keepNext w:val="0"/>
        <w:keepLines w:val="0"/>
        <w:widowControl/>
        <w:suppressLineNumbers w:val="0"/>
      </w:pPr>
    </w:p>
    <w:p w14:paraId="0AC9030E">
      <w:pPr>
        <w:pStyle w:val="11"/>
        <w:keepNext w:val="0"/>
        <w:keepLines w:val="0"/>
        <w:widowControl/>
        <w:suppressLineNumbers w:val="0"/>
      </w:pPr>
    </w:p>
    <w:p w14:paraId="14C53AEA">
      <w:pPr>
        <w:pStyle w:val="11"/>
        <w:keepNext w:val="0"/>
        <w:keepLines w:val="0"/>
        <w:widowControl/>
        <w:suppressLineNumbers w:val="0"/>
      </w:pPr>
    </w:p>
    <w:p w14:paraId="2FB6B542">
      <w:pPr>
        <w:pStyle w:val="11"/>
        <w:keepNext w:val="0"/>
        <w:keepLines w:val="0"/>
        <w:widowControl/>
        <w:suppressLineNumbers w:val="0"/>
      </w:pPr>
    </w:p>
    <w:p w14:paraId="43C733B9">
      <w:pPr>
        <w:pStyle w:val="11"/>
        <w:keepNext w:val="0"/>
        <w:keepLines w:val="0"/>
        <w:widowControl/>
        <w:suppressLineNumbers w:val="0"/>
      </w:pPr>
    </w:p>
    <w:p w14:paraId="77E225A7">
      <w:pPr>
        <w:pStyle w:val="11"/>
        <w:keepNext w:val="0"/>
        <w:keepLines w:val="0"/>
        <w:widowControl/>
        <w:suppressLineNumbers w:val="0"/>
      </w:pPr>
    </w:p>
    <w:p w14:paraId="29E96DB4">
      <w:pPr>
        <w:pStyle w:val="11"/>
        <w:keepNext w:val="0"/>
        <w:keepLines w:val="0"/>
        <w:widowControl/>
        <w:suppressLineNumbers w:val="0"/>
      </w:pPr>
    </w:p>
    <w:p w14:paraId="6A6BD76A">
      <w:pPr>
        <w:pStyle w:val="11"/>
        <w:keepNext w:val="0"/>
        <w:keepLines w:val="0"/>
        <w:widowControl/>
        <w:suppressLineNumbers w:val="0"/>
      </w:pPr>
    </w:p>
    <w:p w14:paraId="75305A48">
      <w:pPr>
        <w:pStyle w:val="11"/>
        <w:keepNext w:val="0"/>
        <w:keepLines w:val="0"/>
        <w:widowControl/>
        <w:suppressLineNumbers w:val="0"/>
      </w:pPr>
    </w:p>
    <w:p w14:paraId="762BA259">
      <w:pPr>
        <w:pStyle w:val="11"/>
        <w:keepNext w:val="0"/>
        <w:keepLines w:val="0"/>
        <w:widowControl/>
        <w:suppressLineNumbers w:val="0"/>
      </w:pPr>
    </w:p>
    <w:p w14:paraId="3651D78C">
      <w:pPr>
        <w:pStyle w:val="11"/>
        <w:keepNext w:val="0"/>
        <w:keepLines w:val="0"/>
        <w:widowControl/>
        <w:suppressLineNumbers w:val="0"/>
      </w:pPr>
    </w:p>
    <w:p w14:paraId="1B5134BF">
      <w:pPr>
        <w:pStyle w:val="11"/>
        <w:keepNext w:val="0"/>
        <w:keepLines w:val="0"/>
        <w:widowControl/>
        <w:suppressLineNumbers w:val="0"/>
      </w:pPr>
    </w:p>
    <w:p w14:paraId="12D2CFEA">
      <w:pPr>
        <w:pStyle w:val="11"/>
        <w:keepNext w:val="0"/>
        <w:keepLines w:val="0"/>
        <w:widowControl/>
        <w:suppressLineNumbers w:val="0"/>
      </w:pPr>
    </w:p>
    <w:p w14:paraId="5F09EB50">
      <w:pPr>
        <w:pStyle w:val="11"/>
        <w:keepNext w:val="0"/>
        <w:keepLines w:val="0"/>
        <w:widowControl/>
        <w:suppressLineNumbers w:val="0"/>
      </w:pPr>
    </w:p>
    <w:p w14:paraId="24FD95D5">
      <w:pPr>
        <w:pStyle w:val="11"/>
        <w:keepNext w:val="0"/>
        <w:keepLines w:val="0"/>
        <w:widowControl/>
        <w:suppressLineNumbers w:val="0"/>
      </w:pPr>
    </w:p>
    <w:p w14:paraId="0FD7C5E9">
      <w:pPr>
        <w:pStyle w:val="11"/>
        <w:keepNext w:val="0"/>
        <w:keepLines w:val="0"/>
        <w:widowControl/>
        <w:suppressLineNumbers w:val="0"/>
      </w:pPr>
    </w:p>
    <w:p w14:paraId="7E6286DC">
      <w:pPr>
        <w:pStyle w:val="11"/>
        <w:keepNext w:val="0"/>
        <w:keepLines w:val="0"/>
        <w:widowControl/>
        <w:suppressLineNumbers w:val="0"/>
        <w:spacing w:line="360" w:lineRule="auto"/>
        <w:jc w:val="both"/>
        <w:rPr>
          <w:b/>
          <w:bCs/>
        </w:rPr>
      </w:pPr>
      <w:r>
        <w:rPr>
          <w:b/>
          <w:bCs/>
        </w:rPr>
        <w:t xml:space="preserve">CHAPTER IV CONCLUSION </w:t>
      </w:r>
    </w:p>
    <w:p w14:paraId="2F737DAB">
      <w:pPr>
        <w:pStyle w:val="11"/>
        <w:keepNext w:val="0"/>
        <w:keepLines w:val="0"/>
        <w:widowControl/>
        <w:suppressLineNumbers w:val="0"/>
        <w:spacing w:line="360" w:lineRule="auto"/>
        <w:jc w:val="both"/>
      </w:pPr>
      <w:r>
        <w:t>Based on the results of the study titled “The Effect of Visual Merchandising on Impulse Buying through Positive Emotions Among Retail Consumers in Kupang City,” the following key conclusions can be drawn:</w:t>
      </w:r>
    </w:p>
    <w:p w14:paraId="0CABF0CF">
      <w:pPr>
        <w:pStyle w:val="11"/>
        <w:keepNext w:val="0"/>
        <w:keepLines w:val="0"/>
        <w:widowControl/>
        <w:suppressLineNumbers w:val="0"/>
        <w:spacing w:line="360" w:lineRule="auto"/>
        <w:jc w:val="both"/>
      </w:pPr>
      <w:r>
        <w:t>1. Visual merchandising has a significant effect on positive emotions</w:t>
      </w:r>
    </w:p>
    <w:p w14:paraId="0C80F535">
      <w:pPr>
        <w:pStyle w:val="11"/>
        <w:keepNext w:val="0"/>
        <w:keepLines w:val="0"/>
        <w:widowControl/>
        <w:suppressLineNumbers w:val="0"/>
        <w:spacing w:line="360" w:lineRule="auto"/>
        <w:jc w:val="both"/>
      </w:pPr>
      <w:r>
        <w:t>This indicates that a store’s visual layout—including product displays, lighting, layout, and decor—can capture consumers’ interest and enhance their positive emotions.</w:t>
      </w:r>
    </w:p>
    <w:p w14:paraId="74538277">
      <w:pPr>
        <w:pStyle w:val="11"/>
        <w:keepNext w:val="0"/>
        <w:keepLines w:val="0"/>
        <w:widowControl/>
        <w:suppressLineNumbers w:val="0"/>
        <w:spacing w:line="360" w:lineRule="auto"/>
        <w:jc w:val="both"/>
      </w:pPr>
      <w:r>
        <w:t xml:space="preserve">2. Positive Emotions have a significant effect on Impulse Buying </w:t>
      </w:r>
    </w:p>
    <w:p w14:paraId="7D1A5C91">
      <w:pPr>
        <w:pStyle w:val="11"/>
        <w:keepNext w:val="0"/>
        <w:keepLines w:val="0"/>
        <w:widowControl/>
        <w:suppressLineNumbers w:val="0"/>
        <w:spacing w:line="360" w:lineRule="auto"/>
        <w:jc w:val="both"/>
      </w:pPr>
      <w:r>
        <w:t>Positive emotions experienced while shopping, such as feelings of joy, comfort, and enthusiasm, have been shown to encourage consumers to make impulsive purchases.</w:t>
      </w:r>
    </w:p>
    <w:p w14:paraId="47C3FBBC">
      <w:pPr>
        <w:pStyle w:val="11"/>
        <w:keepNext w:val="0"/>
        <w:keepLines w:val="0"/>
        <w:widowControl/>
        <w:suppressLineNumbers w:val="0"/>
        <w:spacing w:line="360" w:lineRule="auto"/>
        <w:jc w:val="both"/>
      </w:pPr>
      <w:r>
        <w:t>3. Visual Merchandising Does Not Have a Direct Significant Effect on Impulse Buying These results indicate that visual merchandising alone is insufficient to drive impulse buying without the formation of emotional stimuli.</w:t>
      </w:r>
    </w:p>
    <w:p w14:paraId="499A1406">
      <w:pPr>
        <w:pStyle w:val="11"/>
        <w:keepNext w:val="0"/>
        <w:keepLines w:val="0"/>
        <w:widowControl/>
        <w:suppressLineNumbers w:val="0"/>
        <w:spacing w:line="360" w:lineRule="auto"/>
        <w:jc w:val="both"/>
      </w:pPr>
      <w:r>
        <w:t xml:space="preserve">4. Positive Emotions Mediate the Effect of Visual Merchandising on Impulse Buying </w:t>
      </w:r>
    </w:p>
    <w:p w14:paraId="760E639E">
      <w:pPr>
        <w:pStyle w:val="11"/>
        <w:keepNext w:val="0"/>
        <w:keepLines w:val="0"/>
        <w:widowControl/>
        <w:suppressLineNumbers w:val="0"/>
        <w:spacing w:line="360" w:lineRule="auto"/>
        <w:jc w:val="both"/>
      </w:pPr>
      <w:r>
        <w:t>This means that visual merchandising can influence impulse buying indirectly by evoking positive emotions in consumers. This finding supports the Stimulus-Organism-Response (SOR), Pleasure-Arousal-Dominance (PAD), Cue Utilization, and Emotional Contagion theories, which form the basis of this research.</w:t>
      </w:r>
    </w:p>
    <w:p w14:paraId="26360047">
      <w:pPr>
        <w:keepNext w:val="0"/>
        <w:keepLines w:val="0"/>
        <w:widowControl/>
        <w:suppressLineNumbers w:val="0"/>
        <w:jc w:val="left"/>
      </w:pPr>
    </w:p>
    <w:p w14:paraId="74C066AD">
      <w:pPr>
        <w:spacing w:line="360" w:lineRule="auto"/>
        <w:ind w:left="567"/>
        <w:contextualSpacing/>
        <w:jc w:val="both"/>
        <w:rPr>
          <w:rFonts w:ascii="Times New Roman" w:hAnsi="Times New Roman" w:eastAsia="Calibri" w:cs="Times New Roman"/>
          <w:bCs/>
          <w:sz w:val="24"/>
          <w:szCs w:val="24"/>
          <w:lang w:val="id-ID"/>
        </w:rPr>
      </w:pPr>
    </w:p>
    <w:p w14:paraId="56BA1CA9">
      <w:pPr>
        <w:rPr>
          <w:rFonts w:ascii="Times New Roman" w:hAnsi="Times New Roman" w:eastAsia="Calibri" w:cs="Times New Roman"/>
          <w:bCs/>
          <w:sz w:val="24"/>
          <w:szCs w:val="24"/>
          <w:lang w:val="id-ID"/>
        </w:rPr>
      </w:pPr>
      <w:r>
        <w:rPr>
          <w:rFonts w:ascii="Times New Roman" w:hAnsi="Times New Roman" w:eastAsia="Calibri" w:cs="Times New Roman"/>
          <w:bCs/>
          <w:sz w:val="24"/>
          <w:szCs w:val="24"/>
          <w:lang w:val="id-ID"/>
        </w:rPr>
        <w:br w:type="page"/>
      </w:r>
    </w:p>
    <w:p w14:paraId="14D1DBD8">
      <w:pPr>
        <w:pStyle w:val="13"/>
        <w:spacing w:line="240" w:lineRule="auto"/>
        <w:ind w:left="0"/>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DAFTAR PUSTAKA</w:t>
      </w:r>
    </w:p>
    <w:p w14:paraId="0A23C1D0">
      <w:pPr>
        <w:pStyle w:val="13"/>
        <w:spacing w:line="240" w:lineRule="auto"/>
        <w:ind w:left="0"/>
        <w:jc w:val="center"/>
        <w:rPr>
          <w:rFonts w:ascii="Times New Roman" w:hAnsi="Times New Roman" w:cs="Times New Roman"/>
          <w:b/>
          <w:bCs/>
          <w:sz w:val="28"/>
          <w:szCs w:val="28"/>
          <w:lang w:val="id-ID"/>
        </w:rPr>
      </w:pPr>
    </w:p>
    <w:p w14:paraId="6DCF5FD2">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Pr>
          <w:rFonts w:ascii="Times New Roman" w:hAnsi="Times New Roman" w:cs="Times New Roman"/>
          <w:sz w:val="24"/>
          <w:szCs w:val="24"/>
        </w:rPr>
        <w:t xml:space="preserve">Afriany, N. A., Kurniawan, A., &amp; Basri, I. A. (2023). Pengarh Price Discount, Visual Merchandising dan Positive Emotion Terhadap Impulse Buying di Ramayana Department Store Yogyakarta. </w:t>
      </w:r>
      <w:r>
        <w:rPr>
          <w:rFonts w:ascii="Times New Roman" w:hAnsi="Times New Roman" w:cs="Times New Roman"/>
          <w:i/>
          <w:iCs/>
          <w:sz w:val="24"/>
          <w:szCs w:val="24"/>
        </w:rPr>
        <w:t>Jurnal Bisnis Dan Ekonomi</w:t>
      </w:r>
      <w:r>
        <w:rPr>
          <w:rFonts w:ascii="Times New Roman" w:hAnsi="Times New Roman" w:cs="Times New Roman"/>
          <w:sz w:val="24"/>
          <w:szCs w:val="24"/>
        </w:rPr>
        <w:t xml:space="preserve">, </w:t>
      </w:r>
      <w:r>
        <w:rPr>
          <w:rFonts w:ascii="Times New Roman" w:hAnsi="Times New Roman" w:cs="Times New Roman"/>
          <w:i/>
          <w:iCs/>
          <w:sz w:val="24"/>
          <w:szCs w:val="24"/>
        </w:rPr>
        <w:t>28 No.2</w:t>
      </w:r>
      <w:r>
        <w:rPr>
          <w:rFonts w:ascii="Times New Roman" w:hAnsi="Times New Roman" w:cs="Times New Roman"/>
          <w:sz w:val="24"/>
          <w:szCs w:val="24"/>
        </w:rPr>
        <w:t>. https://doi.org/10.35315/jbe.v28i2.9095</w:t>
      </w:r>
    </w:p>
    <w:p w14:paraId="379E53F1">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Anggraini, I. D., &amp; Sulistyowati, R. (2020). Pengaruh Visual Merchandising Dan Store Atmosphere Terhadap Perilaku Impulse Buying. </w:t>
      </w:r>
      <w:r>
        <w:rPr>
          <w:rFonts w:ascii="Times New Roman" w:hAnsi="Times New Roman" w:cs="Times New Roman"/>
          <w:i/>
          <w:iCs/>
          <w:sz w:val="24"/>
          <w:szCs w:val="24"/>
        </w:rPr>
        <w:t>Jurnal Pendidikan Tata Niaga</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(1), 660–666.</w:t>
      </w:r>
    </w:p>
    <w:p w14:paraId="51FD1083">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Anggreni, A. A., Noviandi, A., Putra, M. A., &amp; Sanjaya, F. V. (2022). Pengaruh Shopping Lifestyle dan Visual Merchandising Terhadap Impulse Buying Melalui Emosi pOSITIF. </w:t>
      </w:r>
      <w:r>
        <w:rPr>
          <w:rFonts w:ascii="Times New Roman" w:hAnsi="Times New Roman" w:cs="Times New Roman"/>
          <w:i/>
          <w:iCs/>
          <w:sz w:val="24"/>
          <w:szCs w:val="24"/>
        </w:rPr>
        <w:t>Jurnal Enterpreneur Dan Bisnis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https://jurnal.umitra.ac.id/index.php/JEBI/article/view/522?utm_source=chatgpt.com</w:t>
      </w:r>
    </w:p>
    <w:p w14:paraId="6D90A26A">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Arfia, M. (2022). Pengaruh Fashion Involvement Terhadap Impulse Buying Melalui Positive Emotion Pada Produk Fashion Muslim di E-Commerce. </w:t>
      </w:r>
      <w:r>
        <w:rPr>
          <w:rFonts w:ascii="Times New Roman" w:hAnsi="Times New Roman" w:cs="Times New Roman"/>
          <w:i/>
          <w:iCs/>
          <w:sz w:val="24"/>
          <w:szCs w:val="24"/>
        </w:rPr>
        <w:t>Youth &amp; Islamic Economic Journal</w:t>
      </w:r>
      <w:r>
        <w:rPr>
          <w:rFonts w:ascii="Times New Roman" w:hAnsi="Times New Roman" w:cs="Times New Roman"/>
          <w:sz w:val="24"/>
          <w:szCs w:val="24"/>
        </w:rPr>
        <w:t xml:space="preserve">, </w:t>
      </w:r>
      <w:r>
        <w:rPr>
          <w:rFonts w:ascii="Times New Roman" w:hAnsi="Times New Roman" w:cs="Times New Roman"/>
          <w:i/>
          <w:iCs/>
          <w:sz w:val="24"/>
          <w:szCs w:val="24"/>
        </w:rPr>
        <w:t>03</w:t>
      </w:r>
      <w:r>
        <w:rPr>
          <w:rFonts w:ascii="Times New Roman" w:hAnsi="Times New Roman" w:cs="Times New Roman"/>
          <w:sz w:val="24"/>
          <w:szCs w:val="24"/>
        </w:rPr>
        <w:t>(02), 19–30.</w:t>
      </w:r>
    </w:p>
    <w:p w14:paraId="678144B6">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Armstrong, G., &amp; Kotler, P. (2018). </w:t>
      </w:r>
      <w:r>
        <w:rPr>
          <w:rFonts w:ascii="Times New Roman" w:hAnsi="Times New Roman" w:cs="Times New Roman"/>
          <w:i/>
          <w:iCs/>
          <w:sz w:val="24"/>
          <w:szCs w:val="24"/>
        </w:rPr>
        <w:t>Principles Of Marketing</w:t>
      </w:r>
      <w:r>
        <w:rPr>
          <w:rFonts w:ascii="Times New Roman" w:hAnsi="Times New Roman" w:cs="Times New Roman"/>
          <w:sz w:val="24"/>
          <w:szCs w:val="24"/>
        </w:rPr>
        <w:t xml:space="preserve"> (17th ed.). Pearson Education.</w:t>
      </w:r>
    </w:p>
    <w:p w14:paraId="5FAEF18B">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Azkia, N., Adriyanto, A. R., Putri, S., Zhafira, A. A., &amp; Syafii, A. D. (2024). Analisis User Experience dan Emosi Pengguna pada Aplikasi Deepfake (Faceplay dan Reface). </w:t>
      </w:r>
      <w:r>
        <w:rPr>
          <w:rFonts w:ascii="Times New Roman" w:hAnsi="Times New Roman" w:cs="Times New Roman"/>
          <w:i/>
          <w:iCs/>
          <w:sz w:val="24"/>
          <w:szCs w:val="24"/>
        </w:rPr>
        <w:t>JIIP - Jurnal Ilmiah Ilmu Pendidikan</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(7), 7031–7038. https://doi.org/10.54371/jiip.v7i7.4729</w:t>
      </w:r>
    </w:p>
    <w:p w14:paraId="39A27057">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Bakker, I., Voordt, D. V. T., Vink, P., &amp; Boon, D. J. (2014). Pleasure, arousal, dominance: Mehrabian and Russell revisited. </w:t>
      </w:r>
      <w:r>
        <w:rPr>
          <w:rFonts w:ascii="Times New Roman" w:hAnsi="Times New Roman" w:cs="Times New Roman"/>
          <w:i/>
          <w:iCs/>
          <w:sz w:val="24"/>
          <w:szCs w:val="24"/>
        </w:rPr>
        <w:t>Current Psychology</w:t>
      </w:r>
      <w:r>
        <w:rPr>
          <w:rFonts w:ascii="Times New Roman" w:hAnsi="Times New Roman" w:cs="Times New Roman"/>
          <w:sz w:val="24"/>
          <w:szCs w:val="24"/>
        </w:rPr>
        <w:t xml:space="preserve">, </w:t>
      </w:r>
      <w:r>
        <w:rPr>
          <w:rFonts w:ascii="Times New Roman" w:hAnsi="Times New Roman" w:cs="Times New Roman"/>
          <w:i/>
          <w:iCs/>
          <w:sz w:val="24"/>
          <w:szCs w:val="24"/>
        </w:rPr>
        <w:t>33</w:t>
      </w:r>
      <w:r>
        <w:rPr>
          <w:rFonts w:ascii="Times New Roman" w:hAnsi="Times New Roman" w:cs="Times New Roman"/>
          <w:sz w:val="24"/>
          <w:szCs w:val="24"/>
        </w:rPr>
        <w:t>, 405–421. https://doi.org/10.1007/s12144-014-9219-4</w:t>
      </w:r>
    </w:p>
    <w:p w14:paraId="07185D9C">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Barsade, S. G. (2002). The Ripple Effect: Emotional Contagion and Its Influence on Group Behavior. </w:t>
      </w:r>
      <w:r>
        <w:rPr>
          <w:rFonts w:ascii="Times New Roman" w:hAnsi="Times New Roman" w:cs="Times New Roman"/>
          <w:i/>
          <w:iCs/>
          <w:sz w:val="24"/>
          <w:szCs w:val="24"/>
        </w:rPr>
        <w:t>Administrative Science Quarterly</w:t>
      </w:r>
      <w:r>
        <w:rPr>
          <w:rFonts w:ascii="Times New Roman" w:hAnsi="Times New Roman" w:cs="Times New Roman"/>
          <w:sz w:val="24"/>
          <w:szCs w:val="24"/>
        </w:rPr>
        <w:t xml:space="preserve">, </w:t>
      </w:r>
      <w:r>
        <w:rPr>
          <w:rFonts w:ascii="Times New Roman" w:hAnsi="Times New Roman" w:cs="Times New Roman"/>
          <w:i/>
          <w:iCs/>
          <w:sz w:val="24"/>
          <w:szCs w:val="24"/>
        </w:rPr>
        <w:t>47</w:t>
      </w:r>
      <w:r>
        <w:rPr>
          <w:rFonts w:ascii="Times New Roman" w:hAnsi="Times New Roman" w:cs="Times New Roman"/>
          <w:sz w:val="24"/>
          <w:szCs w:val="24"/>
        </w:rPr>
        <w:t>(4), 644–675. https://doi.org/10.2307/3094912</w:t>
      </w:r>
    </w:p>
    <w:p w14:paraId="433D947F">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Bashar, A., &amp; Ahmad, I. (2012). Visual Merchandising and Consumer Impulse Buying Behavior: An Empirical Study of Delhi &amp; NCR. </w:t>
      </w:r>
      <w:r>
        <w:rPr>
          <w:rFonts w:ascii="Times New Roman" w:hAnsi="Times New Roman" w:cs="Times New Roman"/>
          <w:i/>
          <w:iCs/>
          <w:sz w:val="24"/>
          <w:szCs w:val="24"/>
        </w:rPr>
        <w:t>International Journal of Retail Management and Research (IJRMR)</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(4), 31–41. http://www.tjprc.org/view_archives.php?year=2013&amp;id=36&amp;jtype=2&amp;page=2</w:t>
      </w:r>
    </w:p>
    <w:p w14:paraId="5CC4D0C5">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Bhalla, S., &amp; Anuraag, S. (2010). </w:t>
      </w:r>
      <w:r>
        <w:rPr>
          <w:rFonts w:ascii="Times New Roman" w:hAnsi="Times New Roman" w:cs="Times New Roman"/>
          <w:i/>
          <w:iCs/>
          <w:sz w:val="24"/>
          <w:szCs w:val="24"/>
        </w:rPr>
        <w:t>Visual Merchandising</w:t>
      </w:r>
      <w:r>
        <w:rPr>
          <w:rFonts w:ascii="Times New Roman" w:hAnsi="Times New Roman" w:cs="Times New Roman"/>
          <w:sz w:val="24"/>
          <w:szCs w:val="24"/>
        </w:rPr>
        <w:t>. Tata McGraw-Hill Education.</w:t>
      </w:r>
    </w:p>
    <w:p w14:paraId="22301FC5">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Cahyani, B. I., &amp; Purwanto, S. (2022). Pengaruh Visual Merchandising Dan Positive Emotion Terhadap Impulse Buying Pada Pelanggan Indomaret Di Surabaya. </w:t>
      </w:r>
      <w:r>
        <w:rPr>
          <w:rFonts w:ascii="Times New Roman" w:hAnsi="Times New Roman" w:cs="Times New Roman"/>
          <w:i/>
          <w:iCs/>
          <w:sz w:val="24"/>
          <w:szCs w:val="24"/>
        </w:rPr>
        <w:t>Jurnal Ilmiah Manajemen Bisnis Dan Inovasi Universitas Sam Ratulangi (Jmbi Unsrat)</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(3), 1233–1244.</w:t>
      </w:r>
    </w:p>
    <w:p w14:paraId="198F64FD">
      <w:pPr>
        <w:widowControl w:val="0"/>
        <w:autoSpaceDE w:val="0"/>
        <w:autoSpaceDN w:val="0"/>
        <w:adjustRightInd w:val="0"/>
        <w:spacing w:after="0" w:line="276" w:lineRule="auto"/>
        <w:ind w:left="480" w:hanging="480"/>
        <w:jc w:val="both"/>
        <w:rPr>
          <w:rFonts w:ascii="Times New Roman" w:hAnsi="Times New Roman" w:cs="Times New Roman"/>
          <w:sz w:val="24"/>
          <w:szCs w:val="24"/>
        </w:rPr>
      </w:pPr>
    </w:p>
    <w:p w14:paraId="0B1C2A4B">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Coley, A., &amp; Burgess, B. (2003). Gender Differences In Cognitive and Affective Impulse Buying. </w:t>
      </w:r>
      <w:r>
        <w:rPr>
          <w:rFonts w:ascii="Times New Roman" w:hAnsi="Times New Roman" w:cs="Times New Roman"/>
          <w:i/>
          <w:iCs/>
          <w:sz w:val="24"/>
          <w:szCs w:val="24"/>
        </w:rPr>
        <w:t>Journal Of Fashion Marketing and Management</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(3), 282–295. https://doi.org/10.1108/13612020310484834</w:t>
      </w:r>
    </w:p>
    <w:p w14:paraId="5CDE5AC1">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Cooper, D. R., &amp; Schindler, P. S. (2014). </w:t>
      </w:r>
      <w:r>
        <w:rPr>
          <w:rFonts w:ascii="Times New Roman" w:hAnsi="Times New Roman" w:cs="Times New Roman"/>
          <w:i/>
          <w:iCs/>
          <w:sz w:val="24"/>
          <w:szCs w:val="24"/>
        </w:rPr>
        <w:t>Business Research Methods</w:t>
      </w:r>
      <w:r>
        <w:rPr>
          <w:rFonts w:ascii="Times New Roman" w:hAnsi="Times New Roman" w:cs="Times New Roman"/>
          <w:sz w:val="24"/>
          <w:szCs w:val="24"/>
        </w:rPr>
        <w:t xml:space="preserve"> (12th Editi). McGraw-Hill Education.</w:t>
      </w:r>
    </w:p>
    <w:p w14:paraId="674C0A2C">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Darma, L. A., &amp; Japarianto, E. (2024). Analisa Pengaruh Hedonic Shopping Value Terhadap Impulse Buying Dengan Shopping Lifestyle dan Positive Emotion Sebagai Variabel Intervening Pada Mall Ciputra World Surabaya. </w:t>
      </w:r>
      <w:r>
        <w:rPr>
          <w:rFonts w:ascii="Times New Roman" w:hAnsi="Times New Roman" w:cs="Times New Roman"/>
          <w:i/>
          <w:iCs/>
          <w:sz w:val="24"/>
          <w:szCs w:val="24"/>
        </w:rPr>
        <w:t>Jurnal Manajemen Pemasaran</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(2), 80–89. https://doi.org/10.9744/pemasaran.8.2.80-89</w:t>
      </w:r>
    </w:p>
    <w:p w14:paraId="089C9161">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Diany, A. A., Sangen, M., &amp; Faisal, I. (2019). Pengaruh Sales Promotion Dan Store Atmosphere Terhadap Positive Emotion Dan Perilaku Impulse Buying Di Departement Store Matahari Duta Mall, Banjarmasin. </w:t>
      </w:r>
      <w:r>
        <w:rPr>
          <w:rFonts w:ascii="Times New Roman" w:hAnsi="Times New Roman" w:cs="Times New Roman"/>
          <w:i/>
          <w:iCs/>
          <w:sz w:val="24"/>
          <w:szCs w:val="24"/>
        </w:rPr>
        <w:t>JWM (Jurnal Wawasan Manajemen)</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 65. https://doi.org/10.20527/jwm.v7i1.176</w:t>
      </w:r>
    </w:p>
    <w:p w14:paraId="0834E00D">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Efendy, Z. K. (2022). </w:t>
      </w:r>
      <w:r>
        <w:rPr>
          <w:rFonts w:ascii="Times New Roman" w:hAnsi="Times New Roman" w:cs="Times New Roman"/>
          <w:i/>
          <w:iCs/>
          <w:sz w:val="24"/>
          <w:szCs w:val="24"/>
        </w:rPr>
        <w:t>Pengaruh Visual Merchandising terhadap Positive Emotion dan Impulse Buying Konsumen Uniqlo di Yogyakarta</w:t>
      </w:r>
      <w:r>
        <w:rPr>
          <w:rFonts w:ascii="Times New Roman" w:hAnsi="Times New Roman" w:cs="Times New Roman"/>
          <w:sz w:val="24"/>
          <w:szCs w:val="24"/>
        </w:rPr>
        <w:t>. https://etd.umy.ac.id/id/eprint/35871</w:t>
      </w:r>
    </w:p>
    <w:p w14:paraId="395008C8">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Engel, J. ., Blackwell, R. ., &amp; Miniard, P. . (2012). </w:t>
      </w:r>
      <w:r>
        <w:rPr>
          <w:rFonts w:ascii="Times New Roman" w:hAnsi="Times New Roman" w:cs="Times New Roman"/>
          <w:i/>
          <w:iCs/>
          <w:sz w:val="24"/>
          <w:szCs w:val="24"/>
        </w:rPr>
        <w:t>Perilaku Konsumen</w:t>
      </w:r>
      <w:r>
        <w:rPr>
          <w:rFonts w:ascii="Times New Roman" w:hAnsi="Times New Roman" w:cs="Times New Roman"/>
          <w:sz w:val="24"/>
          <w:szCs w:val="24"/>
        </w:rPr>
        <w:t xml:space="preserve"> (Edisi Ke-8). Binarupa Aksara.</w:t>
      </w:r>
    </w:p>
    <w:p w14:paraId="63DA5D52">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Fish, B. (2020). </w:t>
      </w:r>
      <w:r>
        <w:rPr>
          <w:rFonts w:ascii="Times New Roman" w:hAnsi="Times New Roman" w:cs="Times New Roman"/>
          <w:i/>
          <w:iCs/>
          <w:sz w:val="24"/>
          <w:szCs w:val="24"/>
        </w:rPr>
        <w:t>Pengaruh Visual Merchandising Dan Product Assortment Terhadap Impulse Buying (Survei Pada Konsumen Rabbani Kota Sukabumi)</w:t>
      </w:r>
      <w:r>
        <w:rPr>
          <w:rFonts w:ascii="Times New Roman" w:hAnsi="Times New Roman" w:cs="Times New Roman"/>
          <w:sz w:val="24"/>
          <w:szCs w:val="24"/>
        </w:rPr>
        <w:t xml:space="preserve">. </w:t>
      </w:r>
      <w:r>
        <w:rPr>
          <w:rFonts w:ascii="Times New Roman" w:hAnsi="Times New Roman" w:cs="Times New Roman"/>
          <w:i/>
          <w:iCs/>
          <w:sz w:val="24"/>
          <w:szCs w:val="24"/>
        </w:rPr>
        <w:t>2507</w:t>
      </w:r>
      <w:r>
        <w:rPr>
          <w:rFonts w:ascii="Times New Roman" w:hAnsi="Times New Roman" w:cs="Times New Roman"/>
          <w:sz w:val="24"/>
          <w:szCs w:val="24"/>
        </w:rPr>
        <w:t>(February), 1–9.</w:t>
      </w:r>
    </w:p>
    <w:p w14:paraId="34152ECB">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Hair, J. F., Black, W. C., Babin, B. J., &amp; Anderson, R. E. (2010). </w:t>
      </w:r>
      <w:r>
        <w:rPr>
          <w:rFonts w:ascii="Times New Roman" w:hAnsi="Times New Roman" w:cs="Times New Roman"/>
          <w:i/>
          <w:iCs/>
          <w:sz w:val="24"/>
          <w:szCs w:val="24"/>
        </w:rPr>
        <w:t>Multivariate Data Analysis</w:t>
      </w:r>
      <w:r>
        <w:rPr>
          <w:rFonts w:ascii="Times New Roman" w:hAnsi="Times New Roman" w:cs="Times New Roman"/>
          <w:sz w:val="24"/>
          <w:szCs w:val="24"/>
        </w:rPr>
        <w:t xml:space="preserve"> (7 th Editi). Pearson Education.</w:t>
      </w:r>
    </w:p>
    <w:p w14:paraId="3BF6261A">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Hartati, T. R. I. M. (2023). </w:t>
      </w:r>
      <w:r>
        <w:rPr>
          <w:rFonts w:ascii="Times New Roman" w:hAnsi="Times New Roman" w:cs="Times New Roman"/>
          <w:i/>
          <w:iCs/>
          <w:sz w:val="24"/>
          <w:szCs w:val="24"/>
        </w:rPr>
        <w:t>PENGARUH POSITIVE EMOTION DAN PRICE DISCOUNT TERHADAP IMPULSE BUYING PADA TOKO COSMETICS BEAUTY BROWN TANJUNGPINANG TERHADAP IMPULSE BUYING PADA TOKO COSMETICS</w:t>
      </w:r>
      <w:r>
        <w:rPr>
          <w:rFonts w:ascii="Times New Roman" w:hAnsi="Times New Roman" w:cs="Times New Roman"/>
          <w:sz w:val="24"/>
          <w:szCs w:val="24"/>
        </w:rPr>
        <w:t>.</w:t>
      </w:r>
    </w:p>
    <w:p w14:paraId="12D95237">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Hatfield, E., Cacioppo, J. T., &amp; Rapson, R. L. (1994). </w:t>
      </w:r>
      <w:r>
        <w:rPr>
          <w:rFonts w:ascii="Times New Roman" w:hAnsi="Times New Roman" w:cs="Times New Roman"/>
          <w:i/>
          <w:iCs/>
          <w:sz w:val="24"/>
          <w:szCs w:val="24"/>
        </w:rPr>
        <w:t>Emotional Contagion</w:t>
      </w:r>
      <w:r>
        <w:rPr>
          <w:rFonts w:ascii="Times New Roman" w:hAnsi="Times New Roman" w:cs="Times New Roman"/>
          <w:sz w:val="24"/>
          <w:szCs w:val="24"/>
        </w:rPr>
        <w:t>. Cambridge University Press. https://www.cambridge.org/core/books/emotional-contagion/31BB43FF39498E2077E40D4EE62C8820</w:t>
      </w:r>
    </w:p>
    <w:p w14:paraId="7A4C41EE">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Hermanto, E. Y. (2016). Pengaruh Fashion Involvement Terhadap Impulse Buying Behaviour Masyarakat Surabaya Dengan Hedonic Shopping Motivation Dan Positive Emotion Sebagai Variabel Intervening Pada Merek Zara. </w:t>
      </w:r>
      <w:r>
        <w:rPr>
          <w:rFonts w:ascii="Times New Roman" w:hAnsi="Times New Roman" w:cs="Times New Roman"/>
          <w:i/>
          <w:iCs/>
          <w:sz w:val="24"/>
          <w:szCs w:val="24"/>
        </w:rPr>
        <w:t>Jurnal Manajemen Pemasaran</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(1), 11–19. https://doi.org/10.9744/pemasaran.10.1.11-19</w:t>
      </w:r>
    </w:p>
    <w:p w14:paraId="05C3D852">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Jacoby, J. (2002). Stimulus–Organism–Response Reconsidered: An Evolutionary Step in Modeling (Consumer) Behavior. </w:t>
      </w:r>
      <w:r>
        <w:rPr>
          <w:rFonts w:ascii="Times New Roman" w:hAnsi="Times New Roman" w:cs="Times New Roman"/>
          <w:i/>
          <w:iCs/>
          <w:sz w:val="24"/>
          <w:szCs w:val="24"/>
        </w:rPr>
        <w:t>Journal of Consumer Psychology</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(1), 51–57. https://doi.org/10.1207/S15327663JCP1201_05</w:t>
      </w:r>
    </w:p>
    <w:p w14:paraId="6C1578F8">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Kaur, &amp; Jain. (2016). </w:t>
      </w:r>
      <w:r>
        <w:rPr>
          <w:rFonts w:ascii="Times New Roman" w:hAnsi="Times New Roman" w:cs="Times New Roman"/>
          <w:i/>
          <w:iCs/>
          <w:sz w:val="24"/>
          <w:szCs w:val="24"/>
        </w:rPr>
        <w:t>Issn: 2395 - 2180</w:t>
      </w:r>
      <w:r>
        <w:rPr>
          <w:rFonts w:ascii="Times New Roman" w:hAnsi="Times New Roman" w:cs="Times New Roman"/>
          <w:sz w:val="24"/>
          <w:szCs w:val="24"/>
        </w:rPr>
        <w:t>.</w:t>
      </w:r>
    </w:p>
    <w:p w14:paraId="2C965438">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Kertiana, I. K. D., &amp; Artini, I. G. A. K. S. (2019). Pengaruh Visual Merchandising, Atmosfer Toko, Dan Display Produk Terhadap Impulse Buying Pelanggan Ramayana Denpasar. </w:t>
      </w:r>
      <w:r>
        <w:rPr>
          <w:rFonts w:ascii="Times New Roman" w:hAnsi="Times New Roman" w:cs="Times New Roman"/>
          <w:i/>
          <w:iCs/>
          <w:sz w:val="24"/>
          <w:szCs w:val="24"/>
        </w:rPr>
        <w:t>E-Jurnal Manajemen Universitas Udayana</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(11), 6533. https://doi.org/10.24843/ejmunud.2019.v08.i11.p08</w:t>
      </w:r>
    </w:p>
    <w:p w14:paraId="3F2BA35D">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Kotler, P., &amp; Keller, K. L. (2016). </w:t>
      </w:r>
      <w:r>
        <w:rPr>
          <w:rFonts w:ascii="Times New Roman" w:hAnsi="Times New Roman" w:cs="Times New Roman"/>
          <w:i/>
          <w:iCs/>
          <w:sz w:val="24"/>
          <w:szCs w:val="24"/>
        </w:rPr>
        <w:t>Marketing Management</w:t>
      </w:r>
      <w:r>
        <w:rPr>
          <w:rFonts w:ascii="Times New Roman" w:hAnsi="Times New Roman" w:cs="Times New Roman"/>
          <w:sz w:val="24"/>
          <w:szCs w:val="24"/>
        </w:rPr>
        <w:t xml:space="preserve"> (15th Editi). Pearson Education.</w:t>
      </w:r>
    </w:p>
    <w:p w14:paraId="5B97A890">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Lapian, S. L. H. V. J. (2016). Pengaruh Strategi Competitive Advantage Terhadap Perilaku Konsumen Di Bisnis Ritel (Studi Pada Indomaret Dan Alfamart, Manado). </w:t>
      </w:r>
      <w:r>
        <w:rPr>
          <w:rFonts w:ascii="Times New Roman" w:hAnsi="Times New Roman" w:cs="Times New Roman"/>
          <w:i/>
          <w:iCs/>
          <w:sz w:val="24"/>
          <w:szCs w:val="24"/>
        </w:rPr>
        <w:t>Jurnal LPPM Bidang EkoSosBudKum</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(2), 1–13.</w:t>
      </w:r>
    </w:p>
    <w:p w14:paraId="4DC113CB">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Leba, E., &amp; Suhermin. (2015). Pengaruh Atmosfer Gerai Dan Promosi Terhadap Pembelian Impulsif Yang Dimediasi Emosi Positif. </w:t>
      </w:r>
      <w:r>
        <w:rPr>
          <w:rFonts w:ascii="Times New Roman" w:hAnsi="Times New Roman" w:cs="Times New Roman"/>
          <w:i/>
          <w:iCs/>
          <w:sz w:val="24"/>
          <w:szCs w:val="24"/>
        </w:rPr>
        <w:t>Jurnal Ilmu Dan Riset Manajemen</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1–17. http://jurnalmahasiswa.stiesia.ac.id/index.php/jirm/article/view/3126/3141</w:t>
      </w:r>
    </w:p>
    <w:p w14:paraId="2CA991CB">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Leong, V. S., Muhamad, N. A. W., &amp; Sumardi, W. H. H. (2023). </w:t>
      </w:r>
      <w:r>
        <w:rPr>
          <w:rFonts w:ascii="Times New Roman" w:hAnsi="Times New Roman" w:cs="Times New Roman"/>
          <w:i/>
          <w:iCs/>
          <w:sz w:val="24"/>
          <w:szCs w:val="24"/>
        </w:rPr>
        <w:t>Cue Utilisation Theory: A Multidimensional Measurement on Perceived Quality of Asian Automobile Brands</w:t>
      </w:r>
      <w:r>
        <w:rPr>
          <w:rFonts w:ascii="Times New Roman" w:hAnsi="Times New Roman" w:cs="Times New Roman"/>
          <w:sz w:val="24"/>
          <w:szCs w:val="24"/>
        </w:rPr>
        <w:t>. https://www.researchgate.net/publication/268945569</w:t>
      </w:r>
    </w:p>
    <w:p w14:paraId="52DC949C">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Ma’ruf, H. (2006). </w:t>
      </w:r>
      <w:r>
        <w:rPr>
          <w:rFonts w:ascii="Times New Roman" w:hAnsi="Times New Roman" w:cs="Times New Roman"/>
          <w:i/>
          <w:iCs/>
          <w:sz w:val="24"/>
          <w:szCs w:val="24"/>
        </w:rPr>
        <w:t>Pemasaran Ritel</w:t>
      </w:r>
      <w:r>
        <w:rPr>
          <w:rFonts w:ascii="Times New Roman" w:hAnsi="Times New Roman" w:cs="Times New Roman"/>
          <w:sz w:val="24"/>
          <w:szCs w:val="24"/>
        </w:rPr>
        <w:t>. Gramedia Pustaka Utama.</w:t>
      </w:r>
    </w:p>
    <w:p w14:paraId="2F50A582">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Medcom.id. (2024). </w:t>
      </w:r>
      <w:r>
        <w:rPr>
          <w:rFonts w:ascii="Times New Roman" w:hAnsi="Times New Roman" w:cs="Times New Roman"/>
          <w:i/>
          <w:iCs/>
          <w:sz w:val="24"/>
          <w:szCs w:val="24"/>
        </w:rPr>
        <w:t>Potensi Pasar Berkembang, Kota Kupang Jadi Rebutan Investor</w:t>
      </w:r>
      <w:r>
        <w:rPr>
          <w:rFonts w:ascii="Times New Roman" w:hAnsi="Times New Roman" w:cs="Times New Roman"/>
          <w:sz w:val="24"/>
          <w:szCs w:val="24"/>
        </w:rPr>
        <w:t>. https://www.medcom.id/nasional/daerah/GNlL4AyN-potensi-pasar-berkembang-kota-kupang-jadi-rebutan-investor</w:t>
      </w:r>
    </w:p>
    <w:p w14:paraId="0ABA6C71">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Mehrabian, A., &amp; Russel, J. . (1974). </w:t>
      </w:r>
      <w:r>
        <w:rPr>
          <w:rFonts w:ascii="Times New Roman" w:hAnsi="Times New Roman" w:cs="Times New Roman"/>
          <w:i/>
          <w:iCs/>
          <w:sz w:val="24"/>
          <w:szCs w:val="24"/>
        </w:rPr>
        <w:t>An Approach to Environmental Psychology</w:t>
      </w:r>
      <w:r>
        <w:rPr>
          <w:rFonts w:ascii="Times New Roman" w:hAnsi="Times New Roman" w:cs="Times New Roman"/>
          <w:sz w:val="24"/>
          <w:szCs w:val="24"/>
        </w:rPr>
        <w:t>. MIT Press.</w:t>
      </w:r>
    </w:p>
    <w:p w14:paraId="7D61EED5">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Mehta, N. P., &amp; Chugan, P. K. (2013). The Impact of Visual Merchandising on Impulse Buying Behavior of Consumer: A Case from Central Mall of Ahmedabad India. </w:t>
      </w:r>
      <w:r>
        <w:rPr>
          <w:rFonts w:ascii="Times New Roman" w:hAnsi="Times New Roman" w:cs="Times New Roman"/>
          <w:i/>
          <w:iCs/>
          <w:sz w:val="24"/>
          <w:szCs w:val="24"/>
        </w:rPr>
        <w:t>Universal Journal of Management</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(2), 76–82. https://doi.org/10.13189/ujm.2013.010206</w:t>
      </w:r>
    </w:p>
    <w:p w14:paraId="74977264">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Mutiah, I., Parawansa, D., &amp; Munir, A. R. (2018). </w:t>
      </w:r>
      <w:r>
        <w:rPr>
          <w:rFonts w:ascii="Times New Roman" w:hAnsi="Times New Roman" w:cs="Times New Roman"/>
          <w:i/>
          <w:iCs/>
          <w:sz w:val="24"/>
          <w:szCs w:val="24"/>
        </w:rPr>
        <w:t>The Effect of Visual Merchandising, Product Display Dan Store Atmosphere on Impulse Buying Behavior (Case Study on Matahari Department Store in Makassar City)</w:t>
      </w:r>
      <w:r>
        <w:rPr>
          <w:rFonts w:ascii="Times New Roman" w:hAnsi="Times New Roman" w:cs="Times New Roman"/>
          <w:sz w:val="24"/>
          <w:szCs w:val="24"/>
        </w:rPr>
        <w:t>. 88–103. https://www.neliti.com/publications/236115/the-effect-of-visual-merchandising-product-display-dan-store-atmosphere-on-impul</w:t>
      </w:r>
    </w:p>
    <w:p w14:paraId="4F0A9F7F">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Natalia, E. N. ., Hoyyi, A., &amp; Santoso, R. (2018). Analisis Kepuasan Masyarakat Terhadap Pelayanan Publik Menggunakan Pendekatan Partial Least Square (PLS) (Studi Kasus: Badan Arsip dan Perpustakaan Daerah Provinsi Jawa Tengah. </w:t>
      </w:r>
      <w:r>
        <w:rPr>
          <w:rFonts w:ascii="Times New Roman" w:hAnsi="Times New Roman" w:cs="Times New Roman"/>
          <w:i/>
          <w:iCs/>
          <w:sz w:val="24"/>
          <w:szCs w:val="24"/>
        </w:rPr>
        <w:t>Jurnal Gaussian</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(3), 313–322. https://doi.org/10.14710/j.gauss.6.3.313-322</w:t>
      </w:r>
    </w:p>
    <w:p w14:paraId="041F5D39">
      <w:pPr>
        <w:widowControl w:val="0"/>
        <w:autoSpaceDE w:val="0"/>
        <w:autoSpaceDN w:val="0"/>
        <w:adjustRightInd w:val="0"/>
        <w:spacing w:after="0" w:line="276" w:lineRule="auto"/>
        <w:ind w:left="480" w:hanging="480"/>
        <w:jc w:val="both"/>
        <w:rPr>
          <w:rFonts w:ascii="Times New Roman" w:hAnsi="Times New Roman" w:cs="Times New Roman"/>
          <w:sz w:val="24"/>
          <w:szCs w:val="24"/>
        </w:rPr>
      </w:pPr>
    </w:p>
    <w:p w14:paraId="606AE631">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Nazarudin, H., &amp; Widiastuti, T. (2022). Gaya Hidup Hedonisme dan Perilaku Konsumtif Remaja Putri Kota Kupang. </w:t>
      </w:r>
      <w:r>
        <w:rPr>
          <w:rFonts w:ascii="Times New Roman" w:hAnsi="Times New Roman" w:cs="Times New Roman"/>
          <w:i/>
          <w:iCs/>
          <w:sz w:val="24"/>
          <w:szCs w:val="24"/>
        </w:rPr>
        <w:t>Jurnal Ilmiah Aset</w:t>
      </w:r>
      <w:r>
        <w:rPr>
          <w:rFonts w:ascii="Times New Roman" w:hAnsi="Times New Roman" w:cs="Times New Roman"/>
          <w:sz w:val="24"/>
          <w:szCs w:val="24"/>
        </w:rPr>
        <w:t xml:space="preserve">, </w:t>
      </w:r>
      <w:r>
        <w:rPr>
          <w:rFonts w:ascii="Times New Roman" w:hAnsi="Times New Roman" w:cs="Times New Roman"/>
          <w:i/>
          <w:iCs/>
          <w:sz w:val="24"/>
          <w:szCs w:val="24"/>
        </w:rPr>
        <w:t>24</w:t>
      </w:r>
      <w:r>
        <w:rPr>
          <w:rFonts w:ascii="Times New Roman" w:hAnsi="Times New Roman" w:cs="Times New Roman"/>
          <w:sz w:val="24"/>
          <w:szCs w:val="24"/>
        </w:rPr>
        <w:t>(1), 29–35. https://doi.org/10.37470/1.24.1.198</w:t>
      </w:r>
    </w:p>
    <w:p w14:paraId="2E82D9F4">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Nilan, O. L., Amtiran, P. Y., Kurniawati, M., &amp; Fanggidae, A. H. K. (2013). </w:t>
      </w:r>
      <w:r>
        <w:rPr>
          <w:rFonts w:ascii="Times New Roman" w:hAnsi="Times New Roman" w:cs="Times New Roman"/>
          <w:i/>
          <w:iCs/>
          <w:sz w:val="24"/>
          <w:szCs w:val="24"/>
        </w:rPr>
        <w:t>KONSUMEN PADA KUPANG TRADE CENTER The Influence of Products , Prices , Direct And Digital Promotions On Consumer Buying Interest At Kupang Trade Center</w:t>
      </w:r>
      <w:r>
        <w:rPr>
          <w:rFonts w:ascii="Times New Roman" w:hAnsi="Times New Roman" w:cs="Times New Roman"/>
          <w:sz w:val="24"/>
          <w:szCs w:val="24"/>
        </w:rPr>
        <w:t xml:space="preserve">. </w:t>
      </w:r>
      <w:r>
        <w:rPr>
          <w:rFonts w:ascii="Times New Roman" w:hAnsi="Times New Roman" w:cs="Times New Roman"/>
          <w:i/>
          <w:iCs/>
          <w:sz w:val="24"/>
          <w:szCs w:val="24"/>
        </w:rPr>
        <w:t>2012</w:t>
      </w:r>
      <w:r>
        <w:rPr>
          <w:rFonts w:ascii="Times New Roman" w:hAnsi="Times New Roman" w:cs="Times New Roman"/>
          <w:sz w:val="24"/>
          <w:szCs w:val="24"/>
        </w:rPr>
        <w:t>, 895–905.</w:t>
      </w:r>
    </w:p>
    <w:p w14:paraId="550E5008">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Olson, J. C. (1972). </w:t>
      </w:r>
      <w:r>
        <w:rPr>
          <w:rFonts w:ascii="Times New Roman" w:hAnsi="Times New Roman" w:cs="Times New Roman"/>
          <w:i/>
          <w:iCs/>
          <w:sz w:val="24"/>
          <w:szCs w:val="24"/>
        </w:rPr>
        <w:t>Cue Utilization in the Quality Perception Process: A Cognitive Model and an Empirical Test</w:t>
      </w:r>
      <w:r>
        <w:rPr>
          <w:rFonts w:ascii="Times New Roman" w:hAnsi="Times New Roman" w:cs="Times New Roman"/>
          <w:sz w:val="24"/>
          <w:szCs w:val="24"/>
        </w:rPr>
        <w:t>. Purdue University.</w:t>
      </w:r>
    </w:p>
    <w:p w14:paraId="0D5BA871">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Ompi, A. P., Sepang, J. L., &amp; Wenas, R. S. (2018). Analisis Faktor-Faktor Yang Menyebabkan Terjadinya Pembelian Impulsif Produk Fashion Di Outlet Cardinal Mega Mall Manado Analyzing Factors Which Initiate Impulsive Buying of Fashion Products At Cardinal Mega Mall Manado Outlet. </w:t>
      </w:r>
      <w:r>
        <w:rPr>
          <w:rFonts w:ascii="Times New Roman" w:hAnsi="Times New Roman" w:cs="Times New Roman"/>
          <w:i/>
          <w:iCs/>
          <w:sz w:val="24"/>
          <w:szCs w:val="24"/>
        </w:rPr>
        <w:t>Jurnal EMBA</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(4), 2918–2927.</w:t>
      </w:r>
    </w:p>
    <w:p w14:paraId="5D79717C">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Pipih, S., &amp; Kusumadewi, N. (2020). Pengaruh Shopping Lifestyle dan Positive Emotion Terhadap Impulse Buying. </w:t>
      </w:r>
      <w:r>
        <w:rPr>
          <w:rFonts w:ascii="Times New Roman" w:hAnsi="Times New Roman" w:cs="Times New Roman"/>
          <w:i/>
          <w:iCs/>
          <w:sz w:val="24"/>
          <w:szCs w:val="24"/>
        </w:rPr>
        <w:t>Coopetition : Jurnal Ilmiah Manajemen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(3), 207–216. https://doi.org/10.32670/coopetition.v11i3.115</w:t>
      </w:r>
    </w:p>
    <w:p w14:paraId="7FCAD60F">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Putra, A. H. P. K., Said, S., &amp; Hasan, S. (2017). Pengaruh Karakteristik Toko Dan Produk Bagi Konsumen Di Indonesia Terhadap Pembelian Impulsif. </w:t>
      </w:r>
      <w:r>
        <w:rPr>
          <w:rFonts w:ascii="Times New Roman" w:hAnsi="Times New Roman" w:cs="Times New Roman"/>
          <w:i/>
          <w:iCs/>
          <w:sz w:val="24"/>
          <w:szCs w:val="24"/>
        </w:rPr>
        <w:t>Jurnal Manajemen Dan Kewirausahaan</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(2), 8–19. https://doi.org/10.26905/jmdk.v5i2.1640</w:t>
      </w:r>
    </w:p>
    <w:p w14:paraId="72A308EA">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Rachmawati, V., Pengajar, S., Ekonomi, F., Kristen, U., &amp; Mandala, W. (2009). </w:t>
      </w:r>
      <w:r>
        <w:rPr>
          <w:rFonts w:ascii="Times New Roman" w:hAnsi="Times New Roman" w:cs="Times New Roman"/>
          <w:i/>
          <w:iCs/>
          <w:sz w:val="24"/>
          <w:szCs w:val="24"/>
        </w:rPr>
        <w:t>Hubungan Antara Hedonic Shopping Value , Pada Konsumen Ritel</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 192–209.</w:t>
      </w:r>
    </w:p>
    <w:p w14:paraId="7187E5FD">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Rao, A. R., &amp; Monroe, K. B. (1988). The Moderating Effect of Prior Knowledge on Cue Utilization in Product Evaluations. </w:t>
      </w:r>
      <w:r>
        <w:rPr>
          <w:rFonts w:ascii="Times New Roman" w:hAnsi="Times New Roman" w:cs="Times New Roman"/>
          <w:i/>
          <w:iCs/>
          <w:sz w:val="24"/>
          <w:szCs w:val="24"/>
        </w:rPr>
        <w:t>Journal of Consumer Research</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(2), 253–264. https://doi.org/10.1086/209162</w:t>
      </w:r>
    </w:p>
    <w:p w14:paraId="782BA408">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Rook, D, W., &amp; Fisher, R. . (1995). Normative Influences On Impulsive Buying Behavior. </w:t>
      </w:r>
      <w:r>
        <w:rPr>
          <w:rFonts w:ascii="Times New Roman" w:hAnsi="Times New Roman" w:cs="Times New Roman"/>
          <w:i/>
          <w:iCs/>
          <w:sz w:val="24"/>
          <w:szCs w:val="24"/>
        </w:rPr>
        <w:t>Journal of Consumer Research</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(2), 305–313. https://doi.org/10.1086/209452</w:t>
      </w:r>
    </w:p>
    <w:p w14:paraId="2D8FD1D0">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Rook, D. W., &amp; Garder, M. P. (1993). In the Mood : Impulse Buying’s Affective Antecedents. </w:t>
      </w:r>
      <w:r>
        <w:rPr>
          <w:rFonts w:ascii="Times New Roman" w:hAnsi="Times New Roman" w:cs="Times New Roman"/>
          <w:i/>
          <w:iCs/>
          <w:sz w:val="24"/>
          <w:szCs w:val="24"/>
        </w:rPr>
        <w:t>Journal Of Retailing</w:t>
      </w:r>
      <w:r>
        <w:rPr>
          <w:rFonts w:ascii="Times New Roman" w:hAnsi="Times New Roman" w:cs="Times New Roman"/>
          <w:sz w:val="24"/>
          <w:szCs w:val="24"/>
        </w:rPr>
        <w:t xml:space="preserve">, </w:t>
      </w:r>
      <w:r>
        <w:rPr>
          <w:rFonts w:ascii="Times New Roman" w:hAnsi="Times New Roman" w:cs="Times New Roman"/>
          <w:i/>
          <w:iCs/>
          <w:sz w:val="24"/>
          <w:szCs w:val="24"/>
        </w:rPr>
        <w:t>79</w:t>
      </w:r>
      <w:r>
        <w:rPr>
          <w:rFonts w:ascii="Times New Roman" w:hAnsi="Times New Roman" w:cs="Times New Roman"/>
          <w:sz w:val="24"/>
          <w:szCs w:val="24"/>
        </w:rPr>
        <w:t>(2), 23–33.</w:t>
      </w:r>
    </w:p>
    <w:p w14:paraId="65B403B7">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Rosenbaum, M. S., &amp; Massiah, C. A. (2011). An Expanded Servicescape Perspective. </w:t>
      </w:r>
      <w:r>
        <w:rPr>
          <w:rFonts w:ascii="Times New Roman" w:hAnsi="Times New Roman" w:cs="Times New Roman"/>
          <w:i/>
          <w:iCs/>
          <w:sz w:val="24"/>
          <w:szCs w:val="24"/>
        </w:rPr>
        <w:t>Journal Of Service Management</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(4), 471–490.</w:t>
      </w:r>
    </w:p>
    <w:p w14:paraId="75A556A1">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Santoso, S. (2014). </w:t>
      </w:r>
      <w:r>
        <w:rPr>
          <w:rFonts w:ascii="Times New Roman" w:hAnsi="Times New Roman" w:cs="Times New Roman"/>
          <w:i/>
          <w:iCs/>
          <w:sz w:val="24"/>
          <w:szCs w:val="24"/>
        </w:rPr>
        <w:t>Konsep Dasar dan Aplikasi SEM dengan AMOS 22</w:t>
      </w:r>
      <w:r>
        <w:rPr>
          <w:rFonts w:ascii="Times New Roman" w:hAnsi="Times New Roman" w:cs="Times New Roman"/>
          <w:sz w:val="24"/>
          <w:szCs w:val="24"/>
        </w:rPr>
        <w:t>. Elex Media Komputindo.</w:t>
      </w:r>
    </w:p>
    <w:p w14:paraId="13BE9645">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Sari, E. K. A. Z. (2021). </w:t>
      </w:r>
      <w:r>
        <w:rPr>
          <w:rFonts w:ascii="Times New Roman" w:hAnsi="Times New Roman" w:cs="Times New Roman"/>
          <w:i/>
          <w:iCs/>
          <w:sz w:val="24"/>
          <w:szCs w:val="24"/>
        </w:rPr>
        <w:t>PENGARUH VISUAL MERCHANDISING TERHADAP IMPULSE BUYING PADA THE BODY SHOP TANJUNGPINANG CITY CENTER MALL PENGARUH VISUAL MERCHANDISING TERHADA IMPULSE BUYING PADA THE BODY SHOP</w:t>
      </w:r>
      <w:r>
        <w:rPr>
          <w:rFonts w:ascii="Times New Roman" w:hAnsi="Times New Roman" w:cs="Times New Roman"/>
          <w:sz w:val="24"/>
          <w:szCs w:val="24"/>
        </w:rPr>
        <w:t>.</w:t>
      </w:r>
    </w:p>
    <w:p w14:paraId="14CC3160">
      <w:pPr>
        <w:widowControl w:val="0"/>
        <w:autoSpaceDE w:val="0"/>
        <w:autoSpaceDN w:val="0"/>
        <w:adjustRightInd w:val="0"/>
        <w:spacing w:after="0" w:line="276" w:lineRule="auto"/>
        <w:ind w:left="480" w:hanging="480"/>
        <w:jc w:val="both"/>
        <w:rPr>
          <w:rFonts w:ascii="Times New Roman" w:hAnsi="Times New Roman" w:cs="Times New Roman"/>
          <w:sz w:val="24"/>
          <w:szCs w:val="24"/>
        </w:rPr>
      </w:pPr>
    </w:p>
    <w:p w14:paraId="11979429">
      <w:pPr>
        <w:widowControl w:val="0"/>
        <w:autoSpaceDE w:val="0"/>
        <w:autoSpaceDN w:val="0"/>
        <w:adjustRightInd w:val="0"/>
        <w:spacing w:after="0" w:line="276"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Schoenewolf, G. (1990). Emotional Contagion: Behavioral Induction in Individuals and Groups. </w:t>
      </w:r>
      <w:r>
        <w:rPr>
          <w:rFonts w:ascii="Times New Roman" w:hAnsi="Times New Roman" w:cs="Times New Roman"/>
          <w:i/>
          <w:iCs/>
          <w:sz w:val="24"/>
          <w:szCs w:val="24"/>
        </w:rPr>
        <w:t>Psychotherapy: Theory, Research, Practice, Training</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(4), 724–733. https://doi.org/10.1037/0033-3204.27.4.724</w:t>
      </w:r>
    </w:p>
    <w:p w14:paraId="20667AD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Sekaran, U., &amp; Bougie, R. (2016). </w:t>
      </w:r>
      <w:r>
        <w:rPr>
          <w:rFonts w:ascii="Times New Roman" w:hAnsi="Times New Roman" w:cs="Times New Roman"/>
          <w:i/>
          <w:iCs/>
          <w:sz w:val="24"/>
          <w:szCs w:val="24"/>
        </w:rPr>
        <w:t>Research Methods For Business: A Skill Building Approach</w:t>
      </w:r>
      <w:r>
        <w:rPr>
          <w:rFonts w:ascii="Times New Roman" w:hAnsi="Times New Roman" w:cs="Times New Roman"/>
          <w:sz w:val="24"/>
          <w:szCs w:val="24"/>
        </w:rPr>
        <w:t xml:space="preserve"> (7th Edition (ed.)). Wiley.</w:t>
      </w:r>
    </w:p>
    <w:p w14:paraId="2AD9EEF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Shoop, B., Zetocha, H., Passewitz, D., &amp; Gregory. (1991). </w:t>
      </w:r>
      <w:r>
        <w:rPr>
          <w:rFonts w:ascii="Times New Roman" w:hAnsi="Times New Roman" w:cs="Times New Roman"/>
          <w:i/>
          <w:iCs/>
          <w:sz w:val="24"/>
          <w:szCs w:val="24"/>
        </w:rPr>
        <w:t>Visual Merchandising A Guide for Small Retailers</w:t>
      </w:r>
      <w:r>
        <w:rPr>
          <w:rFonts w:ascii="Times New Roman" w:hAnsi="Times New Roman" w:cs="Times New Roman"/>
          <w:sz w:val="24"/>
          <w:szCs w:val="24"/>
        </w:rPr>
        <w:t>. North Central Regional Center For Rural Development</w:t>
      </w:r>
    </w:p>
    <w:p w14:paraId="587ED3B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Sinaga, Y. E., &amp; Marpaung, N. (2023). Pengaruh Visual Merchandising dan Potongan Harga terhadap Impulse Buying (Studi Pada Konsumen Matahari Plaza Medan Fair). </w:t>
      </w:r>
      <w:r>
        <w:rPr>
          <w:rFonts w:ascii="Times New Roman" w:hAnsi="Times New Roman" w:cs="Times New Roman"/>
          <w:i/>
          <w:iCs/>
          <w:sz w:val="24"/>
          <w:szCs w:val="24"/>
        </w:rPr>
        <w:t>TRANSEKONOMIKA: Akuntansi, Bisnis Dan Keuangan</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83–97.</w:t>
      </w:r>
    </w:p>
    <w:p w14:paraId="2C5D1866">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Sopiyan, P. (2020). Pengaruh Strategi Harga dan Visual Merchandising terhadap Keputusan Pembelian Online. </w:t>
      </w:r>
      <w:r>
        <w:rPr>
          <w:rFonts w:ascii="Times New Roman" w:hAnsi="Times New Roman" w:cs="Times New Roman"/>
          <w:i/>
          <w:iCs/>
          <w:sz w:val="24"/>
          <w:szCs w:val="24"/>
        </w:rPr>
        <w:t>Jurnal Inspirasi Bisnis Dan Manajemen</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(2), 193. https://doi.org/10.33603/jibm.v3i2.2204</w:t>
      </w:r>
    </w:p>
    <w:p w14:paraId="15C83CF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Stern, H. (1962). The Significance of Impulse Buying Today. </w:t>
      </w:r>
      <w:r>
        <w:rPr>
          <w:rFonts w:ascii="Times New Roman" w:hAnsi="Times New Roman" w:cs="Times New Roman"/>
          <w:i/>
          <w:iCs/>
          <w:sz w:val="24"/>
          <w:szCs w:val="24"/>
        </w:rPr>
        <w:t>Journal of Marketing</w:t>
      </w:r>
      <w:r>
        <w:rPr>
          <w:rFonts w:ascii="Times New Roman" w:hAnsi="Times New Roman" w:cs="Times New Roman"/>
          <w:sz w:val="24"/>
          <w:szCs w:val="24"/>
        </w:rPr>
        <w:t xml:space="preserve">, </w:t>
      </w:r>
      <w:r>
        <w:rPr>
          <w:rFonts w:ascii="Times New Roman" w:hAnsi="Times New Roman" w:cs="Times New Roman"/>
          <w:i/>
          <w:iCs/>
          <w:sz w:val="24"/>
          <w:szCs w:val="24"/>
        </w:rPr>
        <w:t>26</w:t>
      </w:r>
      <w:r>
        <w:rPr>
          <w:rFonts w:ascii="Times New Roman" w:hAnsi="Times New Roman" w:cs="Times New Roman"/>
          <w:sz w:val="24"/>
          <w:szCs w:val="24"/>
        </w:rPr>
        <w:t>(2), 59. https://doi.org/10.2307/1248439</w:t>
      </w:r>
    </w:p>
    <w:p w14:paraId="05FB4B38">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Sudarsono, J. G. (2017). Pengaruh Visual Merchandising Terhadap Impulse Buying Melalui Positive Emotion Pada Zara Surabaya. </w:t>
      </w:r>
      <w:r>
        <w:rPr>
          <w:rFonts w:ascii="Times New Roman" w:hAnsi="Times New Roman" w:cs="Times New Roman"/>
          <w:i/>
          <w:iCs/>
          <w:sz w:val="24"/>
          <w:szCs w:val="24"/>
        </w:rPr>
        <w:t>Jurnal Manajemen Pemasaran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 16–25. https://doi.org/10.9744/pemasaran.11.1.16-25</w:t>
      </w:r>
    </w:p>
    <w:p w14:paraId="06B5846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Sudigdo, A. (2020). </w:t>
      </w:r>
      <w:r>
        <w:rPr>
          <w:rFonts w:ascii="Times New Roman" w:hAnsi="Times New Roman" w:cs="Times New Roman"/>
          <w:i/>
          <w:iCs/>
          <w:sz w:val="24"/>
          <w:szCs w:val="24"/>
        </w:rPr>
        <w:t>Diktat Mata Kuliah Manajemen Ritel Program Studi Manajemen Stie Ipwija Jakarta 2020 Agus Sudigdo, Se, Mm</w:t>
      </w:r>
      <w:r>
        <w:rPr>
          <w:rFonts w:ascii="Times New Roman" w:hAnsi="Times New Roman" w:cs="Times New Roman"/>
          <w:sz w:val="24"/>
          <w:szCs w:val="24"/>
        </w:rPr>
        <w:t>.</w:t>
      </w:r>
    </w:p>
    <w:p w14:paraId="078B8C56">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Sugiyono. (2017). </w:t>
      </w:r>
      <w:r>
        <w:rPr>
          <w:rFonts w:ascii="Times New Roman" w:hAnsi="Times New Roman" w:cs="Times New Roman"/>
          <w:i/>
          <w:iCs/>
          <w:sz w:val="24"/>
          <w:szCs w:val="24"/>
        </w:rPr>
        <w:t>Metode Penelitian Kuantitatif, Kualitatif dan R&amp;D</w:t>
      </w:r>
      <w:r>
        <w:rPr>
          <w:rFonts w:ascii="Times New Roman" w:hAnsi="Times New Roman" w:cs="Times New Roman"/>
          <w:sz w:val="24"/>
          <w:szCs w:val="24"/>
        </w:rPr>
        <w:t>. Alfabeta.</w:t>
      </w:r>
    </w:p>
    <w:p w14:paraId="730DBA5C">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Sumampouw, N. (2020). Analisis Sektor Unggulan di Kota Kupang. </w:t>
      </w:r>
      <w:r>
        <w:rPr>
          <w:rFonts w:ascii="Times New Roman" w:hAnsi="Times New Roman" w:cs="Times New Roman"/>
          <w:i/>
          <w:iCs/>
          <w:sz w:val="24"/>
          <w:szCs w:val="24"/>
        </w:rPr>
        <w:t>Jurnal Ekonomi Pembangunan Daerah</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(2), 4.</w:t>
      </w:r>
    </w:p>
    <w:p w14:paraId="282E649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Sutiono, R. J. (2009). </w:t>
      </w:r>
      <w:r>
        <w:rPr>
          <w:rFonts w:ascii="Times New Roman" w:hAnsi="Times New Roman" w:cs="Times New Roman"/>
          <w:i/>
          <w:iCs/>
          <w:sz w:val="24"/>
          <w:szCs w:val="24"/>
        </w:rPr>
        <w:t>Visual Merchandising Attraction</w:t>
      </w:r>
      <w:r>
        <w:rPr>
          <w:rFonts w:ascii="Times New Roman" w:hAnsi="Times New Roman" w:cs="Times New Roman"/>
          <w:sz w:val="24"/>
          <w:szCs w:val="24"/>
        </w:rPr>
        <w:t>. Gramedia Pustaka Utama.</w:t>
      </w:r>
    </w:p>
    <w:p w14:paraId="04DCB41B">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Utomo, T. J. (2010). Lingkungan Bisnis Dan Persaingan Bisnis Ritel. </w:t>
      </w:r>
      <w:r>
        <w:rPr>
          <w:rFonts w:ascii="Times New Roman" w:hAnsi="Times New Roman" w:cs="Times New Roman"/>
          <w:i/>
          <w:iCs/>
          <w:sz w:val="24"/>
          <w:szCs w:val="24"/>
        </w:rPr>
        <w:t>Fokus Ekonomi</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70–80. https://www.ejournal.stiepena.ac.id/index.php/fe/article/view/68/65</w:t>
      </w:r>
    </w:p>
    <w:p w14:paraId="7BB72D8C">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Verplanken, B., &amp; Sato, A. (2011). The Psychology of Impulse Buying: An Integrative Self-Regulation Approach. </w:t>
      </w:r>
      <w:r>
        <w:rPr>
          <w:rFonts w:ascii="Times New Roman" w:hAnsi="Times New Roman" w:cs="Times New Roman"/>
          <w:i/>
          <w:iCs/>
          <w:sz w:val="24"/>
          <w:szCs w:val="24"/>
        </w:rPr>
        <w:t>Journal of Consumer Policy</w:t>
      </w:r>
      <w:r>
        <w:rPr>
          <w:rFonts w:ascii="Times New Roman" w:hAnsi="Times New Roman" w:cs="Times New Roman"/>
          <w:sz w:val="24"/>
          <w:szCs w:val="24"/>
        </w:rPr>
        <w:t xml:space="preserve">, </w:t>
      </w:r>
      <w:r>
        <w:rPr>
          <w:rFonts w:ascii="Times New Roman" w:hAnsi="Times New Roman" w:cs="Times New Roman"/>
          <w:i/>
          <w:iCs/>
          <w:sz w:val="24"/>
          <w:szCs w:val="24"/>
        </w:rPr>
        <w:t>34</w:t>
      </w:r>
      <w:r>
        <w:rPr>
          <w:rFonts w:ascii="Times New Roman" w:hAnsi="Times New Roman" w:cs="Times New Roman"/>
          <w:sz w:val="24"/>
          <w:szCs w:val="24"/>
        </w:rPr>
        <w:t>(2), 197–210. https://doi.org/10.1007/s10603-011-9158-5</w:t>
      </w:r>
    </w:p>
    <w:p w14:paraId="21F1AE00">
      <w:pPr>
        <w:widowControl w:val="0"/>
        <w:autoSpaceDE w:val="0"/>
        <w:autoSpaceDN w:val="0"/>
        <w:adjustRightInd w:val="0"/>
        <w:spacing w:after="0" w:line="240" w:lineRule="auto"/>
        <w:ind w:left="480" w:hanging="480"/>
        <w:jc w:val="both"/>
        <w:rPr>
          <w:rFonts w:ascii="Times New Roman" w:hAnsi="Times New Roman" w:cs="Times New Roman"/>
          <w:sz w:val="24"/>
        </w:rPr>
      </w:pPr>
      <w:r>
        <w:rPr>
          <w:rFonts w:ascii="Times New Roman" w:hAnsi="Times New Roman" w:cs="Times New Roman"/>
          <w:sz w:val="24"/>
          <w:szCs w:val="24"/>
        </w:rPr>
        <w:t xml:space="preserve">Yanthi, D., &amp; Japarianto, E. (2014). Analisis Pengaruh Hedonic Shopping Tendency Dan Visual Merchandising Terhadap Impulse Buying Dengan Positive Emotion Sebagai Variabel Intervaning Pada Area Ladies Matahari Department Store Tunjungan Plaza Surabaya. </w:t>
      </w:r>
      <w:r>
        <w:rPr>
          <w:rFonts w:ascii="Times New Roman" w:hAnsi="Times New Roman" w:cs="Times New Roman"/>
          <w:i/>
          <w:iCs/>
          <w:sz w:val="24"/>
          <w:szCs w:val="24"/>
        </w:rPr>
        <w:t>Jurnal Manajemen Pemasaran Petra</w:t>
      </w:r>
      <w:r>
        <w:rPr>
          <w:rFonts w:ascii="Times New Roman" w:hAnsi="Times New Roman" w:cs="Times New Roman"/>
          <w:sz w:val="24"/>
          <w:szCs w:val="24"/>
        </w:rPr>
        <w:t xml:space="preserve">, </w:t>
      </w:r>
      <w:r>
        <w:rPr>
          <w:rFonts w:ascii="Times New Roman" w:hAnsi="Times New Roman" w:cs="Times New Roman"/>
          <w:i/>
          <w:iCs/>
          <w:sz w:val="24"/>
          <w:szCs w:val="24"/>
        </w:rPr>
        <w:t>Vol 2</w:t>
      </w:r>
      <w:r>
        <w:rPr>
          <w:rFonts w:ascii="Times New Roman" w:hAnsi="Times New Roman" w:cs="Times New Roman"/>
          <w:sz w:val="24"/>
          <w:szCs w:val="24"/>
        </w:rPr>
        <w:t xml:space="preserve">, </w:t>
      </w:r>
      <w:r>
        <w:rPr>
          <w:rFonts w:ascii="Times New Roman" w:hAnsi="Times New Roman" w:cs="Times New Roman"/>
          <w:i/>
          <w:iCs/>
          <w:sz w:val="24"/>
          <w:szCs w:val="24"/>
        </w:rPr>
        <w:t>No</w:t>
      </w:r>
      <w:r>
        <w:rPr>
          <w:rFonts w:ascii="Times New Roman" w:hAnsi="Times New Roman" w:cs="Times New Roman"/>
          <w:sz w:val="24"/>
          <w:szCs w:val="24"/>
        </w:rPr>
        <w:t>(2). www.ama.org</w:t>
      </w:r>
    </w:p>
    <w:p w14:paraId="0944789E">
      <w:pPr>
        <w:pStyle w:val="13"/>
        <w:spacing w:after="0" w:line="240" w:lineRule="auto"/>
        <w:ind w:left="0"/>
        <w:jc w:val="both"/>
        <w:rPr>
          <w:rFonts w:ascii="Times New Roman" w:hAnsi="Times New Roman" w:cs="Times New Roman"/>
          <w:sz w:val="24"/>
          <w:szCs w:val="24"/>
          <w:lang w:val="id-ID"/>
        </w:rPr>
        <w:sectPr>
          <w:footerReference r:id="rId5" w:type="default"/>
          <w:pgSz w:w="12240" w:h="15840"/>
          <w:pgMar w:top="1701" w:right="1701" w:bottom="1701" w:left="2268" w:header="709" w:footer="709" w:gutter="0"/>
          <w:cols w:space="708" w:num="1"/>
          <w:docGrid w:linePitch="360" w:charSpace="0"/>
        </w:sectPr>
      </w:pPr>
      <w:r>
        <w:rPr>
          <w:rFonts w:ascii="Times New Roman" w:hAnsi="Times New Roman" w:cs="Times New Roman"/>
          <w:sz w:val="24"/>
          <w:szCs w:val="24"/>
          <w:lang w:val="id-ID"/>
        </w:rPr>
        <w:fldChar w:fldCharType="end"/>
      </w:r>
    </w:p>
    <w:p w14:paraId="0192A2CB">
      <w:pPr>
        <w:pStyle w:val="13"/>
        <w:spacing w:after="0" w:line="240" w:lineRule="auto"/>
        <w:ind w:left="0"/>
        <w:rPr>
          <w:rFonts w:ascii="Times New Roman" w:hAnsi="Times New Roman" w:cs="Times New Roman"/>
          <w:sz w:val="24"/>
          <w:szCs w:val="24"/>
          <w:lang w:val="id-ID"/>
        </w:rPr>
      </w:pPr>
    </w:p>
    <w:sectPr>
      <w:pgSz w:w="15840" w:h="12240" w:orient="landscape"/>
      <w:pgMar w:top="2268" w:right="1701" w:bottom="1701"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728032392"/>
      <w:docPartObj>
        <w:docPartGallery w:val="autotext"/>
      </w:docPartObj>
    </w:sdtPr>
    <w:sdtEndPr>
      <w:rPr>
        <w:rFonts w:ascii="Times New Roman" w:hAnsi="Times New Roman" w:cs="Times New Roman"/>
        <w:sz w:val="24"/>
        <w:szCs w:val="24"/>
      </w:rPr>
    </w:sdtEndPr>
    <w:sdtContent>
      <w:p w14:paraId="30837BBA">
        <w:pPr>
          <w:pStyle w:val="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sdtContent>
  </w:sdt>
  <w:p w14:paraId="3F2E61E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750FC"/>
    <w:multiLevelType w:val="multilevel"/>
    <w:tmpl w:val="07A750FC"/>
    <w:lvl w:ilvl="0" w:tentative="0">
      <w:start w:val="1"/>
      <w:numFmt w:val="decimal"/>
      <w:lvlText w:val="%1."/>
      <w:lvlJc w:val="left"/>
      <w:pPr>
        <w:ind w:left="1800" w:hanging="360"/>
      </w:pPr>
    </w:lvl>
    <w:lvl w:ilvl="1" w:tentative="0">
      <w:start w:val="1"/>
      <w:numFmt w:val="decimal"/>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0FE87894"/>
    <w:multiLevelType w:val="multilevel"/>
    <w:tmpl w:val="0FE87894"/>
    <w:lvl w:ilvl="0" w:tentative="0">
      <w:start w:val="1"/>
      <w:numFmt w:val="decimal"/>
      <w:lvlText w:val="%1."/>
      <w:lvlJc w:val="left"/>
      <w:pPr>
        <w:ind w:left="720" w:hanging="360"/>
      </w:pPr>
      <w:rPr>
        <w:rFonts w:hint="default"/>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BD73E42"/>
    <w:multiLevelType w:val="multilevel"/>
    <w:tmpl w:val="1BD73E42"/>
    <w:lvl w:ilvl="0" w:tentative="0">
      <w:start w:val="1"/>
      <w:numFmt w:val="decimal"/>
      <w:lvlText w:val="%1."/>
      <w:lvlJc w:val="left"/>
      <w:pPr>
        <w:ind w:left="1785" w:hanging="360"/>
      </w:pPr>
      <w:rPr>
        <w:rFonts w:hint="default"/>
      </w:rPr>
    </w:lvl>
    <w:lvl w:ilvl="1" w:tentative="0">
      <w:start w:val="1"/>
      <w:numFmt w:val="lowerLetter"/>
      <w:lvlText w:val="%2."/>
      <w:lvlJc w:val="left"/>
      <w:pPr>
        <w:ind w:left="2505" w:hanging="360"/>
      </w:pPr>
    </w:lvl>
    <w:lvl w:ilvl="2" w:tentative="0">
      <w:start w:val="1"/>
      <w:numFmt w:val="lowerRoman"/>
      <w:lvlText w:val="%3."/>
      <w:lvlJc w:val="right"/>
      <w:pPr>
        <w:ind w:left="3225" w:hanging="180"/>
      </w:pPr>
    </w:lvl>
    <w:lvl w:ilvl="3" w:tentative="0">
      <w:start w:val="1"/>
      <w:numFmt w:val="decimal"/>
      <w:lvlText w:val="%4."/>
      <w:lvlJc w:val="left"/>
      <w:pPr>
        <w:ind w:left="3945" w:hanging="360"/>
      </w:pPr>
    </w:lvl>
    <w:lvl w:ilvl="4" w:tentative="0">
      <w:start w:val="1"/>
      <w:numFmt w:val="lowerLetter"/>
      <w:lvlText w:val="%5."/>
      <w:lvlJc w:val="left"/>
      <w:pPr>
        <w:ind w:left="4665" w:hanging="360"/>
      </w:pPr>
    </w:lvl>
    <w:lvl w:ilvl="5" w:tentative="0">
      <w:start w:val="1"/>
      <w:numFmt w:val="lowerRoman"/>
      <w:lvlText w:val="%6."/>
      <w:lvlJc w:val="right"/>
      <w:pPr>
        <w:ind w:left="5385" w:hanging="180"/>
      </w:pPr>
    </w:lvl>
    <w:lvl w:ilvl="6" w:tentative="0">
      <w:start w:val="1"/>
      <w:numFmt w:val="decimal"/>
      <w:lvlText w:val="%7."/>
      <w:lvlJc w:val="left"/>
      <w:pPr>
        <w:ind w:left="6105" w:hanging="360"/>
      </w:pPr>
    </w:lvl>
    <w:lvl w:ilvl="7" w:tentative="0">
      <w:start w:val="1"/>
      <w:numFmt w:val="lowerLetter"/>
      <w:lvlText w:val="%8."/>
      <w:lvlJc w:val="left"/>
      <w:pPr>
        <w:ind w:left="6825" w:hanging="360"/>
      </w:pPr>
    </w:lvl>
    <w:lvl w:ilvl="8" w:tentative="0">
      <w:start w:val="1"/>
      <w:numFmt w:val="lowerRoman"/>
      <w:lvlText w:val="%9."/>
      <w:lvlJc w:val="right"/>
      <w:pPr>
        <w:ind w:left="7545" w:hanging="180"/>
      </w:pPr>
    </w:lvl>
  </w:abstractNum>
  <w:abstractNum w:abstractNumId="3">
    <w:nsid w:val="1CEA0579"/>
    <w:multiLevelType w:val="multilevel"/>
    <w:tmpl w:val="1CEA057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26B05866"/>
    <w:multiLevelType w:val="multilevel"/>
    <w:tmpl w:val="26B05866"/>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27C86F61"/>
    <w:multiLevelType w:val="multilevel"/>
    <w:tmpl w:val="27C86F61"/>
    <w:lvl w:ilvl="0" w:tentative="0">
      <w:start w:val="1"/>
      <w:numFmt w:val="decimal"/>
      <w:lvlText w:val="%1."/>
      <w:lvlJc w:val="left"/>
      <w:pPr>
        <w:ind w:left="1140" w:hanging="360"/>
      </w:pPr>
      <w:rPr>
        <w:rFonts w:hint="default"/>
        <w:b/>
        <w:bCs/>
      </w:r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6">
    <w:nsid w:val="32C0258A"/>
    <w:multiLevelType w:val="multilevel"/>
    <w:tmpl w:val="32C0258A"/>
    <w:lvl w:ilvl="0" w:tentative="0">
      <w:start w:val="1"/>
      <w:numFmt w:val="upperLetter"/>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FFC5838"/>
    <w:multiLevelType w:val="multilevel"/>
    <w:tmpl w:val="3FFC5838"/>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6BE1666E"/>
    <w:multiLevelType w:val="multilevel"/>
    <w:tmpl w:val="6BE1666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117465E"/>
    <w:multiLevelType w:val="multilevel"/>
    <w:tmpl w:val="7117465E"/>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3"/>
  </w:num>
  <w:num w:numId="2">
    <w:abstractNumId w:val="4"/>
  </w:num>
  <w:num w:numId="3">
    <w:abstractNumId w:val="5"/>
  </w:num>
  <w:num w:numId="4">
    <w:abstractNumId w:val="9"/>
  </w:num>
  <w:num w:numId="5">
    <w:abstractNumId w:val="7"/>
  </w:num>
  <w:num w:numId="6">
    <w:abstractNumId w:val="8"/>
  </w:num>
  <w:num w:numId="7">
    <w:abstractNumId w:val="1"/>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96BB3"/>
    <w:rsid w:val="00000719"/>
    <w:rsid w:val="00002668"/>
    <w:rsid w:val="00002842"/>
    <w:rsid w:val="000030F0"/>
    <w:rsid w:val="000034D1"/>
    <w:rsid w:val="00003652"/>
    <w:rsid w:val="000036FA"/>
    <w:rsid w:val="00005F9B"/>
    <w:rsid w:val="00006551"/>
    <w:rsid w:val="0000755E"/>
    <w:rsid w:val="00007B60"/>
    <w:rsid w:val="00010FA8"/>
    <w:rsid w:val="0001125B"/>
    <w:rsid w:val="0001522B"/>
    <w:rsid w:val="000152F3"/>
    <w:rsid w:val="0001611A"/>
    <w:rsid w:val="00016562"/>
    <w:rsid w:val="00016B09"/>
    <w:rsid w:val="00017215"/>
    <w:rsid w:val="00017C8F"/>
    <w:rsid w:val="0002004D"/>
    <w:rsid w:val="0002235C"/>
    <w:rsid w:val="000228C0"/>
    <w:rsid w:val="00022B2A"/>
    <w:rsid w:val="00023042"/>
    <w:rsid w:val="00023A4B"/>
    <w:rsid w:val="000245FD"/>
    <w:rsid w:val="00025D04"/>
    <w:rsid w:val="00025FE3"/>
    <w:rsid w:val="000265D1"/>
    <w:rsid w:val="0003002A"/>
    <w:rsid w:val="00032E3F"/>
    <w:rsid w:val="00033A0C"/>
    <w:rsid w:val="00034755"/>
    <w:rsid w:val="00034C36"/>
    <w:rsid w:val="000375B2"/>
    <w:rsid w:val="0003797D"/>
    <w:rsid w:val="00037D9C"/>
    <w:rsid w:val="000400D3"/>
    <w:rsid w:val="00040146"/>
    <w:rsid w:val="000418C8"/>
    <w:rsid w:val="000421C8"/>
    <w:rsid w:val="00043127"/>
    <w:rsid w:val="0004406F"/>
    <w:rsid w:val="0004483B"/>
    <w:rsid w:val="00045F1D"/>
    <w:rsid w:val="00046793"/>
    <w:rsid w:val="00050DAC"/>
    <w:rsid w:val="00050DE1"/>
    <w:rsid w:val="00051578"/>
    <w:rsid w:val="00051596"/>
    <w:rsid w:val="00052C35"/>
    <w:rsid w:val="0005383C"/>
    <w:rsid w:val="0005421A"/>
    <w:rsid w:val="00054257"/>
    <w:rsid w:val="00054A3C"/>
    <w:rsid w:val="00054BD5"/>
    <w:rsid w:val="000567FF"/>
    <w:rsid w:val="00057B14"/>
    <w:rsid w:val="0006050C"/>
    <w:rsid w:val="00061A82"/>
    <w:rsid w:val="000628F3"/>
    <w:rsid w:val="0006370D"/>
    <w:rsid w:val="000642AC"/>
    <w:rsid w:val="000648E8"/>
    <w:rsid w:val="00064993"/>
    <w:rsid w:val="00064A52"/>
    <w:rsid w:val="00065148"/>
    <w:rsid w:val="00065FB1"/>
    <w:rsid w:val="000666E7"/>
    <w:rsid w:val="00066722"/>
    <w:rsid w:val="00066E5F"/>
    <w:rsid w:val="00067F63"/>
    <w:rsid w:val="00070A45"/>
    <w:rsid w:val="00073B00"/>
    <w:rsid w:val="0007459B"/>
    <w:rsid w:val="000754E3"/>
    <w:rsid w:val="0007760D"/>
    <w:rsid w:val="00080CB3"/>
    <w:rsid w:val="00080E0D"/>
    <w:rsid w:val="000817BF"/>
    <w:rsid w:val="00082D40"/>
    <w:rsid w:val="00082D71"/>
    <w:rsid w:val="00082EB5"/>
    <w:rsid w:val="000835E9"/>
    <w:rsid w:val="000846AD"/>
    <w:rsid w:val="00085423"/>
    <w:rsid w:val="00086413"/>
    <w:rsid w:val="000868B7"/>
    <w:rsid w:val="00090283"/>
    <w:rsid w:val="0009034F"/>
    <w:rsid w:val="00091552"/>
    <w:rsid w:val="00092DFD"/>
    <w:rsid w:val="00093A1C"/>
    <w:rsid w:val="00093F1C"/>
    <w:rsid w:val="00097207"/>
    <w:rsid w:val="00097D39"/>
    <w:rsid w:val="00097E89"/>
    <w:rsid w:val="000A0B44"/>
    <w:rsid w:val="000A105C"/>
    <w:rsid w:val="000A1268"/>
    <w:rsid w:val="000A17CE"/>
    <w:rsid w:val="000A1D18"/>
    <w:rsid w:val="000A1D92"/>
    <w:rsid w:val="000A2E89"/>
    <w:rsid w:val="000A33ED"/>
    <w:rsid w:val="000A39A9"/>
    <w:rsid w:val="000A41C1"/>
    <w:rsid w:val="000A4C57"/>
    <w:rsid w:val="000A55D1"/>
    <w:rsid w:val="000A5AB9"/>
    <w:rsid w:val="000A6541"/>
    <w:rsid w:val="000A6695"/>
    <w:rsid w:val="000A6D5F"/>
    <w:rsid w:val="000A7285"/>
    <w:rsid w:val="000B07A6"/>
    <w:rsid w:val="000B38C5"/>
    <w:rsid w:val="000B46EC"/>
    <w:rsid w:val="000B471C"/>
    <w:rsid w:val="000B6832"/>
    <w:rsid w:val="000B7363"/>
    <w:rsid w:val="000B7C9F"/>
    <w:rsid w:val="000C15C8"/>
    <w:rsid w:val="000C1F5C"/>
    <w:rsid w:val="000C24C7"/>
    <w:rsid w:val="000C2782"/>
    <w:rsid w:val="000C2A36"/>
    <w:rsid w:val="000C2F5C"/>
    <w:rsid w:val="000C3963"/>
    <w:rsid w:val="000D152D"/>
    <w:rsid w:val="000D2F98"/>
    <w:rsid w:val="000D2FA6"/>
    <w:rsid w:val="000D45D6"/>
    <w:rsid w:val="000D46F3"/>
    <w:rsid w:val="000D4BB7"/>
    <w:rsid w:val="000E102B"/>
    <w:rsid w:val="000E14BA"/>
    <w:rsid w:val="000E18D3"/>
    <w:rsid w:val="000E29E7"/>
    <w:rsid w:val="000E3A4F"/>
    <w:rsid w:val="000E3B59"/>
    <w:rsid w:val="000E4310"/>
    <w:rsid w:val="000E6462"/>
    <w:rsid w:val="000E7042"/>
    <w:rsid w:val="000E74EA"/>
    <w:rsid w:val="000E7C7D"/>
    <w:rsid w:val="000F144E"/>
    <w:rsid w:val="000F27AA"/>
    <w:rsid w:val="000F2AAC"/>
    <w:rsid w:val="000F356D"/>
    <w:rsid w:val="000F44BD"/>
    <w:rsid w:val="000F5625"/>
    <w:rsid w:val="000F5876"/>
    <w:rsid w:val="000F67A5"/>
    <w:rsid w:val="001012C3"/>
    <w:rsid w:val="00102DBA"/>
    <w:rsid w:val="00103A56"/>
    <w:rsid w:val="00103B87"/>
    <w:rsid w:val="00104173"/>
    <w:rsid w:val="001052E0"/>
    <w:rsid w:val="00105956"/>
    <w:rsid w:val="00105979"/>
    <w:rsid w:val="00105A76"/>
    <w:rsid w:val="001064B8"/>
    <w:rsid w:val="00106823"/>
    <w:rsid w:val="001073AD"/>
    <w:rsid w:val="00107428"/>
    <w:rsid w:val="001074BD"/>
    <w:rsid w:val="00107786"/>
    <w:rsid w:val="001103FB"/>
    <w:rsid w:val="001113C2"/>
    <w:rsid w:val="00111828"/>
    <w:rsid w:val="00111937"/>
    <w:rsid w:val="00111E69"/>
    <w:rsid w:val="00112BA2"/>
    <w:rsid w:val="00114847"/>
    <w:rsid w:val="00114A67"/>
    <w:rsid w:val="00116569"/>
    <w:rsid w:val="00116ADF"/>
    <w:rsid w:val="0011778A"/>
    <w:rsid w:val="00120758"/>
    <w:rsid w:val="00121979"/>
    <w:rsid w:val="001221EC"/>
    <w:rsid w:val="0012297A"/>
    <w:rsid w:val="001230A6"/>
    <w:rsid w:val="00124061"/>
    <w:rsid w:val="0012441F"/>
    <w:rsid w:val="00125394"/>
    <w:rsid w:val="00125AE1"/>
    <w:rsid w:val="00125D52"/>
    <w:rsid w:val="001267BF"/>
    <w:rsid w:val="00126C04"/>
    <w:rsid w:val="00127618"/>
    <w:rsid w:val="001278DF"/>
    <w:rsid w:val="00127AE8"/>
    <w:rsid w:val="00127F9E"/>
    <w:rsid w:val="001305AC"/>
    <w:rsid w:val="00130718"/>
    <w:rsid w:val="00130813"/>
    <w:rsid w:val="00130874"/>
    <w:rsid w:val="00130A3B"/>
    <w:rsid w:val="00130FD3"/>
    <w:rsid w:val="001325ED"/>
    <w:rsid w:val="0013349B"/>
    <w:rsid w:val="001337DA"/>
    <w:rsid w:val="0013487A"/>
    <w:rsid w:val="001356F3"/>
    <w:rsid w:val="00135DC2"/>
    <w:rsid w:val="00137519"/>
    <w:rsid w:val="00140FC5"/>
    <w:rsid w:val="0014198C"/>
    <w:rsid w:val="001420D3"/>
    <w:rsid w:val="00142D90"/>
    <w:rsid w:val="0014373F"/>
    <w:rsid w:val="00143AD2"/>
    <w:rsid w:val="00146F18"/>
    <w:rsid w:val="00147461"/>
    <w:rsid w:val="0015026B"/>
    <w:rsid w:val="00151280"/>
    <w:rsid w:val="00151F5B"/>
    <w:rsid w:val="0015215A"/>
    <w:rsid w:val="00153401"/>
    <w:rsid w:val="00156B13"/>
    <w:rsid w:val="001603EE"/>
    <w:rsid w:val="00160D57"/>
    <w:rsid w:val="00161A40"/>
    <w:rsid w:val="00162E85"/>
    <w:rsid w:val="001638F8"/>
    <w:rsid w:val="00164ABC"/>
    <w:rsid w:val="00165DF0"/>
    <w:rsid w:val="00166FB7"/>
    <w:rsid w:val="00167680"/>
    <w:rsid w:val="00167988"/>
    <w:rsid w:val="00167C1D"/>
    <w:rsid w:val="00167CE2"/>
    <w:rsid w:val="001709F0"/>
    <w:rsid w:val="001723ED"/>
    <w:rsid w:val="00173354"/>
    <w:rsid w:val="001742E6"/>
    <w:rsid w:val="0017691A"/>
    <w:rsid w:val="00177D58"/>
    <w:rsid w:val="00177E5A"/>
    <w:rsid w:val="0018072F"/>
    <w:rsid w:val="00181219"/>
    <w:rsid w:val="001825AB"/>
    <w:rsid w:val="001829EC"/>
    <w:rsid w:val="00182D4E"/>
    <w:rsid w:val="0018434E"/>
    <w:rsid w:val="0018444B"/>
    <w:rsid w:val="00185960"/>
    <w:rsid w:val="001868A9"/>
    <w:rsid w:val="00186ADF"/>
    <w:rsid w:val="00190540"/>
    <w:rsid w:val="0019084E"/>
    <w:rsid w:val="00190933"/>
    <w:rsid w:val="00190CEE"/>
    <w:rsid w:val="00191448"/>
    <w:rsid w:val="001919B2"/>
    <w:rsid w:val="00193296"/>
    <w:rsid w:val="00193452"/>
    <w:rsid w:val="00193AEA"/>
    <w:rsid w:val="00194533"/>
    <w:rsid w:val="00194DC7"/>
    <w:rsid w:val="00196207"/>
    <w:rsid w:val="0019742B"/>
    <w:rsid w:val="001A1FC7"/>
    <w:rsid w:val="001A536B"/>
    <w:rsid w:val="001A6456"/>
    <w:rsid w:val="001A6851"/>
    <w:rsid w:val="001A6964"/>
    <w:rsid w:val="001A723A"/>
    <w:rsid w:val="001A78D8"/>
    <w:rsid w:val="001A7D7F"/>
    <w:rsid w:val="001B0AAB"/>
    <w:rsid w:val="001B1B09"/>
    <w:rsid w:val="001B27E5"/>
    <w:rsid w:val="001B3ABD"/>
    <w:rsid w:val="001B4C52"/>
    <w:rsid w:val="001B4FB0"/>
    <w:rsid w:val="001B51D5"/>
    <w:rsid w:val="001B57B3"/>
    <w:rsid w:val="001B67A3"/>
    <w:rsid w:val="001B6AB2"/>
    <w:rsid w:val="001B78A0"/>
    <w:rsid w:val="001B7D9D"/>
    <w:rsid w:val="001C00ED"/>
    <w:rsid w:val="001C0F14"/>
    <w:rsid w:val="001C1206"/>
    <w:rsid w:val="001C1E1B"/>
    <w:rsid w:val="001C253F"/>
    <w:rsid w:val="001C29E1"/>
    <w:rsid w:val="001C2DD3"/>
    <w:rsid w:val="001C3708"/>
    <w:rsid w:val="001C37A6"/>
    <w:rsid w:val="001C57CB"/>
    <w:rsid w:val="001C627D"/>
    <w:rsid w:val="001C68D5"/>
    <w:rsid w:val="001C701E"/>
    <w:rsid w:val="001C73E4"/>
    <w:rsid w:val="001C7C9D"/>
    <w:rsid w:val="001D2077"/>
    <w:rsid w:val="001D2690"/>
    <w:rsid w:val="001D2725"/>
    <w:rsid w:val="001D3AFE"/>
    <w:rsid w:val="001D52EF"/>
    <w:rsid w:val="001D6758"/>
    <w:rsid w:val="001D6899"/>
    <w:rsid w:val="001D6F01"/>
    <w:rsid w:val="001D728B"/>
    <w:rsid w:val="001E09DB"/>
    <w:rsid w:val="001E1EA5"/>
    <w:rsid w:val="001E35C2"/>
    <w:rsid w:val="001E484E"/>
    <w:rsid w:val="001E7746"/>
    <w:rsid w:val="001F0892"/>
    <w:rsid w:val="001F0AA2"/>
    <w:rsid w:val="001F2654"/>
    <w:rsid w:val="001F2D1D"/>
    <w:rsid w:val="001F3AEC"/>
    <w:rsid w:val="001F3E31"/>
    <w:rsid w:val="001F4EA8"/>
    <w:rsid w:val="001F4EB2"/>
    <w:rsid w:val="001F6BA8"/>
    <w:rsid w:val="00201327"/>
    <w:rsid w:val="00202172"/>
    <w:rsid w:val="0020262A"/>
    <w:rsid w:val="0020332A"/>
    <w:rsid w:val="00205BAB"/>
    <w:rsid w:val="00206794"/>
    <w:rsid w:val="00207AE5"/>
    <w:rsid w:val="00207E87"/>
    <w:rsid w:val="0021111F"/>
    <w:rsid w:val="0021145F"/>
    <w:rsid w:val="00212FE1"/>
    <w:rsid w:val="00213E8F"/>
    <w:rsid w:val="00213ECB"/>
    <w:rsid w:val="002149B6"/>
    <w:rsid w:val="002159CB"/>
    <w:rsid w:val="00215AD5"/>
    <w:rsid w:val="00215CB5"/>
    <w:rsid w:val="00215E5F"/>
    <w:rsid w:val="00217A20"/>
    <w:rsid w:val="00220244"/>
    <w:rsid w:val="002202DE"/>
    <w:rsid w:val="00220DD6"/>
    <w:rsid w:val="002228DB"/>
    <w:rsid w:val="00222AD0"/>
    <w:rsid w:val="002245C4"/>
    <w:rsid w:val="002259A3"/>
    <w:rsid w:val="00226783"/>
    <w:rsid w:val="0022694D"/>
    <w:rsid w:val="00231BF1"/>
    <w:rsid w:val="00236D32"/>
    <w:rsid w:val="00241765"/>
    <w:rsid w:val="00241B2F"/>
    <w:rsid w:val="00242459"/>
    <w:rsid w:val="0024262F"/>
    <w:rsid w:val="00242ED9"/>
    <w:rsid w:val="00243474"/>
    <w:rsid w:val="0024466A"/>
    <w:rsid w:val="00245665"/>
    <w:rsid w:val="0024666F"/>
    <w:rsid w:val="00247C7E"/>
    <w:rsid w:val="0025009F"/>
    <w:rsid w:val="0025053C"/>
    <w:rsid w:val="00250858"/>
    <w:rsid w:val="002520F6"/>
    <w:rsid w:val="00252687"/>
    <w:rsid w:val="002530F5"/>
    <w:rsid w:val="0025336A"/>
    <w:rsid w:val="00253AAF"/>
    <w:rsid w:val="002540D9"/>
    <w:rsid w:val="0025419E"/>
    <w:rsid w:val="0025481B"/>
    <w:rsid w:val="00254C7E"/>
    <w:rsid w:val="00255E9F"/>
    <w:rsid w:val="00256EA2"/>
    <w:rsid w:val="002570AC"/>
    <w:rsid w:val="002579E8"/>
    <w:rsid w:val="00260102"/>
    <w:rsid w:val="0026078B"/>
    <w:rsid w:val="00261DB3"/>
    <w:rsid w:val="00262A6A"/>
    <w:rsid w:val="00262DE5"/>
    <w:rsid w:val="002630CA"/>
    <w:rsid w:val="002644B4"/>
    <w:rsid w:val="00264F5F"/>
    <w:rsid w:val="00265B68"/>
    <w:rsid w:val="00266824"/>
    <w:rsid w:val="002672B8"/>
    <w:rsid w:val="0026736F"/>
    <w:rsid w:val="002676FD"/>
    <w:rsid w:val="002677C8"/>
    <w:rsid w:val="002714E7"/>
    <w:rsid w:val="002720C9"/>
    <w:rsid w:val="002725A4"/>
    <w:rsid w:val="00273218"/>
    <w:rsid w:val="0027394F"/>
    <w:rsid w:val="002739EB"/>
    <w:rsid w:val="00274089"/>
    <w:rsid w:val="002740D4"/>
    <w:rsid w:val="002743B9"/>
    <w:rsid w:val="00275304"/>
    <w:rsid w:val="002772A3"/>
    <w:rsid w:val="00280FD0"/>
    <w:rsid w:val="00282A40"/>
    <w:rsid w:val="00282E42"/>
    <w:rsid w:val="00283654"/>
    <w:rsid w:val="00284A05"/>
    <w:rsid w:val="00285583"/>
    <w:rsid w:val="00287528"/>
    <w:rsid w:val="00290B1F"/>
    <w:rsid w:val="00290D0D"/>
    <w:rsid w:val="00292074"/>
    <w:rsid w:val="00292625"/>
    <w:rsid w:val="002935D9"/>
    <w:rsid w:val="00293FEE"/>
    <w:rsid w:val="00294ECA"/>
    <w:rsid w:val="00295262"/>
    <w:rsid w:val="002952D6"/>
    <w:rsid w:val="00295F67"/>
    <w:rsid w:val="0029600D"/>
    <w:rsid w:val="002964D5"/>
    <w:rsid w:val="0029650F"/>
    <w:rsid w:val="0029663A"/>
    <w:rsid w:val="002967F8"/>
    <w:rsid w:val="00296ACB"/>
    <w:rsid w:val="00296ADB"/>
    <w:rsid w:val="002971E4"/>
    <w:rsid w:val="00297572"/>
    <w:rsid w:val="002A0D7D"/>
    <w:rsid w:val="002A2166"/>
    <w:rsid w:val="002A3988"/>
    <w:rsid w:val="002A5AB5"/>
    <w:rsid w:val="002A5C78"/>
    <w:rsid w:val="002A767F"/>
    <w:rsid w:val="002B07A0"/>
    <w:rsid w:val="002B26CE"/>
    <w:rsid w:val="002B297E"/>
    <w:rsid w:val="002B2DBF"/>
    <w:rsid w:val="002B4198"/>
    <w:rsid w:val="002B4A7C"/>
    <w:rsid w:val="002B5C3D"/>
    <w:rsid w:val="002B60EA"/>
    <w:rsid w:val="002B7BF0"/>
    <w:rsid w:val="002C10CF"/>
    <w:rsid w:val="002C13B1"/>
    <w:rsid w:val="002C1C37"/>
    <w:rsid w:val="002C3708"/>
    <w:rsid w:val="002C41BB"/>
    <w:rsid w:val="002C43C2"/>
    <w:rsid w:val="002C4F55"/>
    <w:rsid w:val="002C549C"/>
    <w:rsid w:val="002C589B"/>
    <w:rsid w:val="002C610E"/>
    <w:rsid w:val="002C6572"/>
    <w:rsid w:val="002C7606"/>
    <w:rsid w:val="002D0D2A"/>
    <w:rsid w:val="002D14F0"/>
    <w:rsid w:val="002D162F"/>
    <w:rsid w:val="002D1CDB"/>
    <w:rsid w:val="002D3ECD"/>
    <w:rsid w:val="002D434B"/>
    <w:rsid w:val="002D4FD7"/>
    <w:rsid w:val="002D5283"/>
    <w:rsid w:val="002D5E2B"/>
    <w:rsid w:val="002D7035"/>
    <w:rsid w:val="002D7B7F"/>
    <w:rsid w:val="002E0968"/>
    <w:rsid w:val="002E136E"/>
    <w:rsid w:val="002E23D2"/>
    <w:rsid w:val="002E2406"/>
    <w:rsid w:val="002E2DA2"/>
    <w:rsid w:val="002E392C"/>
    <w:rsid w:val="002E3A7A"/>
    <w:rsid w:val="002E445A"/>
    <w:rsid w:val="002E4BE6"/>
    <w:rsid w:val="002E56BA"/>
    <w:rsid w:val="002E6A2A"/>
    <w:rsid w:val="002E7422"/>
    <w:rsid w:val="002E7544"/>
    <w:rsid w:val="002F1783"/>
    <w:rsid w:val="002F1940"/>
    <w:rsid w:val="002F25C2"/>
    <w:rsid w:val="002F2619"/>
    <w:rsid w:val="002F2A45"/>
    <w:rsid w:val="002F3C10"/>
    <w:rsid w:val="002F3FEB"/>
    <w:rsid w:val="002F40E5"/>
    <w:rsid w:val="002F4A18"/>
    <w:rsid w:val="002F536A"/>
    <w:rsid w:val="002F60D2"/>
    <w:rsid w:val="002F62DA"/>
    <w:rsid w:val="002F62FF"/>
    <w:rsid w:val="002F73B6"/>
    <w:rsid w:val="002F7B93"/>
    <w:rsid w:val="002F7BA7"/>
    <w:rsid w:val="002F7D1C"/>
    <w:rsid w:val="003000DF"/>
    <w:rsid w:val="0030133A"/>
    <w:rsid w:val="00301482"/>
    <w:rsid w:val="00302A8D"/>
    <w:rsid w:val="00302FDA"/>
    <w:rsid w:val="00303559"/>
    <w:rsid w:val="00303914"/>
    <w:rsid w:val="0030397B"/>
    <w:rsid w:val="00304202"/>
    <w:rsid w:val="00304A63"/>
    <w:rsid w:val="0030584B"/>
    <w:rsid w:val="003061FA"/>
    <w:rsid w:val="00306738"/>
    <w:rsid w:val="00307EF4"/>
    <w:rsid w:val="00310260"/>
    <w:rsid w:val="003110A3"/>
    <w:rsid w:val="003115AE"/>
    <w:rsid w:val="00311F98"/>
    <w:rsid w:val="003126A1"/>
    <w:rsid w:val="00314A0A"/>
    <w:rsid w:val="00315053"/>
    <w:rsid w:val="00315128"/>
    <w:rsid w:val="003157B1"/>
    <w:rsid w:val="00315846"/>
    <w:rsid w:val="00315C4D"/>
    <w:rsid w:val="00315F1D"/>
    <w:rsid w:val="003165EC"/>
    <w:rsid w:val="00316B60"/>
    <w:rsid w:val="00317D22"/>
    <w:rsid w:val="00317E21"/>
    <w:rsid w:val="00320F0B"/>
    <w:rsid w:val="003218E3"/>
    <w:rsid w:val="00323BEF"/>
    <w:rsid w:val="003246D4"/>
    <w:rsid w:val="00324DDD"/>
    <w:rsid w:val="00326EBB"/>
    <w:rsid w:val="003277C1"/>
    <w:rsid w:val="00327FB8"/>
    <w:rsid w:val="00330F38"/>
    <w:rsid w:val="00331091"/>
    <w:rsid w:val="00332093"/>
    <w:rsid w:val="00332464"/>
    <w:rsid w:val="00333AF1"/>
    <w:rsid w:val="00333D0E"/>
    <w:rsid w:val="003345BA"/>
    <w:rsid w:val="003347CD"/>
    <w:rsid w:val="00334FAF"/>
    <w:rsid w:val="00335EFC"/>
    <w:rsid w:val="003375F3"/>
    <w:rsid w:val="0033793B"/>
    <w:rsid w:val="0034068A"/>
    <w:rsid w:val="00340859"/>
    <w:rsid w:val="00341437"/>
    <w:rsid w:val="0034205E"/>
    <w:rsid w:val="00342386"/>
    <w:rsid w:val="0034247F"/>
    <w:rsid w:val="00342C3F"/>
    <w:rsid w:val="00343F32"/>
    <w:rsid w:val="00344303"/>
    <w:rsid w:val="0034500F"/>
    <w:rsid w:val="0034518C"/>
    <w:rsid w:val="00345283"/>
    <w:rsid w:val="00346824"/>
    <w:rsid w:val="00347B81"/>
    <w:rsid w:val="00347C35"/>
    <w:rsid w:val="00350002"/>
    <w:rsid w:val="0035234A"/>
    <w:rsid w:val="00352A80"/>
    <w:rsid w:val="00354E59"/>
    <w:rsid w:val="00355614"/>
    <w:rsid w:val="00355B3E"/>
    <w:rsid w:val="0035666C"/>
    <w:rsid w:val="003600A3"/>
    <w:rsid w:val="003618D0"/>
    <w:rsid w:val="00362517"/>
    <w:rsid w:val="00363591"/>
    <w:rsid w:val="00363B08"/>
    <w:rsid w:val="00363F18"/>
    <w:rsid w:val="00366ECC"/>
    <w:rsid w:val="00367669"/>
    <w:rsid w:val="00370835"/>
    <w:rsid w:val="0037267F"/>
    <w:rsid w:val="00372914"/>
    <w:rsid w:val="00372AC2"/>
    <w:rsid w:val="00373278"/>
    <w:rsid w:val="00373293"/>
    <w:rsid w:val="003736AF"/>
    <w:rsid w:val="00373B17"/>
    <w:rsid w:val="00374052"/>
    <w:rsid w:val="003744A8"/>
    <w:rsid w:val="00374552"/>
    <w:rsid w:val="00374D01"/>
    <w:rsid w:val="00376D3E"/>
    <w:rsid w:val="00377C8A"/>
    <w:rsid w:val="003809FD"/>
    <w:rsid w:val="0038191D"/>
    <w:rsid w:val="003825E6"/>
    <w:rsid w:val="00382C2C"/>
    <w:rsid w:val="00382E22"/>
    <w:rsid w:val="003833DC"/>
    <w:rsid w:val="0038459F"/>
    <w:rsid w:val="00384B01"/>
    <w:rsid w:val="003855A0"/>
    <w:rsid w:val="00385867"/>
    <w:rsid w:val="00386155"/>
    <w:rsid w:val="003866B6"/>
    <w:rsid w:val="00390F2F"/>
    <w:rsid w:val="00391CE6"/>
    <w:rsid w:val="003965DA"/>
    <w:rsid w:val="00396B69"/>
    <w:rsid w:val="00396CB2"/>
    <w:rsid w:val="00397518"/>
    <w:rsid w:val="003A3232"/>
    <w:rsid w:val="003A3BD6"/>
    <w:rsid w:val="003A46C8"/>
    <w:rsid w:val="003A498B"/>
    <w:rsid w:val="003A61DD"/>
    <w:rsid w:val="003A685D"/>
    <w:rsid w:val="003A6959"/>
    <w:rsid w:val="003B11EF"/>
    <w:rsid w:val="003B1F52"/>
    <w:rsid w:val="003B26F0"/>
    <w:rsid w:val="003B29F4"/>
    <w:rsid w:val="003B2A6A"/>
    <w:rsid w:val="003B2E26"/>
    <w:rsid w:val="003C05D6"/>
    <w:rsid w:val="003C1654"/>
    <w:rsid w:val="003C3662"/>
    <w:rsid w:val="003C41C7"/>
    <w:rsid w:val="003C4617"/>
    <w:rsid w:val="003C47C7"/>
    <w:rsid w:val="003C4F79"/>
    <w:rsid w:val="003C4FEA"/>
    <w:rsid w:val="003C5A61"/>
    <w:rsid w:val="003C5EF9"/>
    <w:rsid w:val="003C6CEE"/>
    <w:rsid w:val="003D00E2"/>
    <w:rsid w:val="003D0974"/>
    <w:rsid w:val="003D1492"/>
    <w:rsid w:val="003D674F"/>
    <w:rsid w:val="003D6893"/>
    <w:rsid w:val="003D77ED"/>
    <w:rsid w:val="003E0849"/>
    <w:rsid w:val="003E1B34"/>
    <w:rsid w:val="003E2092"/>
    <w:rsid w:val="003E2BD2"/>
    <w:rsid w:val="003E343A"/>
    <w:rsid w:val="003E3584"/>
    <w:rsid w:val="003E36F6"/>
    <w:rsid w:val="003E3D74"/>
    <w:rsid w:val="003E3FBD"/>
    <w:rsid w:val="003E45DE"/>
    <w:rsid w:val="003E47E9"/>
    <w:rsid w:val="003E607C"/>
    <w:rsid w:val="003E6F66"/>
    <w:rsid w:val="003E7FC0"/>
    <w:rsid w:val="003F0789"/>
    <w:rsid w:val="003F0AB8"/>
    <w:rsid w:val="003F0D79"/>
    <w:rsid w:val="003F101D"/>
    <w:rsid w:val="003F1B5E"/>
    <w:rsid w:val="003F5984"/>
    <w:rsid w:val="003F64BA"/>
    <w:rsid w:val="003F6573"/>
    <w:rsid w:val="003F743E"/>
    <w:rsid w:val="00400814"/>
    <w:rsid w:val="004008A7"/>
    <w:rsid w:val="00400EB3"/>
    <w:rsid w:val="00401801"/>
    <w:rsid w:val="00401F8B"/>
    <w:rsid w:val="00402766"/>
    <w:rsid w:val="0040495C"/>
    <w:rsid w:val="00404ED9"/>
    <w:rsid w:val="0040628D"/>
    <w:rsid w:val="004071E7"/>
    <w:rsid w:val="00407F8D"/>
    <w:rsid w:val="004107EB"/>
    <w:rsid w:val="00410E2A"/>
    <w:rsid w:val="004122B9"/>
    <w:rsid w:val="004126ED"/>
    <w:rsid w:val="004126FB"/>
    <w:rsid w:val="00414025"/>
    <w:rsid w:val="00415CAC"/>
    <w:rsid w:val="004175FE"/>
    <w:rsid w:val="00421727"/>
    <w:rsid w:val="004239C4"/>
    <w:rsid w:val="0042407D"/>
    <w:rsid w:val="00424141"/>
    <w:rsid w:val="00424A09"/>
    <w:rsid w:val="00424E16"/>
    <w:rsid w:val="00424E77"/>
    <w:rsid w:val="004251A6"/>
    <w:rsid w:val="00425323"/>
    <w:rsid w:val="004269B5"/>
    <w:rsid w:val="004276A0"/>
    <w:rsid w:val="00427F51"/>
    <w:rsid w:val="00430E4C"/>
    <w:rsid w:val="004314C5"/>
    <w:rsid w:val="00431F56"/>
    <w:rsid w:val="00432353"/>
    <w:rsid w:val="004326A2"/>
    <w:rsid w:val="00432B3C"/>
    <w:rsid w:val="00433441"/>
    <w:rsid w:val="0043424A"/>
    <w:rsid w:val="004351BC"/>
    <w:rsid w:val="00437AD2"/>
    <w:rsid w:val="00437DFB"/>
    <w:rsid w:val="00441AB6"/>
    <w:rsid w:val="004422A5"/>
    <w:rsid w:val="0044593A"/>
    <w:rsid w:val="004463CA"/>
    <w:rsid w:val="0044771B"/>
    <w:rsid w:val="00447A4C"/>
    <w:rsid w:val="00447C5D"/>
    <w:rsid w:val="00447F2F"/>
    <w:rsid w:val="00450FA4"/>
    <w:rsid w:val="004526DF"/>
    <w:rsid w:val="0045337D"/>
    <w:rsid w:val="004534F4"/>
    <w:rsid w:val="00454F99"/>
    <w:rsid w:val="004558CD"/>
    <w:rsid w:val="00455BBA"/>
    <w:rsid w:val="00456513"/>
    <w:rsid w:val="004566E2"/>
    <w:rsid w:val="00456C24"/>
    <w:rsid w:val="00457261"/>
    <w:rsid w:val="00457BBF"/>
    <w:rsid w:val="00460A2A"/>
    <w:rsid w:val="00462959"/>
    <w:rsid w:val="00464675"/>
    <w:rsid w:val="00464B7E"/>
    <w:rsid w:val="00464C6B"/>
    <w:rsid w:val="00466CBF"/>
    <w:rsid w:val="00466D8A"/>
    <w:rsid w:val="0046741A"/>
    <w:rsid w:val="0047041B"/>
    <w:rsid w:val="004708F2"/>
    <w:rsid w:val="004711D0"/>
    <w:rsid w:val="004712BB"/>
    <w:rsid w:val="00471999"/>
    <w:rsid w:val="00472514"/>
    <w:rsid w:val="00472D33"/>
    <w:rsid w:val="00472DF6"/>
    <w:rsid w:val="0047351E"/>
    <w:rsid w:val="00473753"/>
    <w:rsid w:val="00474F01"/>
    <w:rsid w:val="00475D48"/>
    <w:rsid w:val="00477597"/>
    <w:rsid w:val="00477CB7"/>
    <w:rsid w:val="00480BF7"/>
    <w:rsid w:val="00482AED"/>
    <w:rsid w:val="0048303E"/>
    <w:rsid w:val="004837B6"/>
    <w:rsid w:val="00484579"/>
    <w:rsid w:val="004847EE"/>
    <w:rsid w:val="00484E60"/>
    <w:rsid w:val="0048531B"/>
    <w:rsid w:val="00485DF2"/>
    <w:rsid w:val="0048796E"/>
    <w:rsid w:val="00487C3C"/>
    <w:rsid w:val="004903A2"/>
    <w:rsid w:val="00490B0D"/>
    <w:rsid w:val="00491466"/>
    <w:rsid w:val="004916E3"/>
    <w:rsid w:val="0049188E"/>
    <w:rsid w:val="004918B1"/>
    <w:rsid w:val="004918DE"/>
    <w:rsid w:val="0049302D"/>
    <w:rsid w:val="00493931"/>
    <w:rsid w:val="00494A20"/>
    <w:rsid w:val="0049561A"/>
    <w:rsid w:val="004965E2"/>
    <w:rsid w:val="00496A60"/>
    <w:rsid w:val="004977B9"/>
    <w:rsid w:val="00497DA4"/>
    <w:rsid w:val="004A1A5C"/>
    <w:rsid w:val="004A1B40"/>
    <w:rsid w:val="004A4665"/>
    <w:rsid w:val="004A56DF"/>
    <w:rsid w:val="004B1EFD"/>
    <w:rsid w:val="004B2CBA"/>
    <w:rsid w:val="004B470B"/>
    <w:rsid w:val="004B724E"/>
    <w:rsid w:val="004C06DB"/>
    <w:rsid w:val="004C08BE"/>
    <w:rsid w:val="004C0C05"/>
    <w:rsid w:val="004C13D3"/>
    <w:rsid w:val="004C211C"/>
    <w:rsid w:val="004C2E87"/>
    <w:rsid w:val="004C2EC4"/>
    <w:rsid w:val="004C3C61"/>
    <w:rsid w:val="004C4098"/>
    <w:rsid w:val="004C4178"/>
    <w:rsid w:val="004C5748"/>
    <w:rsid w:val="004C589A"/>
    <w:rsid w:val="004C6A62"/>
    <w:rsid w:val="004C6E8E"/>
    <w:rsid w:val="004D0BAF"/>
    <w:rsid w:val="004D0D2B"/>
    <w:rsid w:val="004D253C"/>
    <w:rsid w:val="004D44A9"/>
    <w:rsid w:val="004D6803"/>
    <w:rsid w:val="004D7087"/>
    <w:rsid w:val="004E379B"/>
    <w:rsid w:val="004E39C0"/>
    <w:rsid w:val="004E3D63"/>
    <w:rsid w:val="004E4A8B"/>
    <w:rsid w:val="004E4AB7"/>
    <w:rsid w:val="004E5782"/>
    <w:rsid w:val="004E675B"/>
    <w:rsid w:val="004E6AC8"/>
    <w:rsid w:val="004E751D"/>
    <w:rsid w:val="004F1A2F"/>
    <w:rsid w:val="004F1ED4"/>
    <w:rsid w:val="004F2B07"/>
    <w:rsid w:val="004F2E5F"/>
    <w:rsid w:val="004F419F"/>
    <w:rsid w:val="004F4A2A"/>
    <w:rsid w:val="004F4CFD"/>
    <w:rsid w:val="004F4E9A"/>
    <w:rsid w:val="004F5BC5"/>
    <w:rsid w:val="004F621C"/>
    <w:rsid w:val="004F6AC5"/>
    <w:rsid w:val="004F6D00"/>
    <w:rsid w:val="005006AA"/>
    <w:rsid w:val="00500B53"/>
    <w:rsid w:val="00500B5C"/>
    <w:rsid w:val="0050159D"/>
    <w:rsid w:val="00502E3C"/>
    <w:rsid w:val="00504723"/>
    <w:rsid w:val="00504941"/>
    <w:rsid w:val="005065C2"/>
    <w:rsid w:val="00510B14"/>
    <w:rsid w:val="005110C5"/>
    <w:rsid w:val="005124A9"/>
    <w:rsid w:val="00513597"/>
    <w:rsid w:val="00513A96"/>
    <w:rsid w:val="00516DD0"/>
    <w:rsid w:val="0051741D"/>
    <w:rsid w:val="00517625"/>
    <w:rsid w:val="00517744"/>
    <w:rsid w:val="00520AD4"/>
    <w:rsid w:val="00520D3B"/>
    <w:rsid w:val="00521321"/>
    <w:rsid w:val="0052188C"/>
    <w:rsid w:val="00521E12"/>
    <w:rsid w:val="00522870"/>
    <w:rsid w:val="005229D3"/>
    <w:rsid w:val="00522DDE"/>
    <w:rsid w:val="00524515"/>
    <w:rsid w:val="00524AED"/>
    <w:rsid w:val="00524B10"/>
    <w:rsid w:val="00525180"/>
    <w:rsid w:val="005257C2"/>
    <w:rsid w:val="0052752E"/>
    <w:rsid w:val="0052758D"/>
    <w:rsid w:val="005302BA"/>
    <w:rsid w:val="0053060B"/>
    <w:rsid w:val="005308E1"/>
    <w:rsid w:val="00531F96"/>
    <w:rsid w:val="00532E9E"/>
    <w:rsid w:val="00533ECC"/>
    <w:rsid w:val="00534C22"/>
    <w:rsid w:val="00534E19"/>
    <w:rsid w:val="00535226"/>
    <w:rsid w:val="00535992"/>
    <w:rsid w:val="0053675D"/>
    <w:rsid w:val="00536984"/>
    <w:rsid w:val="00536E2A"/>
    <w:rsid w:val="00537196"/>
    <w:rsid w:val="005372AD"/>
    <w:rsid w:val="00537D94"/>
    <w:rsid w:val="005401FA"/>
    <w:rsid w:val="00540825"/>
    <w:rsid w:val="0054088A"/>
    <w:rsid w:val="00540F6D"/>
    <w:rsid w:val="0054238C"/>
    <w:rsid w:val="005426AE"/>
    <w:rsid w:val="005440ED"/>
    <w:rsid w:val="00544839"/>
    <w:rsid w:val="00545A28"/>
    <w:rsid w:val="00545F9F"/>
    <w:rsid w:val="00546E4A"/>
    <w:rsid w:val="00554096"/>
    <w:rsid w:val="00555017"/>
    <w:rsid w:val="00556446"/>
    <w:rsid w:val="0055676B"/>
    <w:rsid w:val="0055755A"/>
    <w:rsid w:val="0055765A"/>
    <w:rsid w:val="00557E51"/>
    <w:rsid w:val="00557EAA"/>
    <w:rsid w:val="005618FB"/>
    <w:rsid w:val="005625E9"/>
    <w:rsid w:val="00562FA4"/>
    <w:rsid w:val="00563EB2"/>
    <w:rsid w:val="00565C06"/>
    <w:rsid w:val="00565C26"/>
    <w:rsid w:val="00567DBF"/>
    <w:rsid w:val="00570FEA"/>
    <w:rsid w:val="00571AFB"/>
    <w:rsid w:val="0057384C"/>
    <w:rsid w:val="00573ECD"/>
    <w:rsid w:val="0057582D"/>
    <w:rsid w:val="0057589A"/>
    <w:rsid w:val="00576F24"/>
    <w:rsid w:val="00582458"/>
    <w:rsid w:val="005825A3"/>
    <w:rsid w:val="005827DD"/>
    <w:rsid w:val="0058360A"/>
    <w:rsid w:val="00583742"/>
    <w:rsid w:val="005856F9"/>
    <w:rsid w:val="00585DC4"/>
    <w:rsid w:val="00586DD9"/>
    <w:rsid w:val="0058747A"/>
    <w:rsid w:val="005876B9"/>
    <w:rsid w:val="00587DA4"/>
    <w:rsid w:val="00590CEE"/>
    <w:rsid w:val="0059171C"/>
    <w:rsid w:val="005917CF"/>
    <w:rsid w:val="005919FC"/>
    <w:rsid w:val="00591FE8"/>
    <w:rsid w:val="0059242F"/>
    <w:rsid w:val="00593A09"/>
    <w:rsid w:val="005946B9"/>
    <w:rsid w:val="0059727A"/>
    <w:rsid w:val="005978B9"/>
    <w:rsid w:val="005A1D7E"/>
    <w:rsid w:val="005A3E55"/>
    <w:rsid w:val="005A516A"/>
    <w:rsid w:val="005A5B92"/>
    <w:rsid w:val="005A6751"/>
    <w:rsid w:val="005A7CF8"/>
    <w:rsid w:val="005B19EA"/>
    <w:rsid w:val="005B1AE4"/>
    <w:rsid w:val="005B25B9"/>
    <w:rsid w:val="005B32C3"/>
    <w:rsid w:val="005B33D3"/>
    <w:rsid w:val="005B34C6"/>
    <w:rsid w:val="005B3A08"/>
    <w:rsid w:val="005B47DB"/>
    <w:rsid w:val="005B4894"/>
    <w:rsid w:val="005B4F47"/>
    <w:rsid w:val="005B79DF"/>
    <w:rsid w:val="005B7AA1"/>
    <w:rsid w:val="005B7C5E"/>
    <w:rsid w:val="005B7D16"/>
    <w:rsid w:val="005B7D3B"/>
    <w:rsid w:val="005C154B"/>
    <w:rsid w:val="005C17CB"/>
    <w:rsid w:val="005C1B61"/>
    <w:rsid w:val="005C371A"/>
    <w:rsid w:val="005C3CD5"/>
    <w:rsid w:val="005C402E"/>
    <w:rsid w:val="005C5D25"/>
    <w:rsid w:val="005C7BFB"/>
    <w:rsid w:val="005D00A9"/>
    <w:rsid w:val="005D0B48"/>
    <w:rsid w:val="005D1272"/>
    <w:rsid w:val="005D249A"/>
    <w:rsid w:val="005D3215"/>
    <w:rsid w:val="005D39DD"/>
    <w:rsid w:val="005D3CE2"/>
    <w:rsid w:val="005D437D"/>
    <w:rsid w:val="005D6490"/>
    <w:rsid w:val="005D6784"/>
    <w:rsid w:val="005D685F"/>
    <w:rsid w:val="005D7703"/>
    <w:rsid w:val="005E0E87"/>
    <w:rsid w:val="005E3597"/>
    <w:rsid w:val="005E3DB8"/>
    <w:rsid w:val="005E3E94"/>
    <w:rsid w:val="005E4F92"/>
    <w:rsid w:val="005E526B"/>
    <w:rsid w:val="005E54CA"/>
    <w:rsid w:val="005E672C"/>
    <w:rsid w:val="005E7317"/>
    <w:rsid w:val="005E7337"/>
    <w:rsid w:val="005E741F"/>
    <w:rsid w:val="005E7852"/>
    <w:rsid w:val="005F1F6E"/>
    <w:rsid w:val="005F2889"/>
    <w:rsid w:val="005F2A52"/>
    <w:rsid w:val="005F352D"/>
    <w:rsid w:val="005F37E8"/>
    <w:rsid w:val="005F3F56"/>
    <w:rsid w:val="005F41FA"/>
    <w:rsid w:val="005F484D"/>
    <w:rsid w:val="005F4A64"/>
    <w:rsid w:val="00600CAD"/>
    <w:rsid w:val="00601908"/>
    <w:rsid w:val="00602362"/>
    <w:rsid w:val="00602BE4"/>
    <w:rsid w:val="006042E6"/>
    <w:rsid w:val="0060679A"/>
    <w:rsid w:val="00606B73"/>
    <w:rsid w:val="00607889"/>
    <w:rsid w:val="006100DB"/>
    <w:rsid w:val="0061062B"/>
    <w:rsid w:val="00611A89"/>
    <w:rsid w:val="00611B26"/>
    <w:rsid w:val="006123BA"/>
    <w:rsid w:val="00614040"/>
    <w:rsid w:val="0061416B"/>
    <w:rsid w:val="0061531A"/>
    <w:rsid w:val="00615D34"/>
    <w:rsid w:val="00617062"/>
    <w:rsid w:val="006171EE"/>
    <w:rsid w:val="00617DBE"/>
    <w:rsid w:val="00620B13"/>
    <w:rsid w:val="006216F3"/>
    <w:rsid w:val="00621A24"/>
    <w:rsid w:val="00621C5F"/>
    <w:rsid w:val="00621FA1"/>
    <w:rsid w:val="006223D5"/>
    <w:rsid w:val="00623599"/>
    <w:rsid w:val="00624C67"/>
    <w:rsid w:val="00625FA2"/>
    <w:rsid w:val="006272E0"/>
    <w:rsid w:val="0063001F"/>
    <w:rsid w:val="006303A3"/>
    <w:rsid w:val="00632409"/>
    <w:rsid w:val="00632CF1"/>
    <w:rsid w:val="006330C8"/>
    <w:rsid w:val="00633BA6"/>
    <w:rsid w:val="006347BF"/>
    <w:rsid w:val="0063616A"/>
    <w:rsid w:val="006376B6"/>
    <w:rsid w:val="00637FF8"/>
    <w:rsid w:val="00642179"/>
    <w:rsid w:val="00643DE3"/>
    <w:rsid w:val="00643F71"/>
    <w:rsid w:val="006440AF"/>
    <w:rsid w:val="006442AA"/>
    <w:rsid w:val="00644BAD"/>
    <w:rsid w:val="0064552B"/>
    <w:rsid w:val="00645D55"/>
    <w:rsid w:val="006473F4"/>
    <w:rsid w:val="00650806"/>
    <w:rsid w:val="0065222B"/>
    <w:rsid w:val="00652724"/>
    <w:rsid w:val="00652ED0"/>
    <w:rsid w:val="00653AF8"/>
    <w:rsid w:val="006543DC"/>
    <w:rsid w:val="00655647"/>
    <w:rsid w:val="00655E5B"/>
    <w:rsid w:val="00656544"/>
    <w:rsid w:val="00656B42"/>
    <w:rsid w:val="00656D01"/>
    <w:rsid w:val="00660ADE"/>
    <w:rsid w:val="00661333"/>
    <w:rsid w:val="006629EA"/>
    <w:rsid w:val="00662BE8"/>
    <w:rsid w:val="006639D8"/>
    <w:rsid w:val="00664D61"/>
    <w:rsid w:val="00665F74"/>
    <w:rsid w:val="00666BA3"/>
    <w:rsid w:val="00666CB1"/>
    <w:rsid w:val="00670852"/>
    <w:rsid w:val="00671D9E"/>
    <w:rsid w:val="00671EBC"/>
    <w:rsid w:val="006720FB"/>
    <w:rsid w:val="00673318"/>
    <w:rsid w:val="006734F2"/>
    <w:rsid w:val="00674520"/>
    <w:rsid w:val="006807DA"/>
    <w:rsid w:val="00681309"/>
    <w:rsid w:val="00681C4F"/>
    <w:rsid w:val="00681DFE"/>
    <w:rsid w:val="0068275C"/>
    <w:rsid w:val="00682E15"/>
    <w:rsid w:val="006866CD"/>
    <w:rsid w:val="0068746E"/>
    <w:rsid w:val="00687626"/>
    <w:rsid w:val="0069081D"/>
    <w:rsid w:val="00692D79"/>
    <w:rsid w:val="006937BB"/>
    <w:rsid w:val="00695857"/>
    <w:rsid w:val="006964DA"/>
    <w:rsid w:val="006967FA"/>
    <w:rsid w:val="006978C2"/>
    <w:rsid w:val="006A09EF"/>
    <w:rsid w:val="006A1038"/>
    <w:rsid w:val="006A18C9"/>
    <w:rsid w:val="006A2375"/>
    <w:rsid w:val="006A2A06"/>
    <w:rsid w:val="006A2AC0"/>
    <w:rsid w:val="006A4279"/>
    <w:rsid w:val="006A4C1D"/>
    <w:rsid w:val="006A6123"/>
    <w:rsid w:val="006A67AF"/>
    <w:rsid w:val="006A70E2"/>
    <w:rsid w:val="006A7286"/>
    <w:rsid w:val="006B02B1"/>
    <w:rsid w:val="006B0AAB"/>
    <w:rsid w:val="006B1137"/>
    <w:rsid w:val="006B12AD"/>
    <w:rsid w:val="006B2F86"/>
    <w:rsid w:val="006B3478"/>
    <w:rsid w:val="006B3623"/>
    <w:rsid w:val="006B4BE7"/>
    <w:rsid w:val="006B5287"/>
    <w:rsid w:val="006B6404"/>
    <w:rsid w:val="006B6E09"/>
    <w:rsid w:val="006B78FD"/>
    <w:rsid w:val="006B79C9"/>
    <w:rsid w:val="006B7A72"/>
    <w:rsid w:val="006B7C52"/>
    <w:rsid w:val="006C07B0"/>
    <w:rsid w:val="006C1CB3"/>
    <w:rsid w:val="006C1DC7"/>
    <w:rsid w:val="006C1E0A"/>
    <w:rsid w:val="006C227B"/>
    <w:rsid w:val="006C29DF"/>
    <w:rsid w:val="006C37B2"/>
    <w:rsid w:val="006C5193"/>
    <w:rsid w:val="006C63F8"/>
    <w:rsid w:val="006C6C7D"/>
    <w:rsid w:val="006C6D92"/>
    <w:rsid w:val="006C7756"/>
    <w:rsid w:val="006D27C1"/>
    <w:rsid w:val="006D33A5"/>
    <w:rsid w:val="006D3474"/>
    <w:rsid w:val="006D404D"/>
    <w:rsid w:val="006D43F4"/>
    <w:rsid w:val="006D4901"/>
    <w:rsid w:val="006D499E"/>
    <w:rsid w:val="006D5CD0"/>
    <w:rsid w:val="006D5D80"/>
    <w:rsid w:val="006D5F11"/>
    <w:rsid w:val="006D6217"/>
    <w:rsid w:val="006D62AE"/>
    <w:rsid w:val="006D6DA4"/>
    <w:rsid w:val="006D71C2"/>
    <w:rsid w:val="006E06AA"/>
    <w:rsid w:val="006E0897"/>
    <w:rsid w:val="006E282E"/>
    <w:rsid w:val="006E299E"/>
    <w:rsid w:val="006E2B1D"/>
    <w:rsid w:val="006E4173"/>
    <w:rsid w:val="006E48EF"/>
    <w:rsid w:val="006E6384"/>
    <w:rsid w:val="006E689A"/>
    <w:rsid w:val="006E6A34"/>
    <w:rsid w:val="006E6FF5"/>
    <w:rsid w:val="006F1078"/>
    <w:rsid w:val="006F21BA"/>
    <w:rsid w:val="006F28FB"/>
    <w:rsid w:val="006F3C2D"/>
    <w:rsid w:val="006F4366"/>
    <w:rsid w:val="006F4A67"/>
    <w:rsid w:val="006F4DB5"/>
    <w:rsid w:val="006F4FCD"/>
    <w:rsid w:val="006F5EE6"/>
    <w:rsid w:val="006F5FFE"/>
    <w:rsid w:val="00701415"/>
    <w:rsid w:val="00702158"/>
    <w:rsid w:val="007023F9"/>
    <w:rsid w:val="007033F0"/>
    <w:rsid w:val="00704FE4"/>
    <w:rsid w:val="00705EF0"/>
    <w:rsid w:val="00706A60"/>
    <w:rsid w:val="00707158"/>
    <w:rsid w:val="007072B5"/>
    <w:rsid w:val="00707FA7"/>
    <w:rsid w:val="00710BDB"/>
    <w:rsid w:val="00710EBA"/>
    <w:rsid w:val="007115EA"/>
    <w:rsid w:val="007117B5"/>
    <w:rsid w:val="00713463"/>
    <w:rsid w:val="00714239"/>
    <w:rsid w:val="00715098"/>
    <w:rsid w:val="00717C89"/>
    <w:rsid w:val="00720D34"/>
    <w:rsid w:val="00722A15"/>
    <w:rsid w:val="00722F5D"/>
    <w:rsid w:val="00723F39"/>
    <w:rsid w:val="00724390"/>
    <w:rsid w:val="007253FE"/>
    <w:rsid w:val="007258B7"/>
    <w:rsid w:val="00725ECF"/>
    <w:rsid w:val="00726135"/>
    <w:rsid w:val="0072631A"/>
    <w:rsid w:val="00727CFF"/>
    <w:rsid w:val="007301C1"/>
    <w:rsid w:val="0073083E"/>
    <w:rsid w:val="00731595"/>
    <w:rsid w:val="007327A9"/>
    <w:rsid w:val="007329C3"/>
    <w:rsid w:val="00735DDC"/>
    <w:rsid w:val="00736B1A"/>
    <w:rsid w:val="00736DDE"/>
    <w:rsid w:val="00737373"/>
    <w:rsid w:val="0073772C"/>
    <w:rsid w:val="00740030"/>
    <w:rsid w:val="00740822"/>
    <w:rsid w:val="007415A7"/>
    <w:rsid w:val="00744787"/>
    <w:rsid w:val="00745CFB"/>
    <w:rsid w:val="00746596"/>
    <w:rsid w:val="00747FB9"/>
    <w:rsid w:val="00750C62"/>
    <w:rsid w:val="00751185"/>
    <w:rsid w:val="00751A9A"/>
    <w:rsid w:val="00751C55"/>
    <w:rsid w:val="007529C9"/>
    <w:rsid w:val="00753E01"/>
    <w:rsid w:val="00754308"/>
    <w:rsid w:val="0075483E"/>
    <w:rsid w:val="00754914"/>
    <w:rsid w:val="007559EC"/>
    <w:rsid w:val="00756F3D"/>
    <w:rsid w:val="007571ED"/>
    <w:rsid w:val="00757E27"/>
    <w:rsid w:val="00760105"/>
    <w:rsid w:val="007609BD"/>
    <w:rsid w:val="007612C7"/>
    <w:rsid w:val="00761D56"/>
    <w:rsid w:val="00761D69"/>
    <w:rsid w:val="007627F2"/>
    <w:rsid w:val="00763048"/>
    <w:rsid w:val="00764B15"/>
    <w:rsid w:val="007651CE"/>
    <w:rsid w:val="0076530E"/>
    <w:rsid w:val="007653FB"/>
    <w:rsid w:val="00767A43"/>
    <w:rsid w:val="00767B5A"/>
    <w:rsid w:val="00767EF4"/>
    <w:rsid w:val="007707E7"/>
    <w:rsid w:val="00771B90"/>
    <w:rsid w:val="0077313A"/>
    <w:rsid w:val="00773B59"/>
    <w:rsid w:val="007743B5"/>
    <w:rsid w:val="007750CE"/>
    <w:rsid w:val="00775724"/>
    <w:rsid w:val="007775B3"/>
    <w:rsid w:val="007777BF"/>
    <w:rsid w:val="00777B68"/>
    <w:rsid w:val="0078003D"/>
    <w:rsid w:val="00780F41"/>
    <w:rsid w:val="00781F60"/>
    <w:rsid w:val="007823C7"/>
    <w:rsid w:val="007831E1"/>
    <w:rsid w:val="00784643"/>
    <w:rsid w:val="007846A9"/>
    <w:rsid w:val="007852BC"/>
    <w:rsid w:val="007867C5"/>
    <w:rsid w:val="00787AD3"/>
    <w:rsid w:val="00787BD5"/>
    <w:rsid w:val="007906A7"/>
    <w:rsid w:val="007918E8"/>
    <w:rsid w:val="00792994"/>
    <w:rsid w:val="007935ED"/>
    <w:rsid w:val="00794911"/>
    <w:rsid w:val="007952BB"/>
    <w:rsid w:val="00795ACB"/>
    <w:rsid w:val="007966F1"/>
    <w:rsid w:val="007968D9"/>
    <w:rsid w:val="00796AB3"/>
    <w:rsid w:val="00797789"/>
    <w:rsid w:val="007A247A"/>
    <w:rsid w:val="007A2C79"/>
    <w:rsid w:val="007A3B42"/>
    <w:rsid w:val="007A4B8E"/>
    <w:rsid w:val="007A575E"/>
    <w:rsid w:val="007A5CB0"/>
    <w:rsid w:val="007A64BA"/>
    <w:rsid w:val="007A7167"/>
    <w:rsid w:val="007B2DA3"/>
    <w:rsid w:val="007B4109"/>
    <w:rsid w:val="007B441F"/>
    <w:rsid w:val="007B608C"/>
    <w:rsid w:val="007B61CC"/>
    <w:rsid w:val="007B68D8"/>
    <w:rsid w:val="007B727C"/>
    <w:rsid w:val="007C0744"/>
    <w:rsid w:val="007C1734"/>
    <w:rsid w:val="007C1D7D"/>
    <w:rsid w:val="007C3C6B"/>
    <w:rsid w:val="007C3F59"/>
    <w:rsid w:val="007C4D66"/>
    <w:rsid w:val="007C5059"/>
    <w:rsid w:val="007C6620"/>
    <w:rsid w:val="007C6844"/>
    <w:rsid w:val="007C69E5"/>
    <w:rsid w:val="007C788E"/>
    <w:rsid w:val="007C7C01"/>
    <w:rsid w:val="007D0681"/>
    <w:rsid w:val="007D0A92"/>
    <w:rsid w:val="007D2DED"/>
    <w:rsid w:val="007D3411"/>
    <w:rsid w:val="007D3E9E"/>
    <w:rsid w:val="007D4BB9"/>
    <w:rsid w:val="007D506B"/>
    <w:rsid w:val="007D5632"/>
    <w:rsid w:val="007D66D2"/>
    <w:rsid w:val="007D6E5E"/>
    <w:rsid w:val="007D76A0"/>
    <w:rsid w:val="007D7AA8"/>
    <w:rsid w:val="007E0552"/>
    <w:rsid w:val="007E3340"/>
    <w:rsid w:val="007E3F50"/>
    <w:rsid w:val="007E4672"/>
    <w:rsid w:val="007E5243"/>
    <w:rsid w:val="007E52EA"/>
    <w:rsid w:val="007E704F"/>
    <w:rsid w:val="007E7981"/>
    <w:rsid w:val="007F00C6"/>
    <w:rsid w:val="007F050A"/>
    <w:rsid w:val="007F29F8"/>
    <w:rsid w:val="007F30E3"/>
    <w:rsid w:val="007F314A"/>
    <w:rsid w:val="007F3505"/>
    <w:rsid w:val="007F4302"/>
    <w:rsid w:val="00800119"/>
    <w:rsid w:val="00800468"/>
    <w:rsid w:val="00801189"/>
    <w:rsid w:val="00801F89"/>
    <w:rsid w:val="00802EF3"/>
    <w:rsid w:val="008034C1"/>
    <w:rsid w:val="00805B14"/>
    <w:rsid w:val="00806AE9"/>
    <w:rsid w:val="008102B2"/>
    <w:rsid w:val="00810B63"/>
    <w:rsid w:val="00810DB8"/>
    <w:rsid w:val="00811B6A"/>
    <w:rsid w:val="00811FB8"/>
    <w:rsid w:val="0081416F"/>
    <w:rsid w:val="008141BD"/>
    <w:rsid w:val="0081469F"/>
    <w:rsid w:val="008158C6"/>
    <w:rsid w:val="008170DA"/>
    <w:rsid w:val="0081754A"/>
    <w:rsid w:val="00817606"/>
    <w:rsid w:val="00817BDF"/>
    <w:rsid w:val="00820962"/>
    <w:rsid w:val="00820CAB"/>
    <w:rsid w:val="00821923"/>
    <w:rsid w:val="008219BD"/>
    <w:rsid w:val="00821F3A"/>
    <w:rsid w:val="008225BE"/>
    <w:rsid w:val="00824C2D"/>
    <w:rsid w:val="008256AD"/>
    <w:rsid w:val="00825D7B"/>
    <w:rsid w:val="008270B8"/>
    <w:rsid w:val="008319AF"/>
    <w:rsid w:val="008322C2"/>
    <w:rsid w:val="008336E6"/>
    <w:rsid w:val="0083394E"/>
    <w:rsid w:val="00835889"/>
    <w:rsid w:val="008373BA"/>
    <w:rsid w:val="0084030D"/>
    <w:rsid w:val="0084092A"/>
    <w:rsid w:val="00840B32"/>
    <w:rsid w:val="008410AA"/>
    <w:rsid w:val="00841790"/>
    <w:rsid w:val="00843784"/>
    <w:rsid w:val="0084387D"/>
    <w:rsid w:val="00844810"/>
    <w:rsid w:val="0084509C"/>
    <w:rsid w:val="008452DF"/>
    <w:rsid w:val="0084586D"/>
    <w:rsid w:val="008463BC"/>
    <w:rsid w:val="00846B50"/>
    <w:rsid w:val="00851A9A"/>
    <w:rsid w:val="00852834"/>
    <w:rsid w:val="00852BDE"/>
    <w:rsid w:val="0085382F"/>
    <w:rsid w:val="008538C6"/>
    <w:rsid w:val="00853CB0"/>
    <w:rsid w:val="00854B64"/>
    <w:rsid w:val="00855D7A"/>
    <w:rsid w:val="00856221"/>
    <w:rsid w:val="008568AB"/>
    <w:rsid w:val="00857053"/>
    <w:rsid w:val="0085718E"/>
    <w:rsid w:val="00860C91"/>
    <w:rsid w:val="008616CC"/>
    <w:rsid w:val="008620F9"/>
    <w:rsid w:val="008626EB"/>
    <w:rsid w:val="00864A83"/>
    <w:rsid w:val="00864DEA"/>
    <w:rsid w:val="008655AE"/>
    <w:rsid w:val="008661EB"/>
    <w:rsid w:val="00866ECB"/>
    <w:rsid w:val="00867AA3"/>
    <w:rsid w:val="00867FA8"/>
    <w:rsid w:val="00870213"/>
    <w:rsid w:val="00870386"/>
    <w:rsid w:val="00871578"/>
    <w:rsid w:val="00871E5C"/>
    <w:rsid w:val="008728F8"/>
    <w:rsid w:val="00873454"/>
    <w:rsid w:val="00874F8D"/>
    <w:rsid w:val="008768D8"/>
    <w:rsid w:val="00876E9B"/>
    <w:rsid w:val="0088142E"/>
    <w:rsid w:val="00881594"/>
    <w:rsid w:val="00883600"/>
    <w:rsid w:val="00887055"/>
    <w:rsid w:val="00891076"/>
    <w:rsid w:val="00891820"/>
    <w:rsid w:val="008924F6"/>
    <w:rsid w:val="00892B41"/>
    <w:rsid w:val="00893242"/>
    <w:rsid w:val="00893726"/>
    <w:rsid w:val="008944B4"/>
    <w:rsid w:val="008957C0"/>
    <w:rsid w:val="00896059"/>
    <w:rsid w:val="00896240"/>
    <w:rsid w:val="0089676F"/>
    <w:rsid w:val="008A2653"/>
    <w:rsid w:val="008A275A"/>
    <w:rsid w:val="008A2C56"/>
    <w:rsid w:val="008A356A"/>
    <w:rsid w:val="008A366D"/>
    <w:rsid w:val="008A3DE0"/>
    <w:rsid w:val="008A3FAC"/>
    <w:rsid w:val="008A5E6A"/>
    <w:rsid w:val="008A6964"/>
    <w:rsid w:val="008A6A64"/>
    <w:rsid w:val="008A7118"/>
    <w:rsid w:val="008A732C"/>
    <w:rsid w:val="008B200A"/>
    <w:rsid w:val="008B2889"/>
    <w:rsid w:val="008B2D87"/>
    <w:rsid w:val="008B35C0"/>
    <w:rsid w:val="008B3ADF"/>
    <w:rsid w:val="008B4410"/>
    <w:rsid w:val="008B518E"/>
    <w:rsid w:val="008B5F9F"/>
    <w:rsid w:val="008B6A46"/>
    <w:rsid w:val="008B79B8"/>
    <w:rsid w:val="008C0063"/>
    <w:rsid w:val="008C0A98"/>
    <w:rsid w:val="008C0E7E"/>
    <w:rsid w:val="008C0F5E"/>
    <w:rsid w:val="008C2448"/>
    <w:rsid w:val="008C30B1"/>
    <w:rsid w:val="008C33FE"/>
    <w:rsid w:val="008C4977"/>
    <w:rsid w:val="008C555B"/>
    <w:rsid w:val="008C6120"/>
    <w:rsid w:val="008D0906"/>
    <w:rsid w:val="008D0F64"/>
    <w:rsid w:val="008D166B"/>
    <w:rsid w:val="008D246E"/>
    <w:rsid w:val="008D2605"/>
    <w:rsid w:val="008D2D89"/>
    <w:rsid w:val="008D3C9F"/>
    <w:rsid w:val="008D428B"/>
    <w:rsid w:val="008D4D45"/>
    <w:rsid w:val="008D58B8"/>
    <w:rsid w:val="008D5B96"/>
    <w:rsid w:val="008D5DE6"/>
    <w:rsid w:val="008D7B7A"/>
    <w:rsid w:val="008E05F4"/>
    <w:rsid w:val="008E220B"/>
    <w:rsid w:val="008E27EF"/>
    <w:rsid w:val="008E3ABF"/>
    <w:rsid w:val="008E44AD"/>
    <w:rsid w:val="008E4CEB"/>
    <w:rsid w:val="008E50A8"/>
    <w:rsid w:val="008E52BB"/>
    <w:rsid w:val="008E6B1E"/>
    <w:rsid w:val="008E6C3E"/>
    <w:rsid w:val="008F0EB7"/>
    <w:rsid w:val="008F1C25"/>
    <w:rsid w:val="008F2671"/>
    <w:rsid w:val="008F3666"/>
    <w:rsid w:val="008F3CA2"/>
    <w:rsid w:val="008F4B39"/>
    <w:rsid w:val="008F4FB1"/>
    <w:rsid w:val="008F5CD4"/>
    <w:rsid w:val="008F6876"/>
    <w:rsid w:val="008F7AC0"/>
    <w:rsid w:val="008F7B15"/>
    <w:rsid w:val="00900F5C"/>
    <w:rsid w:val="0090178F"/>
    <w:rsid w:val="00901AAE"/>
    <w:rsid w:val="00902258"/>
    <w:rsid w:val="009029E1"/>
    <w:rsid w:val="00902AAC"/>
    <w:rsid w:val="00907D1D"/>
    <w:rsid w:val="0091271A"/>
    <w:rsid w:val="00912A1A"/>
    <w:rsid w:val="0091407F"/>
    <w:rsid w:val="00914545"/>
    <w:rsid w:val="0091522E"/>
    <w:rsid w:val="00915867"/>
    <w:rsid w:val="00915EE8"/>
    <w:rsid w:val="00916E17"/>
    <w:rsid w:val="00917AF7"/>
    <w:rsid w:val="0092081F"/>
    <w:rsid w:val="00920FF5"/>
    <w:rsid w:val="00921785"/>
    <w:rsid w:val="00921B10"/>
    <w:rsid w:val="00921C1F"/>
    <w:rsid w:val="0092293F"/>
    <w:rsid w:val="0092597D"/>
    <w:rsid w:val="0093014E"/>
    <w:rsid w:val="0093087F"/>
    <w:rsid w:val="00932579"/>
    <w:rsid w:val="00932BB7"/>
    <w:rsid w:val="00933C9B"/>
    <w:rsid w:val="00933EC9"/>
    <w:rsid w:val="009355DD"/>
    <w:rsid w:val="00936725"/>
    <w:rsid w:val="00936E16"/>
    <w:rsid w:val="00937B7E"/>
    <w:rsid w:val="0094292D"/>
    <w:rsid w:val="00942A30"/>
    <w:rsid w:val="00942C75"/>
    <w:rsid w:val="0094363F"/>
    <w:rsid w:val="00944445"/>
    <w:rsid w:val="009444EB"/>
    <w:rsid w:val="00945DB3"/>
    <w:rsid w:val="0094639E"/>
    <w:rsid w:val="00946F42"/>
    <w:rsid w:val="00947887"/>
    <w:rsid w:val="00947A07"/>
    <w:rsid w:val="00950931"/>
    <w:rsid w:val="00951748"/>
    <w:rsid w:val="0095495D"/>
    <w:rsid w:val="00955216"/>
    <w:rsid w:val="00956DA6"/>
    <w:rsid w:val="00957580"/>
    <w:rsid w:val="009625BC"/>
    <w:rsid w:val="00962E57"/>
    <w:rsid w:val="00964AA7"/>
    <w:rsid w:val="00965881"/>
    <w:rsid w:val="00966C8B"/>
    <w:rsid w:val="00966D14"/>
    <w:rsid w:val="00967B4E"/>
    <w:rsid w:val="00967C8D"/>
    <w:rsid w:val="00971A91"/>
    <w:rsid w:val="00972A00"/>
    <w:rsid w:val="00973492"/>
    <w:rsid w:val="009758F3"/>
    <w:rsid w:val="00976846"/>
    <w:rsid w:val="00976C8B"/>
    <w:rsid w:val="00976D85"/>
    <w:rsid w:val="0097709F"/>
    <w:rsid w:val="00977790"/>
    <w:rsid w:val="0098008A"/>
    <w:rsid w:val="009807A8"/>
    <w:rsid w:val="00980882"/>
    <w:rsid w:val="009808C4"/>
    <w:rsid w:val="00981482"/>
    <w:rsid w:val="00982A31"/>
    <w:rsid w:val="00983119"/>
    <w:rsid w:val="00983833"/>
    <w:rsid w:val="00983C40"/>
    <w:rsid w:val="0098516D"/>
    <w:rsid w:val="00985251"/>
    <w:rsid w:val="00985320"/>
    <w:rsid w:val="009859B7"/>
    <w:rsid w:val="00985A9A"/>
    <w:rsid w:val="00985E3C"/>
    <w:rsid w:val="0098705D"/>
    <w:rsid w:val="00991070"/>
    <w:rsid w:val="00992374"/>
    <w:rsid w:val="00992590"/>
    <w:rsid w:val="00992C23"/>
    <w:rsid w:val="00992D8E"/>
    <w:rsid w:val="00992DAD"/>
    <w:rsid w:val="0099454D"/>
    <w:rsid w:val="00994840"/>
    <w:rsid w:val="009949D7"/>
    <w:rsid w:val="00994E6D"/>
    <w:rsid w:val="00995BBD"/>
    <w:rsid w:val="00996B92"/>
    <w:rsid w:val="0099786F"/>
    <w:rsid w:val="009A0EFE"/>
    <w:rsid w:val="009A2842"/>
    <w:rsid w:val="009A2E23"/>
    <w:rsid w:val="009A36BE"/>
    <w:rsid w:val="009A36D1"/>
    <w:rsid w:val="009A44E4"/>
    <w:rsid w:val="009A47C3"/>
    <w:rsid w:val="009A5A10"/>
    <w:rsid w:val="009A611D"/>
    <w:rsid w:val="009A6BA2"/>
    <w:rsid w:val="009A7281"/>
    <w:rsid w:val="009B0CB8"/>
    <w:rsid w:val="009B4768"/>
    <w:rsid w:val="009B4B48"/>
    <w:rsid w:val="009B51B4"/>
    <w:rsid w:val="009B6B26"/>
    <w:rsid w:val="009B7897"/>
    <w:rsid w:val="009C1BC2"/>
    <w:rsid w:val="009C2006"/>
    <w:rsid w:val="009C21BB"/>
    <w:rsid w:val="009C2CDA"/>
    <w:rsid w:val="009C3035"/>
    <w:rsid w:val="009C3A45"/>
    <w:rsid w:val="009C3EBC"/>
    <w:rsid w:val="009C41D7"/>
    <w:rsid w:val="009C4235"/>
    <w:rsid w:val="009C44AE"/>
    <w:rsid w:val="009C5476"/>
    <w:rsid w:val="009C5CF2"/>
    <w:rsid w:val="009C67C9"/>
    <w:rsid w:val="009C6E9C"/>
    <w:rsid w:val="009C6F96"/>
    <w:rsid w:val="009C748A"/>
    <w:rsid w:val="009C785D"/>
    <w:rsid w:val="009D13C8"/>
    <w:rsid w:val="009D1ED9"/>
    <w:rsid w:val="009D211C"/>
    <w:rsid w:val="009D24D0"/>
    <w:rsid w:val="009D44F5"/>
    <w:rsid w:val="009D550A"/>
    <w:rsid w:val="009D6587"/>
    <w:rsid w:val="009D76B2"/>
    <w:rsid w:val="009D781C"/>
    <w:rsid w:val="009D7FA6"/>
    <w:rsid w:val="009E2C15"/>
    <w:rsid w:val="009E344F"/>
    <w:rsid w:val="009E42BA"/>
    <w:rsid w:val="009E6E24"/>
    <w:rsid w:val="009E75AC"/>
    <w:rsid w:val="009E78E6"/>
    <w:rsid w:val="009F04C0"/>
    <w:rsid w:val="009F16C1"/>
    <w:rsid w:val="009F1D28"/>
    <w:rsid w:val="009F2949"/>
    <w:rsid w:val="009F2960"/>
    <w:rsid w:val="009F38FC"/>
    <w:rsid w:val="009F3E0E"/>
    <w:rsid w:val="009F4DB7"/>
    <w:rsid w:val="009F58CB"/>
    <w:rsid w:val="009F7D90"/>
    <w:rsid w:val="009F7F7C"/>
    <w:rsid w:val="00A00409"/>
    <w:rsid w:val="00A019D4"/>
    <w:rsid w:val="00A0288D"/>
    <w:rsid w:val="00A03B69"/>
    <w:rsid w:val="00A03D2E"/>
    <w:rsid w:val="00A04650"/>
    <w:rsid w:val="00A05213"/>
    <w:rsid w:val="00A065E2"/>
    <w:rsid w:val="00A0673F"/>
    <w:rsid w:val="00A07E50"/>
    <w:rsid w:val="00A1100C"/>
    <w:rsid w:val="00A11546"/>
    <w:rsid w:val="00A120B6"/>
    <w:rsid w:val="00A14C3F"/>
    <w:rsid w:val="00A14F38"/>
    <w:rsid w:val="00A150BE"/>
    <w:rsid w:val="00A1536D"/>
    <w:rsid w:val="00A16C42"/>
    <w:rsid w:val="00A17B56"/>
    <w:rsid w:val="00A202A2"/>
    <w:rsid w:val="00A21917"/>
    <w:rsid w:val="00A23718"/>
    <w:rsid w:val="00A2554D"/>
    <w:rsid w:val="00A2569A"/>
    <w:rsid w:val="00A277A7"/>
    <w:rsid w:val="00A30D65"/>
    <w:rsid w:val="00A31556"/>
    <w:rsid w:val="00A31E21"/>
    <w:rsid w:val="00A3304D"/>
    <w:rsid w:val="00A33356"/>
    <w:rsid w:val="00A34902"/>
    <w:rsid w:val="00A34F8A"/>
    <w:rsid w:val="00A36C13"/>
    <w:rsid w:val="00A36D91"/>
    <w:rsid w:val="00A36F3F"/>
    <w:rsid w:val="00A37AB0"/>
    <w:rsid w:val="00A37DE1"/>
    <w:rsid w:val="00A40383"/>
    <w:rsid w:val="00A40F51"/>
    <w:rsid w:val="00A4310F"/>
    <w:rsid w:val="00A45D03"/>
    <w:rsid w:val="00A4744E"/>
    <w:rsid w:val="00A47E23"/>
    <w:rsid w:val="00A5012F"/>
    <w:rsid w:val="00A50255"/>
    <w:rsid w:val="00A51358"/>
    <w:rsid w:val="00A5143A"/>
    <w:rsid w:val="00A51609"/>
    <w:rsid w:val="00A52781"/>
    <w:rsid w:val="00A529B8"/>
    <w:rsid w:val="00A52EAA"/>
    <w:rsid w:val="00A53378"/>
    <w:rsid w:val="00A5368A"/>
    <w:rsid w:val="00A54E0B"/>
    <w:rsid w:val="00A55391"/>
    <w:rsid w:val="00A55CE0"/>
    <w:rsid w:val="00A61740"/>
    <w:rsid w:val="00A6199D"/>
    <w:rsid w:val="00A61CE2"/>
    <w:rsid w:val="00A6455C"/>
    <w:rsid w:val="00A65DD3"/>
    <w:rsid w:val="00A6783E"/>
    <w:rsid w:val="00A7066F"/>
    <w:rsid w:val="00A72DE1"/>
    <w:rsid w:val="00A73332"/>
    <w:rsid w:val="00A757E3"/>
    <w:rsid w:val="00A7694E"/>
    <w:rsid w:val="00A76D25"/>
    <w:rsid w:val="00A76DE6"/>
    <w:rsid w:val="00A80549"/>
    <w:rsid w:val="00A812C2"/>
    <w:rsid w:val="00A81B0F"/>
    <w:rsid w:val="00A825F8"/>
    <w:rsid w:val="00A82674"/>
    <w:rsid w:val="00A827B6"/>
    <w:rsid w:val="00A82892"/>
    <w:rsid w:val="00A828C0"/>
    <w:rsid w:val="00A82B97"/>
    <w:rsid w:val="00A852C5"/>
    <w:rsid w:val="00A85702"/>
    <w:rsid w:val="00A85C64"/>
    <w:rsid w:val="00A86B08"/>
    <w:rsid w:val="00A87118"/>
    <w:rsid w:val="00A87609"/>
    <w:rsid w:val="00A87EB7"/>
    <w:rsid w:val="00A915D1"/>
    <w:rsid w:val="00A9237A"/>
    <w:rsid w:val="00A92729"/>
    <w:rsid w:val="00A92A67"/>
    <w:rsid w:val="00A92F52"/>
    <w:rsid w:val="00A92FE7"/>
    <w:rsid w:val="00A934D2"/>
    <w:rsid w:val="00A945BC"/>
    <w:rsid w:val="00A949A6"/>
    <w:rsid w:val="00A94E17"/>
    <w:rsid w:val="00A954FF"/>
    <w:rsid w:val="00A95B11"/>
    <w:rsid w:val="00A95EA0"/>
    <w:rsid w:val="00A96EBF"/>
    <w:rsid w:val="00A9741A"/>
    <w:rsid w:val="00A9777C"/>
    <w:rsid w:val="00A97B14"/>
    <w:rsid w:val="00AA198B"/>
    <w:rsid w:val="00AA1AC4"/>
    <w:rsid w:val="00AA21D8"/>
    <w:rsid w:val="00AA274C"/>
    <w:rsid w:val="00AA3578"/>
    <w:rsid w:val="00AA3F8B"/>
    <w:rsid w:val="00AA48C1"/>
    <w:rsid w:val="00AA4AE4"/>
    <w:rsid w:val="00AA4B6C"/>
    <w:rsid w:val="00AA5103"/>
    <w:rsid w:val="00AA5A61"/>
    <w:rsid w:val="00AA62AA"/>
    <w:rsid w:val="00AA6B77"/>
    <w:rsid w:val="00AA6E88"/>
    <w:rsid w:val="00AB0232"/>
    <w:rsid w:val="00AB0AC6"/>
    <w:rsid w:val="00AB1A09"/>
    <w:rsid w:val="00AB1D7D"/>
    <w:rsid w:val="00AB200E"/>
    <w:rsid w:val="00AB41C7"/>
    <w:rsid w:val="00AB45D8"/>
    <w:rsid w:val="00AB5508"/>
    <w:rsid w:val="00AB6460"/>
    <w:rsid w:val="00AB6DFF"/>
    <w:rsid w:val="00AB7890"/>
    <w:rsid w:val="00AB7E06"/>
    <w:rsid w:val="00AB7E65"/>
    <w:rsid w:val="00AC0DC4"/>
    <w:rsid w:val="00AC336E"/>
    <w:rsid w:val="00AC4782"/>
    <w:rsid w:val="00AC53E0"/>
    <w:rsid w:val="00AC586D"/>
    <w:rsid w:val="00AC59D0"/>
    <w:rsid w:val="00AC6200"/>
    <w:rsid w:val="00AC6951"/>
    <w:rsid w:val="00AC6F13"/>
    <w:rsid w:val="00AC759B"/>
    <w:rsid w:val="00AC772E"/>
    <w:rsid w:val="00AD1757"/>
    <w:rsid w:val="00AD18DE"/>
    <w:rsid w:val="00AD1D39"/>
    <w:rsid w:val="00AD362B"/>
    <w:rsid w:val="00AD3A9E"/>
    <w:rsid w:val="00AD576C"/>
    <w:rsid w:val="00AD60D5"/>
    <w:rsid w:val="00AD6337"/>
    <w:rsid w:val="00AD6A01"/>
    <w:rsid w:val="00AE05FE"/>
    <w:rsid w:val="00AE0A81"/>
    <w:rsid w:val="00AE2A4F"/>
    <w:rsid w:val="00AE3302"/>
    <w:rsid w:val="00AE3760"/>
    <w:rsid w:val="00AE3941"/>
    <w:rsid w:val="00AE3F42"/>
    <w:rsid w:val="00AE4FEF"/>
    <w:rsid w:val="00AE5788"/>
    <w:rsid w:val="00AE614A"/>
    <w:rsid w:val="00AE7DE6"/>
    <w:rsid w:val="00AF0419"/>
    <w:rsid w:val="00AF204C"/>
    <w:rsid w:val="00AF24E3"/>
    <w:rsid w:val="00AF24FD"/>
    <w:rsid w:val="00AF2862"/>
    <w:rsid w:val="00AF2E5B"/>
    <w:rsid w:val="00AF2FC2"/>
    <w:rsid w:val="00AF46DB"/>
    <w:rsid w:val="00AF4F1C"/>
    <w:rsid w:val="00AF541F"/>
    <w:rsid w:val="00AF60BB"/>
    <w:rsid w:val="00AF6FF2"/>
    <w:rsid w:val="00AF713C"/>
    <w:rsid w:val="00AF71BE"/>
    <w:rsid w:val="00AF7F08"/>
    <w:rsid w:val="00B01AC4"/>
    <w:rsid w:val="00B0566D"/>
    <w:rsid w:val="00B0636F"/>
    <w:rsid w:val="00B064A6"/>
    <w:rsid w:val="00B10892"/>
    <w:rsid w:val="00B10BFD"/>
    <w:rsid w:val="00B13614"/>
    <w:rsid w:val="00B139C8"/>
    <w:rsid w:val="00B1479F"/>
    <w:rsid w:val="00B149CB"/>
    <w:rsid w:val="00B15234"/>
    <w:rsid w:val="00B1611B"/>
    <w:rsid w:val="00B1668B"/>
    <w:rsid w:val="00B17B70"/>
    <w:rsid w:val="00B17C37"/>
    <w:rsid w:val="00B17E99"/>
    <w:rsid w:val="00B20629"/>
    <w:rsid w:val="00B21D56"/>
    <w:rsid w:val="00B23465"/>
    <w:rsid w:val="00B237E7"/>
    <w:rsid w:val="00B23B7F"/>
    <w:rsid w:val="00B2475D"/>
    <w:rsid w:val="00B26275"/>
    <w:rsid w:val="00B27071"/>
    <w:rsid w:val="00B276BF"/>
    <w:rsid w:val="00B277E5"/>
    <w:rsid w:val="00B27948"/>
    <w:rsid w:val="00B30299"/>
    <w:rsid w:val="00B31523"/>
    <w:rsid w:val="00B3264B"/>
    <w:rsid w:val="00B32EE2"/>
    <w:rsid w:val="00B3372E"/>
    <w:rsid w:val="00B349C2"/>
    <w:rsid w:val="00B35238"/>
    <w:rsid w:val="00B35756"/>
    <w:rsid w:val="00B359D3"/>
    <w:rsid w:val="00B362B2"/>
    <w:rsid w:val="00B36826"/>
    <w:rsid w:val="00B40C4A"/>
    <w:rsid w:val="00B41342"/>
    <w:rsid w:val="00B424C8"/>
    <w:rsid w:val="00B4295B"/>
    <w:rsid w:val="00B43D9A"/>
    <w:rsid w:val="00B443C7"/>
    <w:rsid w:val="00B479FA"/>
    <w:rsid w:val="00B50554"/>
    <w:rsid w:val="00B54BBA"/>
    <w:rsid w:val="00B553AA"/>
    <w:rsid w:val="00B605FE"/>
    <w:rsid w:val="00B64EC4"/>
    <w:rsid w:val="00B654E9"/>
    <w:rsid w:val="00B6574D"/>
    <w:rsid w:val="00B65903"/>
    <w:rsid w:val="00B65CDD"/>
    <w:rsid w:val="00B665FA"/>
    <w:rsid w:val="00B67A99"/>
    <w:rsid w:val="00B70F71"/>
    <w:rsid w:val="00B711A0"/>
    <w:rsid w:val="00B72F2B"/>
    <w:rsid w:val="00B743E6"/>
    <w:rsid w:val="00B749B6"/>
    <w:rsid w:val="00B75A11"/>
    <w:rsid w:val="00B76270"/>
    <w:rsid w:val="00B8006D"/>
    <w:rsid w:val="00B804A6"/>
    <w:rsid w:val="00B81449"/>
    <w:rsid w:val="00B82838"/>
    <w:rsid w:val="00B83755"/>
    <w:rsid w:val="00B83C52"/>
    <w:rsid w:val="00B83C7E"/>
    <w:rsid w:val="00B84056"/>
    <w:rsid w:val="00B840FF"/>
    <w:rsid w:val="00B84A16"/>
    <w:rsid w:val="00B84AD3"/>
    <w:rsid w:val="00B84F66"/>
    <w:rsid w:val="00B853B0"/>
    <w:rsid w:val="00B8544E"/>
    <w:rsid w:val="00B85908"/>
    <w:rsid w:val="00B859FC"/>
    <w:rsid w:val="00B86876"/>
    <w:rsid w:val="00B869A8"/>
    <w:rsid w:val="00B86BB0"/>
    <w:rsid w:val="00B879C5"/>
    <w:rsid w:val="00B9039E"/>
    <w:rsid w:val="00B91257"/>
    <w:rsid w:val="00B91E40"/>
    <w:rsid w:val="00B92384"/>
    <w:rsid w:val="00B93E03"/>
    <w:rsid w:val="00B94CD5"/>
    <w:rsid w:val="00B9640B"/>
    <w:rsid w:val="00B96BB3"/>
    <w:rsid w:val="00BA0118"/>
    <w:rsid w:val="00BA1512"/>
    <w:rsid w:val="00BA537F"/>
    <w:rsid w:val="00BA565B"/>
    <w:rsid w:val="00BA6467"/>
    <w:rsid w:val="00BA6C0B"/>
    <w:rsid w:val="00BA737D"/>
    <w:rsid w:val="00BB00FC"/>
    <w:rsid w:val="00BB044F"/>
    <w:rsid w:val="00BB1AD2"/>
    <w:rsid w:val="00BB1C52"/>
    <w:rsid w:val="00BB2897"/>
    <w:rsid w:val="00BB2C11"/>
    <w:rsid w:val="00BB3D5F"/>
    <w:rsid w:val="00BB40DF"/>
    <w:rsid w:val="00BB4952"/>
    <w:rsid w:val="00BB5510"/>
    <w:rsid w:val="00BB6438"/>
    <w:rsid w:val="00BB7B40"/>
    <w:rsid w:val="00BC0ADD"/>
    <w:rsid w:val="00BC1141"/>
    <w:rsid w:val="00BC1924"/>
    <w:rsid w:val="00BC295C"/>
    <w:rsid w:val="00BC2BC3"/>
    <w:rsid w:val="00BC2EC8"/>
    <w:rsid w:val="00BC4BA0"/>
    <w:rsid w:val="00BC6083"/>
    <w:rsid w:val="00BC6C7D"/>
    <w:rsid w:val="00BD1B63"/>
    <w:rsid w:val="00BD216A"/>
    <w:rsid w:val="00BD4F3E"/>
    <w:rsid w:val="00BD502E"/>
    <w:rsid w:val="00BD5090"/>
    <w:rsid w:val="00BD6BB0"/>
    <w:rsid w:val="00BE34B9"/>
    <w:rsid w:val="00BE35CD"/>
    <w:rsid w:val="00BE389D"/>
    <w:rsid w:val="00BE4D71"/>
    <w:rsid w:val="00BE55C1"/>
    <w:rsid w:val="00BE5C3B"/>
    <w:rsid w:val="00BE7DB0"/>
    <w:rsid w:val="00BF221A"/>
    <w:rsid w:val="00BF2AF1"/>
    <w:rsid w:val="00BF3085"/>
    <w:rsid w:val="00BF3721"/>
    <w:rsid w:val="00BF47AC"/>
    <w:rsid w:val="00BF48BA"/>
    <w:rsid w:val="00BF4BE6"/>
    <w:rsid w:val="00BF5110"/>
    <w:rsid w:val="00BF5526"/>
    <w:rsid w:val="00BF57BD"/>
    <w:rsid w:val="00BF6DFA"/>
    <w:rsid w:val="00BF78EB"/>
    <w:rsid w:val="00BF7DF3"/>
    <w:rsid w:val="00C019F8"/>
    <w:rsid w:val="00C01AC9"/>
    <w:rsid w:val="00C0236B"/>
    <w:rsid w:val="00C0359C"/>
    <w:rsid w:val="00C03E6C"/>
    <w:rsid w:val="00C0414E"/>
    <w:rsid w:val="00C04396"/>
    <w:rsid w:val="00C06116"/>
    <w:rsid w:val="00C06DF8"/>
    <w:rsid w:val="00C105E7"/>
    <w:rsid w:val="00C14550"/>
    <w:rsid w:val="00C15974"/>
    <w:rsid w:val="00C1607A"/>
    <w:rsid w:val="00C1681B"/>
    <w:rsid w:val="00C2023F"/>
    <w:rsid w:val="00C20488"/>
    <w:rsid w:val="00C20C6B"/>
    <w:rsid w:val="00C2114F"/>
    <w:rsid w:val="00C2309B"/>
    <w:rsid w:val="00C2390E"/>
    <w:rsid w:val="00C242B5"/>
    <w:rsid w:val="00C24595"/>
    <w:rsid w:val="00C2546C"/>
    <w:rsid w:val="00C265DF"/>
    <w:rsid w:val="00C26703"/>
    <w:rsid w:val="00C268AD"/>
    <w:rsid w:val="00C27D12"/>
    <w:rsid w:val="00C27E74"/>
    <w:rsid w:val="00C3048A"/>
    <w:rsid w:val="00C30721"/>
    <w:rsid w:val="00C31DFE"/>
    <w:rsid w:val="00C32301"/>
    <w:rsid w:val="00C32493"/>
    <w:rsid w:val="00C338EA"/>
    <w:rsid w:val="00C3673D"/>
    <w:rsid w:val="00C36F3D"/>
    <w:rsid w:val="00C404CD"/>
    <w:rsid w:val="00C407FB"/>
    <w:rsid w:val="00C43476"/>
    <w:rsid w:val="00C434A7"/>
    <w:rsid w:val="00C43EA1"/>
    <w:rsid w:val="00C4480C"/>
    <w:rsid w:val="00C44BBB"/>
    <w:rsid w:val="00C45877"/>
    <w:rsid w:val="00C463A0"/>
    <w:rsid w:val="00C464DC"/>
    <w:rsid w:val="00C466C3"/>
    <w:rsid w:val="00C46EB2"/>
    <w:rsid w:val="00C47B37"/>
    <w:rsid w:val="00C5105D"/>
    <w:rsid w:val="00C51083"/>
    <w:rsid w:val="00C51100"/>
    <w:rsid w:val="00C51148"/>
    <w:rsid w:val="00C5152D"/>
    <w:rsid w:val="00C51627"/>
    <w:rsid w:val="00C51751"/>
    <w:rsid w:val="00C51E72"/>
    <w:rsid w:val="00C52277"/>
    <w:rsid w:val="00C523B9"/>
    <w:rsid w:val="00C526A2"/>
    <w:rsid w:val="00C538C3"/>
    <w:rsid w:val="00C53973"/>
    <w:rsid w:val="00C53F8B"/>
    <w:rsid w:val="00C542EE"/>
    <w:rsid w:val="00C56B3E"/>
    <w:rsid w:val="00C57D93"/>
    <w:rsid w:val="00C602FB"/>
    <w:rsid w:val="00C60D9B"/>
    <w:rsid w:val="00C60F15"/>
    <w:rsid w:val="00C61F47"/>
    <w:rsid w:val="00C62134"/>
    <w:rsid w:val="00C644C7"/>
    <w:rsid w:val="00C66C33"/>
    <w:rsid w:val="00C67461"/>
    <w:rsid w:val="00C71E5D"/>
    <w:rsid w:val="00C76541"/>
    <w:rsid w:val="00C76C71"/>
    <w:rsid w:val="00C77CD9"/>
    <w:rsid w:val="00C77FD8"/>
    <w:rsid w:val="00C80C91"/>
    <w:rsid w:val="00C80FEA"/>
    <w:rsid w:val="00C8242B"/>
    <w:rsid w:val="00C846C1"/>
    <w:rsid w:val="00C84A01"/>
    <w:rsid w:val="00C84D8E"/>
    <w:rsid w:val="00C853CD"/>
    <w:rsid w:val="00C90CAD"/>
    <w:rsid w:val="00C92E0D"/>
    <w:rsid w:val="00C93389"/>
    <w:rsid w:val="00C950E4"/>
    <w:rsid w:val="00C95A1C"/>
    <w:rsid w:val="00C976F2"/>
    <w:rsid w:val="00C978C5"/>
    <w:rsid w:val="00CA0217"/>
    <w:rsid w:val="00CA0462"/>
    <w:rsid w:val="00CA1145"/>
    <w:rsid w:val="00CA2FDE"/>
    <w:rsid w:val="00CA3C1B"/>
    <w:rsid w:val="00CA3F7C"/>
    <w:rsid w:val="00CA44A2"/>
    <w:rsid w:val="00CA4567"/>
    <w:rsid w:val="00CA4B70"/>
    <w:rsid w:val="00CA6E4A"/>
    <w:rsid w:val="00CA728B"/>
    <w:rsid w:val="00CB1B07"/>
    <w:rsid w:val="00CB1CFA"/>
    <w:rsid w:val="00CB3677"/>
    <w:rsid w:val="00CB36CD"/>
    <w:rsid w:val="00CB3C38"/>
    <w:rsid w:val="00CB47BF"/>
    <w:rsid w:val="00CB6E19"/>
    <w:rsid w:val="00CB7394"/>
    <w:rsid w:val="00CC0517"/>
    <w:rsid w:val="00CC0566"/>
    <w:rsid w:val="00CC0C25"/>
    <w:rsid w:val="00CC14C1"/>
    <w:rsid w:val="00CC1678"/>
    <w:rsid w:val="00CC1EED"/>
    <w:rsid w:val="00CC221B"/>
    <w:rsid w:val="00CC2A77"/>
    <w:rsid w:val="00CC354E"/>
    <w:rsid w:val="00CC3E17"/>
    <w:rsid w:val="00CC3E90"/>
    <w:rsid w:val="00CC4C6D"/>
    <w:rsid w:val="00CC6029"/>
    <w:rsid w:val="00CC6B95"/>
    <w:rsid w:val="00CC6CF5"/>
    <w:rsid w:val="00CC6FC4"/>
    <w:rsid w:val="00CD1220"/>
    <w:rsid w:val="00CD1D0C"/>
    <w:rsid w:val="00CD1E60"/>
    <w:rsid w:val="00CD2496"/>
    <w:rsid w:val="00CD3363"/>
    <w:rsid w:val="00CD3DE6"/>
    <w:rsid w:val="00CD4B96"/>
    <w:rsid w:val="00CD5026"/>
    <w:rsid w:val="00CD675A"/>
    <w:rsid w:val="00CD6D50"/>
    <w:rsid w:val="00CE0189"/>
    <w:rsid w:val="00CE037E"/>
    <w:rsid w:val="00CE0924"/>
    <w:rsid w:val="00CE0E87"/>
    <w:rsid w:val="00CE1120"/>
    <w:rsid w:val="00CE1F53"/>
    <w:rsid w:val="00CE1F89"/>
    <w:rsid w:val="00CE23A1"/>
    <w:rsid w:val="00CE2659"/>
    <w:rsid w:val="00CE2911"/>
    <w:rsid w:val="00CE2DB9"/>
    <w:rsid w:val="00CE3487"/>
    <w:rsid w:val="00CE3B8F"/>
    <w:rsid w:val="00CE3CD2"/>
    <w:rsid w:val="00CE3F18"/>
    <w:rsid w:val="00CE4797"/>
    <w:rsid w:val="00CE6734"/>
    <w:rsid w:val="00CE6D79"/>
    <w:rsid w:val="00CE7B81"/>
    <w:rsid w:val="00CE7FFC"/>
    <w:rsid w:val="00CF0D4F"/>
    <w:rsid w:val="00CF1321"/>
    <w:rsid w:val="00CF1949"/>
    <w:rsid w:val="00CF2848"/>
    <w:rsid w:val="00CF3320"/>
    <w:rsid w:val="00CF4BF1"/>
    <w:rsid w:val="00CF4D6D"/>
    <w:rsid w:val="00CF4F81"/>
    <w:rsid w:val="00CF6899"/>
    <w:rsid w:val="00D00597"/>
    <w:rsid w:val="00D00D77"/>
    <w:rsid w:val="00D00E66"/>
    <w:rsid w:val="00D011FC"/>
    <w:rsid w:val="00D015D8"/>
    <w:rsid w:val="00D01A54"/>
    <w:rsid w:val="00D03DFC"/>
    <w:rsid w:val="00D06ED8"/>
    <w:rsid w:val="00D07B29"/>
    <w:rsid w:val="00D07DAB"/>
    <w:rsid w:val="00D1059A"/>
    <w:rsid w:val="00D105D9"/>
    <w:rsid w:val="00D1133F"/>
    <w:rsid w:val="00D118E3"/>
    <w:rsid w:val="00D11D04"/>
    <w:rsid w:val="00D1264B"/>
    <w:rsid w:val="00D135A3"/>
    <w:rsid w:val="00D137C4"/>
    <w:rsid w:val="00D13E6D"/>
    <w:rsid w:val="00D14A42"/>
    <w:rsid w:val="00D1526B"/>
    <w:rsid w:val="00D16332"/>
    <w:rsid w:val="00D1736B"/>
    <w:rsid w:val="00D17516"/>
    <w:rsid w:val="00D17909"/>
    <w:rsid w:val="00D214B1"/>
    <w:rsid w:val="00D2162A"/>
    <w:rsid w:val="00D21D6B"/>
    <w:rsid w:val="00D22AF6"/>
    <w:rsid w:val="00D22B11"/>
    <w:rsid w:val="00D232FE"/>
    <w:rsid w:val="00D251B9"/>
    <w:rsid w:val="00D27614"/>
    <w:rsid w:val="00D27A77"/>
    <w:rsid w:val="00D30E1F"/>
    <w:rsid w:val="00D3125A"/>
    <w:rsid w:val="00D31D6E"/>
    <w:rsid w:val="00D326C4"/>
    <w:rsid w:val="00D3372E"/>
    <w:rsid w:val="00D33880"/>
    <w:rsid w:val="00D34222"/>
    <w:rsid w:val="00D34FE2"/>
    <w:rsid w:val="00D35BA5"/>
    <w:rsid w:val="00D42487"/>
    <w:rsid w:val="00D4286C"/>
    <w:rsid w:val="00D42DF5"/>
    <w:rsid w:val="00D43299"/>
    <w:rsid w:val="00D4528F"/>
    <w:rsid w:val="00D45D30"/>
    <w:rsid w:val="00D45F00"/>
    <w:rsid w:val="00D46379"/>
    <w:rsid w:val="00D46D9A"/>
    <w:rsid w:val="00D530A3"/>
    <w:rsid w:val="00D5335D"/>
    <w:rsid w:val="00D55826"/>
    <w:rsid w:val="00D563A1"/>
    <w:rsid w:val="00D56582"/>
    <w:rsid w:val="00D5670C"/>
    <w:rsid w:val="00D569AA"/>
    <w:rsid w:val="00D57C81"/>
    <w:rsid w:val="00D604DC"/>
    <w:rsid w:val="00D60530"/>
    <w:rsid w:val="00D61C7B"/>
    <w:rsid w:val="00D61DD9"/>
    <w:rsid w:val="00D64120"/>
    <w:rsid w:val="00D64469"/>
    <w:rsid w:val="00D64844"/>
    <w:rsid w:val="00D656D4"/>
    <w:rsid w:val="00D703E1"/>
    <w:rsid w:val="00D70575"/>
    <w:rsid w:val="00D70CE3"/>
    <w:rsid w:val="00D70F4F"/>
    <w:rsid w:val="00D728A2"/>
    <w:rsid w:val="00D72AB9"/>
    <w:rsid w:val="00D72BCA"/>
    <w:rsid w:val="00D75155"/>
    <w:rsid w:val="00D75ADD"/>
    <w:rsid w:val="00D76104"/>
    <w:rsid w:val="00D762A1"/>
    <w:rsid w:val="00D77317"/>
    <w:rsid w:val="00D7762D"/>
    <w:rsid w:val="00D8086D"/>
    <w:rsid w:val="00D81735"/>
    <w:rsid w:val="00D819C2"/>
    <w:rsid w:val="00D826B2"/>
    <w:rsid w:val="00D84091"/>
    <w:rsid w:val="00D84987"/>
    <w:rsid w:val="00D854F6"/>
    <w:rsid w:val="00D85695"/>
    <w:rsid w:val="00D85745"/>
    <w:rsid w:val="00D862CE"/>
    <w:rsid w:val="00D86E10"/>
    <w:rsid w:val="00D878AE"/>
    <w:rsid w:val="00D92002"/>
    <w:rsid w:val="00D93C72"/>
    <w:rsid w:val="00D9498E"/>
    <w:rsid w:val="00D94C0D"/>
    <w:rsid w:val="00D96DE1"/>
    <w:rsid w:val="00D974A6"/>
    <w:rsid w:val="00D97B90"/>
    <w:rsid w:val="00D97E47"/>
    <w:rsid w:val="00DA11D3"/>
    <w:rsid w:val="00DA16D3"/>
    <w:rsid w:val="00DA1F90"/>
    <w:rsid w:val="00DA1FBF"/>
    <w:rsid w:val="00DA2649"/>
    <w:rsid w:val="00DA2998"/>
    <w:rsid w:val="00DA2A05"/>
    <w:rsid w:val="00DA67DC"/>
    <w:rsid w:val="00DA7659"/>
    <w:rsid w:val="00DB034E"/>
    <w:rsid w:val="00DB2479"/>
    <w:rsid w:val="00DB2DF4"/>
    <w:rsid w:val="00DB44D4"/>
    <w:rsid w:val="00DB52B8"/>
    <w:rsid w:val="00DB58D2"/>
    <w:rsid w:val="00DB5C9B"/>
    <w:rsid w:val="00DB681B"/>
    <w:rsid w:val="00DB716E"/>
    <w:rsid w:val="00DB7DC3"/>
    <w:rsid w:val="00DC198F"/>
    <w:rsid w:val="00DC2561"/>
    <w:rsid w:val="00DC2759"/>
    <w:rsid w:val="00DC4EAD"/>
    <w:rsid w:val="00DC514D"/>
    <w:rsid w:val="00DC56A9"/>
    <w:rsid w:val="00DC5980"/>
    <w:rsid w:val="00DC59C0"/>
    <w:rsid w:val="00DC5C26"/>
    <w:rsid w:val="00DC6297"/>
    <w:rsid w:val="00DC647A"/>
    <w:rsid w:val="00DC7110"/>
    <w:rsid w:val="00DC785C"/>
    <w:rsid w:val="00DC7DBC"/>
    <w:rsid w:val="00DD0B00"/>
    <w:rsid w:val="00DD108C"/>
    <w:rsid w:val="00DD2C70"/>
    <w:rsid w:val="00DD2F04"/>
    <w:rsid w:val="00DD3E36"/>
    <w:rsid w:val="00DD66AA"/>
    <w:rsid w:val="00DD6776"/>
    <w:rsid w:val="00DD7727"/>
    <w:rsid w:val="00DE0DB0"/>
    <w:rsid w:val="00DE1088"/>
    <w:rsid w:val="00DE1CC1"/>
    <w:rsid w:val="00DE442E"/>
    <w:rsid w:val="00DE4E58"/>
    <w:rsid w:val="00DE57EE"/>
    <w:rsid w:val="00DE693C"/>
    <w:rsid w:val="00DF02A5"/>
    <w:rsid w:val="00DF02E4"/>
    <w:rsid w:val="00DF0C0B"/>
    <w:rsid w:val="00DF1936"/>
    <w:rsid w:val="00DF2205"/>
    <w:rsid w:val="00DF33F7"/>
    <w:rsid w:val="00DF48C1"/>
    <w:rsid w:val="00DF4E0F"/>
    <w:rsid w:val="00DF5CD2"/>
    <w:rsid w:val="00DF5CDD"/>
    <w:rsid w:val="00DF6C7D"/>
    <w:rsid w:val="00DF7331"/>
    <w:rsid w:val="00DF74E2"/>
    <w:rsid w:val="00E02757"/>
    <w:rsid w:val="00E033F9"/>
    <w:rsid w:val="00E04CD6"/>
    <w:rsid w:val="00E058E6"/>
    <w:rsid w:val="00E05CCA"/>
    <w:rsid w:val="00E06D6A"/>
    <w:rsid w:val="00E1059C"/>
    <w:rsid w:val="00E13238"/>
    <w:rsid w:val="00E138DD"/>
    <w:rsid w:val="00E15681"/>
    <w:rsid w:val="00E15F23"/>
    <w:rsid w:val="00E1651D"/>
    <w:rsid w:val="00E16843"/>
    <w:rsid w:val="00E17885"/>
    <w:rsid w:val="00E23A3C"/>
    <w:rsid w:val="00E24C51"/>
    <w:rsid w:val="00E24D81"/>
    <w:rsid w:val="00E259A1"/>
    <w:rsid w:val="00E266EE"/>
    <w:rsid w:val="00E26B42"/>
    <w:rsid w:val="00E273D2"/>
    <w:rsid w:val="00E27442"/>
    <w:rsid w:val="00E30505"/>
    <w:rsid w:val="00E30B21"/>
    <w:rsid w:val="00E310E6"/>
    <w:rsid w:val="00E31176"/>
    <w:rsid w:val="00E3139A"/>
    <w:rsid w:val="00E3156E"/>
    <w:rsid w:val="00E3293E"/>
    <w:rsid w:val="00E329E7"/>
    <w:rsid w:val="00E3403F"/>
    <w:rsid w:val="00E34253"/>
    <w:rsid w:val="00E34476"/>
    <w:rsid w:val="00E353D9"/>
    <w:rsid w:val="00E40227"/>
    <w:rsid w:val="00E41483"/>
    <w:rsid w:val="00E42BF0"/>
    <w:rsid w:val="00E42E13"/>
    <w:rsid w:val="00E43972"/>
    <w:rsid w:val="00E43E60"/>
    <w:rsid w:val="00E45321"/>
    <w:rsid w:val="00E45B45"/>
    <w:rsid w:val="00E46C56"/>
    <w:rsid w:val="00E50E7A"/>
    <w:rsid w:val="00E53B0C"/>
    <w:rsid w:val="00E54444"/>
    <w:rsid w:val="00E54DB6"/>
    <w:rsid w:val="00E55E49"/>
    <w:rsid w:val="00E5609C"/>
    <w:rsid w:val="00E565CD"/>
    <w:rsid w:val="00E60727"/>
    <w:rsid w:val="00E60BA7"/>
    <w:rsid w:val="00E6120E"/>
    <w:rsid w:val="00E61D3E"/>
    <w:rsid w:val="00E6371F"/>
    <w:rsid w:val="00E637AE"/>
    <w:rsid w:val="00E64399"/>
    <w:rsid w:val="00E646FD"/>
    <w:rsid w:val="00E65922"/>
    <w:rsid w:val="00E662F0"/>
    <w:rsid w:val="00E668F5"/>
    <w:rsid w:val="00E67088"/>
    <w:rsid w:val="00E6724E"/>
    <w:rsid w:val="00E67A7B"/>
    <w:rsid w:val="00E67C5A"/>
    <w:rsid w:val="00E707F1"/>
    <w:rsid w:val="00E71E74"/>
    <w:rsid w:val="00E725D5"/>
    <w:rsid w:val="00E7360A"/>
    <w:rsid w:val="00E73B33"/>
    <w:rsid w:val="00E73FF0"/>
    <w:rsid w:val="00E7499F"/>
    <w:rsid w:val="00E75632"/>
    <w:rsid w:val="00E75AA1"/>
    <w:rsid w:val="00E760EA"/>
    <w:rsid w:val="00E76380"/>
    <w:rsid w:val="00E766E1"/>
    <w:rsid w:val="00E80247"/>
    <w:rsid w:val="00E81E23"/>
    <w:rsid w:val="00E87062"/>
    <w:rsid w:val="00E90849"/>
    <w:rsid w:val="00E910E4"/>
    <w:rsid w:val="00E9214D"/>
    <w:rsid w:val="00E93276"/>
    <w:rsid w:val="00E9466B"/>
    <w:rsid w:val="00E949B6"/>
    <w:rsid w:val="00E94CF8"/>
    <w:rsid w:val="00E95471"/>
    <w:rsid w:val="00E96EDF"/>
    <w:rsid w:val="00EA0EE5"/>
    <w:rsid w:val="00EA32A2"/>
    <w:rsid w:val="00EA3516"/>
    <w:rsid w:val="00EA3E14"/>
    <w:rsid w:val="00EA5FB5"/>
    <w:rsid w:val="00EA7D10"/>
    <w:rsid w:val="00EB187E"/>
    <w:rsid w:val="00EB338B"/>
    <w:rsid w:val="00EB3689"/>
    <w:rsid w:val="00EB3D83"/>
    <w:rsid w:val="00EB5DB6"/>
    <w:rsid w:val="00EB628D"/>
    <w:rsid w:val="00EC1211"/>
    <w:rsid w:val="00EC2BD1"/>
    <w:rsid w:val="00EC2C30"/>
    <w:rsid w:val="00EC2D36"/>
    <w:rsid w:val="00EC2D41"/>
    <w:rsid w:val="00EC2DFF"/>
    <w:rsid w:val="00EC3A40"/>
    <w:rsid w:val="00EC5833"/>
    <w:rsid w:val="00EC58C6"/>
    <w:rsid w:val="00EC710A"/>
    <w:rsid w:val="00EC7874"/>
    <w:rsid w:val="00ED07CC"/>
    <w:rsid w:val="00ED2546"/>
    <w:rsid w:val="00ED2BCF"/>
    <w:rsid w:val="00ED2E06"/>
    <w:rsid w:val="00ED5F72"/>
    <w:rsid w:val="00ED6E44"/>
    <w:rsid w:val="00ED7119"/>
    <w:rsid w:val="00ED7597"/>
    <w:rsid w:val="00ED761C"/>
    <w:rsid w:val="00EE00D8"/>
    <w:rsid w:val="00EE2A8C"/>
    <w:rsid w:val="00EE3C89"/>
    <w:rsid w:val="00EE696A"/>
    <w:rsid w:val="00EF01FC"/>
    <w:rsid w:val="00EF15CA"/>
    <w:rsid w:val="00EF1C8C"/>
    <w:rsid w:val="00EF23D9"/>
    <w:rsid w:val="00EF669B"/>
    <w:rsid w:val="00EF7498"/>
    <w:rsid w:val="00EF7756"/>
    <w:rsid w:val="00EF7DBD"/>
    <w:rsid w:val="00F00E77"/>
    <w:rsid w:val="00F01208"/>
    <w:rsid w:val="00F0214B"/>
    <w:rsid w:val="00F02678"/>
    <w:rsid w:val="00F02748"/>
    <w:rsid w:val="00F0334D"/>
    <w:rsid w:val="00F034D5"/>
    <w:rsid w:val="00F04F06"/>
    <w:rsid w:val="00F050DE"/>
    <w:rsid w:val="00F05B8B"/>
    <w:rsid w:val="00F061F3"/>
    <w:rsid w:val="00F0676C"/>
    <w:rsid w:val="00F06808"/>
    <w:rsid w:val="00F113CB"/>
    <w:rsid w:val="00F11C81"/>
    <w:rsid w:val="00F11DA2"/>
    <w:rsid w:val="00F121FA"/>
    <w:rsid w:val="00F14244"/>
    <w:rsid w:val="00F14C38"/>
    <w:rsid w:val="00F1628B"/>
    <w:rsid w:val="00F162AA"/>
    <w:rsid w:val="00F16373"/>
    <w:rsid w:val="00F1641B"/>
    <w:rsid w:val="00F1647D"/>
    <w:rsid w:val="00F17DE7"/>
    <w:rsid w:val="00F20DC8"/>
    <w:rsid w:val="00F20E76"/>
    <w:rsid w:val="00F210E6"/>
    <w:rsid w:val="00F23AF8"/>
    <w:rsid w:val="00F24133"/>
    <w:rsid w:val="00F25871"/>
    <w:rsid w:val="00F25F9C"/>
    <w:rsid w:val="00F26694"/>
    <w:rsid w:val="00F277A5"/>
    <w:rsid w:val="00F3051D"/>
    <w:rsid w:val="00F316C9"/>
    <w:rsid w:val="00F32174"/>
    <w:rsid w:val="00F32332"/>
    <w:rsid w:val="00F3367C"/>
    <w:rsid w:val="00F33A9B"/>
    <w:rsid w:val="00F3456B"/>
    <w:rsid w:val="00F354DD"/>
    <w:rsid w:val="00F36196"/>
    <w:rsid w:val="00F3722C"/>
    <w:rsid w:val="00F4131E"/>
    <w:rsid w:val="00F41454"/>
    <w:rsid w:val="00F4198B"/>
    <w:rsid w:val="00F41E5D"/>
    <w:rsid w:val="00F41ECA"/>
    <w:rsid w:val="00F41F01"/>
    <w:rsid w:val="00F423DF"/>
    <w:rsid w:val="00F437F9"/>
    <w:rsid w:val="00F43B79"/>
    <w:rsid w:val="00F46DFC"/>
    <w:rsid w:val="00F47816"/>
    <w:rsid w:val="00F47F65"/>
    <w:rsid w:val="00F50BA0"/>
    <w:rsid w:val="00F51025"/>
    <w:rsid w:val="00F525B0"/>
    <w:rsid w:val="00F531A6"/>
    <w:rsid w:val="00F53951"/>
    <w:rsid w:val="00F54750"/>
    <w:rsid w:val="00F54DFC"/>
    <w:rsid w:val="00F55C8A"/>
    <w:rsid w:val="00F603E4"/>
    <w:rsid w:val="00F6092D"/>
    <w:rsid w:val="00F610F8"/>
    <w:rsid w:val="00F611CF"/>
    <w:rsid w:val="00F61978"/>
    <w:rsid w:val="00F622C1"/>
    <w:rsid w:val="00F62F77"/>
    <w:rsid w:val="00F63560"/>
    <w:rsid w:val="00F63EA0"/>
    <w:rsid w:val="00F64CE0"/>
    <w:rsid w:val="00F66595"/>
    <w:rsid w:val="00F672D7"/>
    <w:rsid w:val="00F67B4B"/>
    <w:rsid w:val="00F67B73"/>
    <w:rsid w:val="00F703EF"/>
    <w:rsid w:val="00F727A1"/>
    <w:rsid w:val="00F735D8"/>
    <w:rsid w:val="00F74331"/>
    <w:rsid w:val="00F74551"/>
    <w:rsid w:val="00F74A63"/>
    <w:rsid w:val="00F74DAA"/>
    <w:rsid w:val="00F763F3"/>
    <w:rsid w:val="00F76BD9"/>
    <w:rsid w:val="00F776DA"/>
    <w:rsid w:val="00F77780"/>
    <w:rsid w:val="00F77BEA"/>
    <w:rsid w:val="00F81983"/>
    <w:rsid w:val="00F82739"/>
    <w:rsid w:val="00F83207"/>
    <w:rsid w:val="00F83AE0"/>
    <w:rsid w:val="00F83E29"/>
    <w:rsid w:val="00F85016"/>
    <w:rsid w:val="00F85924"/>
    <w:rsid w:val="00F85CD9"/>
    <w:rsid w:val="00F86858"/>
    <w:rsid w:val="00F86BB6"/>
    <w:rsid w:val="00F871F0"/>
    <w:rsid w:val="00F90588"/>
    <w:rsid w:val="00F90842"/>
    <w:rsid w:val="00F90CDD"/>
    <w:rsid w:val="00F91491"/>
    <w:rsid w:val="00F93BF8"/>
    <w:rsid w:val="00F94379"/>
    <w:rsid w:val="00F95449"/>
    <w:rsid w:val="00F96AE4"/>
    <w:rsid w:val="00F9776F"/>
    <w:rsid w:val="00FA6BBA"/>
    <w:rsid w:val="00FA6DEF"/>
    <w:rsid w:val="00FA7395"/>
    <w:rsid w:val="00FB020F"/>
    <w:rsid w:val="00FB0CCD"/>
    <w:rsid w:val="00FB22DC"/>
    <w:rsid w:val="00FB3CE3"/>
    <w:rsid w:val="00FB441F"/>
    <w:rsid w:val="00FB54A4"/>
    <w:rsid w:val="00FB5E32"/>
    <w:rsid w:val="00FB7477"/>
    <w:rsid w:val="00FC04CB"/>
    <w:rsid w:val="00FC1677"/>
    <w:rsid w:val="00FC179C"/>
    <w:rsid w:val="00FC2073"/>
    <w:rsid w:val="00FC2126"/>
    <w:rsid w:val="00FC3FFF"/>
    <w:rsid w:val="00FC407E"/>
    <w:rsid w:val="00FC5AF1"/>
    <w:rsid w:val="00FC684F"/>
    <w:rsid w:val="00FD01FA"/>
    <w:rsid w:val="00FD14D2"/>
    <w:rsid w:val="00FD22D8"/>
    <w:rsid w:val="00FD25E7"/>
    <w:rsid w:val="00FD2D85"/>
    <w:rsid w:val="00FD36A5"/>
    <w:rsid w:val="00FD4923"/>
    <w:rsid w:val="00FD5098"/>
    <w:rsid w:val="00FD73BE"/>
    <w:rsid w:val="00FD7DCB"/>
    <w:rsid w:val="00FE0F0C"/>
    <w:rsid w:val="00FE2474"/>
    <w:rsid w:val="00FE2C5E"/>
    <w:rsid w:val="00FE3FA5"/>
    <w:rsid w:val="00FE52F0"/>
    <w:rsid w:val="00FE5498"/>
    <w:rsid w:val="00FE5DC5"/>
    <w:rsid w:val="00FE70CC"/>
    <w:rsid w:val="00FE7EB6"/>
    <w:rsid w:val="00FF0946"/>
    <w:rsid w:val="00FF1246"/>
    <w:rsid w:val="00FF1D67"/>
    <w:rsid w:val="00FF25B2"/>
    <w:rsid w:val="00FF2BB5"/>
    <w:rsid w:val="00FF3D2D"/>
    <w:rsid w:val="00FF4033"/>
    <w:rsid w:val="00FF501B"/>
    <w:rsid w:val="00FF5E27"/>
    <w:rsid w:val="00FF6379"/>
    <w:rsid w:val="00FF67FC"/>
    <w:rsid w:val="00FF7AEA"/>
    <w:rsid w:val="00FF7D89"/>
    <w:rsid w:val="0C4C5BAB"/>
    <w:rsid w:val="2BA22B41"/>
    <w:rsid w:val="5ECD137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E75B5"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Tahoma" w:hAnsi="Tahoma" w:cs="Tahoma"/>
      <w:sz w:val="16"/>
      <w:szCs w:val="16"/>
    </w:rPr>
  </w:style>
  <w:style w:type="character" w:styleId="6">
    <w:name w:val="FollowedHyperlink"/>
    <w:basedOn w:val="3"/>
    <w:semiHidden/>
    <w:unhideWhenUsed/>
    <w:qFormat/>
    <w:uiPriority w:val="99"/>
    <w:rPr>
      <w:color w:val="800080"/>
      <w:u w:val="single"/>
    </w:rPr>
  </w:style>
  <w:style w:type="paragraph" w:styleId="7">
    <w:name w:val="footer"/>
    <w:basedOn w:val="1"/>
    <w:link w:val="17"/>
    <w:unhideWhenUsed/>
    <w:qFormat/>
    <w:uiPriority w:val="99"/>
    <w:pPr>
      <w:tabs>
        <w:tab w:val="center" w:pos="4680"/>
        <w:tab w:val="right" w:pos="9360"/>
      </w:tabs>
      <w:spacing w:after="0" w:line="240" w:lineRule="auto"/>
    </w:pPr>
  </w:style>
  <w:style w:type="paragraph" w:styleId="8">
    <w:name w:val="header"/>
    <w:basedOn w:val="1"/>
    <w:link w:val="16"/>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563C1" w:themeColor="hyperlink"/>
      <w:u w:val="single"/>
    </w:rPr>
  </w:style>
  <w:style w:type="character" w:styleId="10">
    <w:name w:val="line number"/>
    <w:basedOn w:val="3"/>
    <w:semiHidden/>
    <w:unhideWhenUsed/>
    <w:qFormat/>
    <w:uiPriority w:val="99"/>
  </w:style>
  <w:style w:type="paragraph" w:styleId="11">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12">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fontstyle01"/>
    <w:basedOn w:val="3"/>
    <w:qFormat/>
    <w:uiPriority w:val="0"/>
    <w:rPr>
      <w:rFonts w:hint="default" w:ascii="Times New Roman" w:hAnsi="Times New Roman" w:cs="Times New Roman"/>
      <w:color w:val="000000"/>
      <w:sz w:val="22"/>
      <w:szCs w:val="22"/>
    </w:rPr>
  </w:style>
  <w:style w:type="character" w:customStyle="1" w:styleId="15">
    <w:name w:val="fontstyle21"/>
    <w:basedOn w:val="3"/>
    <w:qFormat/>
    <w:uiPriority w:val="0"/>
    <w:rPr>
      <w:rFonts w:hint="default" w:ascii="Times New Roman" w:hAnsi="Times New Roman" w:cs="Times New Roman"/>
      <w:i/>
      <w:iCs/>
      <w:color w:val="000000"/>
      <w:sz w:val="22"/>
      <w:szCs w:val="22"/>
    </w:rPr>
  </w:style>
  <w:style w:type="character" w:customStyle="1" w:styleId="16">
    <w:name w:val="Header KAR"/>
    <w:basedOn w:val="3"/>
    <w:link w:val="8"/>
    <w:qFormat/>
    <w:uiPriority w:val="99"/>
  </w:style>
  <w:style w:type="character" w:customStyle="1" w:styleId="17">
    <w:name w:val="Footer KAR"/>
    <w:basedOn w:val="3"/>
    <w:link w:val="7"/>
    <w:qFormat/>
    <w:uiPriority w:val="99"/>
  </w:style>
  <w:style w:type="character" w:customStyle="1" w:styleId="18">
    <w:name w:val="Teks Balon KAR"/>
    <w:basedOn w:val="3"/>
    <w:link w:val="5"/>
    <w:semiHidden/>
    <w:qFormat/>
    <w:uiPriority w:val="99"/>
    <w:rPr>
      <w:rFonts w:ascii="Tahoma" w:hAnsi="Tahoma" w:cs="Tahoma"/>
      <w:sz w:val="16"/>
      <w:szCs w:val="16"/>
    </w:rPr>
  </w:style>
  <w:style w:type="character" w:customStyle="1" w:styleId="19">
    <w:name w:val="Unresolved Mention1"/>
    <w:basedOn w:val="3"/>
    <w:semiHidden/>
    <w:unhideWhenUsed/>
    <w:qFormat/>
    <w:uiPriority w:val="99"/>
    <w:rPr>
      <w:color w:val="605E5C"/>
      <w:shd w:val="clear" w:color="auto" w:fill="E1DFDD"/>
    </w:rPr>
  </w:style>
  <w:style w:type="character" w:customStyle="1" w:styleId="20">
    <w:name w:val="Sebutan Yang Belum Terselesaikan1"/>
    <w:basedOn w:val="3"/>
    <w:semiHidden/>
    <w:unhideWhenUsed/>
    <w:qFormat/>
    <w:uiPriority w:val="99"/>
    <w:rPr>
      <w:color w:val="605E5C"/>
      <w:shd w:val="clear" w:color="auto" w:fill="E1DFDD"/>
    </w:rPr>
  </w:style>
  <w:style w:type="character" w:customStyle="1" w:styleId="21">
    <w:name w:val="Judul 1 KAR"/>
    <w:basedOn w:val="3"/>
    <w:link w:val="2"/>
    <w:qFormat/>
    <w:uiPriority w:val="9"/>
    <w:rPr>
      <w:rFonts w:asciiTheme="majorHAnsi" w:hAnsiTheme="majorHAnsi" w:eastAsiaTheme="majorEastAsia" w:cstheme="majorBidi"/>
      <w:color w:val="2E75B5" w:themeColor="accent1" w:themeShade="BF"/>
      <w:sz w:val="32"/>
      <w:szCs w:val="32"/>
    </w:rPr>
  </w:style>
  <w:style w:type="paragraph" w:customStyle="1" w:styleId="22">
    <w:name w:val="TOC Heading"/>
    <w:basedOn w:val="2"/>
    <w:next w:val="1"/>
    <w:unhideWhenUsed/>
    <w:qFormat/>
    <w:uiPriority w:val="39"/>
    <w:pPr>
      <w:outlineLvl w:val="9"/>
    </w:pPr>
  </w:style>
  <w:style w:type="paragraph" w:customStyle="1" w:styleId="23">
    <w:name w:val="Heading 11"/>
    <w:basedOn w:val="1"/>
    <w:next w:val="1"/>
    <w:qFormat/>
    <w:uiPriority w:val="9"/>
    <w:pPr>
      <w:keepNext/>
      <w:keepLines/>
      <w:spacing w:before="240" w:after="0"/>
      <w:outlineLvl w:val="0"/>
    </w:pPr>
    <w:rPr>
      <w:rFonts w:ascii="Calibri Light" w:hAnsi="Calibri Light" w:eastAsia="Times New Roman" w:cs="Times New Roman"/>
      <w:color w:val="2E74B5"/>
      <w:sz w:val="32"/>
      <w:szCs w:val="32"/>
      <w:lang w:val="zh-CN"/>
    </w:rPr>
  </w:style>
  <w:style w:type="character" w:customStyle="1" w:styleId="24">
    <w:name w:val="Hyperlink1"/>
    <w:basedOn w:val="3"/>
    <w:unhideWhenUsed/>
    <w:qFormat/>
    <w:uiPriority w:val="99"/>
    <w:rPr>
      <w:color w:val="0563C1"/>
      <w:u w:val="single"/>
    </w:rPr>
  </w:style>
  <w:style w:type="character" w:customStyle="1" w:styleId="25">
    <w:name w:val="Heading 1 Char1"/>
    <w:basedOn w:val="3"/>
    <w:qFormat/>
    <w:uiPriority w:val="9"/>
    <w:rPr>
      <w:rFonts w:ascii="Calibri Light" w:hAnsi="Calibri Light" w:eastAsia="Times New Roman" w:cs="Times New Roman"/>
      <w:color w:val="2F5496"/>
      <w:sz w:val="32"/>
      <w:szCs w:val="32"/>
    </w:rPr>
  </w:style>
  <w:style w:type="paragraph" w:customStyle="1" w:styleId="26">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paragraph" w:customStyle="1" w:styleId="2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24"/>
      <w:szCs w:val="24"/>
      <w:lang w:val="zh-CN" w:eastAsia="zh-CN"/>
    </w:rPr>
  </w:style>
  <w:style w:type="paragraph" w:customStyle="1" w:styleId="2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0"/>
      <w:szCs w:val="20"/>
      <w:lang w:val="zh-CN" w:eastAsia="zh-CN"/>
    </w:rPr>
  </w:style>
  <w:style w:type="paragraph" w:customStyle="1" w:styleId="2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0"/>
      <w:szCs w:val="20"/>
      <w:lang w:val="zh-CN" w:eastAsia="zh-CN"/>
    </w:rPr>
  </w:style>
  <w:style w:type="table" w:customStyle="1" w:styleId="30">
    <w:name w:val="Table Grid1"/>
    <w:basedOn w:val="4"/>
    <w:qFormat/>
    <w:uiPriority w:val="39"/>
    <w:pPr>
      <w:spacing w:after="0" w:line="240" w:lineRule="auto"/>
    </w:pPr>
    <w:rPr>
      <w:rFonts w:ascii="Calibri" w:hAnsi="Calibri" w:eastAsia="Calibri" w:cs="SimSun"/>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8FAE-4418-41FE-9951-E6605583A611}">
  <ds:schemaRefs/>
</ds:datastoreItem>
</file>

<file path=docProps/app.xml><?xml version="1.0" encoding="utf-8"?>
<Properties xmlns="http://schemas.openxmlformats.org/officeDocument/2006/extended-properties" xmlns:vt="http://schemas.openxmlformats.org/officeDocument/2006/docPropsVTypes">
  <Template>Normal</Template>
  <Pages>35</Pages>
  <Words>9179</Words>
  <Characters>55053</Characters>
  <Lines>547</Lines>
  <Paragraphs>154</Paragraphs>
  <TotalTime>3873</TotalTime>
  <ScaleCrop>false</ScaleCrop>
  <LinksUpToDate>false</LinksUpToDate>
  <CharactersWithSpaces>64198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2025-06-03T07:37:00Z</dcterms:created>
  <dc:creator>User</dc:creator>
  <cp:lastModifiedBy>ASUS</cp:lastModifiedBy>
  <dcterms:modified xsi:type="dcterms:W3CDTF">2026-05-22T04:58:59Z</dcterms:modified>
  <cp:revision>1380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aeae264a-a6dc-30fd-8b3e-6adbfbb87356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TemplateDocerSaveRecord">
    <vt:lpwstr>eyJoZGlkIjoiMDljYzUzMWQ4OWI0YzBkYjYzMDRhZTY5ZjZkYmFmYTgifQ==</vt:lpwstr>
  </property>
  <property fmtid="{D5CDD505-2E9C-101B-9397-08002B2CF9AE}" pid="26" name="KSOProductBuildVer">
    <vt:lpwstr>1057-12.1.0.26372</vt:lpwstr>
  </property>
  <property fmtid="{D5CDD505-2E9C-101B-9397-08002B2CF9AE}" pid="27" name="ICV">
    <vt:lpwstr>EBEFAA7A389342359C88B5B2B7A9DD9F_12</vt:lpwstr>
  </property>
</Properties>
</file>