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192" w:rsidRPr="00D9164F" w:rsidRDefault="00625192" w:rsidP="00625192">
      <w:pPr>
        <w:spacing w:after="0" w:line="360" w:lineRule="auto"/>
        <w:jc w:val="center"/>
        <w:rPr>
          <w:rFonts w:ascii="Times New Roman" w:hAnsi="Times New Roman" w:cs="Times New Roman"/>
          <w:bCs/>
          <w:sz w:val="24"/>
          <w:szCs w:val="24"/>
        </w:rPr>
      </w:pPr>
      <w:r w:rsidRPr="00D9164F">
        <w:rPr>
          <w:rFonts w:ascii="Times New Roman" w:eastAsia="Times New Roman" w:hAnsi="Times New Roman" w:cs="Times New Roman"/>
          <w:b/>
          <w:bCs/>
          <w:color w:val="000000"/>
          <w:sz w:val="24"/>
          <w:szCs w:val="24"/>
          <w:lang w:val="en-US"/>
        </w:rPr>
        <w:t>Strengthening Grade 7 Students Mastery in Filipino</w:t>
      </w:r>
      <w:r w:rsidR="00BA49AA">
        <w:rPr>
          <w:rFonts w:ascii="Times New Roman" w:eastAsia="Times New Roman" w:hAnsi="Times New Roman" w:cs="Times New Roman"/>
          <w:b/>
          <w:bCs/>
          <w:color w:val="000000"/>
          <w:sz w:val="24"/>
          <w:szCs w:val="24"/>
          <w:lang w:val="en-US"/>
        </w:rPr>
        <w:t xml:space="preserve">     </w:t>
      </w:r>
      <w:bookmarkStart w:id="0" w:name="_GoBack"/>
      <w:bookmarkEnd w:id="0"/>
    </w:p>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b/>
          <w:bCs/>
          <w:color w:val="000000"/>
          <w:sz w:val="24"/>
          <w:szCs w:val="24"/>
          <w:lang w:val="en-US"/>
        </w:rPr>
        <w:t xml:space="preserve"/>
      </w:r>
      <w:r w:rsidRPr="00D9164F">
        <w:rPr>
          <w:rFonts w:ascii="Times New Roman" w:eastAsia="Times New Roman" w:hAnsi="Times New Roman" w:cs="Times New Roman"/>
          <w:b/>
          <w:bCs/>
          <w:i/>
          <w:iCs/>
          <w:color w:val="000000"/>
          <w:sz w:val="24"/>
          <w:szCs w:val="24"/>
          <w:lang w:val="en-US"/>
        </w:rPr>
        <w:t/>
      </w:r>
      <w:r w:rsidRPr="00D9164F">
        <w:rPr>
          <w:rFonts w:ascii="Times New Roman" w:eastAsia="Times New Roman" w:hAnsi="Times New Roman" w:cs="Times New Roman"/>
          <w:b/>
          <w:bCs/>
          <w:color w:val="000000"/>
          <w:sz w:val="24"/>
          <w:szCs w:val="24"/>
          <w:lang w:val="en-US"/>
        </w:rPr>
        <w:t xml:space="preserve"/>
      </w:r>
      <w:r w:rsidRPr="00D9164F">
        <w:rPr>
          <w:rFonts w:ascii="Times New Roman" w:eastAsia="Times New Roman" w:hAnsi="Times New Roman" w:cs="Times New Roman"/>
          <w:color w:val="000000"/>
          <w:sz w:val="24"/>
          <w:szCs w:val="24"/>
          <w:lang w:val="en-US"/>
        </w:rPr>
        <w:t/>
      </w:r>
    </w:p>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
      </w:r>
    </w:p>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
      </w:r>
    </w:p>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
      </w:r>
      <w:r w:rsidRPr="00D9164F">
        <w:rPr>
          <w:rFonts w:ascii="Times New Roman" w:eastAsia="Times New Roman" w:hAnsi="Times New Roman" w:cs="Times New Roman"/>
          <w:color w:val="000000"/>
          <w:sz w:val="24"/>
          <w:szCs w:val="24"/>
          <w:vertAlign w:val="superscript"/>
          <w:lang w:val="en-US"/>
        </w:rPr>
        <w:t/>
      </w:r>
      <w:r w:rsidRPr="00D9164F">
        <w:rPr>
          <w:rFonts w:ascii="Times New Roman" w:eastAsia="Times New Roman" w:hAnsi="Times New Roman" w:cs="Times New Roman"/>
          <w:color w:val="000000"/>
          <w:sz w:val="24"/>
          <w:szCs w:val="24"/>
          <w:lang w:val="en-US"/>
        </w:rPr>
        <w:t/>
      </w:r>
    </w:p>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
      </w:r>
      <w:r w:rsidRPr="00D9164F">
        <w:rPr>
          <w:rFonts w:ascii="Times New Roman" w:eastAsia="Times New Roman" w:hAnsi="Times New Roman" w:cs="Times New Roman"/>
          <w:color w:val="000000"/>
          <w:sz w:val="24"/>
          <w:szCs w:val="24"/>
          <w:vertAlign w:val="superscript"/>
          <w:lang w:val="en-US"/>
        </w:rPr>
        <w:t/>
      </w:r>
      <w:r w:rsidRPr="00D9164F">
        <w:rPr>
          <w:rFonts w:ascii="Times New Roman" w:eastAsia="Times New Roman" w:hAnsi="Times New Roman" w:cs="Times New Roman"/>
          <w:color w:val="000000"/>
          <w:sz w:val="24"/>
          <w:szCs w:val="24"/>
          <w:lang w:val="en-US"/>
        </w:rPr>
        <w:t/>
      </w:r>
    </w:p>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
      </w:r>
      <w:r w:rsidRPr="00D9164F">
        <w:rPr>
          <w:rFonts w:ascii="Times New Roman" w:eastAsia="Times New Roman" w:hAnsi="Times New Roman" w:cs="Times New Roman"/>
          <w:color w:val="000000"/>
          <w:sz w:val="24"/>
          <w:szCs w:val="24"/>
          <w:vertAlign w:val="superscript"/>
          <w:lang w:val="en-US"/>
        </w:rPr>
        <w:t/>
      </w:r>
      <w:r w:rsidRPr="00D9164F">
        <w:rPr>
          <w:rFonts w:ascii="Times New Roman" w:eastAsia="Times New Roman" w:hAnsi="Times New Roman" w:cs="Times New Roman"/>
          <w:color w:val="000000"/>
          <w:sz w:val="24"/>
          <w:szCs w:val="24"/>
          <w:lang w:val="en-US"/>
        </w:rPr>
        <w:t/>
      </w:r>
    </w:p>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
      </w:r>
      <w:r w:rsidRPr="00D9164F">
        <w:rPr>
          <w:rFonts w:ascii="Times New Roman" w:eastAsia="Times New Roman" w:hAnsi="Times New Roman" w:cs="Times New Roman"/>
          <w:color w:val="000000"/>
          <w:sz w:val="24"/>
          <w:szCs w:val="24"/>
          <w:vertAlign w:val="superscript"/>
          <w:lang w:val="en-US"/>
        </w:rPr>
        <w:t/>
      </w:r>
      <w:r w:rsidRPr="00D9164F">
        <w:rPr>
          <w:rFonts w:ascii="Times New Roman" w:eastAsia="Times New Roman" w:hAnsi="Times New Roman" w:cs="Times New Roman"/>
          <w:color w:val="000000"/>
          <w:sz w:val="24"/>
          <w:szCs w:val="24"/>
          <w:lang w:val="en-US"/>
        </w:rPr>
        <w:t/>
      </w:r>
    </w:p>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
      </w:r>
      <w:r w:rsidRPr="00D9164F">
        <w:rPr>
          <w:rFonts w:ascii="Times New Roman" w:eastAsia="Times New Roman" w:hAnsi="Times New Roman" w:cs="Times New Roman"/>
          <w:color w:val="000000"/>
          <w:sz w:val="24"/>
          <w:szCs w:val="24"/>
          <w:vertAlign w:val="superscript"/>
          <w:lang w:val="en-US"/>
        </w:rPr>
        <w:t/>
      </w:r>
      <w:r w:rsidRPr="00D9164F">
        <w:rPr>
          <w:rFonts w:ascii="Times New Roman" w:eastAsia="Times New Roman" w:hAnsi="Times New Roman" w:cs="Times New Roman"/>
          <w:color w:val="000000"/>
          <w:sz w:val="24"/>
          <w:szCs w:val="24"/>
          <w:lang w:val="en-US"/>
        </w:rPr>
        <w:t/>
      </w:r>
    </w:p>
    <w:p w:rsidR="00625192" w:rsidRPr="00D9164F" w:rsidRDefault="00625192" w:rsidP="00625192">
      <w:pPr>
        <w:spacing w:after="0" w:line="240" w:lineRule="auto"/>
        <w:jc w:val="center"/>
        <w:rPr>
          <w:rFonts w:ascii="Times New Roman" w:eastAsia="Times New Roman" w:hAnsi="Times New Roman" w:cs="Times New Roman"/>
          <w:color w:val="000000"/>
          <w:sz w:val="24"/>
          <w:szCs w:val="24"/>
          <w:vertAlign w:val="superscript"/>
          <w:lang w:val="en-US"/>
        </w:rPr>
      </w:pPr>
      <w:r w:rsidRPr="00D9164F">
        <w:rPr>
          <w:rFonts w:ascii="Times New Roman" w:eastAsia="Times New Roman" w:hAnsi="Times New Roman" w:cs="Times New Roman"/>
          <w:color w:val="000000"/>
          <w:sz w:val="24"/>
          <w:szCs w:val="24"/>
          <w:lang w:val="en-US"/>
        </w:rPr>
        <w:t/>
      </w:r>
      <w:r w:rsidRPr="00D9164F">
        <w:rPr>
          <w:rFonts w:ascii="Times New Roman" w:eastAsia="Times New Roman" w:hAnsi="Times New Roman" w:cs="Times New Roman"/>
          <w:color w:val="000000"/>
          <w:sz w:val="24"/>
          <w:szCs w:val="24"/>
          <w:vertAlign w:val="superscript"/>
          <w:lang w:val="en-US"/>
        </w:rPr>
        <w:t/>
      </w:r>
    </w:p>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p>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vertAlign w:val="superscript"/>
          <w:lang w:val="en-US"/>
        </w:rPr>
        <w:t/>
      </w:r>
      <w:r w:rsidRPr="00D9164F">
        <w:rPr>
          <w:rFonts w:ascii="Times New Roman" w:eastAsia="Times New Roman" w:hAnsi="Times New Roman" w:cs="Times New Roman"/>
          <w:color w:val="000000"/>
          <w:sz w:val="24"/>
          <w:szCs w:val="24"/>
          <w:lang w:val="en-US"/>
        </w:rPr>
        <w:t xml:space="preserve"/>
      </w:r>
      <w:r w:rsidRPr="00D9164F">
        <w:rPr>
          <w:rFonts w:ascii="Times New Roman" w:eastAsia="Times New Roman" w:hAnsi="Times New Roman" w:cs="Times New Roman"/>
          <w:color w:val="0066FF"/>
          <w:sz w:val="24"/>
          <w:szCs w:val="24"/>
          <w:u w:val="single"/>
          <w:lang w:val="en-US"/>
        </w:rPr>
        <w:t/>
      </w:r>
    </w:p>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vertAlign w:val="superscript"/>
          <w:lang w:val="en-US"/>
        </w:rPr>
        <w:t/>
      </w:r>
      <w:r w:rsidRPr="00D9164F">
        <w:rPr>
          <w:rFonts w:ascii="Times New Roman" w:eastAsia="Times New Roman" w:hAnsi="Times New Roman" w:cs="Times New Roman"/>
          <w:color w:val="000000"/>
          <w:sz w:val="24"/>
          <w:szCs w:val="24"/>
          <w:lang w:val="en-US"/>
        </w:rPr>
        <w:t xml:space="preserve"/>
      </w:r>
      <w:r w:rsidRPr="00D9164F">
        <w:rPr>
          <w:rFonts w:ascii="Times New Roman" w:eastAsia="Times New Roman" w:hAnsi="Times New Roman" w:cs="Times New Roman"/>
          <w:color w:val="0066FF"/>
          <w:sz w:val="24"/>
          <w:szCs w:val="24"/>
          <w:u w:val="single"/>
          <w:lang w:val="en-US"/>
        </w:rPr>
        <w:t/>
      </w:r>
    </w:p>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vertAlign w:val="superscript"/>
          <w:lang w:val="en-US"/>
        </w:rPr>
        <w:t/>
      </w:r>
      <w:r w:rsidRPr="00D9164F">
        <w:rPr>
          <w:rFonts w:ascii="Times New Roman" w:eastAsia="Times New Roman" w:hAnsi="Times New Roman" w:cs="Times New Roman"/>
          <w:color w:val="000000"/>
          <w:sz w:val="24"/>
          <w:szCs w:val="24"/>
          <w:lang w:val="en-US"/>
        </w:rPr>
        <w:t xml:space="preserve"/>
      </w:r>
      <w:r w:rsidRPr="00D9164F">
        <w:rPr>
          <w:rFonts w:ascii="Times New Roman" w:eastAsia="Times New Roman" w:hAnsi="Times New Roman" w:cs="Times New Roman"/>
          <w:color w:val="0066FF"/>
          <w:sz w:val="24"/>
          <w:szCs w:val="24"/>
          <w:u w:val="single"/>
          <w:lang w:val="en-US"/>
        </w:rPr>
        <w:t/>
      </w:r>
    </w:p>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vertAlign w:val="superscript"/>
          <w:lang w:val="en-US"/>
        </w:rPr>
        <w:t/>
      </w:r>
      <w:r w:rsidRPr="00D9164F">
        <w:rPr>
          <w:rFonts w:ascii="Times New Roman" w:eastAsia="Times New Roman" w:hAnsi="Times New Roman" w:cs="Times New Roman"/>
          <w:color w:val="000000"/>
          <w:sz w:val="24"/>
          <w:szCs w:val="24"/>
          <w:lang w:val="en-US"/>
        </w:rPr>
        <w:t xml:space="preserve"/>
      </w:r>
      <w:r w:rsidRPr="00D9164F">
        <w:rPr>
          <w:rFonts w:ascii="Times New Roman" w:eastAsia="Times New Roman" w:hAnsi="Times New Roman" w:cs="Times New Roman"/>
          <w:color w:val="0066FF"/>
          <w:sz w:val="24"/>
          <w:szCs w:val="24"/>
          <w:u w:val="single"/>
          <w:lang w:val="en-US"/>
        </w:rPr>
        <w:t/>
      </w:r>
    </w:p>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vertAlign w:val="superscript"/>
          <w:lang w:val="en-US"/>
        </w:rPr>
        <w:t/>
      </w:r>
      <w:r w:rsidRPr="00D9164F">
        <w:rPr>
          <w:rFonts w:ascii="Times New Roman" w:eastAsia="Times New Roman" w:hAnsi="Times New Roman" w:cs="Times New Roman"/>
          <w:color w:val="000000"/>
          <w:sz w:val="24"/>
          <w:szCs w:val="24"/>
          <w:lang w:val="en-US"/>
        </w:rPr>
        <w:t xml:space="preserve"/>
      </w:r>
      <w:r w:rsidRPr="00D9164F">
        <w:rPr>
          <w:rFonts w:ascii="Times New Roman" w:eastAsia="Times New Roman" w:hAnsi="Times New Roman" w:cs="Times New Roman"/>
          <w:color w:val="0066FF"/>
          <w:sz w:val="24"/>
          <w:szCs w:val="24"/>
          <w:u w:val="single"/>
          <w:lang w:val="en-US"/>
        </w:rPr>
        <w:t/>
      </w:r>
    </w:p>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vertAlign w:val="superscript"/>
          <w:lang w:val="en-US"/>
        </w:rPr>
        <w:t/>
      </w:r>
      <w:r w:rsidRPr="00D9164F">
        <w:rPr>
          <w:rFonts w:ascii="Times New Roman" w:eastAsia="Times New Roman" w:hAnsi="Times New Roman" w:cs="Times New Roman"/>
          <w:color w:val="000000"/>
          <w:sz w:val="24"/>
          <w:szCs w:val="24"/>
          <w:lang w:val="en-US"/>
        </w:rPr>
        <w:t xml:space="preserve"/>
      </w:r>
      <w:r w:rsidRPr="00D9164F">
        <w:rPr>
          <w:rFonts w:ascii="Times New Roman" w:eastAsia="Times New Roman" w:hAnsi="Times New Roman" w:cs="Times New Roman"/>
          <w:color w:val="0066FF"/>
          <w:sz w:val="24"/>
          <w:szCs w:val="24"/>
          <w:u w:val="single"/>
          <w:lang w:val="en-US"/>
        </w:rPr>
        <w:t/>
      </w:r>
    </w:p>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vertAlign w:val="superscript"/>
          <w:lang w:val="en-US"/>
        </w:rPr>
        <w:t/>
      </w:r>
      <w:r w:rsidRPr="00D9164F">
        <w:rPr>
          <w:rFonts w:ascii="Times New Roman" w:eastAsia="Times New Roman" w:hAnsi="Times New Roman" w:cs="Times New Roman"/>
          <w:color w:val="000000"/>
          <w:sz w:val="24"/>
          <w:szCs w:val="24"/>
          <w:lang w:val="en-US"/>
        </w:rPr>
        <w:t xml:space="preserve"/>
      </w:r>
      <w:r w:rsidRPr="00D9164F">
        <w:rPr>
          <w:rFonts w:ascii="Times New Roman" w:eastAsia="Times New Roman" w:hAnsi="Times New Roman" w:cs="Times New Roman"/>
          <w:color w:val="0066FF"/>
          <w:sz w:val="24"/>
          <w:szCs w:val="24"/>
          <w:u w:val="single"/>
          <w:lang w:val="en-US"/>
        </w:rPr>
        <w:t/>
      </w:r>
    </w:p>
    <w:p w:rsidR="00625192" w:rsidRPr="00D9164F" w:rsidRDefault="00625192" w:rsidP="00625192">
      <w:pPr>
        <w:spacing w:after="0" w:line="240" w:lineRule="auto"/>
        <w:jc w:val="center"/>
        <w:rPr>
          <w:rFonts w:ascii="Times New Roman" w:eastAsia="Times New Roman" w:hAnsi="Times New Roman" w:cs="Times New Roman"/>
          <w:b/>
          <w:bCs/>
          <w:color w:val="000000"/>
          <w:sz w:val="24"/>
          <w:szCs w:val="24"/>
          <w:lang w:val="en-US"/>
        </w:rPr>
      </w:pPr>
      <w:r w:rsidRPr="00D9164F">
        <w:rPr>
          <w:rFonts w:ascii="Times New Roman" w:eastAsia="Times New Roman" w:hAnsi="Times New Roman" w:cs="Times New Roman"/>
          <w:color w:val="000000"/>
          <w:sz w:val="24"/>
          <w:szCs w:val="24"/>
          <w:vertAlign w:val="superscript"/>
          <w:lang w:val="en-US"/>
        </w:rPr>
        <w:t/>
      </w:r>
      <w:r w:rsidRPr="00D9164F">
        <w:rPr>
          <w:rFonts w:ascii="Times New Roman" w:eastAsia="Times New Roman" w:hAnsi="Times New Roman" w:cs="Times New Roman"/>
          <w:color w:val="000000"/>
          <w:sz w:val="24"/>
          <w:szCs w:val="24"/>
          <w:lang w:val="en-US"/>
        </w:rPr>
        <w:t xml:space="preserve"/>
      </w:r>
      <w:hyperlink r:id="rId8" w:history="1">
        <w:r w:rsidRPr="00D9164F">
          <w:rPr>
            <w:rStyle w:val="Hyperlink"/>
            <w:rFonts w:ascii="Times New Roman" w:eastAsia="Times New Roman" w:hAnsi="Times New Roman" w:cs="Times New Roman"/>
            <w:sz w:val="24"/>
            <w:szCs w:val="24"/>
            <w:lang w:val="en-US"/>
          </w:rPr>
          <w:t/>
        </w:r>
      </w:hyperlink>
      <w:r w:rsidRPr="00D9164F">
        <w:rPr>
          <w:rFonts w:ascii="Times New Roman" w:eastAsia="Times New Roman" w:hAnsi="Times New Roman" w:cs="Times New Roman"/>
          <w:b/>
          <w:bCs/>
          <w:color w:val="000000"/>
          <w:sz w:val="24"/>
          <w:szCs w:val="24"/>
          <w:lang w:val="en-US"/>
        </w:rPr>
        <w:t/>
      </w:r>
    </w:p>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p>
    <w:p w:rsidR="00625192" w:rsidRPr="00D9164F" w:rsidRDefault="00625192" w:rsidP="00625192">
      <w:pPr>
        <w:spacing w:after="0" w:line="240" w:lineRule="auto"/>
        <w:jc w:val="both"/>
        <w:rPr>
          <w:rFonts w:ascii="Times New Roman" w:eastAsia="Times New Roman" w:hAnsi="Times New Roman" w:cs="Times New Roman"/>
          <w:b/>
          <w:bCs/>
          <w:color w:val="000000"/>
          <w:sz w:val="24"/>
          <w:szCs w:val="24"/>
          <w:lang w:val="en-US"/>
        </w:rPr>
      </w:pPr>
      <w:r w:rsidRPr="00D9164F">
        <w:rPr>
          <w:rFonts w:ascii="Times New Roman" w:eastAsia="Times New Roman" w:hAnsi="Times New Roman" w:cs="Times New Roman"/>
          <w:b/>
          <w:bCs/>
          <w:color w:val="000000"/>
          <w:sz w:val="24"/>
          <w:szCs w:val="24"/>
          <w:lang w:val="en-US"/>
        </w:rPr>
        <w:t>ABSTRACT</w:t>
      </w:r>
    </w:p>
    <w:p w:rsidR="00625192" w:rsidRPr="00D9164F" w:rsidRDefault="00625192" w:rsidP="00625192">
      <w:pPr>
        <w:spacing w:after="0" w:line="240" w:lineRule="auto"/>
        <w:jc w:val="both"/>
        <w:rPr>
          <w:rFonts w:ascii="Times New Roman" w:eastAsia="Times New Roman" w:hAnsi="Times New Roman" w:cs="Times New Roman"/>
          <w:sz w:val="24"/>
          <w:szCs w:val="24"/>
          <w:lang w:val="en-US"/>
        </w:rPr>
      </w:pPr>
    </w:p>
    <w:p w:rsidR="00625192" w:rsidRPr="00D9164F" w:rsidRDefault="00625192" w:rsidP="00625192">
      <w:pPr>
        <w:spacing w:after="0" w:line="240" w:lineRule="auto"/>
        <w:jc w:val="both"/>
        <w:rPr>
          <w:rFonts w:ascii="Times New Roman" w:eastAsia="Times New Roman" w:hAnsi="Times New Roman" w:cs="Times New Roman"/>
          <w:color w:val="000000"/>
          <w:sz w:val="24"/>
          <w:szCs w:val="24"/>
          <w:lang w:val="en-US"/>
        </w:rPr>
      </w:pPr>
      <w:r w:rsidRPr="00D9164F">
        <w:rPr>
          <w:rFonts w:ascii="Times New Roman" w:eastAsia="Times New Roman" w:hAnsi="Times New Roman" w:cs="Times New Roman"/>
          <w:color w:val="000000"/>
          <w:sz w:val="24"/>
          <w:szCs w:val="24"/>
          <w:lang w:val="en-US"/>
        </w:rPr>
        <w:t xml:space="preserve">Filipino grammar proficiency remains a widespread concern among learners in public secondary schools in the Philippines, where conventional teaching approaches often result in low engagement and limited retention of language concepts. This study investigated the effectiveness of the </w:t>
      </w:r>
      <w:r w:rsidRPr="00D9164F">
        <w:rPr>
          <w:rFonts w:ascii="Times New Roman" w:eastAsia="Times New Roman" w:hAnsi="Times New Roman" w:cs="Times New Roman"/>
          <w:i/>
          <w:iCs/>
          <w:color w:val="000000"/>
          <w:sz w:val="24"/>
          <w:szCs w:val="24"/>
          <w:lang w:val="en-US"/>
        </w:rPr>
        <w:t>Laro-Talas</w:t>
      </w:r>
      <w:r w:rsidRPr="00D9164F">
        <w:rPr>
          <w:rFonts w:ascii="Times New Roman" w:eastAsia="Times New Roman" w:hAnsi="Times New Roman" w:cs="Times New Roman"/>
          <w:color w:val="000000"/>
          <w:sz w:val="24"/>
          <w:szCs w:val="24"/>
          <w:lang w:val="en-US"/>
        </w:rPr>
        <w:t xml:space="preserve"> gamified instructional strategy in improving Grade 7 students’ grammar competence at Bukidnon National School of Home Industries, Maramag, Bukidnon, Philippines, during the school year 2025–2026. A quasi-experimental research design was employed involving two intact groups. Both groups were administered a 40-item pre-test and post-test, with the experimental group exposed to </w:t>
      </w:r>
      <w:r w:rsidRPr="00D9164F">
        <w:rPr>
          <w:rFonts w:ascii="Times New Roman" w:eastAsia="Times New Roman" w:hAnsi="Times New Roman" w:cs="Times New Roman"/>
          <w:i/>
          <w:iCs/>
          <w:color w:val="000000"/>
          <w:sz w:val="24"/>
          <w:szCs w:val="24"/>
          <w:lang w:val="en-US"/>
        </w:rPr>
        <w:t>Laro-Talas</w:t>
      </w:r>
      <w:r w:rsidRPr="00D9164F">
        <w:rPr>
          <w:rFonts w:ascii="Times New Roman" w:eastAsia="Times New Roman" w:hAnsi="Times New Roman" w:cs="Times New Roman"/>
          <w:color w:val="000000"/>
          <w:sz w:val="24"/>
          <w:szCs w:val="24"/>
          <w:lang w:val="en-US"/>
        </w:rPr>
        <w:t xml:space="preserve"> structured game-based learning activities and the control group receiving conventional instruction. Data were analyzed using descriptive and inferential statistics, including t-tests and analysis of covariance. Findings revealed that both groups began with very low proficiency, with mean pre-test scores of 18.83 and 18.63. After the intervention, the </w:t>
      </w:r>
      <w:r w:rsidRPr="00D9164F">
        <w:rPr>
          <w:rFonts w:ascii="Times New Roman" w:eastAsia="Times New Roman" w:hAnsi="Times New Roman" w:cs="Times New Roman"/>
          <w:i/>
          <w:iCs/>
          <w:color w:val="000000"/>
          <w:sz w:val="24"/>
          <w:szCs w:val="24"/>
          <w:lang w:val="en-US"/>
        </w:rPr>
        <w:t>Laro-Talas</w:t>
      </w:r>
      <w:r w:rsidRPr="00D9164F">
        <w:rPr>
          <w:rFonts w:ascii="Times New Roman" w:eastAsia="Times New Roman" w:hAnsi="Times New Roman" w:cs="Times New Roman"/>
          <w:color w:val="000000"/>
          <w:sz w:val="24"/>
          <w:szCs w:val="24"/>
          <w:lang w:val="en-US"/>
        </w:rPr>
        <w:t xml:space="preserve"> group achieved a mean score of 35.17, indicating a high level of proficiency, while the </w:t>
      </w:r>
      <w:r w:rsidRPr="00D9164F">
        <w:rPr>
          <w:rFonts w:ascii="Times New Roman" w:eastAsia="Times New Roman" w:hAnsi="Times New Roman" w:cs="Times New Roman"/>
          <w:i/>
          <w:iCs/>
          <w:color w:val="000000"/>
          <w:sz w:val="24"/>
          <w:szCs w:val="24"/>
          <w:lang w:val="en-US"/>
        </w:rPr>
        <w:t>Non Laro-Talas</w:t>
      </w:r>
      <w:r w:rsidRPr="00D9164F">
        <w:rPr>
          <w:rFonts w:ascii="Times New Roman" w:eastAsia="Times New Roman" w:hAnsi="Times New Roman" w:cs="Times New Roman"/>
          <w:color w:val="000000"/>
          <w:sz w:val="24"/>
          <w:szCs w:val="24"/>
          <w:lang w:val="en-US"/>
        </w:rPr>
        <w:t xml:space="preserve"> group obtained 30.02, remaining at a low level. The experimental group demonstrated a greater mean gain of 16.34 compared to 11.39 in the control group. Statistical analysis showed a significant difference between groups (F = 58.4, p &lt; 0.001), confirming the effectiveness of the gamified strategy. The findings highlight the value of interactive, game-based instruction in improving grammar proficiency, enhancing engagement, and supporting meaningful learning in public secondary schools.</w:t>
      </w:r>
    </w:p>
    <w:p w:rsidR="00625192" w:rsidRPr="00D9164F" w:rsidRDefault="00625192" w:rsidP="00625192">
      <w:pPr>
        <w:spacing w:after="0" w:line="240" w:lineRule="auto"/>
        <w:jc w:val="both"/>
        <w:rPr>
          <w:rFonts w:ascii="Times New Roman" w:eastAsia="Times New Roman" w:hAnsi="Times New Roman" w:cs="Times New Roman"/>
          <w:sz w:val="24"/>
          <w:szCs w:val="24"/>
          <w:lang w:val="en-US"/>
        </w:rPr>
      </w:pPr>
    </w:p>
    <w:p w:rsidR="00625192" w:rsidRPr="00D9164F" w:rsidRDefault="00625192" w:rsidP="00625192">
      <w:pPr>
        <w:spacing w:after="0" w:line="240" w:lineRule="auto"/>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i/>
          <w:iCs/>
          <w:color w:val="000000"/>
          <w:sz w:val="24"/>
          <w:szCs w:val="24"/>
          <w:lang w:val="en-US"/>
        </w:rPr>
        <w:t>Keywords:  Gamification, Student-centered Strategy, Educational outcomes, Quasi-experimental, Intervention in Filipino Subject</w:t>
      </w:r>
    </w:p>
    <w:p w:rsidR="00625192" w:rsidRPr="00D9164F" w:rsidRDefault="00625192" w:rsidP="00625192">
      <w:pPr>
        <w:spacing w:after="0" w:line="240" w:lineRule="auto"/>
        <w:jc w:val="both"/>
        <w:rPr>
          <w:rFonts w:ascii="Times New Roman" w:eastAsia="Times New Roman" w:hAnsi="Times New Roman" w:cs="Times New Roman"/>
          <w:b/>
          <w:bCs/>
          <w:color w:val="000000"/>
          <w:sz w:val="24"/>
          <w:szCs w:val="24"/>
          <w:lang w:val="en-US"/>
        </w:rPr>
      </w:pPr>
      <w:r w:rsidRPr="00D9164F">
        <w:rPr>
          <w:rFonts w:ascii="Times New Roman" w:eastAsia="Times New Roman" w:hAnsi="Times New Roman" w:cs="Times New Roman"/>
          <w:b/>
          <w:bCs/>
          <w:color w:val="000000"/>
          <w:sz w:val="24"/>
          <w:szCs w:val="24"/>
          <w:lang w:val="en-US"/>
        </w:rPr>
        <w:t> </w:t>
      </w:r>
    </w:p>
    <w:p w:rsidR="00625192" w:rsidRPr="00D9164F" w:rsidRDefault="00625192" w:rsidP="00625192">
      <w:pPr>
        <w:spacing w:after="0" w:line="240" w:lineRule="auto"/>
        <w:jc w:val="both"/>
        <w:rPr>
          <w:rFonts w:ascii="Times New Roman" w:eastAsia="Times New Roman" w:hAnsi="Times New Roman" w:cs="Times New Roman"/>
          <w:b/>
          <w:bCs/>
          <w:color w:val="000000"/>
          <w:sz w:val="24"/>
          <w:szCs w:val="24"/>
          <w:lang w:val="en-US"/>
        </w:rPr>
      </w:pPr>
    </w:p>
    <w:p w:rsidR="00625192" w:rsidRPr="00D9164F" w:rsidRDefault="00625192" w:rsidP="00625192">
      <w:pPr>
        <w:spacing w:after="0" w:line="240" w:lineRule="auto"/>
        <w:jc w:val="both"/>
        <w:rPr>
          <w:rFonts w:ascii="Times New Roman" w:eastAsia="Times New Roman" w:hAnsi="Times New Roman" w:cs="Times New Roman"/>
          <w:b/>
          <w:bCs/>
          <w:color w:val="000000"/>
          <w:sz w:val="24"/>
          <w:szCs w:val="24"/>
          <w:lang w:val="en-US"/>
        </w:rPr>
      </w:pPr>
    </w:p>
    <w:p w:rsidR="00625192" w:rsidRPr="00D9164F" w:rsidRDefault="00625192" w:rsidP="00625192">
      <w:pPr>
        <w:spacing w:after="0" w:line="240" w:lineRule="auto"/>
        <w:jc w:val="both"/>
        <w:rPr>
          <w:rFonts w:ascii="Times New Roman" w:eastAsia="Times New Roman" w:hAnsi="Times New Roman" w:cs="Times New Roman"/>
          <w:b/>
          <w:bCs/>
          <w:color w:val="000000"/>
          <w:sz w:val="24"/>
          <w:szCs w:val="24"/>
          <w:lang w:val="en-US"/>
        </w:rPr>
      </w:pPr>
    </w:p>
    <w:p w:rsidR="00625192" w:rsidRPr="00D9164F" w:rsidRDefault="00625192" w:rsidP="00625192">
      <w:pPr>
        <w:spacing w:after="0" w:line="240" w:lineRule="auto"/>
        <w:jc w:val="both"/>
        <w:rPr>
          <w:rFonts w:ascii="Times New Roman" w:eastAsia="Times New Roman" w:hAnsi="Times New Roman" w:cs="Times New Roman"/>
          <w:b/>
          <w:bCs/>
          <w:color w:val="000000"/>
          <w:sz w:val="24"/>
          <w:szCs w:val="24"/>
          <w:lang w:val="en-US"/>
        </w:rPr>
      </w:pPr>
    </w:p>
    <w:p w:rsidR="00625192" w:rsidRPr="00D9164F" w:rsidRDefault="00625192" w:rsidP="00625192">
      <w:pPr>
        <w:spacing w:after="0" w:line="240" w:lineRule="auto"/>
        <w:jc w:val="both"/>
        <w:rPr>
          <w:rFonts w:ascii="Times New Roman" w:eastAsia="Times New Roman" w:hAnsi="Times New Roman" w:cs="Times New Roman"/>
          <w:sz w:val="24"/>
          <w:szCs w:val="24"/>
          <w:lang w:val="en-US"/>
        </w:rPr>
      </w:pPr>
    </w:p>
    <w:p w:rsidR="00625192" w:rsidRPr="00D9164F" w:rsidRDefault="00625192" w:rsidP="00625192">
      <w:pPr>
        <w:spacing w:after="0" w:line="240" w:lineRule="auto"/>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b/>
          <w:bCs/>
          <w:color w:val="000000"/>
          <w:sz w:val="24"/>
          <w:szCs w:val="24"/>
          <w:lang w:val="en-US"/>
        </w:rPr>
        <w:lastRenderedPageBreak/>
        <w:t>INTRODUCTION</w:t>
      </w:r>
    </w:p>
    <w:p w:rsidR="00625192" w:rsidRPr="00D9164F" w:rsidRDefault="00625192" w:rsidP="00625192">
      <w:pPr>
        <w:spacing w:before="240" w:after="240" w:line="240" w:lineRule="auto"/>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Mastery of Filipino grammar is essential to effective communication and academic success among junior high school students in the Philippines, where Filipino serves as a lingua franca. A strong foundation in grammar enables learners to form meaningful sentences, express ideas clearly, and understand texts across subject areas. However, many students still struggle with grammatical competence, especially in sentence construction, word usage, and punctuation. These persistent difficulties point to the need for better instructional approaches in teaching grammar.</w:t>
      </w:r>
    </w:p>
    <w:p w:rsidR="00625192" w:rsidRPr="00D9164F" w:rsidRDefault="00625192" w:rsidP="00625192">
      <w:pPr>
        <w:spacing w:before="240" w:after="240" w:line="240" w:lineRule="auto"/>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In the Philippine educational context, grammar learning has long been associated with traditional, rule-based instruction, which many students find dull and difficult. This often leads to low engagement and weak retention of grammar concepts. Aratea and Pasubillo (2024) found that students showed low mastery in grammar competencies before intervention, particularly in areas such as the use of modals. Their study also showed that conventional teaching methods were not enough to address least-mastered skills, highlighting the need for more engaging and innovative strategies. Similarly, Defilippi et al. (2025) stated that gamification transforms traditional learning environments into dynamic ones by making learning more contextualized, collaborative, and autonomous. In grammar instruction, many studies show that gamification helps students strengthen their mastery of grammar concepts.</w:t>
      </w:r>
    </w:p>
    <w:p w:rsidR="00625192" w:rsidRPr="00D9164F" w:rsidRDefault="00625192" w:rsidP="00625192">
      <w:pPr>
        <w:spacing w:before="240" w:after="240" w:line="240" w:lineRule="auto"/>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In response to these challenges, gamification has emerged as a promising instructional approach in language education. It integrates game elements such as points, rewards, competition, and interactive tasks into the learning process, making lessons more engaging and motivating. A Philippine-based study by Aler Pagente et al. (2024) showed that gamification enhances student engagement and participation in classroom instruction. Nob et al. (2024) also found that gamification in the Philippine context leads to increased motivation, improved academic performance, and better higher-order thinking skills. These findings suggest that gamified strategies can address learning gaps and encourage active participation among students.</w:t>
      </w:r>
    </w:p>
    <w:p w:rsidR="00625192" w:rsidRPr="00D9164F" w:rsidRDefault="00625192" w:rsidP="00625192">
      <w:pPr>
        <w:spacing w:before="240" w:after="240" w:line="240" w:lineRule="auto"/>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International studies also support the effectiveness of gamification in grammar learning. Research shows that gamified instruction makes grammar lessons more interactive and meaningful, improving motivation and learning outcomes. Chan and Lo (2024) emphasized that gamification improves engagement and helps students retain language concepts better. Wardoyo and Herda (2025) likewise noted that gamification addresses the monotony of traditional grammar teaching by making learning more dynamic and learner-centered.</w:t>
      </w:r>
    </w:p>
    <w:p w:rsidR="00625192" w:rsidRPr="00D9164F" w:rsidRDefault="00625192" w:rsidP="00625192">
      <w:pPr>
        <w:spacing w:before="240" w:after="240" w:line="240" w:lineRule="auto"/>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 xml:space="preserve">To address these persistent difficulties, this study proposes </w:t>
      </w:r>
      <w:r w:rsidRPr="00D9164F">
        <w:rPr>
          <w:rFonts w:ascii="Times New Roman" w:eastAsia="Times New Roman" w:hAnsi="Times New Roman" w:cs="Times New Roman"/>
          <w:i/>
          <w:iCs/>
          <w:color w:val="000000"/>
          <w:sz w:val="24"/>
          <w:szCs w:val="24"/>
          <w:lang w:val="en-US"/>
        </w:rPr>
        <w:t>LARO-TALAS</w:t>
      </w:r>
      <w:r w:rsidRPr="00D9164F">
        <w:rPr>
          <w:rFonts w:ascii="Times New Roman" w:eastAsia="Times New Roman" w:hAnsi="Times New Roman" w:cs="Times New Roman"/>
          <w:color w:val="000000"/>
          <w:sz w:val="24"/>
          <w:szCs w:val="24"/>
          <w:lang w:val="en-US"/>
        </w:rPr>
        <w:t xml:space="preserve">, a gamified strategy that combines </w:t>
      </w:r>
      <w:r w:rsidRPr="00D9164F">
        <w:rPr>
          <w:rFonts w:ascii="Times New Roman" w:eastAsia="Times New Roman" w:hAnsi="Times New Roman" w:cs="Times New Roman"/>
          <w:i/>
          <w:iCs/>
          <w:color w:val="000000"/>
          <w:sz w:val="24"/>
          <w:szCs w:val="24"/>
          <w:lang w:val="en-US"/>
        </w:rPr>
        <w:t xml:space="preserve">laro </w:t>
      </w:r>
      <w:r w:rsidRPr="00D9164F">
        <w:rPr>
          <w:rFonts w:ascii="Times New Roman" w:eastAsia="Times New Roman" w:hAnsi="Times New Roman" w:cs="Times New Roman"/>
          <w:color w:val="000000"/>
          <w:sz w:val="24"/>
          <w:szCs w:val="24"/>
          <w:lang w:val="en-US"/>
        </w:rPr>
        <w:t xml:space="preserve">(play) and </w:t>
      </w:r>
      <w:r w:rsidRPr="00D9164F">
        <w:rPr>
          <w:rFonts w:ascii="Times New Roman" w:eastAsia="Times New Roman" w:hAnsi="Times New Roman" w:cs="Times New Roman"/>
          <w:i/>
          <w:iCs/>
          <w:color w:val="000000"/>
          <w:sz w:val="24"/>
          <w:szCs w:val="24"/>
          <w:lang w:val="en-US"/>
        </w:rPr>
        <w:t>talas</w:t>
      </w:r>
      <w:r w:rsidRPr="00D9164F">
        <w:rPr>
          <w:rFonts w:ascii="Times New Roman" w:eastAsia="Times New Roman" w:hAnsi="Times New Roman" w:cs="Times New Roman"/>
          <w:color w:val="000000"/>
          <w:sz w:val="24"/>
          <w:szCs w:val="24"/>
          <w:lang w:val="en-US"/>
        </w:rPr>
        <w:t xml:space="preserve"> (sharp thinking) to help students master Filipino grammar concepts. It is designed to improve Grade 7 students’ mastery of Filipino grammar through structured, game-based learning activities. The strategy integrates competitive, collaborative, and independent games that target specific Filipino grammar competencies.</w:t>
      </w:r>
    </w:p>
    <w:p w:rsidR="00625192" w:rsidRPr="00D9164F" w:rsidRDefault="00625192" w:rsidP="00625192">
      <w:pPr>
        <w:spacing w:before="240" w:after="240" w:line="240" w:lineRule="auto"/>
        <w:jc w:val="both"/>
        <w:rPr>
          <w:rFonts w:ascii="Times New Roman" w:eastAsia="Times New Roman" w:hAnsi="Times New Roman" w:cs="Times New Roman"/>
          <w:color w:val="000000"/>
          <w:sz w:val="24"/>
          <w:szCs w:val="24"/>
          <w:lang w:val="en-US"/>
        </w:rPr>
      </w:pPr>
      <w:r w:rsidRPr="00D9164F">
        <w:rPr>
          <w:rFonts w:ascii="Times New Roman" w:eastAsia="Times New Roman" w:hAnsi="Times New Roman" w:cs="Times New Roman"/>
          <w:color w:val="000000"/>
          <w:sz w:val="24"/>
          <w:szCs w:val="24"/>
          <w:lang w:val="en-US"/>
        </w:rPr>
        <w:t xml:space="preserve">This study aims to fill the gap in the use of gamified instructional strategies by examining the effectiveness of LARO-TALAS in strengthening Grade 7 students’ mastery of Filipino grammar at Bukidnon National School of Home Industries during the school year 2025–2026. While existing studies show that gamification improves engagement and learning outcomes, most are focused on English or other subject areas, with limited attention given to Filipino grammar in the junior high school context.  </w:t>
      </w:r>
      <w:r w:rsidRPr="00D9164F">
        <w:rPr>
          <w:rFonts w:ascii="Times New Roman" w:eastAsia="Times New Roman" w:hAnsi="Times New Roman" w:cs="Times New Roman"/>
          <w:color w:val="000000"/>
          <w:sz w:val="24"/>
          <w:szCs w:val="24"/>
          <w:lang w:val="en-US"/>
        </w:rPr>
        <w:tab/>
      </w:r>
    </w:p>
    <w:p w:rsidR="00625192" w:rsidRPr="00D9164F" w:rsidRDefault="00625192" w:rsidP="00625192">
      <w:pPr>
        <w:spacing w:after="0" w:line="240" w:lineRule="auto"/>
        <w:jc w:val="both"/>
        <w:rPr>
          <w:rFonts w:ascii="Times New Roman" w:eastAsia="Times New Roman" w:hAnsi="Times New Roman" w:cs="Times New Roman"/>
          <w:b/>
          <w:bCs/>
          <w:color w:val="000000"/>
          <w:sz w:val="24"/>
          <w:szCs w:val="24"/>
          <w:lang w:val="en-US"/>
        </w:rPr>
      </w:pPr>
      <w:r w:rsidRPr="00D9164F">
        <w:rPr>
          <w:rFonts w:ascii="Times New Roman" w:eastAsia="Times New Roman" w:hAnsi="Times New Roman" w:cs="Times New Roman"/>
          <w:b/>
          <w:bCs/>
          <w:color w:val="000000"/>
          <w:sz w:val="24"/>
          <w:szCs w:val="24"/>
          <w:lang w:val="en-US"/>
        </w:rPr>
        <w:lastRenderedPageBreak/>
        <w:t>OBJECTIVES OF STUDY</w:t>
      </w:r>
    </w:p>
    <w:p w:rsidR="00625192" w:rsidRPr="00D9164F" w:rsidRDefault="00625192" w:rsidP="00625192">
      <w:pPr>
        <w:spacing w:after="0" w:line="240" w:lineRule="auto"/>
        <w:jc w:val="both"/>
        <w:rPr>
          <w:rFonts w:ascii="Times New Roman" w:eastAsia="Times New Roman" w:hAnsi="Times New Roman" w:cs="Times New Roman"/>
          <w:sz w:val="24"/>
          <w:szCs w:val="24"/>
          <w:lang w:val="en-US"/>
        </w:rPr>
      </w:pPr>
    </w:p>
    <w:p w:rsidR="00625192" w:rsidRPr="00D9164F" w:rsidRDefault="00625192" w:rsidP="00D9164F">
      <w:pPr>
        <w:spacing w:line="240" w:lineRule="auto"/>
        <w:jc w:val="both"/>
        <w:rPr>
          <w:rFonts w:ascii="Times New Roman" w:eastAsia="Times New Roman" w:hAnsi="Times New Roman" w:cs="Times New Roman"/>
          <w:color w:val="000000"/>
          <w:sz w:val="24"/>
          <w:szCs w:val="24"/>
          <w:lang w:val="en-US"/>
        </w:rPr>
      </w:pPr>
      <w:r w:rsidRPr="00D9164F">
        <w:rPr>
          <w:rFonts w:ascii="Times New Roman" w:eastAsia="Times New Roman" w:hAnsi="Times New Roman" w:cs="Times New Roman"/>
          <w:color w:val="000000"/>
          <w:sz w:val="24"/>
          <w:szCs w:val="24"/>
          <w:lang w:val="en-US"/>
        </w:rPr>
        <w:t xml:space="preserve">1. What is the level of Filipino Students Mastery in Filipino Grammar exposed to the </w:t>
      </w:r>
      <w:r w:rsidRPr="00D9164F">
        <w:rPr>
          <w:rFonts w:ascii="Times New Roman" w:eastAsia="Times New Roman" w:hAnsi="Times New Roman" w:cs="Times New Roman"/>
          <w:i/>
          <w:iCs/>
          <w:color w:val="000000"/>
          <w:sz w:val="24"/>
          <w:szCs w:val="24"/>
          <w:lang w:val="en-US"/>
        </w:rPr>
        <w:t xml:space="preserve">LARO-TALAS </w:t>
      </w:r>
      <w:r w:rsidRPr="00D9164F">
        <w:rPr>
          <w:rFonts w:ascii="Times New Roman" w:eastAsia="Times New Roman" w:hAnsi="Times New Roman" w:cs="Times New Roman"/>
          <w:color w:val="000000"/>
          <w:sz w:val="24"/>
          <w:szCs w:val="24"/>
          <w:lang w:val="en-US"/>
        </w:rPr>
        <w:t xml:space="preserve">strategy and those who are exposed to the </w:t>
      </w:r>
      <w:r w:rsidRPr="00D9164F">
        <w:rPr>
          <w:rFonts w:ascii="Times New Roman" w:eastAsia="Times New Roman" w:hAnsi="Times New Roman" w:cs="Times New Roman"/>
          <w:i/>
          <w:iCs/>
          <w:color w:val="000000"/>
          <w:sz w:val="24"/>
          <w:szCs w:val="24"/>
          <w:lang w:val="en-US"/>
        </w:rPr>
        <w:t>Non-LARO-TALAS</w:t>
      </w:r>
      <w:r w:rsidRPr="00D9164F">
        <w:rPr>
          <w:rFonts w:ascii="Times New Roman" w:eastAsia="Times New Roman" w:hAnsi="Times New Roman" w:cs="Times New Roman"/>
          <w:color w:val="000000"/>
          <w:sz w:val="24"/>
          <w:szCs w:val="24"/>
          <w:lang w:val="en-US"/>
        </w:rPr>
        <w:t xml:space="preserve"> strategy in terms of;</w:t>
      </w:r>
    </w:p>
    <w:p w:rsidR="00625192" w:rsidRPr="00D9164F" w:rsidRDefault="00625192" w:rsidP="00D9164F">
      <w:pPr>
        <w:spacing w:line="240" w:lineRule="auto"/>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 xml:space="preserve">a. </w:t>
      </w:r>
      <w:r w:rsidR="00D9164F">
        <w:rPr>
          <w:rFonts w:ascii="Times New Roman" w:eastAsia="Times New Roman" w:hAnsi="Times New Roman" w:cs="Times New Roman"/>
          <w:color w:val="000000"/>
          <w:sz w:val="24"/>
          <w:szCs w:val="24"/>
          <w:lang w:val="en-US"/>
        </w:rPr>
        <w:t>Pre-test, and</w:t>
      </w:r>
      <w:r w:rsidR="00D9164F">
        <w:rPr>
          <w:rFonts w:ascii="Times New Roman" w:eastAsia="Times New Roman" w:hAnsi="Times New Roman" w:cs="Times New Roman"/>
          <w:color w:val="000000"/>
          <w:sz w:val="24"/>
          <w:szCs w:val="24"/>
          <w:lang w:val="en-US"/>
        </w:rPr>
        <w:br/>
      </w:r>
      <w:r w:rsidRPr="00D9164F">
        <w:rPr>
          <w:rFonts w:ascii="Times New Roman" w:eastAsia="Times New Roman" w:hAnsi="Times New Roman" w:cs="Times New Roman"/>
          <w:color w:val="000000"/>
          <w:sz w:val="24"/>
          <w:szCs w:val="24"/>
          <w:lang w:val="en-US"/>
        </w:rPr>
        <w:t>b. Post-test?</w:t>
      </w:r>
    </w:p>
    <w:p w:rsidR="00625192" w:rsidRPr="00D9164F" w:rsidRDefault="00625192" w:rsidP="00D9164F">
      <w:pPr>
        <w:spacing w:line="240" w:lineRule="auto"/>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 xml:space="preserve">2. Is there a significant difference in the Filipino Grammar Mastery of students who are exposed to the </w:t>
      </w:r>
      <w:r w:rsidRPr="00D9164F">
        <w:rPr>
          <w:rFonts w:ascii="Times New Roman" w:eastAsia="Times New Roman" w:hAnsi="Times New Roman" w:cs="Times New Roman"/>
          <w:i/>
          <w:iCs/>
          <w:color w:val="000000"/>
          <w:sz w:val="24"/>
          <w:szCs w:val="24"/>
          <w:lang w:val="en-US"/>
        </w:rPr>
        <w:t>LARO-TALAS</w:t>
      </w:r>
      <w:r w:rsidRPr="00D9164F">
        <w:rPr>
          <w:rFonts w:ascii="Times New Roman" w:eastAsia="Times New Roman" w:hAnsi="Times New Roman" w:cs="Times New Roman"/>
          <w:color w:val="000000"/>
          <w:sz w:val="24"/>
          <w:szCs w:val="24"/>
          <w:lang w:val="en-US"/>
        </w:rPr>
        <w:t xml:space="preserve"> strategy and those who are expose to </w:t>
      </w:r>
      <w:r w:rsidRPr="00D9164F">
        <w:rPr>
          <w:rFonts w:ascii="Times New Roman" w:eastAsia="Times New Roman" w:hAnsi="Times New Roman" w:cs="Times New Roman"/>
          <w:i/>
          <w:iCs/>
          <w:color w:val="000000"/>
          <w:sz w:val="24"/>
          <w:szCs w:val="24"/>
          <w:lang w:val="en-US"/>
        </w:rPr>
        <w:t>non-LARO-TALAS</w:t>
      </w:r>
      <w:r w:rsidRPr="00D9164F">
        <w:rPr>
          <w:rFonts w:ascii="Times New Roman" w:eastAsia="Times New Roman" w:hAnsi="Times New Roman" w:cs="Times New Roman"/>
          <w:color w:val="000000"/>
          <w:sz w:val="24"/>
          <w:szCs w:val="24"/>
          <w:lang w:val="en-US"/>
        </w:rPr>
        <w:t xml:space="preserve"> strategy?</w:t>
      </w:r>
    </w:p>
    <w:p w:rsidR="00625192" w:rsidRPr="00D9164F" w:rsidRDefault="00625192" w:rsidP="00625192">
      <w:pPr>
        <w:spacing w:after="0" w:line="240" w:lineRule="auto"/>
        <w:rPr>
          <w:rFonts w:ascii="Times New Roman" w:eastAsia="Times New Roman" w:hAnsi="Times New Roman" w:cs="Times New Roman"/>
          <w:sz w:val="24"/>
          <w:szCs w:val="24"/>
          <w:lang w:val="en-US"/>
        </w:rPr>
      </w:pPr>
    </w:p>
    <w:p w:rsidR="00625192" w:rsidRPr="00D9164F" w:rsidRDefault="00625192" w:rsidP="00625192">
      <w:pPr>
        <w:spacing w:after="0" w:line="240" w:lineRule="auto"/>
        <w:jc w:val="both"/>
        <w:rPr>
          <w:rFonts w:ascii="Times New Roman" w:eastAsia="Times New Roman" w:hAnsi="Times New Roman" w:cs="Times New Roman"/>
          <w:b/>
          <w:bCs/>
          <w:color w:val="000000"/>
          <w:sz w:val="24"/>
          <w:szCs w:val="24"/>
          <w:lang w:val="en-US"/>
        </w:rPr>
      </w:pPr>
      <w:r w:rsidRPr="00D9164F">
        <w:rPr>
          <w:rFonts w:ascii="Times New Roman" w:eastAsia="Times New Roman" w:hAnsi="Times New Roman" w:cs="Times New Roman"/>
          <w:b/>
          <w:bCs/>
          <w:color w:val="000000"/>
          <w:sz w:val="24"/>
          <w:szCs w:val="24"/>
          <w:lang w:val="en-US"/>
        </w:rPr>
        <w:t>3. METHODS</w:t>
      </w:r>
    </w:p>
    <w:p w:rsidR="00625192" w:rsidRPr="00D9164F" w:rsidRDefault="00625192" w:rsidP="00625192">
      <w:pPr>
        <w:spacing w:after="0" w:line="240" w:lineRule="auto"/>
        <w:jc w:val="both"/>
        <w:rPr>
          <w:rFonts w:ascii="Times New Roman" w:eastAsia="Times New Roman" w:hAnsi="Times New Roman" w:cs="Times New Roman"/>
          <w:sz w:val="24"/>
          <w:szCs w:val="24"/>
          <w:lang w:val="en-US"/>
        </w:rPr>
      </w:pPr>
    </w:p>
    <w:p w:rsidR="00625192" w:rsidRPr="00D9164F" w:rsidRDefault="00625192" w:rsidP="00625192">
      <w:pPr>
        <w:spacing w:after="0" w:line="240" w:lineRule="auto"/>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b/>
          <w:bCs/>
          <w:i/>
          <w:iCs/>
          <w:color w:val="000000"/>
          <w:sz w:val="24"/>
          <w:szCs w:val="24"/>
          <w:lang w:val="en-US"/>
        </w:rPr>
        <w:t>3.1. Research Design</w:t>
      </w:r>
    </w:p>
    <w:p w:rsidR="00625192" w:rsidRPr="00D9164F" w:rsidRDefault="00625192" w:rsidP="00625192">
      <w:pPr>
        <w:spacing w:after="0" w:line="240" w:lineRule="auto"/>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The researchers used a quantitative quasi-experimental design. Quantitative research relies on measured or observed data to investigate questions about a sample population (Allen, 2017). In this study, the pre-test scores served as the baseline or control variable for comparing the post-test scores. This design clearly connects the participants’ pre-test and post-test results.</w:t>
      </w:r>
    </w:p>
    <w:p w:rsidR="00625192" w:rsidRPr="00D9164F" w:rsidRDefault="00625192" w:rsidP="00625192">
      <w:pPr>
        <w:spacing w:after="0" w:line="240" w:lineRule="auto"/>
        <w:rPr>
          <w:rFonts w:ascii="Times New Roman" w:eastAsia="Times New Roman" w:hAnsi="Times New Roman" w:cs="Times New Roman"/>
          <w:sz w:val="24"/>
          <w:szCs w:val="24"/>
          <w:lang w:val="en-US"/>
        </w:rPr>
      </w:pPr>
    </w:p>
    <w:p w:rsidR="00625192" w:rsidRPr="00D9164F" w:rsidRDefault="00625192" w:rsidP="00625192">
      <w:pPr>
        <w:spacing w:line="240" w:lineRule="auto"/>
        <w:rPr>
          <w:rFonts w:ascii="Times New Roman" w:eastAsia="Times New Roman" w:hAnsi="Times New Roman" w:cs="Times New Roman"/>
          <w:sz w:val="24"/>
          <w:szCs w:val="24"/>
          <w:lang w:val="en-US"/>
        </w:rPr>
      </w:pPr>
      <w:r w:rsidRPr="00D9164F">
        <w:rPr>
          <w:rFonts w:ascii="Times New Roman" w:eastAsia="Times New Roman" w:hAnsi="Times New Roman" w:cs="Times New Roman"/>
          <w:b/>
          <w:bCs/>
          <w:i/>
          <w:iCs/>
          <w:color w:val="000000"/>
          <w:sz w:val="24"/>
          <w:szCs w:val="24"/>
          <w:lang w:val="en-US"/>
        </w:rPr>
        <w:t>3.2. Participants of the Study</w:t>
      </w:r>
    </w:p>
    <w:p w:rsidR="00625192" w:rsidRPr="00D9164F" w:rsidRDefault="00625192" w:rsidP="00625192">
      <w:pPr>
        <w:spacing w:line="240" w:lineRule="auto"/>
        <w:jc w:val="both"/>
        <w:rPr>
          <w:rFonts w:ascii="Times New Roman" w:eastAsia="Times New Roman" w:hAnsi="Times New Roman" w:cs="Times New Roman"/>
          <w:color w:val="000000"/>
          <w:sz w:val="24"/>
          <w:szCs w:val="24"/>
          <w:lang w:val="en-US"/>
        </w:rPr>
      </w:pPr>
      <w:r w:rsidRPr="00D9164F">
        <w:rPr>
          <w:rFonts w:ascii="Times New Roman" w:eastAsia="Times New Roman" w:hAnsi="Times New Roman" w:cs="Times New Roman"/>
          <w:color w:val="000000"/>
          <w:sz w:val="24"/>
          <w:szCs w:val="24"/>
          <w:lang w:val="en-US"/>
        </w:rPr>
        <w:t xml:space="preserve">This study utilized two intact sections from Grade 7 students enrolled in Filipino subject at Bukidnon National School of Home Industries, Maramag, Bukidnon, Philippines for the school year 2025-2026. One intact group was randomly selected to be the experimental group exposed to the </w:t>
      </w:r>
      <w:r w:rsidRPr="00D9164F">
        <w:rPr>
          <w:rFonts w:ascii="Times New Roman" w:eastAsia="Times New Roman" w:hAnsi="Times New Roman" w:cs="Times New Roman"/>
          <w:i/>
          <w:iCs/>
          <w:color w:val="000000"/>
          <w:sz w:val="24"/>
          <w:szCs w:val="24"/>
          <w:lang w:val="en-US"/>
        </w:rPr>
        <w:t xml:space="preserve">LARO-TALAS </w:t>
      </w:r>
      <w:r w:rsidRPr="00D9164F">
        <w:rPr>
          <w:rFonts w:ascii="Times New Roman" w:eastAsia="Times New Roman" w:hAnsi="Times New Roman" w:cs="Times New Roman"/>
          <w:color w:val="000000"/>
          <w:sz w:val="24"/>
          <w:szCs w:val="24"/>
          <w:lang w:val="en-US"/>
        </w:rPr>
        <w:t>strategy and the other group was exposed to the Non-LARO-TALAS strategy.</w:t>
      </w:r>
    </w:p>
    <w:p w:rsidR="00625192" w:rsidRPr="00D9164F" w:rsidRDefault="00625192" w:rsidP="00625192">
      <w:pPr>
        <w:spacing w:line="240" w:lineRule="auto"/>
        <w:rPr>
          <w:rFonts w:ascii="Times New Roman" w:eastAsia="Times New Roman" w:hAnsi="Times New Roman" w:cs="Times New Roman"/>
          <w:sz w:val="24"/>
          <w:szCs w:val="24"/>
          <w:lang w:val="en-US"/>
        </w:rPr>
      </w:pPr>
      <w:r w:rsidRPr="00D9164F">
        <w:rPr>
          <w:rFonts w:ascii="Times New Roman" w:eastAsia="Times New Roman" w:hAnsi="Times New Roman" w:cs="Times New Roman"/>
          <w:b/>
          <w:bCs/>
          <w:i/>
          <w:iCs/>
          <w:color w:val="000000"/>
          <w:sz w:val="24"/>
          <w:szCs w:val="24"/>
          <w:lang w:val="en-US"/>
        </w:rPr>
        <w:t>3.3. Data Collection Methods</w:t>
      </w:r>
    </w:p>
    <w:p w:rsidR="00625192" w:rsidRPr="00D9164F" w:rsidRDefault="00625192" w:rsidP="00625192">
      <w:pPr>
        <w:spacing w:line="240" w:lineRule="auto"/>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The researchers adhered to the correct protocol when collecting the data and selecting the statistical tools to use. They requested an authorization letter to carry out the study in writing from the Bukidnon National School of Home Industries principal. Before distributing the survey questionnaires as the primary instrument in collecting data to the chosen Junior High School students, the researchers gave consent forms to the participants after the principal's letter was signed and content validity and reliability will be established. The pre- test and post-tests were provided to the students with plenty of time to complete. Above all, the researchers ensure that data confidentiality is maintained.</w:t>
      </w:r>
    </w:p>
    <w:p w:rsidR="00625192" w:rsidRPr="00D9164F" w:rsidRDefault="00625192" w:rsidP="00625192">
      <w:pPr>
        <w:spacing w:line="240" w:lineRule="auto"/>
        <w:rPr>
          <w:rFonts w:ascii="Times New Roman" w:eastAsia="Times New Roman" w:hAnsi="Times New Roman" w:cs="Times New Roman"/>
          <w:sz w:val="24"/>
          <w:szCs w:val="24"/>
          <w:lang w:val="en-US"/>
        </w:rPr>
      </w:pPr>
      <w:r w:rsidRPr="00D9164F">
        <w:rPr>
          <w:rFonts w:ascii="Times New Roman" w:eastAsia="Times New Roman" w:hAnsi="Times New Roman" w:cs="Times New Roman"/>
          <w:b/>
          <w:bCs/>
          <w:i/>
          <w:iCs/>
          <w:color w:val="000000"/>
          <w:sz w:val="24"/>
          <w:szCs w:val="24"/>
          <w:lang w:val="en-US"/>
        </w:rPr>
        <w:t>3.4. Data Analysis Plan</w:t>
      </w:r>
    </w:p>
    <w:p w:rsidR="00625192" w:rsidRPr="00D9164F" w:rsidRDefault="00625192" w:rsidP="00625192">
      <w:pPr>
        <w:spacing w:before="240" w:after="240" w:line="240" w:lineRule="auto"/>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The researchers used Analysis of Covariance (ANCOVA) to determine the effectiveness of the LARO-TALAS strategy in improving students’ mastery of Filipino grammar, with pre-test scores as covariates. An Independent Samples ttt-test was also used to compare the grammar mastery levels of the experimental and control groups. To determine if there was a significant improvement after exposure to LARO-TALAS, a Paired Samples ttt-test was used for within-group comparison. Descriptive statistics such as mean, standard deviation, frequency count, and percentage were used to describe the data. Inferential statistics were then applied to test for significant differences. The data met the parametric assumptions, as shown by the Shapiro-Wilk Test (p=0.593)(p = 0.593)(p=0.593) for normality and the Levene’s Test (p=0.082)(p = 0.082)(p=0.082) for homogeneity. Since the data were normally distributed and homogeneous, parametric tests were appropriate.</w:t>
      </w:r>
    </w:p>
    <w:p w:rsidR="00625192" w:rsidRPr="00D9164F" w:rsidRDefault="00625192" w:rsidP="00625192">
      <w:pPr>
        <w:spacing w:before="240" w:after="240" w:line="240" w:lineRule="auto"/>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lastRenderedPageBreak/>
        <w:t>Below is the adopted DepEd grading system from DEPED Order No. 8, Series of 2015, utilized for the qualitative interpretation of this study:</w:t>
      </w:r>
    </w:p>
    <w:tbl>
      <w:tblPr>
        <w:tblW w:w="0" w:type="auto"/>
        <w:tblCellMar>
          <w:top w:w="15" w:type="dxa"/>
          <w:left w:w="15" w:type="dxa"/>
          <w:bottom w:w="15" w:type="dxa"/>
          <w:right w:w="15" w:type="dxa"/>
        </w:tblCellMar>
        <w:tblLook w:val="04A0" w:firstRow="1" w:lastRow="0" w:firstColumn="1" w:lastColumn="0" w:noHBand="0" w:noVBand="1"/>
      </w:tblPr>
      <w:tblGrid>
        <w:gridCol w:w="1247"/>
        <w:gridCol w:w="1127"/>
        <w:gridCol w:w="2833"/>
        <w:gridCol w:w="2633"/>
      </w:tblGrid>
      <w:tr w:rsidR="00625192" w:rsidRPr="00D9164F" w:rsidTr="00625192">
        <w:trPr>
          <w:trHeight w:val="210"/>
        </w:trPr>
        <w:tc>
          <w:tcPr>
            <w:tcW w:w="0" w:type="auto"/>
            <w:gridSpan w:val="4"/>
            <w:shd w:val="clear" w:color="auto" w:fill="FFFFFF"/>
            <w:tcMar>
              <w:top w:w="0" w:type="dxa"/>
              <w:left w:w="100" w:type="dxa"/>
              <w:bottom w:w="0" w:type="dxa"/>
              <w:right w:w="100" w:type="dxa"/>
            </w:tcMar>
            <w:hideMark/>
          </w:tcPr>
          <w:p w:rsidR="00625192" w:rsidRPr="00D9164F" w:rsidRDefault="00625192" w:rsidP="00625192">
            <w:pPr>
              <w:spacing w:after="0" w:line="210"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Legend for Assessing Students’ Level of Filipino Grammar Mastery</w:t>
            </w:r>
          </w:p>
        </w:tc>
      </w:tr>
      <w:tr w:rsidR="00625192" w:rsidRPr="00D9164F" w:rsidTr="00625192">
        <w:trPr>
          <w:trHeight w:val="210"/>
        </w:trPr>
        <w:tc>
          <w:tcPr>
            <w:tcW w:w="0" w:type="auto"/>
            <w:shd w:val="clear" w:color="auto" w:fill="FFFFFF"/>
            <w:tcMar>
              <w:top w:w="0" w:type="dxa"/>
              <w:left w:w="100" w:type="dxa"/>
              <w:bottom w:w="0" w:type="dxa"/>
              <w:right w:w="100" w:type="dxa"/>
            </w:tcMar>
            <w:hideMark/>
          </w:tcPr>
          <w:p w:rsidR="00625192" w:rsidRPr="00D9164F" w:rsidRDefault="00625192" w:rsidP="00625192">
            <w:pPr>
              <w:spacing w:after="0" w:line="210"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Raw Score</w:t>
            </w:r>
          </w:p>
        </w:tc>
        <w:tc>
          <w:tcPr>
            <w:tcW w:w="0" w:type="auto"/>
            <w:shd w:val="clear" w:color="auto" w:fill="FFFFFF"/>
            <w:tcMar>
              <w:top w:w="0" w:type="dxa"/>
              <w:left w:w="100" w:type="dxa"/>
              <w:bottom w:w="0" w:type="dxa"/>
              <w:right w:w="100" w:type="dxa"/>
            </w:tcMar>
            <w:hideMark/>
          </w:tcPr>
          <w:p w:rsidR="00625192" w:rsidRPr="00D9164F" w:rsidRDefault="00625192" w:rsidP="00625192">
            <w:pPr>
              <w:spacing w:after="0" w:line="210"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w:t>
            </w:r>
          </w:p>
        </w:tc>
        <w:tc>
          <w:tcPr>
            <w:tcW w:w="0" w:type="auto"/>
            <w:shd w:val="clear" w:color="auto" w:fill="FFFFFF"/>
            <w:tcMar>
              <w:top w:w="0" w:type="dxa"/>
              <w:left w:w="100" w:type="dxa"/>
              <w:bottom w:w="0" w:type="dxa"/>
              <w:right w:w="100" w:type="dxa"/>
            </w:tcMar>
            <w:hideMark/>
          </w:tcPr>
          <w:p w:rsidR="00625192" w:rsidRPr="00D9164F" w:rsidRDefault="00625192" w:rsidP="00625192">
            <w:pPr>
              <w:spacing w:after="0" w:line="210"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Descriptive Rating</w:t>
            </w:r>
          </w:p>
        </w:tc>
        <w:tc>
          <w:tcPr>
            <w:tcW w:w="0" w:type="auto"/>
            <w:shd w:val="clear" w:color="auto" w:fill="FFFFFF"/>
            <w:tcMar>
              <w:top w:w="0" w:type="dxa"/>
              <w:left w:w="100" w:type="dxa"/>
              <w:bottom w:w="0" w:type="dxa"/>
              <w:right w:w="100" w:type="dxa"/>
            </w:tcMar>
            <w:hideMark/>
          </w:tcPr>
          <w:p w:rsidR="00625192" w:rsidRPr="00D9164F" w:rsidRDefault="00625192" w:rsidP="00625192">
            <w:pPr>
              <w:spacing w:after="0" w:line="210"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Qualitative Interpretation</w:t>
            </w:r>
          </w:p>
        </w:tc>
      </w:tr>
      <w:tr w:rsidR="00625192" w:rsidRPr="00D9164F" w:rsidTr="00625192">
        <w:trPr>
          <w:trHeight w:val="180"/>
        </w:trPr>
        <w:tc>
          <w:tcPr>
            <w:tcW w:w="0" w:type="auto"/>
            <w:shd w:val="clear" w:color="auto" w:fill="FFFFFF"/>
            <w:tcMar>
              <w:top w:w="0" w:type="dxa"/>
              <w:left w:w="100" w:type="dxa"/>
              <w:bottom w:w="0" w:type="dxa"/>
              <w:right w:w="100" w:type="dxa"/>
            </w:tcMar>
            <w:hideMark/>
          </w:tcPr>
          <w:p w:rsidR="00625192" w:rsidRPr="00D9164F" w:rsidRDefault="00625192" w:rsidP="00625192">
            <w:pPr>
              <w:spacing w:after="0" w:line="180"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36-40</w:t>
            </w:r>
          </w:p>
        </w:tc>
        <w:tc>
          <w:tcPr>
            <w:tcW w:w="0" w:type="auto"/>
            <w:shd w:val="clear" w:color="auto" w:fill="FFFFFF"/>
            <w:tcMar>
              <w:top w:w="0" w:type="dxa"/>
              <w:left w:w="100" w:type="dxa"/>
              <w:bottom w:w="0" w:type="dxa"/>
              <w:right w:w="100" w:type="dxa"/>
            </w:tcMar>
            <w:hideMark/>
          </w:tcPr>
          <w:p w:rsidR="00625192" w:rsidRPr="00D9164F" w:rsidRDefault="00625192" w:rsidP="00625192">
            <w:pPr>
              <w:spacing w:after="0" w:line="180"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90-100</w:t>
            </w:r>
          </w:p>
        </w:tc>
        <w:tc>
          <w:tcPr>
            <w:tcW w:w="0" w:type="auto"/>
            <w:shd w:val="clear" w:color="auto" w:fill="FFFFFF"/>
            <w:tcMar>
              <w:top w:w="0" w:type="dxa"/>
              <w:left w:w="100" w:type="dxa"/>
              <w:bottom w:w="0" w:type="dxa"/>
              <w:right w:w="100" w:type="dxa"/>
            </w:tcMar>
            <w:hideMark/>
          </w:tcPr>
          <w:p w:rsidR="00625192" w:rsidRPr="00D9164F" w:rsidRDefault="00625192" w:rsidP="00625192">
            <w:pPr>
              <w:spacing w:after="0" w:line="180"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Outstanding</w:t>
            </w:r>
          </w:p>
        </w:tc>
        <w:tc>
          <w:tcPr>
            <w:tcW w:w="0" w:type="auto"/>
            <w:shd w:val="clear" w:color="auto" w:fill="FFFFFF"/>
            <w:tcMar>
              <w:top w:w="0" w:type="dxa"/>
              <w:left w:w="100" w:type="dxa"/>
              <w:bottom w:w="0" w:type="dxa"/>
              <w:right w:w="100" w:type="dxa"/>
            </w:tcMar>
            <w:hideMark/>
          </w:tcPr>
          <w:p w:rsidR="00625192" w:rsidRPr="00D9164F" w:rsidRDefault="00625192" w:rsidP="00625192">
            <w:pPr>
              <w:spacing w:after="0" w:line="180"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Very High</w:t>
            </w:r>
          </w:p>
        </w:tc>
      </w:tr>
      <w:tr w:rsidR="00625192" w:rsidRPr="00D9164F" w:rsidTr="00625192">
        <w:trPr>
          <w:trHeight w:val="120"/>
        </w:trPr>
        <w:tc>
          <w:tcPr>
            <w:tcW w:w="0" w:type="auto"/>
            <w:shd w:val="clear" w:color="auto" w:fill="FFFFFF"/>
            <w:tcMar>
              <w:top w:w="0" w:type="dxa"/>
              <w:left w:w="100" w:type="dxa"/>
              <w:bottom w:w="0" w:type="dxa"/>
              <w:right w:w="100" w:type="dxa"/>
            </w:tcMar>
            <w:hideMark/>
          </w:tcPr>
          <w:p w:rsidR="00625192" w:rsidRPr="00D9164F" w:rsidRDefault="00625192" w:rsidP="00625192">
            <w:pPr>
              <w:spacing w:after="0" w:line="120"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34-35</w:t>
            </w:r>
          </w:p>
        </w:tc>
        <w:tc>
          <w:tcPr>
            <w:tcW w:w="0" w:type="auto"/>
            <w:shd w:val="clear" w:color="auto" w:fill="FFFFFF"/>
            <w:tcMar>
              <w:top w:w="0" w:type="dxa"/>
              <w:left w:w="100" w:type="dxa"/>
              <w:bottom w:w="0" w:type="dxa"/>
              <w:right w:w="100" w:type="dxa"/>
            </w:tcMar>
            <w:hideMark/>
          </w:tcPr>
          <w:p w:rsidR="00625192" w:rsidRPr="00D9164F" w:rsidRDefault="00625192" w:rsidP="00625192">
            <w:pPr>
              <w:spacing w:after="0" w:line="120"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85-89</w:t>
            </w:r>
          </w:p>
        </w:tc>
        <w:tc>
          <w:tcPr>
            <w:tcW w:w="0" w:type="auto"/>
            <w:shd w:val="clear" w:color="auto" w:fill="FFFFFF"/>
            <w:tcMar>
              <w:top w:w="0" w:type="dxa"/>
              <w:left w:w="100" w:type="dxa"/>
              <w:bottom w:w="0" w:type="dxa"/>
              <w:right w:w="100" w:type="dxa"/>
            </w:tcMar>
            <w:hideMark/>
          </w:tcPr>
          <w:p w:rsidR="00625192" w:rsidRPr="00D9164F" w:rsidRDefault="00625192" w:rsidP="00625192">
            <w:pPr>
              <w:spacing w:after="0" w:line="120"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Very Satisfactory</w:t>
            </w:r>
          </w:p>
        </w:tc>
        <w:tc>
          <w:tcPr>
            <w:tcW w:w="0" w:type="auto"/>
            <w:shd w:val="clear" w:color="auto" w:fill="FFFFFF"/>
            <w:tcMar>
              <w:top w:w="0" w:type="dxa"/>
              <w:left w:w="100" w:type="dxa"/>
              <w:bottom w:w="0" w:type="dxa"/>
              <w:right w:w="100" w:type="dxa"/>
            </w:tcMar>
            <w:hideMark/>
          </w:tcPr>
          <w:p w:rsidR="00625192" w:rsidRPr="00D9164F" w:rsidRDefault="00625192" w:rsidP="00625192">
            <w:pPr>
              <w:spacing w:after="0" w:line="120"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High</w:t>
            </w:r>
          </w:p>
        </w:tc>
      </w:tr>
      <w:tr w:rsidR="00625192" w:rsidRPr="00D9164F" w:rsidTr="00625192">
        <w:trPr>
          <w:trHeight w:val="105"/>
        </w:trPr>
        <w:tc>
          <w:tcPr>
            <w:tcW w:w="0" w:type="auto"/>
            <w:shd w:val="clear" w:color="auto" w:fill="FFFFFF"/>
            <w:tcMar>
              <w:top w:w="0" w:type="dxa"/>
              <w:left w:w="100" w:type="dxa"/>
              <w:bottom w:w="0" w:type="dxa"/>
              <w:right w:w="100" w:type="dxa"/>
            </w:tcMar>
            <w:hideMark/>
          </w:tcPr>
          <w:p w:rsidR="00625192" w:rsidRPr="00D9164F" w:rsidRDefault="00625192" w:rsidP="00625192">
            <w:pPr>
              <w:spacing w:after="0" w:line="105"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32-33</w:t>
            </w:r>
          </w:p>
        </w:tc>
        <w:tc>
          <w:tcPr>
            <w:tcW w:w="0" w:type="auto"/>
            <w:shd w:val="clear" w:color="auto" w:fill="FFFFFF"/>
            <w:tcMar>
              <w:top w:w="0" w:type="dxa"/>
              <w:left w:w="100" w:type="dxa"/>
              <w:bottom w:w="0" w:type="dxa"/>
              <w:right w:w="100" w:type="dxa"/>
            </w:tcMar>
            <w:hideMark/>
          </w:tcPr>
          <w:p w:rsidR="00625192" w:rsidRPr="00D9164F" w:rsidRDefault="00625192" w:rsidP="00625192">
            <w:pPr>
              <w:spacing w:after="0" w:line="105"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80-84</w:t>
            </w:r>
          </w:p>
        </w:tc>
        <w:tc>
          <w:tcPr>
            <w:tcW w:w="0" w:type="auto"/>
            <w:shd w:val="clear" w:color="auto" w:fill="FFFFFF"/>
            <w:tcMar>
              <w:top w:w="0" w:type="dxa"/>
              <w:left w:w="100" w:type="dxa"/>
              <w:bottom w:w="0" w:type="dxa"/>
              <w:right w:w="100" w:type="dxa"/>
            </w:tcMar>
            <w:hideMark/>
          </w:tcPr>
          <w:p w:rsidR="00625192" w:rsidRPr="00D9164F" w:rsidRDefault="00625192" w:rsidP="00625192">
            <w:pPr>
              <w:spacing w:after="0" w:line="105"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Satisfactory</w:t>
            </w:r>
          </w:p>
        </w:tc>
        <w:tc>
          <w:tcPr>
            <w:tcW w:w="0" w:type="auto"/>
            <w:shd w:val="clear" w:color="auto" w:fill="FFFFFF"/>
            <w:tcMar>
              <w:top w:w="0" w:type="dxa"/>
              <w:left w:w="100" w:type="dxa"/>
              <w:bottom w:w="0" w:type="dxa"/>
              <w:right w:w="100" w:type="dxa"/>
            </w:tcMar>
            <w:hideMark/>
          </w:tcPr>
          <w:p w:rsidR="00625192" w:rsidRPr="00D9164F" w:rsidRDefault="00625192" w:rsidP="00625192">
            <w:pPr>
              <w:spacing w:after="0" w:line="105"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Moderate</w:t>
            </w:r>
          </w:p>
        </w:tc>
      </w:tr>
      <w:tr w:rsidR="00625192" w:rsidRPr="00D9164F" w:rsidTr="00625192">
        <w:trPr>
          <w:trHeight w:val="27"/>
        </w:trPr>
        <w:tc>
          <w:tcPr>
            <w:tcW w:w="0" w:type="auto"/>
            <w:shd w:val="clear" w:color="auto" w:fill="FFFFFF"/>
            <w:tcMar>
              <w:top w:w="0" w:type="dxa"/>
              <w:left w:w="100" w:type="dxa"/>
              <w:bottom w:w="0" w:type="dxa"/>
              <w:right w:w="100" w:type="dxa"/>
            </w:tcMar>
            <w:hideMark/>
          </w:tcPr>
          <w:p w:rsidR="00625192" w:rsidRPr="00D9164F" w:rsidRDefault="00625192" w:rsidP="00625192">
            <w:pPr>
              <w:spacing w:after="0" w:line="27"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30-31</w:t>
            </w:r>
          </w:p>
        </w:tc>
        <w:tc>
          <w:tcPr>
            <w:tcW w:w="0" w:type="auto"/>
            <w:shd w:val="clear" w:color="auto" w:fill="FFFFFF"/>
            <w:tcMar>
              <w:top w:w="0" w:type="dxa"/>
              <w:left w:w="100" w:type="dxa"/>
              <w:bottom w:w="0" w:type="dxa"/>
              <w:right w:w="100" w:type="dxa"/>
            </w:tcMar>
            <w:hideMark/>
          </w:tcPr>
          <w:p w:rsidR="00625192" w:rsidRPr="00D9164F" w:rsidRDefault="00625192" w:rsidP="00625192">
            <w:pPr>
              <w:spacing w:after="0" w:line="27"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75-79</w:t>
            </w:r>
          </w:p>
        </w:tc>
        <w:tc>
          <w:tcPr>
            <w:tcW w:w="0" w:type="auto"/>
            <w:shd w:val="clear" w:color="auto" w:fill="FFFFFF"/>
            <w:tcMar>
              <w:top w:w="0" w:type="dxa"/>
              <w:left w:w="100" w:type="dxa"/>
              <w:bottom w:w="0" w:type="dxa"/>
              <w:right w:w="100" w:type="dxa"/>
            </w:tcMar>
            <w:hideMark/>
          </w:tcPr>
          <w:p w:rsidR="00625192" w:rsidRPr="00D9164F" w:rsidRDefault="00625192" w:rsidP="00625192">
            <w:pPr>
              <w:spacing w:after="0" w:line="27"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Fairly Satisfactory</w:t>
            </w:r>
          </w:p>
        </w:tc>
        <w:tc>
          <w:tcPr>
            <w:tcW w:w="0" w:type="auto"/>
            <w:shd w:val="clear" w:color="auto" w:fill="FFFFFF"/>
            <w:tcMar>
              <w:top w:w="0" w:type="dxa"/>
              <w:left w:w="100" w:type="dxa"/>
              <w:bottom w:w="0" w:type="dxa"/>
              <w:right w:w="100" w:type="dxa"/>
            </w:tcMar>
            <w:hideMark/>
          </w:tcPr>
          <w:p w:rsidR="00625192" w:rsidRPr="00D9164F" w:rsidRDefault="00625192" w:rsidP="00625192">
            <w:pPr>
              <w:spacing w:after="0" w:line="27" w:lineRule="atLeast"/>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Low</w:t>
            </w:r>
          </w:p>
        </w:tc>
      </w:tr>
      <w:tr w:rsidR="00625192" w:rsidRPr="00D9164F" w:rsidTr="00625192">
        <w:trPr>
          <w:trHeight w:val="322"/>
        </w:trPr>
        <w:tc>
          <w:tcPr>
            <w:tcW w:w="0" w:type="auto"/>
            <w:shd w:val="clear" w:color="auto" w:fill="FFFFFF"/>
            <w:tcMar>
              <w:top w:w="0" w:type="dxa"/>
              <w:left w:w="100" w:type="dxa"/>
              <w:bottom w:w="0" w:type="dxa"/>
              <w:right w:w="100" w:type="dxa"/>
            </w:tcMar>
            <w:hideMark/>
          </w:tcPr>
          <w:p w:rsidR="00625192" w:rsidRPr="00D9164F" w:rsidRDefault="00625192" w:rsidP="00625192">
            <w:pPr>
              <w:spacing w:after="0" w:line="240" w:lineRule="auto"/>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0-29</w:t>
            </w:r>
          </w:p>
        </w:tc>
        <w:tc>
          <w:tcPr>
            <w:tcW w:w="0" w:type="auto"/>
            <w:shd w:val="clear" w:color="auto" w:fill="FFFFFF"/>
            <w:tcMar>
              <w:top w:w="0" w:type="dxa"/>
              <w:left w:w="100" w:type="dxa"/>
              <w:bottom w:w="0" w:type="dxa"/>
              <w:right w:w="100" w:type="dxa"/>
            </w:tcMar>
            <w:hideMark/>
          </w:tcPr>
          <w:p w:rsidR="00625192" w:rsidRPr="00D9164F" w:rsidRDefault="00625192" w:rsidP="00625192">
            <w:pPr>
              <w:spacing w:after="0" w:line="240" w:lineRule="auto"/>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Below 75</w:t>
            </w:r>
          </w:p>
        </w:tc>
        <w:tc>
          <w:tcPr>
            <w:tcW w:w="0" w:type="auto"/>
            <w:shd w:val="clear" w:color="auto" w:fill="FFFFFF"/>
            <w:tcMar>
              <w:top w:w="0" w:type="dxa"/>
              <w:left w:w="100" w:type="dxa"/>
              <w:bottom w:w="0" w:type="dxa"/>
              <w:right w:w="100" w:type="dxa"/>
            </w:tcMar>
            <w:hideMark/>
          </w:tcPr>
          <w:p w:rsidR="00625192" w:rsidRPr="00D9164F" w:rsidRDefault="00625192" w:rsidP="00625192">
            <w:pPr>
              <w:spacing w:after="0" w:line="240" w:lineRule="auto"/>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Did Not Meet Expectations</w:t>
            </w:r>
          </w:p>
        </w:tc>
        <w:tc>
          <w:tcPr>
            <w:tcW w:w="0" w:type="auto"/>
            <w:shd w:val="clear" w:color="auto" w:fill="FFFFFF"/>
            <w:tcMar>
              <w:top w:w="0" w:type="dxa"/>
              <w:left w:w="100" w:type="dxa"/>
              <w:bottom w:w="0" w:type="dxa"/>
              <w:right w:w="100" w:type="dxa"/>
            </w:tcMar>
            <w:hideMark/>
          </w:tcPr>
          <w:p w:rsidR="00625192" w:rsidRPr="00D9164F" w:rsidRDefault="00625192" w:rsidP="00625192">
            <w:pPr>
              <w:spacing w:after="0" w:line="240" w:lineRule="auto"/>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Very Low</w:t>
            </w:r>
          </w:p>
        </w:tc>
      </w:tr>
    </w:tbl>
    <w:p w:rsidR="00625192" w:rsidRPr="00D9164F" w:rsidRDefault="00625192" w:rsidP="00625192">
      <w:pPr>
        <w:spacing w:after="0" w:line="240" w:lineRule="auto"/>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 </w:t>
      </w:r>
    </w:p>
    <w:p w:rsidR="00625192" w:rsidRPr="00D9164F" w:rsidRDefault="00625192" w:rsidP="00625192">
      <w:pPr>
        <w:spacing w:after="0" w:line="240" w:lineRule="auto"/>
        <w:jc w:val="both"/>
        <w:rPr>
          <w:rFonts w:ascii="Times New Roman" w:eastAsia="Times New Roman" w:hAnsi="Times New Roman" w:cs="Times New Roman"/>
          <w:b/>
          <w:bCs/>
          <w:color w:val="000000"/>
          <w:sz w:val="24"/>
          <w:szCs w:val="24"/>
          <w:lang w:val="en-US"/>
        </w:rPr>
      </w:pPr>
      <w:r w:rsidRPr="00D9164F">
        <w:rPr>
          <w:rFonts w:ascii="Times New Roman" w:eastAsia="Times New Roman" w:hAnsi="Times New Roman" w:cs="Times New Roman"/>
          <w:b/>
          <w:bCs/>
          <w:color w:val="000000"/>
          <w:sz w:val="24"/>
          <w:szCs w:val="24"/>
          <w:lang w:val="en-US"/>
        </w:rPr>
        <w:t>RESULTS AND DISCUSSION</w:t>
      </w:r>
    </w:p>
    <w:p w:rsidR="00625192" w:rsidRPr="00D9164F" w:rsidRDefault="00625192" w:rsidP="00625192">
      <w:pPr>
        <w:spacing w:after="0" w:line="240" w:lineRule="auto"/>
        <w:jc w:val="both"/>
        <w:rPr>
          <w:rFonts w:ascii="Times New Roman" w:eastAsia="Times New Roman" w:hAnsi="Times New Roman" w:cs="Times New Roman"/>
          <w:b/>
          <w:bCs/>
          <w:color w:val="000000"/>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555"/>
        <w:gridCol w:w="1340"/>
        <w:gridCol w:w="602"/>
        <w:gridCol w:w="1178"/>
        <w:gridCol w:w="688"/>
        <w:gridCol w:w="1346"/>
        <w:gridCol w:w="1792"/>
      </w:tblGrid>
      <w:tr w:rsidR="00625192" w:rsidRPr="00D9164F" w:rsidTr="00625192">
        <w:trPr>
          <w:trHeight w:val="285"/>
        </w:trPr>
        <w:tc>
          <w:tcPr>
            <w:tcW w:w="0" w:type="auto"/>
            <w:gridSpan w:val="7"/>
            <w:tcBorders>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both"/>
              <w:rPr>
                <w:rFonts w:ascii="Times New Roman" w:eastAsia="Times New Roman" w:hAnsi="Times New Roman" w:cs="Times New Roman"/>
                <w:sz w:val="24"/>
                <w:szCs w:val="24"/>
                <w:lang w:val="en-US"/>
              </w:rPr>
            </w:pPr>
            <w:r w:rsidRPr="00D9164F">
              <w:rPr>
                <w:rFonts w:ascii="Times New Roman" w:eastAsia="Times New Roman" w:hAnsi="Times New Roman" w:cs="Times New Roman"/>
                <w:b/>
                <w:bCs/>
                <w:color w:val="000000"/>
                <w:sz w:val="24"/>
                <w:szCs w:val="24"/>
                <w:lang w:val="en-US"/>
              </w:rPr>
              <w:t>Table 1</w:t>
            </w:r>
            <w:r w:rsidRPr="00D9164F">
              <w:rPr>
                <w:rFonts w:ascii="Times New Roman" w:eastAsia="Times New Roman" w:hAnsi="Times New Roman" w:cs="Times New Roman"/>
                <w:color w:val="000000"/>
                <w:sz w:val="24"/>
                <w:szCs w:val="24"/>
                <w:lang w:val="en-US"/>
              </w:rPr>
              <w:t xml:space="preserve">. </w:t>
            </w:r>
            <w:r w:rsidRPr="00D9164F">
              <w:rPr>
                <w:rFonts w:ascii="Times New Roman" w:eastAsia="Times New Roman" w:hAnsi="Times New Roman" w:cs="Times New Roman"/>
                <w:i/>
                <w:iCs/>
                <w:color w:val="000000"/>
                <w:sz w:val="24"/>
                <w:szCs w:val="24"/>
                <w:lang w:val="en-US"/>
              </w:rPr>
              <w:t>Students’ Level of Filipino Grammar Mastery</w:t>
            </w:r>
            <w:r w:rsidRPr="00D9164F">
              <w:rPr>
                <w:rFonts w:ascii="Times New Roman" w:eastAsia="Times New Roman" w:hAnsi="Times New Roman" w:cs="Times New Roman"/>
                <w:color w:val="000000"/>
                <w:sz w:val="24"/>
                <w:szCs w:val="24"/>
                <w:lang w:val="en-US"/>
              </w:rPr>
              <w:t xml:space="preserve"> </w:t>
            </w:r>
            <w:r w:rsidRPr="00D9164F">
              <w:rPr>
                <w:rFonts w:ascii="Times New Roman" w:eastAsia="Times New Roman" w:hAnsi="Times New Roman" w:cs="Times New Roman"/>
                <w:i/>
                <w:iCs/>
                <w:color w:val="000000"/>
                <w:sz w:val="24"/>
                <w:szCs w:val="24"/>
                <w:lang w:val="en-US"/>
              </w:rPr>
              <w:t>Before the Intervention</w:t>
            </w:r>
          </w:p>
        </w:tc>
      </w:tr>
      <w:tr w:rsidR="00625192" w:rsidRPr="00D9164F" w:rsidTr="00625192">
        <w:trPr>
          <w:trHeight w:val="285"/>
        </w:trPr>
        <w:tc>
          <w:tcPr>
            <w:tcW w:w="0" w:type="auto"/>
            <w:gridSpan w:val="2"/>
            <w:tcBorders>
              <w:top w:val="single" w:sz="6" w:space="0" w:color="000000"/>
              <w:bottom w:val="single" w:sz="6" w:space="0" w:color="000000"/>
            </w:tcBorders>
            <w:tcMar>
              <w:top w:w="0" w:type="dxa"/>
              <w:left w:w="100" w:type="dxa"/>
              <w:bottom w:w="0" w:type="dxa"/>
              <w:right w:w="100" w:type="dxa"/>
            </w:tcMar>
            <w:vAlign w:val="bottom"/>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Range</w:t>
            </w:r>
          </w:p>
        </w:tc>
        <w:tc>
          <w:tcPr>
            <w:tcW w:w="0" w:type="auto"/>
            <w:gridSpan w:val="4"/>
            <w:tcBorders>
              <w:top w:val="single" w:sz="6" w:space="0" w:color="000000"/>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Groups</w:t>
            </w:r>
          </w:p>
        </w:tc>
        <w:tc>
          <w:tcPr>
            <w:tcW w:w="0" w:type="auto"/>
            <w:vMerge w:val="restart"/>
            <w:tcBorders>
              <w:top w:val="single" w:sz="6" w:space="0" w:color="000000"/>
              <w:bottom w:val="single" w:sz="6" w:space="0" w:color="000000"/>
            </w:tcBorders>
            <w:tcMar>
              <w:top w:w="0" w:type="dxa"/>
              <w:left w:w="100" w:type="dxa"/>
              <w:bottom w:w="0" w:type="dxa"/>
              <w:right w:w="100" w:type="dxa"/>
            </w:tcMar>
            <w:hideMark/>
          </w:tcPr>
          <w:p w:rsidR="000B2211" w:rsidRPr="00D9164F" w:rsidRDefault="000B2211" w:rsidP="000B2211">
            <w:pPr>
              <w:spacing w:after="0" w:line="240" w:lineRule="auto"/>
              <w:jc w:val="center"/>
              <w:rPr>
                <w:rFonts w:ascii="Times New Roman" w:eastAsia="Times New Roman" w:hAnsi="Times New Roman" w:cs="Times New Roman"/>
                <w:color w:val="000000"/>
                <w:sz w:val="24"/>
                <w:szCs w:val="24"/>
                <w:lang w:val="en-US"/>
              </w:rPr>
            </w:pPr>
          </w:p>
          <w:p w:rsidR="000C1450" w:rsidRPr="00D9164F" w:rsidRDefault="00625192" w:rsidP="000B2211">
            <w:pPr>
              <w:spacing w:after="0" w:line="240" w:lineRule="auto"/>
              <w:jc w:val="center"/>
              <w:rPr>
                <w:rFonts w:ascii="Times New Roman" w:eastAsia="Times New Roman" w:hAnsi="Times New Roman" w:cs="Times New Roman"/>
                <w:color w:val="000000"/>
                <w:sz w:val="24"/>
                <w:szCs w:val="24"/>
                <w:lang w:val="en-US"/>
              </w:rPr>
            </w:pPr>
            <w:r w:rsidRPr="00D9164F">
              <w:rPr>
                <w:rFonts w:ascii="Times New Roman" w:eastAsia="Times New Roman" w:hAnsi="Times New Roman" w:cs="Times New Roman"/>
                <w:color w:val="000000"/>
                <w:sz w:val="24"/>
                <w:szCs w:val="24"/>
                <w:lang w:val="en-US"/>
              </w:rPr>
              <w:t>Qualitative</w:t>
            </w:r>
          </w:p>
          <w:p w:rsidR="00625192" w:rsidRPr="00D9164F" w:rsidRDefault="00625192" w:rsidP="000C1450">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Interpretation</w:t>
            </w:r>
          </w:p>
        </w:tc>
      </w:tr>
      <w:tr w:rsidR="00625192" w:rsidRPr="00D9164F" w:rsidTr="00625192">
        <w:trPr>
          <w:trHeight w:val="285"/>
        </w:trPr>
        <w:tc>
          <w:tcPr>
            <w:tcW w:w="0" w:type="auto"/>
            <w:vMerge w:val="restart"/>
            <w:tcBorders>
              <w:top w:val="single" w:sz="6" w:space="0" w:color="000000"/>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 xml:space="preserve"> Raw Score</w:t>
            </w:r>
          </w:p>
        </w:tc>
        <w:tc>
          <w:tcPr>
            <w:tcW w:w="0" w:type="auto"/>
            <w:vMerge w:val="restart"/>
            <w:tcBorders>
              <w:top w:val="single" w:sz="6" w:space="0" w:color="000000"/>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w:t>
            </w:r>
          </w:p>
        </w:tc>
        <w:tc>
          <w:tcPr>
            <w:tcW w:w="0" w:type="auto"/>
            <w:gridSpan w:val="2"/>
            <w:tcBorders>
              <w:top w:val="single" w:sz="6" w:space="0" w:color="000000"/>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i/>
                <w:iCs/>
                <w:color w:val="000000"/>
                <w:sz w:val="24"/>
                <w:szCs w:val="24"/>
                <w:lang w:val="en-US"/>
              </w:rPr>
              <w:t>LARO-TALAS</w:t>
            </w:r>
          </w:p>
        </w:tc>
        <w:tc>
          <w:tcPr>
            <w:tcW w:w="0" w:type="auto"/>
            <w:gridSpan w:val="2"/>
            <w:tcBorders>
              <w:top w:val="single" w:sz="6" w:space="0" w:color="000000"/>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 xml:space="preserve">Non </w:t>
            </w:r>
            <w:r w:rsidRPr="00D9164F">
              <w:rPr>
                <w:rFonts w:ascii="Times New Roman" w:eastAsia="Times New Roman" w:hAnsi="Times New Roman" w:cs="Times New Roman"/>
                <w:i/>
                <w:iCs/>
                <w:color w:val="000000"/>
                <w:sz w:val="24"/>
                <w:szCs w:val="24"/>
                <w:lang w:val="en-US"/>
              </w:rPr>
              <w:t>LARO-TALAS</w:t>
            </w:r>
          </w:p>
        </w:tc>
        <w:tc>
          <w:tcPr>
            <w:tcW w:w="0" w:type="auto"/>
            <w:vMerge/>
            <w:tcBorders>
              <w:top w:val="single" w:sz="6" w:space="0" w:color="000000"/>
              <w:bottom w:val="single" w:sz="6" w:space="0" w:color="000000"/>
            </w:tcBorders>
            <w:vAlign w:val="center"/>
            <w:hideMark/>
          </w:tcPr>
          <w:p w:rsidR="00625192" w:rsidRPr="00D9164F" w:rsidRDefault="00625192" w:rsidP="00625192">
            <w:pPr>
              <w:spacing w:after="0" w:line="240" w:lineRule="auto"/>
              <w:rPr>
                <w:rFonts w:ascii="Times New Roman" w:eastAsia="Times New Roman" w:hAnsi="Times New Roman" w:cs="Times New Roman"/>
                <w:sz w:val="24"/>
                <w:szCs w:val="24"/>
                <w:lang w:val="en-US"/>
              </w:rPr>
            </w:pPr>
          </w:p>
        </w:tc>
      </w:tr>
      <w:tr w:rsidR="00625192" w:rsidRPr="00D9164F" w:rsidTr="00625192">
        <w:trPr>
          <w:trHeight w:val="285"/>
        </w:trPr>
        <w:tc>
          <w:tcPr>
            <w:tcW w:w="0" w:type="auto"/>
            <w:vMerge/>
            <w:tcBorders>
              <w:top w:val="single" w:sz="6" w:space="0" w:color="000000"/>
              <w:bottom w:val="single" w:sz="6" w:space="0" w:color="000000"/>
            </w:tcBorders>
            <w:vAlign w:val="center"/>
            <w:hideMark/>
          </w:tcPr>
          <w:p w:rsidR="00625192" w:rsidRPr="00D9164F" w:rsidRDefault="00625192" w:rsidP="00625192">
            <w:pPr>
              <w:spacing w:after="0" w:line="240" w:lineRule="auto"/>
              <w:rPr>
                <w:rFonts w:ascii="Times New Roman" w:eastAsia="Times New Roman" w:hAnsi="Times New Roman" w:cs="Times New Roman"/>
                <w:sz w:val="24"/>
                <w:szCs w:val="24"/>
                <w:lang w:val="en-US"/>
              </w:rPr>
            </w:pPr>
          </w:p>
        </w:tc>
        <w:tc>
          <w:tcPr>
            <w:tcW w:w="0" w:type="auto"/>
            <w:vMerge/>
            <w:tcBorders>
              <w:top w:val="single" w:sz="6" w:space="0" w:color="000000"/>
              <w:bottom w:val="single" w:sz="6" w:space="0" w:color="000000"/>
            </w:tcBorders>
            <w:vAlign w:val="center"/>
            <w:hideMark/>
          </w:tcPr>
          <w:p w:rsidR="00625192" w:rsidRPr="00D9164F" w:rsidRDefault="00625192" w:rsidP="00625192">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n</w:t>
            </w:r>
          </w:p>
        </w:tc>
        <w:tc>
          <w:tcPr>
            <w:tcW w:w="0" w:type="auto"/>
            <w:tcBorders>
              <w:top w:val="single" w:sz="6" w:space="0" w:color="000000"/>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w:t>
            </w:r>
          </w:p>
        </w:tc>
        <w:tc>
          <w:tcPr>
            <w:tcW w:w="0" w:type="auto"/>
            <w:tcBorders>
              <w:top w:val="single" w:sz="6" w:space="0" w:color="000000"/>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n</w:t>
            </w:r>
          </w:p>
        </w:tc>
        <w:tc>
          <w:tcPr>
            <w:tcW w:w="0" w:type="auto"/>
            <w:tcBorders>
              <w:top w:val="single" w:sz="6" w:space="0" w:color="000000"/>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w:t>
            </w:r>
          </w:p>
        </w:tc>
        <w:tc>
          <w:tcPr>
            <w:tcW w:w="0" w:type="auto"/>
            <w:vMerge/>
            <w:tcBorders>
              <w:top w:val="single" w:sz="6" w:space="0" w:color="000000"/>
              <w:bottom w:val="single" w:sz="6" w:space="0" w:color="000000"/>
            </w:tcBorders>
            <w:vAlign w:val="center"/>
            <w:hideMark/>
          </w:tcPr>
          <w:p w:rsidR="00625192" w:rsidRPr="00D9164F" w:rsidRDefault="00625192" w:rsidP="00625192">
            <w:pPr>
              <w:spacing w:after="0" w:line="240" w:lineRule="auto"/>
              <w:rPr>
                <w:rFonts w:ascii="Times New Roman" w:eastAsia="Times New Roman" w:hAnsi="Times New Roman" w:cs="Times New Roman"/>
                <w:sz w:val="24"/>
                <w:szCs w:val="24"/>
                <w:lang w:val="en-US"/>
              </w:rPr>
            </w:pPr>
          </w:p>
        </w:tc>
      </w:tr>
      <w:tr w:rsidR="00625192" w:rsidRPr="00D9164F" w:rsidTr="00625192">
        <w:trPr>
          <w:trHeight w:val="285"/>
        </w:trPr>
        <w:tc>
          <w:tcPr>
            <w:tcW w:w="0" w:type="auto"/>
            <w:tcBorders>
              <w:top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36-40</w:t>
            </w:r>
          </w:p>
        </w:tc>
        <w:tc>
          <w:tcPr>
            <w:tcW w:w="0" w:type="auto"/>
            <w:tcBorders>
              <w:top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90-100</w:t>
            </w:r>
          </w:p>
        </w:tc>
        <w:tc>
          <w:tcPr>
            <w:tcW w:w="0" w:type="auto"/>
            <w:tcBorders>
              <w:top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0</w:t>
            </w:r>
          </w:p>
        </w:tc>
        <w:tc>
          <w:tcPr>
            <w:tcW w:w="0" w:type="auto"/>
            <w:tcBorders>
              <w:top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0.00</w:t>
            </w:r>
          </w:p>
        </w:tc>
        <w:tc>
          <w:tcPr>
            <w:tcW w:w="0" w:type="auto"/>
            <w:tcBorders>
              <w:top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0</w:t>
            </w:r>
          </w:p>
        </w:tc>
        <w:tc>
          <w:tcPr>
            <w:tcW w:w="0" w:type="auto"/>
            <w:tcBorders>
              <w:top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0.00</w:t>
            </w:r>
          </w:p>
        </w:tc>
        <w:tc>
          <w:tcPr>
            <w:tcW w:w="0" w:type="auto"/>
            <w:tcBorders>
              <w:top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Very High</w:t>
            </w:r>
          </w:p>
        </w:tc>
      </w:tr>
      <w:tr w:rsidR="00625192" w:rsidRPr="00D9164F" w:rsidTr="00625192">
        <w:trPr>
          <w:trHeight w:val="270"/>
        </w:trPr>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34-35</w:t>
            </w:r>
          </w:p>
        </w:tc>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85-89</w:t>
            </w:r>
          </w:p>
        </w:tc>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0</w:t>
            </w:r>
          </w:p>
        </w:tc>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0.00</w:t>
            </w:r>
          </w:p>
        </w:tc>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0</w:t>
            </w:r>
          </w:p>
        </w:tc>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0.00</w:t>
            </w:r>
          </w:p>
        </w:tc>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High</w:t>
            </w:r>
          </w:p>
        </w:tc>
      </w:tr>
      <w:tr w:rsidR="00625192" w:rsidRPr="00D9164F" w:rsidTr="00625192">
        <w:trPr>
          <w:trHeight w:val="270"/>
        </w:trPr>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32-33</w:t>
            </w:r>
          </w:p>
        </w:tc>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80-84</w:t>
            </w:r>
          </w:p>
        </w:tc>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1</w:t>
            </w:r>
          </w:p>
        </w:tc>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2.44</w:t>
            </w:r>
          </w:p>
        </w:tc>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0</w:t>
            </w:r>
          </w:p>
        </w:tc>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0.00</w:t>
            </w:r>
          </w:p>
        </w:tc>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Moderate</w:t>
            </w:r>
          </w:p>
        </w:tc>
      </w:tr>
      <w:tr w:rsidR="00625192" w:rsidRPr="00D9164F" w:rsidTr="00625192">
        <w:trPr>
          <w:trHeight w:val="270"/>
        </w:trPr>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30-31</w:t>
            </w:r>
          </w:p>
        </w:tc>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75-79</w:t>
            </w:r>
          </w:p>
        </w:tc>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2</w:t>
            </w:r>
          </w:p>
        </w:tc>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4.88</w:t>
            </w:r>
          </w:p>
        </w:tc>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1</w:t>
            </w:r>
          </w:p>
        </w:tc>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2.44</w:t>
            </w:r>
          </w:p>
        </w:tc>
        <w:tc>
          <w:tcPr>
            <w:tcW w:w="0" w:type="auto"/>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Low</w:t>
            </w:r>
          </w:p>
        </w:tc>
      </w:tr>
      <w:tr w:rsidR="00625192" w:rsidRPr="00D9164F" w:rsidTr="00625192">
        <w:trPr>
          <w:trHeight w:val="285"/>
        </w:trPr>
        <w:tc>
          <w:tcPr>
            <w:tcW w:w="0" w:type="auto"/>
            <w:tcBorders>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0-29</w:t>
            </w:r>
          </w:p>
        </w:tc>
        <w:tc>
          <w:tcPr>
            <w:tcW w:w="0" w:type="auto"/>
            <w:tcBorders>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Below 75</w:t>
            </w:r>
          </w:p>
        </w:tc>
        <w:tc>
          <w:tcPr>
            <w:tcW w:w="0" w:type="auto"/>
            <w:tcBorders>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38</w:t>
            </w:r>
          </w:p>
        </w:tc>
        <w:tc>
          <w:tcPr>
            <w:tcW w:w="0" w:type="auto"/>
            <w:tcBorders>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92.68</w:t>
            </w:r>
          </w:p>
        </w:tc>
        <w:tc>
          <w:tcPr>
            <w:tcW w:w="0" w:type="auto"/>
            <w:tcBorders>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40</w:t>
            </w:r>
          </w:p>
        </w:tc>
        <w:tc>
          <w:tcPr>
            <w:tcW w:w="0" w:type="auto"/>
            <w:tcBorders>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97.56</w:t>
            </w:r>
          </w:p>
        </w:tc>
        <w:tc>
          <w:tcPr>
            <w:tcW w:w="0" w:type="auto"/>
            <w:tcBorders>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Very Low</w:t>
            </w:r>
          </w:p>
        </w:tc>
      </w:tr>
      <w:tr w:rsidR="00625192" w:rsidRPr="00D9164F" w:rsidTr="00625192">
        <w:trPr>
          <w:trHeight w:val="285"/>
        </w:trPr>
        <w:tc>
          <w:tcPr>
            <w:tcW w:w="0" w:type="auto"/>
            <w:gridSpan w:val="2"/>
            <w:tcBorders>
              <w:top w:val="single" w:sz="6" w:space="0" w:color="000000"/>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Total</w:t>
            </w:r>
          </w:p>
        </w:tc>
        <w:tc>
          <w:tcPr>
            <w:tcW w:w="0" w:type="auto"/>
            <w:tcBorders>
              <w:top w:val="single" w:sz="6" w:space="0" w:color="000000"/>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41</w:t>
            </w:r>
          </w:p>
        </w:tc>
        <w:tc>
          <w:tcPr>
            <w:tcW w:w="0" w:type="auto"/>
            <w:tcBorders>
              <w:top w:val="single" w:sz="6" w:space="0" w:color="000000"/>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100.00</w:t>
            </w:r>
          </w:p>
        </w:tc>
        <w:tc>
          <w:tcPr>
            <w:tcW w:w="0" w:type="auto"/>
            <w:tcBorders>
              <w:top w:val="single" w:sz="6" w:space="0" w:color="000000"/>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41</w:t>
            </w:r>
          </w:p>
        </w:tc>
        <w:tc>
          <w:tcPr>
            <w:tcW w:w="0" w:type="auto"/>
            <w:tcBorders>
              <w:top w:val="single" w:sz="6" w:space="0" w:color="000000"/>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100.00</w:t>
            </w:r>
          </w:p>
        </w:tc>
        <w:tc>
          <w:tcPr>
            <w:tcW w:w="0" w:type="auto"/>
            <w:tcBorders>
              <w:top w:val="single" w:sz="6" w:space="0" w:color="000000"/>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 </w:t>
            </w:r>
          </w:p>
        </w:tc>
      </w:tr>
      <w:tr w:rsidR="00625192" w:rsidRPr="00D9164F" w:rsidTr="00625192">
        <w:trPr>
          <w:trHeight w:val="285"/>
        </w:trPr>
        <w:tc>
          <w:tcPr>
            <w:tcW w:w="0" w:type="auto"/>
            <w:gridSpan w:val="2"/>
            <w:tcBorders>
              <w:top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Mean</w:t>
            </w:r>
          </w:p>
        </w:tc>
        <w:tc>
          <w:tcPr>
            <w:tcW w:w="0" w:type="auto"/>
            <w:gridSpan w:val="2"/>
            <w:tcBorders>
              <w:top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 xml:space="preserve">       18.83</w:t>
            </w:r>
          </w:p>
        </w:tc>
        <w:tc>
          <w:tcPr>
            <w:tcW w:w="0" w:type="auto"/>
            <w:gridSpan w:val="2"/>
            <w:tcBorders>
              <w:top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 xml:space="preserve">          18.63</w:t>
            </w:r>
          </w:p>
        </w:tc>
        <w:tc>
          <w:tcPr>
            <w:tcW w:w="0" w:type="auto"/>
            <w:tcBorders>
              <w:top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 </w:t>
            </w:r>
          </w:p>
        </w:tc>
      </w:tr>
      <w:tr w:rsidR="00625192" w:rsidRPr="00D9164F" w:rsidTr="00625192">
        <w:trPr>
          <w:trHeight w:val="285"/>
        </w:trPr>
        <w:tc>
          <w:tcPr>
            <w:tcW w:w="0" w:type="auto"/>
            <w:gridSpan w:val="2"/>
            <w:tcBorders>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MPS</w:t>
            </w:r>
          </w:p>
        </w:tc>
        <w:tc>
          <w:tcPr>
            <w:tcW w:w="0" w:type="auto"/>
            <w:gridSpan w:val="2"/>
            <w:tcBorders>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 xml:space="preserve">          Very Low</w:t>
            </w:r>
          </w:p>
        </w:tc>
        <w:tc>
          <w:tcPr>
            <w:tcW w:w="0" w:type="auto"/>
            <w:gridSpan w:val="2"/>
            <w:tcBorders>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 xml:space="preserve">           Very Low</w:t>
            </w:r>
          </w:p>
        </w:tc>
        <w:tc>
          <w:tcPr>
            <w:tcW w:w="0" w:type="auto"/>
            <w:tcBorders>
              <w:bottom w:val="single" w:sz="6" w:space="0" w:color="000000"/>
            </w:tcBorders>
            <w:tcMar>
              <w:top w:w="0" w:type="dxa"/>
              <w:left w:w="100" w:type="dxa"/>
              <w:bottom w:w="0" w:type="dxa"/>
              <w:right w:w="100" w:type="dxa"/>
            </w:tcMar>
            <w:hideMark/>
          </w:tcPr>
          <w:p w:rsidR="00625192" w:rsidRPr="00D9164F" w:rsidRDefault="00625192" w:rsidP="00625192">
            <w:pPr>
              <w:spacing w:after="0" w:line="240" w:lineRule="auto"/>
              <w:jc w:val="center"/>
              <w:rPr>
                <w:rFonts w:ascii="Times New Roman" w:eastAsia="Times New Roman" w:hAnsi="Times New Roman" w:cs="Times New Roman"/>
                <w:sz w:val="24"/>
                <w:szCs w:val="24"/>
                <w:lang w:val="en-US"/>
              </w:rPr>
            </w:pPr>
            <w:r w:rsidRPr="00D9164F">
              <w:rPr>
                <w:rFonts w:ascii="Times New Roman" w:eastAsia="Times New Roman" w:hAnsi="Times New Roman" w:cs="Times New Roman"/>
                <w:color w:val="000000"/>
                <w:sz w:val="24"/>
                <w:szCs w:val="24"/>
                <w:lang w:val="en-US"/>
              </w:rPr>
              <w:t> </w:t>
            </w:r>
          </w:p>
        </w:tc>
      </w:tr>
    </w:tbl>
    <w:p w:rsidR="00625192" w:rsidRPr="00D9164F" w:rsidRDefault="00625192" w:rsidP="00625192">
      <w:pPr>
        <w:spacing w:after="0" w:line="240" w:lineRule="auto"/>
        <w:rPr>
          <w:rFonts w:ascii="Times New Roman" w:eastAsia="Times New Roman" w:hAnsi="Times New Roman" w:cs="Times New Roman"/>
          <w:sz w:val="24"/>
          <w:szCs w:val="24"/>
          <w:lang w:val="en-US"/>
        </w:rPr>
      </w:pPr>
    </w:p>
    <w:p w:rsidR="000B2211" w:rsidRPr="00D9164F" w:rsidRDefault="000C1450" w:rsidP="000C1450">
      <w:pPr>
        <w:spacing w:line="240" w:lineRule="auto"/>
        <w:jc w:val="both"/>
        <w:rPr>
          <w:rFonts w:ascii="Times New Roman" w:hAnsi="Times New Roman" w:cs="Times New Roman"/>
          <w:sz w:val="24"/>
          <w:szCs w:val="24"/>
        </w:rPr>
      </w:pPr>
      <w:r w:rsidRPr="00D9164F">
        <w:rPr>
          <w:rFonts w:ascii="Times New Roman" w:hAnsi="Times New Roman" w:cs="Times New Roman"/>
          <w:sz w:val="24"/>
          <w:szCs w:val="24"/>
        </w:rPr>
        <w:t xml:space="preserve">The </w:t>
      </w:r>
      <w:r w:rsidRPr="00D9164F">
        <w:rPr>
          <w:rFonts w:ascii="Times New Roman" w:hAnsi="Times New Roman" w:cs="Times New Roman"/>
          <w:i/>
          <w:sz w:val="24"/>
          <w:szCs w:val="24"/>
        </w:rPr>
        <w:t>LARO-TALAS</w:t>
      </w:r>
      <w:r w:rsidRPr="00D9164F">
        <w:rPr>
          <w:rFonts w:ascii="Times New Roman" w:hAnsi="Times New Roman" w:cs="Times New Roman"/>
          <w:sz w:val="24"/>
          <w:szCs w:val="24"/>
        </w:rPr>
        <w:t xml:space="preserve"> group had a pre-test mean score of 18.83, indicating very low mastery of Filipino grammar. The </w:t>
      </w:r>
      <w:r w:rsidRPr="00D9164F">
        <w:rPr>
          <w:rFonts w:ascii="Times New Roman" w:hAnsi="Times New Roman" w:cs="Times New Roman"/>
          <w:i/>
          <w:sz w:val="24"/>
          <w:szCs w:val="24"/>
        </w:rPr>
        <w:t>Non-LARO-TALAS</w:t>
      </w:r>
      <w:r w:rsidRPr="00D9164F">
        <w:rPr>
          <w:rFonts w:ascii="Times New Roman" w:hAnsi="Times New Roman" w:cs="Times New Roman"/>
          <w:sz w:val="24"/>
          <w:szCs w:val="24"/>
        </w:rPr>
        <w:t xml:space="preserve"> group scored similarly at 18.63, showing comparable baseline proficiency between groups.</w:t>
      </w:r>
    </w:p>
    <w:p w:rsidR="000C1450" w:rsidRPr="00D9164F" w:rsidRDefault="000C1450" w:rsidP="000C1450">
      <w:pPr>
        <w:spacing w:line="240" w:lineRule="auto"/>
        <w:jc w:val="both"/>
        <w:rPr>
          <w:rFonts w:ascii="Times New Roman" w:hAnsi="Times New Roman" w:cs="Times New Roman"/>
          <w:sz w:val="24"/>
          <w:szCs w:val="24"/>
        </w:rPr>
      </w:pPr>
      <w:r w:rsidRPr="00D9164F">
        <w:rPr>
          <w:rFonts w:ascii="Times New Roman" w:hAnsi="Times New Roman" w:cs="Times New Roman"/>
          <w:sz w:val="24"/>
          <w:szCs w:val="24"/>
        </w:rPr>
        <w:br/>
        <w:t>Distribution analysis revealed that in the LARO-TALAS group, 38 out of 41 students (93%) scored 0-29 (very low mastery), while 3 scored 30-31 (low mastery). In the Non-LARO-TALAS group, 40 out of 41 (98%) scored 0-29 (very low), and only 1 scored 30-31 (low). No students in either group achieved very high proficiency.</w:t>
      </w:r>
    </w:p>
    <w:p w:rsidR="00625192" w:rsidRDefault="000C1450" w:rsidP="00D9164F">
      <w:pPr>
        <w:spacing w:line="240" w:lineRule="auto"/>
        <w:jc w:val="both"/>
        <w:rPr>
          <w:rFonts w:ascii="Times New Roman" w:eastAsia="Times New Roman" w:hAnsi="Times New Roman" w:cs="Times New Roman"/>
          <w:sz w:val="24"/>
          <w:szCs w:val="24"/>
          <w:lang w:val="en-US"/>
        </w:rPr>
      </w:pPr>
      <w:r w:rsidRPr="00D9164F">
        <w:rPr>
          <w:rFonts w:ascii="Times New Roman" w:hAnsi="Times New Roman" w:cs="Times New Roman"/>
          <w:sz w:val="24"/>
          <w:szCs w:val="24"/>
        </w:rPr>
        <w:br/>
        <w:t>These results highlight the need for intervention to improve students' Filipino grammar mastery. Local studies support this finding: Agni et al. (2025) identified grammar and spelling as persistent challenges among Filipino learners, emphasizing the need for structured instructional activities. Similarly, Potane and Sacal (2023) noted that grammar mastery remains a continuing issue affecting students' language proficiency, particularly in writing and communication skills.</w:t>
      </w:r>
    </w:p>
    <w:p w:rsidR="00D9164F" w:rsidRDefault="00D9164F" w:rsidP="00625192">
      <w:pPr>
        <w:spacing w:after="0" w:line="240" w:lineRule="auto"/>
        <w:rPr>
          <w:rFonts w:ascii="Times New Roman" w:eastAsia="Times New Roman" w:hAnsi="Times New Roman" w:cs="Times New Roman"/>
          <w:sz w:val="24"/>
          <w:szCs w:val="24"/>
          <w:lang w:val="en-US"/>
        </w:rPr>
      </w:pPr>
    </w:p>
    <w:p w:rsidR="00D9164F" w:rsidRDefault="00D9164F" w:rsidP="00625192">
      <w:pPr>
        <w:spacing w:after="0" w:line="240" w:lineRule="auto"/>
        <w:rPr>
          <w:rFonts w:ascii="Times New Roman" w:eastAsia="Times New Roman" w:hAnsi="Times New Roman" w:cs="Times New Roman"/>
          <w:sz w:val="24"/>
          <w:szCs w:val="24"/>
          <w:lang w:val="en-US"/>
        </w:rPr>
      </w:pPr>
    </w:p>
    <w:p w:rsidR="00D9164F" w:rsidRDefault="00D9164F" w:rsidP="00625192">
      <w:pPr>
        <w:spacing w:after="0" w:line="240" w:lineRule="auto"/>
        <w:rPr>
          <w:rFonts w:ascii="Times New Roman" w:eastAsia="Times New Roman" w:hAnsi="Times New Roman" w:cs="Times New Roman"/>
          <w:sz w:val="24"/>
          <w:szCs w:val="24"/>
          <w:lang w:val="en-US"/>
        </w:rPr>
      </w:pPr>
    </w:p>
    <w:p w:rsidR="00D9164F" w:rsidRDefault="00D9164F" w:rsidP="00625192">
      <w:pPr>
        <w:spacing w:after="0" w:line="240" w:lineRule="auto"/>
        <w:rPr>
          <w:rFonts w:ascii="Times New Roman" w:eastAsia="Times New Roman" w:hAnsi="Times New Roman" w:cs="Times New Roman"/>
          <w:sz w:val="24"/>
          <w:szCs w:val="24"/>
          <w:lang w:val="en-US"/>
        </w:rPr>
      </w:pPr>
    </w:p>
    <w:p w:rsidR="00D9164F" w:rsidRPr="00D9164F" w:rsidRDefault="00D9164F" w:rsidP="00625192">
      <w:pPr>
        <w:spacing w:after="0" w:line="240" w:lineRule="auto"/>
        <w:rPr>
          <w:rFonts w:ascii="Times New Roman" w:eastAsia="Times New Roman" w:hAnsi="Times New Roman" w:cs="Times New Roman"/>
          <w:sz w:val="24"/>
          <w:szCs w:val="24"/>
          <w:lang w:val="en-US"/>
        </w:rPr>
      </w:pPr>
    </w:p>
    <w:p w:rsidR="00D9164F" w:rsidRDefault="00D9164F" w:rsidP="000B2211">
      <w:pPr>
        <w:rPr>
          <w:rFonts w:ascii="Times New Roman" w:hAnsi="Times New Roman" w:cs="Times New Roman"/>
          <w:sz w:val="24"/>
          <w:szCs w:val="24"/>
        </w:rPr>
      </w:pPr>
    </w:p>
    <w:tbl>
      <w:tblPr>
        <w:tblpPr w:leftFromText="180" w:rightFromText="180" w:vertAnchor="page" w:horzAnchor="margin" w:tblpY="1741"/>
        <w:tblW w:w="0" w:type="auto"/>
        <w:tblLook w:val="04A0" w:firstRow="1" w:lastRow="0" w:firstColumn="1" w:lastColumn="0" w:noHBand="0" w:noVBand="1"/>
      </w:tblPr>
      <w:tblGrid>
        <w:gridCol w:w="1249"/>
        <w:gridCol w:w="1268"/>
        <w:gridCol w:w="1242"/>
        <w:gridCol w:w="1192"/>
        <w:gridCol w:w="1242"/>
        <w:gridCol w:w="1192"/>
        <w:gridCol w:w="1631"/>
      </w:tblGrid>
      <w:tr w:rsidR="00D9164F" w:rsidTr="00D9164F">
        <w:tc>
          <w:tcPr>
            <w:tcW w:w="9016" w:type="dxa"/>
            <w:gridSpan w:val="7"/>
            <w:tcBorders>
              <w:bottom w:val="single" w:sz="4" w:space="0" w:color="auto"/>
            </w:tcBorders>
            <w:vAlign w:val="center"/>
          </w:tcPr>
          <w:p w:rsidR="00D9164F" w:rsidRDefault="00D9164F" w:rsidP="00D9164F">
            <w:pPr>
              <w:spacing w:after="0" w:line="240" w:lineRule="auto"/>
              <w:rPr>
                <w:rFonts w:ascii="Arial" w:hAnsi="Arial" w:cs="Arial"/>
                <w:b/>
                <w:bCs/>
              </w:rPr>
            </w:pPr>
          </w:p>
          <w:p w:rsidR="00D9164F" w:rsidRDefault="00D9164F" w:rsidP="00D9164F">
            <w:pPr>
              <w:spacing w:after="0" w:line="240" w:lineRule="auto"/>
              <w:rPr>
                <w:rFonts w:ascii="Arial" w:hAnsi="Arial" w:cs="Arial"/>
              </w:rPr>
            </w:pPr>
            <w:r>
              <w:rPr>
                <w:rFonts w:ascii="Arial" w:hAnsi="Arial" w:cs="Arial"/>
                <w:b/>
                <w:bCs/>
              </w:rPr>
              <w:t>Table 2</w:t>
            </w:r>
            <w:r>
              <w:rPr>
                <w:rFonts w:ascii="Arial" w:hAnsi="Arial" w:cs="Arial"/>
              </w:rPr>
              <w:t xml:space="preserve">. </w:t>
            </w:r>
            <w:r>
              <w:rPr>
                <w:rFonts w:ascii="Arial" w:eastAsiaTheme="minorEastAsia" w:hAnsi="Arial" w:cs="Arial"/>
                <w:i/>
                <w:iCs/>
              </w:rPr>
              <w:t>Students’ Level of Filipino Grammar Mastery</w:t>
            </w:r>
            <w:r>
              <w:rPr>
                <w:rFonts w:ascii="Arial" w:eastAsiaTheme="minorEastAsia" w:hAnsi="Arial" w:cs="Arial"/>
              </w:rPr>
              <w:t xml:space="preserve"> </w:t>
            </w:r>
            <w:r>
              <w:rPr>
                <w:rFonts w:ascii="Arial" w:hAnsi="Arial" w:cs="Arial"/>
                <w:i/>
                <w:iCs/>
              </w:rPr>
              <w:t xml:space="preserve">After the Intervention </w:t>
            </w:r>
          </w:p>
        </w:tc>
      </w:tr>
      <w:tr w:rsidR="00D9164F" w:rsidTr="00D9164F">
        <w:trPr>
          <w:trHeight w:val="107"/>
        </w:trPr>
        <w:tc>
          <w:tcPr>
            <w:tcW w:w="2517" w:type="dxa"/>
            <w:gridSpan w:val="2"/>
            <w:tcBorders>
              <w:top w:val="single" w:sz="4" w:space="0" w:color="auto"/>
              <w:bottom w:val="single" w:sz="4" w:space="0" w:color="auto"/>
            </w:tcBorders>
            <w:vAlign w:val="bottom"/>
          </w:tcPr>
          <w:p w:rsidR="00D9164F" w:rsidRDefault="00D9164F" w:rsidP="00D9164F">
            <w:pPr>
              <w:spacing w:after="0" w:line="240" w:lineRule="auto"/>
              <w:jc w:val="center"/>
              <w:rPr>
                <w:rFonts w:ascii="Arial" w:hAnsi="Arial" w:cs="Arial"/>
              </w:rPr>
            </w:pPr>
            <w:r>
              <w:rPr>
                <w:rFonts w:ascii="Arial" w:hAnsi="Arial" w:cs="Arial"/>
              </w:rPr>
              <w:t>Range</w:t>
            </w:r>
          </w:p>
        </w:tc>
        <w:tc>
          <w:tcPr>
            <w:tcW w:w="4868" w:type="dxa"/>
            <w:gridSpan w:val="4"/>
            <w:tcBorders>
              <w:top w:val="single" w:sz="4" w:space="0" w:color="auto"/>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Groups</w:t>
            </w:r>
          </w:p>
        </w:tc>
        <w:tc>
          <w:tcPr>
            <w:tcW w:w="1631" w:type="dxa"/>
            <w:vMerge w:val="restart"/>
            <w:tcBorders>
              <w:top w:val="single" w:sz="4" w:space="0" w:color="auto"/>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Qualitative Interpretation</w:t>
            </w:r>
          </w:p>
        </w:tc>
      </w:tr>
      <w:tr w:rsidR="00D9164F" w:rsidTr="00D9164F">
        <w:trPr>
          <w:trHeight w:val="108"/>
        </w:trPr>
        <w:tc>
          <w:tcPr>
            <w:tcW w:w="1249" w:type="dxa"/>
            <w:vMerge w:val="restart"/>
            <w:tcBorders>
              <w:top w:val="single" w:sz="4" w:space="0" w:color="auto"/>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 xml:space="preserve"> Raw Score</w:t>
            </w:r>
          </w:p>
        </w:tc>
        <w:tc>
          <w:tcPr>
            <w:tcW w:w="1268" w:type="dxa"/>
            <w:vMerge w:val="restart"/>
            <w:tcBorders>
              <w:top w:val="single" w:sz="4" w:space="0" w:color="auto"/>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Grading Scale</w:t>
            </w:r>
          </w:p>
        </w:tc>
        <w:tc>
          <w:tcPr>
            <w:tcW w:w="2434" w:type="dxa"/>
            <w:gridSpan w:val="2"/>
            <w:tcBorders>
              <w:top w:val="single" w:sz="4" w:space="0" w:color="auto"/>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Experimental</w:t>
            </w:r>
          </w:p>
        </w:tc>
        <w:tc>
          <w:tcPr>
            <w:tcW w:w="2434" w:type="dxa"/>
            <w:gridSpan w:val="2"/>
            <w:tcBorders>
              <w:top w:val="single" w:sz="4" w:space="0" w:color="auto"/>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Control</w:t>
            </w:r>
          </w:p>
        </w:tc>
        <w:tc>
          <w:tcPr>
            <w:tcW w:w="1631" w:type="dxa"/>
            <w:vMerge/>
            <w:tcBorders>
              <w:bottom w:val="single" w:sz="4" w:space="0" w:color="auto"/>
            </w:tcBorders>
            <w:vAlign w:val="center"/>
          </w:tcPr>
          <w:p w:rsidR="00D9164F" w:rsidRDefault="00D9164F" w:rsidP="00D9164F">
            <w:pPr>
              <w:spacing w:after="0" w:line="240" w:lineRule="auto"/>
              <w:jc w:val="center"/>
              <w:rPr>
                <w:rFonts w:ascii="Arial" w:hAnsi="Arial" w:cs="Arial"/>
              </w:rPr>
            </w:pPr>
          </w:p>
        </w:tc>
      </w:tr>
      <w:tr w:rsidR="00D9164F" w:rsidTr="00D9164F">
        <w:trPr>
          <w:trHeight w:val="80"/>
        </w:trPr>
        <w:tc>
          <w:tcPr>
            <w:tcW w:w="1249" w:type="dxa"/>
            <w:vMerge/>
            <w:tcBorders>
              <w:bottom w:val="single" w:sz="4" w:space="0" w:color="auto"/>
            </w:tcBorders>
            <w:vAlign w:val="center"/>
          </w:tcPr>
          <w:p w:rsidR="00D9164F" w:rsidRDefault="00D9164F" w:rsidP="00D9164F">
            <w:pPr>
              <w:spacing w:after="0" w:line="240" w:lineRule="auto"/>
              <w:jc w:val="center"/>
              <w:rPr>
                <w:rFonts w:ascii="Arial" w:hAnsi="Arial" w:cs="Arial"/>
              </w:rPr>
            </w:pPr>
          </w:p>
        </w:tc>
        <w:tc>
          <w:tcPr>
            <w:tcW w:w="1268" w:type="dxa"/>
            <w:vMerge/>
            <w:tcBorders>
              <w:top w:val="single" w:sz="4" w:space="0" w:color="auto"/>
              <w:bottom w:val="single" w:sz="4" w:space="0" w:color="auto"/>
            </w:tcBorders>
            <w:vAlign w:val="center"/>
          </w:tcPr>
          <w:p w:rsidR="00D9164F" w:rsidRDefault="00D9164F" w:rsidP="00D9164F">
            <w:pPr>
              <w:spacing w:after="0" w:line="240" w:lineRule="auto"/>
              <w:jc w:val="center"/>
              <w:rPr>
                <w:rFonts w:ascii="Arial" w:hAnsi="Arial" w:cs="Arial"/>
              </w:rPr>
            </w:pPr>
          </w:p>
        </w:tc>
        <w:tc>
          <w:tcPr>
            <w:tcW w:w="1242" w:type="dxa"/>
            <w:tcBorders>
              <w:top w:val="single" w:sz="4" w:space="0" w:color="auto"/>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n</w:t>
            </w:r>
          </w:p>
        </w:tc>
        <w:tc>
          <w:tcPr>
            <w:tcW w:w="1192" w:type="dxa"/>
            <w:tcBorders>
              <w:top w:val="single" w:sz="4" w:space="0" w:color="auto"/>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w:t>
            </w:r>
          </w:p>
        </w:tc>
        <w:tc>
          <w:tcPr>
            <w:tcW w:w="1242" w:type="dxa"/>
            <w:tcBorders>
              <w:top w:val="single" w:sz="4" w:space="0" w:color="auto"/>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n</w:t>
            </w:r>
          </w:p>
        </w:tc>
        <w:tc>
          <w:tcPr>
            <w:tcW w:w="1192" w:type="dxa"/>
            <w:tcBorders>
              <w:top w:val="single" w:sz="4" w:space="0" w:color="auto"/>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w:t>
            </w:r>
          </w:p>
        </w:tc>
        <w:tc>
          <w:tcPr>
            <w:tcW w:w="1631" w:type="dxa"/>
            <w:vMerge/>
            <w:tcBorders>
              <w:bottom w:val="single" w:sz="4" w:space="0" w:color="auto"/>
            </w:tcBorders>
            <w:vAlign w:val="center"/>
          </w:tcPr>
          <w:p w:rsidR="00D9164F" w:rsidRDefault="00D9164F" w:rsidP="00D9164F">
            <w:pPr>
              <w:spacing w:after="0" w:line="240" w:lineRule="auto"/>
              <w:jc w:val="center"/>
              <w:rPr>
                <w:rFonts w:ascii="Arial" w:hAnsi="Arial" w:cs="Arial"/>
              </w:rPr>
            </w:pPr>
          </w:p>
        </w:tc>
      </w:tr>
      <w:tr w:rsidR="00D9164F" w:rsidTr="00D9164F">
        <w:tc>
          <w:tcPr>
            <w:tcW w:w="1249" w:type="dxa"/>
            <w:tcBorders>
              <w:top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36-40</w:t>
            </w:r>
          </w:p>
        </w:tc>
        <w:tc>
          <w:tcPr>
            <w:tcW w:w="1268" w:type="dxa"/>
            <w:tcBorders>
              <w:top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90-100</w:t>
            </w:r>
          </w:p>
        </w:tc>
        <w:tc>
          <w:tcPr>
            <w:tcW w:w="1242" w:type="dxa"/>
            <w:tcBorders>
              <w:top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19</w:t>
            </w:r>
          </w:p>
        </w:tc>
        <w:tc>
          <w:tcPr>
            <w:tcW w:w="1192" w:type="dxa"/>
            <w:tcBorders>
              <w:top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46.34</w:t>
            </w:r>
          </w:p>
        </w:tc>
        <w:tc>
          <w:tcPr>
            <w:tcW w:w="1242" w:type="dxa"/>
            <w:tcBorders>
              <w:top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3</w:t>
            </w:r>
          </w:p>
        </w:tc>
        <w:tc>
          <w:tcPr>
            <w:tcW w:w="1192" w:type="dxa"/>
            <w:tcBorders>
              <w:top w:val="single" w:sz="4" w:space="0" w:color="auto"/>
            </w:tcBorders>
            <w:vAlign w:val="bottom"/>
          </w:tcPr>
          <w:p w:rsidR="00D9164F" w:rsidRDefault="00D9164F" w:rsidP="00D9164F">
            <w:pPr>
              <w:spacing w:after="0" w:line="240" w:lineRule="auto"/>
              <w:jc w:val="center"/>
              <w:rPr>
                <w:rFonts w:ascii="Arial" w:hAnsi="Arial" w:cs="Arial"/>
              </w:rPr>
            </w:pPr>
            <w:r>
              <w:rPr>
                <w:rFonts w:ascii="Arial" w:hAnsi="Arial" w:cs="Arial"/>
              </w:rPr>
              <w:t>7.32</w:t>
            </w:r>
          </w:p>
        </w:tc>
        <w:tc>
          <w:tcPr>
            <w:tcW w:w="1631" w:type="dxa"/>
            <w:tcBorders>
              <w:top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Very High</w:t>
            </w:r>
          </w:p>
        </w:tc>
      </w:tr>
      <w:tr w:rsidR="00D9164F" w:rsidTr="00D9164F">
        <w:tc>
          <w:tcPr>
            <w:tcW w:w="1249" w:type="dxa"/>
            <w:vAlign w:val="center"/>
          </w:tcPr>
          <w:p w:rsidR="00D9164F" w:rsidRDefault="00D9164F" w:rsidP="00D9164F">
            <w:pPr>
              <w:spacing w:after="0" w:line="240" w:lineRule="auto"/>
              <w:jc w:val="center"/>
              <w:rPr>
                <w:rFonts w:ascii="Arial" w:hAnsi="Arial" w:cs="Arial"/>
              </w:rPr>
            </w:pPr>
            <w:r>
              <w:rPr>
                <w:rFonts w:ascii="Arial" w:hAnsi="Arial" w:cs="Arial"/>
              </w:rPr>
              <w:t>34-35</w:t>
            </w:r>
          </w:p>
        </w:tc>
        <w:tc>
          <w:tcPr>
            <w:tcW w:w="1268" w:type="dxa"/>
            <w:vAlign w:val="center"/>
          </w:tcPr>
          <w:p w:rsidR="00D9164F" w:rsidRDefault="00D9164F" w:rsidP="00D9164F">
            <w:pPr>
              <w:spacing w:after="0" w:line="240" w:lineRule="auto"/>
              <w:jc w:val="center"/>
              <w:rPr>
                <w:rFonts w:ascii="Arial" w:hAnsi="Arial" w:cs="Arial"/>
              </w:rPr>
            </w:pPr>
            <w:r>
              <w:rPr>
                <w:rFonts w:ascii="Arial" w:hAnsi="Arial" w:cs="Arial"/>
              </w:rPr>
              <w:t>85-89</w:t>
            </w:r>
          </w:p>
        </w:tc>
        <w:tc>
          <w:tcPr>
            <w:tcW w:w="1242" w:type="dxa"/>
            <w:vAlign w:val="center"/>
          </w:tcPr>
          <w:p w:rsidR="00D9164F" w:rsidRDefault="00D9164F" w:rsidP="00D9164F">
            <w:pPr>
              <w:spacing w:after="0" w:line="240" w:lineRule="auto"/>
              <w:jc w:val="center"/>
              <w:rPr>
                <w:rFonts w:ascii="Arial" w:hAnsi="Arial" w:cs="Arial"/>
              </w:rPr>
            </w:pPr>
            <w:r>
              <w:rPr>
                <w:rFonts w:ascii="Arial" w:hAnsi="Arial" w:cs="Arial"/>
              </w:rPr>
              <w:t>6</w:t>
            </w:r>
          </w:p>
        </w:tc>
        <w:tc>
          <w:tcPr>
            <w:tcW w:w="1192" w:type="dxa"/>
            <w:vAlign w:val="center"/>
          </w:tcPr>
          <w:p w:rsidR="00D9164F" w:rsidRDefault="00D9164F" w:rsidP="00D9164F">
            <w:pPr>
              <w:spacing w:after="0" w:line="240" w:lineRule="auto"/>
              <w:jc w:val="center"/>
              <w:rPr>
                <w:rFonts w:ascii="Arial" w:hAnsi="Arial" w:cs="Arial"/>
              </w:rPr>
            </w:pPr>
            <w:r>
              <w:rPr>
                <w:rFonts w:ascii="Arial" w:hAnsi="Arial" w:cs="Arial"/>
              </w:rPr>
              <w:t>14.63</w:t>
            </w:r>
          </w:p>
        </w:tc>
        <w:tc>
          <w:tcPr>
            <w:tcW w:w="1242" w:type="dxa"/>
            <w:vAlign w:val="center"/>
          </w:tcPr>
          <w:p w:rsidR="00D9164F" w:rsidRDefault="00D9164F" w:rsidP="00D9164F">
            <w:pPr>
              <w:spacing w:after="0" w:line="240" w:lineRule="auto"/>
              <w:jc w:val="center"/>
              <w:rPr>
                <w:rFonts w:ascii="Arial" w:hAnsi="Arial" w:cs="Arial"/>
              </w:rPr>
            </w:pPr>
            <w:r>
              <w:rPr>
                <w:rFonts w:ascii="Arial" w:hAnsi="Arial" w:cs="Arial"/>
              </w:rPr>
              <w:t>8</w:t>
            </w:r>
          </w:p>
        </w:tc>
        <w:tc>
          <w:tcPr>
            <w:tcW w:w="1192" w:type="dxa"/>
            <w:vAlign w:val="bottom"/>
          </w:tcPr>
          <w:p w:rsidR="00D9164F" w:rsidRDefault="00D9164F" w:rsidP="00D9164F">
            <w:pPr>
              <w:spacing w:after="0" w:line="240" w:lineRule="auto"/>
              <w:jc w:val="center"/>
              <w:rPr>
                <w:rFonts w:ascii="Arial" w:hAnsi="Arial" w:cs="Arial"/>
              </w:rPr>
            </w:pPr>
            <w:r>
              <w:rPr>
                <w:rFonts w:ascii="Arial" w:hAnsi="Arial" w:cs="Arial"/>
              </w:rPr>
              <w:t>19.51</w:t>
            </w:r>
          </w:p>
        </w:tc>
        <w:tc>
          <w:tcPr>
            <w:tcW w:w="1631" w:type="dxa"/>
            <w:vAlign w:val="center"/>
          </w:tcPr>
          <w:p w:rsidR="00D9164F" w:rsidRDefault="00D9164F" w:rsidP="00D9164F">
            <w:pPr>
              <w:spacing w:after="0" w:line="240" w:lineRule="auto"/>
              <w:jc w:val="center"/>
              <w:rPr>
                <w:rFonts w:ascii="Arial" w:hAnsi="Arial" w:cs="Arial"/>
              </w:rPr>
            </w:pPr>
            <w:r>
              <w:rPr>
                <w:rFonts w:ascii="Arial" w:hAnsi="Arial" w:cs="Arial"/>
              </w:rPr>
              <w:t>High</w:t>
            </w:r>
          </w:p>
        </w:tc>
      </w:tr>
      <w:tr w:rsidR="00D9164F" w:rsidTr="00D9164F">
        <w:tc>
          <w:tcPr>
            <w:tcW w:w="1249" w:type="dxa"/>
            <w:vAlign w:val="center"/>
          </w:tcPr>
          <w:p w:rsidR="00D9164F" w:rsidRDefault="00D9164F" w:rsidP="00D9164F">
            <w:pPr>
              <w:spacing w:after="0" w:line="240" w:lineRule="auto"/>
              <w:jc w:val="center"/>
              <w:rPr>
                <w:rFonts w:ascii="Arial" w:hAnsi="Arial" w:cs="Arial"/>
              </w:rPr>
            </w:pPr>
            <w:r>
              <w:rPr>
                <w:rFonts w:ascii="Arial" w:hAnsi="Arial" w:cs="Arial"/>
              </w:rPr>
              <w:t>32-33</w:t>
            </w:r>
          </w:p>
        </w:tc>
        <w:tc>
          <w:tcPr>
            <w:tcW w:w="1268" w:type="dxa"/>
            <w:vAlign w:val="center"/>
          </w:tcPr>
          <w:p w:rsidR="00D9164F" w:rsidRDefault="00D9164F" w:rsidP="00D9164F">
            <w:pPr>
              <w:spacing w:after="0" w:line="240" w:lineRule="auto"/>
              <w:jc w:val="center"/>
              <w:rPr>
                <w:rFonts w:ascii="Arial" w:hAnsi="Arial" w:cs="Arial"/>
              </w:rPr>
            </w:pPr>
            <w:r>
              <w:rPr>
                <w:rFonts w:ascii="Arial" w:hAnsi="Arial" w:cs="Arial"/>
              </w:rPr>
              <w:t>80-84</w:t>
            </w:r>
          </w:p>
        </w:tc>
        <w:tc>
          <w:tcPr>
            <w:tcW w:w="1242" w:type="dxa"/>
            <w:vAlign w:val="center"/>
          </w:tcPr>
          <w:p w:rsidR="00D9164F" w:rsidRDefault="00D9164F" w:rsidP="00D9164F">
            <w:pPr>
              <w:spacing w:after="0" w:line="240" w:lineRule="auto"/>
              <w:jc w:val="center"/>
              <w:rPr>
                <w:rFonts w:ascii="Arial" w:hAnsi="Arial" w:cs="Arial"/>
              </w:rPr>
            </w:pPr>
            <w:r>
              <w:rPr>
                <w:rFonts w:ascii="Arial" w:hAnsi="Arial" w:cs="Arial"/>
              </w:rPr>
              <w:t>8</w:t>
            </w:r>
          </w:p>
        </w:tc>
        <w:tc>
          <w:tcPr>
            <w:tcW w:w="1192" w:type="dxa"/>
            <w:vAlign w:val="center"/>
          </w:tcPr>
          <w:p w:rsidR="00D9164F" w:rsidRDefault="00D9164F" w:rsidP="00D9164F">
            <w:pPr>
              <w:spacing w:after="0" w:line="240" w:lineRule="auto"/>
              <w:jc w:val="center"/>
              <w:rPr>
                <w:rFonts w:ascii="Arial" w:hAnsi="Arial" w:cs="Arial"/>
              </w:rPr>
            </w:pPr>
            <w:r>
              <w:rPr>
                <w:rFonts w:ascii="Arial" w:hAnsi="Arial" w:cs="Arial"/>
              </w:rPr>
              <w:t>19.51</w:t>
            </w:r>
          </w:p>
        </w:tc>
        <w:tc>
          <w:tcPr>
            <w:tcW w:w="1242" w:type="dxa"/>
            <w:vAlign w:val="center"/>
          </w:tcPr>
          <w:p w:rsidR="00D9164F" w:rsidRDefault="00D9164F" w:rsidP="00D9164F">
            <w:pPr>
              <w:spacing w:after="0" w:line="240" w:lineRule="auto"/>
              <w:jc w:val="center"/>
              <w:rPr>
                <w:rFonts w:ascii="Arial" w:hAnsi="Arial" w:cs="Arial"/>
              </w:rPr>
            </w:pPr>
            <w:r>
              <w:rPr>
                <w:rFonts w:ascii="Arial" w:hAnsi="Arial" w:cs="Arial"/>
              </w:rPr>
              <w:t>2</w:t>
            </w:r>
          </w:p>
        </w:tc>
        <w:tc>
          <w:tcPr>
            <w:tcW w:w="1192" w:type="dxa"/>
            <w:vAlign w:val="bottom"/>
          </w:tcPr>
          <w:p w:rsidR="00D9164F" w:rsidRDefault="00D9164F" w:rsidP="00D9164F">
            <w:pPr>
              <w:spacing w:after="0" w:line="240" w:lineRule="auto"/>
              <w:jc w:val="center"/>
              <w:rPr>
                <w:rFonts w:ascii="Arial" w:hAnsi="Arial" w:cs="Arial"/>
              </w:rPr>
            </w:pPr>
            <w:r>
              <w:rPr>
                <w:rFonts w:ascii="Arial" w:hAnsi="Arial" w:cs="Arial"/>
              </w:rPr>
              <w:t>4.88</w:t>
            </w:r>
          </w:p>
        </w:tc>
        <w:tc>
          <w:tcPr>
            <w:tcW w:w="1631" w:type="dxa"/>
            <w:vAlign w:val="center"/>
          </w:tcPr>
          <w:p w:rsidR="00D9164F" w:rsidRDefault="00D9164F" w:rsidP="00D9164F">
            <w:pPr>
              <w:spacing w:after="0" w:line="240" w:lineRule="auto"/>
              <w:jc w:val="center"/>
              <w:rPr>
                <w:rFonts w:ascii="Arial" w:hAnsi="Arial" w:cs="Arial"/>
              </w:rPr>
            </w:pPr>
            <w:r>
              <w:rPr>
                <w:rFonts w:ascii="Arial" w:hAnsi="Arial" w:cs="Arial"/>
              </w:rPr>
              <w:t>Moderate</w:t>
            </w:r>
          </w:p>
        </w:tc>
      </w:tr>
      <w:tr w:rsidR="00D9164F" w:rsidTr="00D9164F">
        <w:tc>
          <w:tcPr>
            <w:tcW w:w="1249" w:type="dxa"/>
            <w:vAlign w:val="center"/>
          </w:tcPr>
          <w:p w:rsidR="00D9164F" w:rsidRDefault="00D9164F" w:rsidP="00D9164F">
            <w:pPr>
              <w:spacing w:after="0" w:line="240" w:lineRule="auto"/>
              <w:jc w:val="center"/>
              <w:rPr>
                <w:rFonts w:ascii="Arial" w:hAnsi="Arial" w:cs="Arial"/>
              </w:rPr>
            </w:pPr>
            <w:r>
              <w:rPr>
                <w:rFonts w:ascii="Arial" w:hAnsi="Arial" w:cs="Arial"/>
              </w:rPr>
              <w:t>30-31</w:t>
            </w:r>
          </w:p>
        </w:tc>
        <w:tc>
          <w:tcPr>
            <w:tcW w:w="1268" w:type="dxa"/>
            <w:vAlign w:val="center"/>
          </w:tcPr>
          <w:p w:rsidR="00D9164F" w:rsidRDefault="00D9164F" w:rsidP="00D9164F">
            <w:pPr>
              <w:spacing w:after="0" w:line="240" w:lineRule="auto"/>
              <w:jc w:val="center"/>
              <w:rPr>
                <w:rFonts w:ascii="Arial" w:hAnsi="Arial" w:cs="Arial"/>
              </w:rPr>
            </w:pPr>
            <w:r>
              <w:rPr>
                <w:rFonts w:ascii="Arial" w:hAnsi="Arial" w:cs="Arial"/>
              </w:rPr>
              <w:t>75-79</w:t>
            </w:r>
          </w:p>
        </w:tc>
        <w:tc>
          <w:tcPr>
            <w:tcW w:w="1242" w:type="dxa"/>
            <w:vAlign w:val="center"/>
          </w:tcPr>
          <w:p w:rsidR="00D9164F" w:rsidRDefault="00D9164F" w:rsidP="00D9164F">
            <w:pPr>
              <w:spacing w:after="0" w:line="240" w:lineRule="auto"/>
              <w:jc w:val="center"/>
              <w:rPr>
                <w:rFonts w:ascii="Arial" w:hAnsi="Arial" w:cs="Arial"/>
              </w:rPr>
            </w:pPr>
            <w:r>
              <w:rPr>
                <w:rFonts w:ascii="Arial" w:hAnsi="Arial" w:cs="Arial"/>
              </w:rPr>
              <w:t>4</w:t>
            </w:r>
          </w:p>
        </w:tc>
        <w:tc>
          <w:tcPr>
            <w:tcW w:w="1192" w:type="dxa"/>
            <w:vAlign w:val="center"/>
          </w:tcPr>
          <w:p w:rsidR="00D9164F" w:rsidRDefault="00D9164F" w:rsidP="00D9164F">
            <w:pPr>
              <w:spacing w:after="0" w:line="240" w:lineRule="auto"/>
              <w:jc w:val="center"/>
              <w:rPr>
                <w:rFonts w:ascii="Arial" w:hAnsi="Arial" w:cs="Arial"/>
              </w:rPr>
            </w:pPr>
            <w:r>
              <w:rPr>
                <w:rFonts w:ascii="Arial" w:hAnsi="Arial" w:cs="Arial"/>
              </w:rPr>
              <w:t>9.76</w:t>
            </w:r>
          </w:p>
        </w:tc>
        <w:tc>
          <w:tcPr>
            <w:tcW w:w="1242" w:type="dxa"/>
            <w:vAlign w:val="center"/>
          </w:tcPr>
          <w:p w:rsidR="00D9164F" w:rsidRDefault="00D9164F" w:rsidP="00D9164F">
            <w:pPr>
              <w:spacing w:after="0" w:line="240" w:lineRule="auto"/>
              <w:jc w:val="center"/>
              <w:rPr>
                <w:rFonts w:ascii="Arial" w:hAnsi="Arial" w:cs="Arial"/>
              </w:rPr>
            </w:pPr>
            <w:r>
              <w:rPr>
                <w:rFonts w:ascii="Arial" w:hAnsi="Arial" w:cs="Arial"/>
              </w:rPr>
              <w:t>5</w:t>
            </w:r>
          </w:p>
        </w:tc>
        <w:tc>
          <w:tcPr>
            <w:tcW w:w="1192" w:type="dxa"/>
            <w:vAlign w:val="bottom"/>
          </w:tcPr>
          <w:p w:rsidR="00D9164F" w:rsidRDefault="00D9164F" w:rsidP="00D9164F">
            <w:pPr>
              <w:spacing w:after="0" w:line="240" w:lineRule="auto"/>
              <w:jc w:val="center"/>
              <w:rPr>
                <w:rFonts w:ascii="Arial" w:hAnsi="Arial" w:cs="Arial"/>
              </w:rPr>
            </w:pPr>
            <w:r>
              <w:rPr>
                <w:rFonts w:ascii="Arial" w:hAnsi="Arial" w:cs="Arial"/>
              </w:rPr>
              <w:t>12.20</w:t>
            </w:r>
          </w:p>
        </w:tc>
        <w:tc>
          <w:tcPr>
            <w:tcW w:w="1631" w:type="dxa"/>
            <w:vAlign w:val="center"/>
          </w:tcPr>
          <w:p w:rsidR="00D9164F" w:rsidRDefault="00D9164F" w:rsidP="00D9164F">
            <w:pPr>
              <w:spacing w:after="0" w:line="240" w:lineRule="auto"/>
              <w:jc w:val="center"/>
              <w:rPr>
                <w:rFonts w:ascii="Arial" w:hAnsi="Arial" w:cs="Arial"/>
              </w:rPr>
            </w:pPr>
            <w:r>
              <w:rPr>
                <w:rFonts w:ascii="Arial" w:hAnsi="Arial" w:cs="Arial"/>
              </w:rPr>
              <w:t>Low</w:t>
            </w:r>
          </w:p>
        </w:tc>
      </w:tr>
      <w:tr w:rsidR="00D9164F" w:rsidTr="00D9164F">
        <w:tc>
          <w:tcPr>
            <w:tcW w:w="1249" w:type="dxa"/>
            <w:tcBorders>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0-29</w:t>
            </w:r>
          </w:p>
        </w:tc>
        <w:tc>
          <w:tcPr>
            <w:tcW w:w="1268" w:type="dxa"/>
            <w:tcBorders>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Below 75</w:t>
            </w:r>
          </w:p>
        </w:tc>
        <w:tc>
          <w:tcPr>
            <w:tcW w:w="1242" w:type="dxa"/>
            <w:tcBorders>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4</w:t>
            </w:r>
          </w:p>
        </w:tc>
        <w:tc>
          <w:tcPr>
            <w:tcW w:w="1192" w:type="dxa"/>
            <w:tcBorders>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9.76</w:t>
            </w:r>
          </w:p>
        </w:tc>
        <w:tc>
          <w:tcPr>
            <w:tcW w:w="1242" w:type="dxa"/>
            <w:tcBorders>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23</w:t>
            </w:r>
          </w:p>
        </w:tc>
        <w:tc>
          <w:tcPr>
            <w:tcW w:w="1192" w:type="dxa"/>
            <w:tcBorders>
              <w:bottom w:val="single" w:sz="4" w:space="0" w:color="auto"/>
            </w:tcBorders>
            <w:vAlign w:val="bottom"/>
          </w:tcPr>
          <w:p w:rsidR="00D9164F" w:rsidRDefault="00D9164F" w:rsidP="00D9164F">
            <w:pPr>
              <w:spacing w:after="0" w:line="240" w:lineRule="auto"/>
              <w:jc w:val="center"/>
              <w:rPr>
                <w:rFonts w:ascii="Arial" w:hAnsi="Arial" w:cs="Arial"/>
              </w:rPr>
            </w:pPr>
            <w:r>
              <w:rPr>
                <w:rFonts w:ascii="Arial" w:hAnsi="Arial" w:cs="Arial"/>
              </w:rPr>
              <w:t>56.10</w:t>
            </w:r>
          </w:p>
        </w:tc>
        <w:tc>
          <w:tcPr>
            <w:tcW w:w="1631" w:type="dxa"/>
            <w:tcBorders>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Very Low</w:t>
            </w:r>
          </w:p>
        </w:tc>
      </w:tr>
      <w:tr w:rsidR="00D9164F" w:rsidTr="00D9164F">
        <w:tc>
          <w:tcPr>
            <w:tcW w:w="2517" w:type="dxa"/>
            <w:gridSpan w:val="2"/>
            <w:tcBorders>
              <w:top w:val="single" w:sz="4" w:space="0" w:color="auto"/>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Total</w:t>
            </w:r>
          </w:p>
        </w:tc>
        <w:tc>
          <w:tcPr>
            <w:tcW w:w="1242" w:type="dxa"/>
            <w:tcBorders>
              <w:top w:val="single" w:sz="4" w:space="0" w:color="auto"/>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41</w:t>
            </w:r>
          </w:p>
        </w:tc>
        <w:tc>
          <w:tcPr>
            <w:tcW w:w="1192" w:type="dxa"/>
            <w:tcBorders>
              <w:top w:val="single" w:sz="4" w:space="0" w:color="auto"/>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100.00</w:t>
            </w:r>
          </w:p>
        </w:tc>
        <w:tc>
          <w:tcPr>
            <w:tcW w:w="1242" w:type="dxa"/>
            <w:tcBorders>
              <w:top w:val="single" w:sz="4" w:space="0" w:color="auto"/>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41</w:t>
            </w:r>
          </w:p>
        </w:tc>
        <w:tc>
          <w:tcPr>
            <w:tcW w:w="1192" w:type="dxa"/>
            <w:tcBorders>
              <w:top w:val="single" w:sz="4" w:space="0" w:color="auto"/>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100.00</w:t>
            </w:r>
          </w:p>
        </w:tc>
        <w:tc>
          <w:tcPr>
            <w:tcW w:w="1631" w:type="dxa"/>
            <w:tcBorders>
              <w:top w:val="single" w:sz="4" w:space="0" w:color="auto"/>
              <w:bottom w:val="single" w:sz="4" w:space="0" w:color="auto"/>
            </w:tcBorders>
            <w:vAlign w:val="center"/>
          </w:tcPr>
          <w:p w:rsidR="00D9164F" w:rsidRDefault="00D9164F" w:rsidP="00D9164F">
            <w:pPr>
              <w:spacing w:after="0" w:line="240" w:lineRule="auto"/>
              <w:jc w:val="center"/>
              <w:rPr>
                <w:rFonts w:ascii="Arial" w:hAnsi="Arial" w:cs="Arial"/>
              </w:rPr>
            </w:pPr>
          </w:p>
        </w:tc>
      </w:tr>
      <w:tr w:rsidR="00D9164F" w:rsidTr="00D9164F">
        <w:tc>
          <w:tcPr>
            <w:tcW w:w="2517" w:type="dxa"/>
            <w:gridSpan w:val="2"/>
            <w:tcBorders>
              <w:top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Mean</w:t>
            </w:r>
          </w:p>
        </w:tc>
        <w:tc>
          <w:tcPr>
            <w:tcW w:w="2434" w:type="dxa"/>
            <w:gridSpan w:val="2"/>
            <w:tcBorders>
              <w:top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35.17</w:t>
            </w:r>
          </w:p>
        </w:tc>
        <w:tc>
          <w:tcPr>
            <w:tcW w:w="2434" w:type="dxa"/>
            <w:gridSpan w:val="2"/>
            <w:tcBorders>
              <w:top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30.02</w:t>
            </w:r>
          </w:p>
        </w:tc>
        <w:tc>
          <w:tcPr>
            <w:tcW w:w="1631" w:type="dxa"/>
            <w:tcBorders>
              <w:top w:val="single" w:sz="4" w:space="0" w:color="auto"/>
            </w:tcBorders>
            <w:vAlign w:val="center"/>
          </w:tcPr>
          <w:p w:rsidR="00D9164F" w:rsidRDefault="00D9164F" w:rsidP="00D9164F">
            <w:pPr>
              <w:spacing w:after="0" w:line="240" w:lineRule="auto"/>
              <w:jc w:val="center"/>
              <w:rPr>
                <w:rFonts w:ascii="Arial" w:hAnsi="Arial" w:cs="Arial"/>
              </w:rPr>
            </w:pPr>
          </w:p>
        </w:tc>
      </w:tr>
      <w:tr w:rsidR="00D9164F" w:rsidTr="00D9164F">
        <w:tc>
          <w:tcPr>
            <w:tcW w:w="2517" w:type="dxa"/>
            <w:gridSpan w:val="2"/>
            <w:tcBorders>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MPS</w:t>
            </w:r>
          </w:p>
        </w:tc>
        <w:tc>
          <w:tcPr>
            <w:tcW w:w="2434" w:type="dxa"/>
            <w:gridSpan w:val="2"/>
            <w:tcBorders>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High</w:t>
            </w:r>
          </w:p>
        </w:tc>
        <w:tc>
          <w:tcPr>
            <w:tcW w:w="2434" w:type="dxa"/>
            <w:gridSpan w:val="2"/>
            <w:tcBorders>
              <w:bottom w:val="single" w:sz="4" w:space="0" w:color="auto"/>
            </w:tcBorders>
            <w:vAlign w:val="center"/>
          </w:tcPr>
          <w:p w:rsidR="00D9164F" w:rsidRDefault="00D9164F" w:rsidP="00D9164F">
            <w:pPr>
              <w:spacing w:after="0" w:line="240" w:lineRule="auto"/>
              <w:jc w:val="center"/>
              <w:rPr>
                <w:rFonts w:ascii="Arial" w:hAnsi="Arial" w:cs="Arial"/>
              </w:rPr>
            </w:pPr>
            <w:r>
              <w:rPr>
                <w:rFonts w:ascii="Arial" w:hAnsi="Arial" w:cs="Arial"/>
              </w:rPr>
              <w:t>Low</w:t>
            </w:r>
          </w:p>
        </w:tc>
        <w:tc>
          <w:tcPr>
            <w:tcW w:w="1631" w:type="dxa"/>
            <w:tcBorders>
              <w:bottom w:val="single" w:sz="4" w:space="0" w:color="auto"/>
            </w:tcBorders>
            <w:vAlign w:val="center"/>
          </w:tcPr>
          <w:p w:rsidR="00D9164F" w:rsidRDefault="00D9164F" w:rsidP="00D9164F">
            <w:pPr>
              <w:spacing w:after="0" w:line="240" w:lineRule="auto"/>
              <w:jc w:val="center"/>
              <w:rPr>
                <w:rFonts w:ascii="Arial" w:hAnsi="Arial" w:cs="Arial"/>
              </w:rPr>
            </w:pPr>
          </w:p>
        </w:tc>
      </w:tr>
    </w:tbl>
    <w:p w:rsidR="00D9164F" w:rsidRDefault="00D9164F" w:rsidP="000B2211">
      <w:pPr>
        <w:rPr>
          <w:rFonts w:ascii="Times New Roman" w:hAnsi="Times New Roman" w:cs="Times New Roman"/>
          <w:sz w:val="24"/>
          <w:szCs w:val="24"/>
        </w:rPr>
      </w:pPr>
    </w:p>
    <w:p w:rsidR="000B2211" w:rsidRPr="00D9164F" w:rsidRDefault="000B2211" w:rsidP="000B2211">
      <w:pPr>
        <w:rPr>
          <w:rFonts w:ascii="Times New Roman" w:hAnsi="Times New Roman" w:cs="Times New Roman"/>
          <w:sz w:val="24"/>
          <w:szCs w:val="24"/>
        </w:rPr>
      </w:pPr>
      <w:r w:rsidRPr="00D9164F">
        <w:rPr>
          <w:rFonts w:ascii="Times New Roman" w:hAnsi="Times New Roman" w:cs="Times New Roman"/>
          <w:sz w:val="24"/>
          <w:szCs w:val="24"/>
        </w:rPr>
        <w:t xml:space="preserve">After intervention, the </w:t>
      </w:r>
      <w:r w:rsidRPr="00D9164F">
        <w:rPr>
          <w:rFonts w:ascii="Times New Roman" w:hAnsi="Times New Roman" w:cs="Times New Roman"/>
          <w:i/>
          <w:sz w:val="24"/>
          <w:szCs w:val="24"/>
        </w:rPr>
        <w:t>LARO-TALAS</w:t>
      </w:r>
      <w:r w:rsidRPr="00D9164F">
        <w:rPr>
          <w:rFonts w:ascii="Times New Roman" w:hAnsi="Times New Roman" w:cs="Times New Roman"/>
          <w:sz w:val="24"/>
          <w:szCs w:val="24"/>
        </w:rPr>
        <w:t xml:space="preserve"> group (n=41) achieved high mastery (mean = 35.17): 19 students scored 36-40 (very high), only 4 scored 0-29 (very low). The </w:t>
      </w:r>
      <w:r w:rsidRPr="00D9164F">
        <w:rPr>
          <w:rFonts w:ascii="Times New Roman" w:hAnsi="Times New Roman" w:cs="Times New Roman"/>
          <w:i/>
          <w:sz w:val="24"/>
          <w:szCs w:val="24"/>
        </w:rPr>
        <w:t>Non-LARO-TALAS</w:t>
      </w:r>
      <w:r w:rsidRPr="00D9164F">
        <w:rPr>
          <w:rFonts w:ascii="Times New Roman" w:hAnsi="Times New Roman" w:cs="Times New Roman"/>
          <w:sz w:val="24"/>
          <w:szCs w:val="24"/>
        </w:rPr>
        <w:t xml:space="preserve"> group (n=41) remained low mastery (mean = 30.02): 23 scored 0-29 (very low), only 3 scored 36-40 (very high).</w:t>
      </w:r>
    </w:p>
    <w:p w:rsidR="000B2211" w:rsidRPr="00D9164F" w:rsidRDefault="000B2211" w:rsidP="000B2211">
      <w:pPr>
        <w:rPr>
          <w:rFonts w:ascii="Times New Roman" w:hAnsi="Times New Roman" w:cs="Times New Roman"/>
          <w:sz w:val="24"/>
          <w:szCs w:val="24"/>
        </w:rPr>
      </w:pPr>
      <w:r w:rsidRPr="00D9164F">
        <w:rPr>
          <w:rFonts w:ascii="Times New Roman" w:hAnsi="Times New Roman" w:cs="Times New Roman"/>
          <w:i/>
          <w:sz w:val="24"/>
          <w:szCs w:val="24"/>
        </w:rPr>
        <w:t>LARO-TALAS</w:t>
      </w:r>
      <w:r w:rsidRPr="00D9164F">
        <w:rPr>
          <w:rFonts w:ascii="Times New Roman" w:hAnsi="Times New Roman" w:cs="Times New Roman"/>
          <w:sz w:val="24"/>
          <w:szCs w:val="24"/>
        </w:rPr>
        <w:t xml:space="preserve"> effectively elevated most students from very low to high/very high mastery, while conventional instruction showed minimal improvement. The results were alligned to the study of Potane and Sacal (2023) found innovative strategies yield higher grammar achievement than traditional methods. Hicana (2020) showed interactive approaches improve engagement and competence.</w:t>
      </w:r>
    </w:p>
    <w:p w:rsidR="00625192" w:rsidRPr="00D9164F" w:rsidRDefault="00625192" w:rsidP="00625192">
      <w:pPr>
        <w:spacing w:line="240" w:lineRule="auto"/>
        <w:jc w:val="both"/>
        <w:rPr>
          <w:rFonts w:ascii="Times New Roman" w:eastAsia="Times New Roman" w:hAnsi="Times New Roman" w:cs="Times New Roman"/>
          <w:color w:val="000000"/>
          <w:sz w:val="24"/>
          <w:szCs w:val="24"/>
          <w:lang w:val="en-US"/>
        </w:rPr>
      </w:pPr>
      <w:r w:rsidRPr="00D9164F">
        <w:rPr>
          <w:rFonts w:ascii="Times New Roman" w:eastAsia="Times New Roman" w:hAnsi="Times New Roman" w:cs="Times New Roman"/>
          <w:color w:val="000000"/>
          <w:sz w:val="24"/>
          <w:szCs w:val="24"/>
          <w:lang w:val="en-US"/>
        </w:rPr>
        <w:t xml:space="preserve">These studies affirm that the significant improvement observed in the </w:t>
      </w:r>
      <w:r w:rsidRPr="00D9164F">
        <w:rPr>
          <w:rFonts w:ascii="Times New Roman" w:eastAsia="Times New Roman" w:hAnsi="Times New Roman" w:cs="Times New Roman"/>
          <w:i/>
          <w:iCs/>
          <w:color w:val="000000"/>
          <w:sz w:val="24"/>
          <w:szCs w:val="24"/>
          <w:lang w:val="en-US"/>
        </w:rPr>
        <w:t>LARO-TALAS</w:t>
      </w:r>
      <w:r w:rsidRPr="00D9164F">
        <w:rPr>
          <w:rFonts w:ascii="Times New Roman" w:eastAsia="Times New Roman" w:hAnsi="Times New Roman" w:cs="Times New Roman"/>
          <w:color w:val="000000"/>
          <w:sz w:val="24"/>
          <w:szCs w:val="24"/>
          <w:lang w:val="en-US"/>
        </w:rPr>
        <w:t xml:space="preserve"> Group can be attributed to the use of an engaging and interactive instructional strategy such as </w:t>
      </w:r>
      <w:r w:rsidRPr="00D9164F">
        <w:rPr>
          <w:rFonts w:ascii="Times New Roman" w:eastAsia="Times New Roman" w:hAnsi="Times New Roman" w:cs="Times New Roman"/>
          <w:i/>
          <w:color w:val="000000"/>
          <w:sz w:val="24"/>
          <w:szCs w:val="24"/>
          <w:lang w:val="en-US"/>
        </w:rPr>
        <w:t>LARO-TALAS</w:t>
      </w:r>
      <w:r w:rsidRPr="00D9164F">
        <w:rPr>
          <w:rFonts w:ascii="Times New Roman" w:eastAsia="Times New Roman" w:hAnsi="Times New Roman" w:cs="Times New Roman"/>
          <w:color w:val="000000"/>
          <w:sz w:val="24"/>
          <w:szCs w:val="24"/>
          <w:lang w:val="en-US"/>
        </w:rPr>
        <w:t xml:space="preserve">, while the lack of improvement in the </w:t>
      </w:r>
      <w:r w:rsidRPr="00D9164F">
        <w:rPr>
          <w:rFonts w:ascii="Times New Roman" w:eastAsia="Times New Roman" w:hAnsi="Times New Roman" w:cs="Times New Roman"/>
          <w:i/>
          <w:iCs/>
          <w:color w:val="000000"/>
          <w:sz w:val="24"/>
          <w:szCs w:val="24"/>
          <w:lang w:val="en-US"/>
        </w:rPr>
        <w:t>Non-LARO-TALAS</w:t>
      </w:r>
      <w:r w:rsidRPr="00D9164F">
        <w:rPr>
          <w:rFonts w:ascii="Times New Roman" w:eastAsia="Times New Roman" w:hAnsi="Times New Roman" w:cs="Times New Roman"/>
          <w:color w:val="000000"/>
          <w:sz w:val="24"/>
          <w:szCs w:val="24"/>
          <w:lang w:val="en-US"/>
        </w:rPr>
        <w:t xml:space="preserve"> is consistent with literature highlighting the limited effectiveness of conventional teaching methods.</w:t>
      </w:r>
    </w:p>
    <w:p w:rsidR="00625192" w:rsidRPr="00D9164F" w:rsidRDefault="00625192" w:rsidP="00625192">
      <w:pPr>
        <w:spacing w:line="240" w:lineRule="auto"/>
        <w:jc w:val="both"/>
        <w:rPr>
          <w:rFonts w:ascii="Times New Roman" w:eastAsia="Times New Roman" w:hAnsi="Times New Roman" w:cs="Times New Roman"/>
          <w:color w:val="000000"/>
          <w:sz w:val="24"/>
          <w:szCs w:val="24"/>
          <w:lang w:val="en-US"/>
        </w:rPr>
      </w:pPr>
    </w:p>
    <w:tbl>
      <w:tblPr>
        <w:tblW w:w="5000" w:type="pct"/>
        <w:tblLook w:val="04A0" w:firstRow="1" w:lastRow="0" w:firstColumn="1" w:lastColumn="0" w:noHBand="0" w:noVBand="1"/>
      </w:tblPr>
      <w:tblGrid>
        <w:gridCol w:w="1568"/>
        <w:gridCol w:w="2140"/>
        <w:gridCol w:w="508"/>
        <w:gridCol w:w="1601"/>
        <w:gridCol w:w="1140"/>
        <w:gridCol w:w="2285"/>
      </w:tblGrid>
      <w:tr w:rsidR="00625192" w:rsidRPr="00D9164F" w:rsidTr="00B53AC6">
        <w:tc>
          <w:tcPr>
            <w:tcW w:w="5000" w:type="pct"/>
            <w:gridSpan w:val="6"/>
            <w:tcBorders>
              <w:bottom w:val="single" w:sz="2" w:space="0" w:color="auto"/>
            </w:tcBorders>
            <w:vAlign w:val="center"/>
          </w:tcPr>
          <w:p w:rsidR="00625192" w:rsidRPr="00D9164F" w:rsidRDefault="00625192" w:rsidP="00B53AC6">
            <w:pPr>
              <w:spacing w:after="0" w:line="240" w:lineRule="auto"/>
              <w:ind w:left="864" w:hanging="864"/>
              <w:jc w:val="both"/>
              <w:rPr>
                <w:rFonts w:ascii="Times New Roman" w:hAnsi="Times New Roman" w:cs="Times New Roman"/>
                <w:i/>
                <w:iCs/>
                <w:sz w:val="24"/>
                <w:szCs w:val="24"/>
              </w:rPr>
            </w:pPr>
            <w:r w:rsidRPr="00D9164F">
              <w:rPr>
                <w:rFonts w:ascii="Times New Roman" w:hAnsi="Times New Roman" w:cs="Times New Roman"/>
                <w:b/>
                <w:bCs/>
                <w:sz w:val="24"/>
                <w:szCs w:val="24"/>
              </w:rPr>
              <w:t xml:space="preserve">Table 3. </w:t>
            </w:r>
            <w:r w:rsidRPr="00D9164F">
              <w:rPr>
                <w:rFonts w:ascii="Times New Roman" w:hAnsi="Times New Roman" w:cs="Times New Roman"/>
                <w:i/>
                <w:iCs/>
                <w:sz w:val="24"/>
                <w:szCs w:val="24"/>
              </w:rPr>
              <w:t>Test of Difference Between the Students’ Level of Filipino Grammar Mastery Exposed to LARO-TALAS and Non-LARO-TALAS</w:t>
            </w:r>
          </w:p>
        </w:tc>
      </w:tr>
      <w:tr w:rsidR="00625192" w:rsidRPr="00D9164F" w:rsidTr="00625192">
        <w:tc>
          <w:tcPr>
            <w:tcW w:w="2006" w:type="pct"/>
            <w:gridSpan w:val="2"/>
            <w:tcBorders>
              <w:top w:val="single" w:sz="2" w:space="0" w:color="auto"/>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Group</w:t>
            </w:r>
          </w:p>
        </w:tc>
        <w:tc>
          <w:tcPr>
            <w:tcW w:w="275" w:type="pct"/>
            <w:tcBorders>
              <w:top w:val="single" w:sz="2" w:space="0" w:color="auto"/>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n</w:t>
            </w:r>
          </w:p>
        </w:tc>
        <w:tc>
          <w:tcPr>
            <w:tcW w:w="1483" w:type="pct"/>
            <w:gridSpan w:val="2"/>
            <w:tcBorders>
              <w:top w:val="single" w:sz="2" w:space="0" w:color="auto"/>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Mean Percentage</w:t>
            </w:r>
          </w:p>
        </w:tc>
        <w:tc>
          <w:tcPr>
            <w:tcW w:w="1236" w:type="pct"/>
            <w:tcBorders>
              <w:top w:val="single" w:sz="2" w:space="0" w:color="auto"/>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Standard Deviation</w:t>
            </w:r>
          </w:p>
        </w:tc>
      </w:tr>
      <w:tr w:rsidR="00625192" w:rsidRPr="00D9164F" w:rsidTr="00625192">
        <w:tc>
          <w:tcPr>
            <w:tcW w:w="848" w:type="pct"/>
            <w:tcBorders>
              <w:top w:val="single" w:sz="2" w:space="0" w:color="auto"/>
            </w:tcBorders>
            <w:vAlign w:val="center"/>
          </w:tcPr>
          <w:p w:rsidR="00625192" w:rsidRPr="00D9164F" w:rsidRDefault="00625192" w:rsidP="00B53AC6">
            <w:pPr>
              <w:spacing w:after="0" w:line="240" w:lineRule="auto"/>
              <w:rPr>
                <w:rFonts w:ascii="Times New Roman" w:hAnsi="Times New Roman" w:cs="Times New Roman"/>
                <w:sz w:val="24"/>
                <w:szCs w:val="24"/>
              </w:rPr>
            </w:pPr>
            <w:r w:rsidRPr="00D9164F">
              <w:rPr>
                <w:rFonts w:ascii="Times New Roman" w:hAnsi="Times New Roman" w:cs="Times New Roman"/>
                <w:sz w:val="24"/>
                <w:szCs w:val="24"/>
              </w:rPr>
              <w:t>Pre-Test</w:t>
            </w:r>
          </w:p>
        </w:tc>
        <w:tc>
          <w:tcPr>
            <w:tcW w:w="1158" w:type="pct"/>
            <w:tcBorders>
              <w:top w:val="single" w:sz="2" w:space="0" w:color="auto"/>
            </w:tcBorders>
            <w:vAlign w:val="center"/>
          </w:tcPr>
          <w:p w:rsidR="00625192" w:rsidRPr="00D9164F" w:rsidRDefault="00625192" w:rsidP="00B53AC6">
            <w:pPr>
              <w:spacing w:after="0" w:line="240" w:lineRule="auto"/>
              <w:rPr>
                <w:rFonts w:ascii="Times New Roman" w:hAnsi="Times New Roman" w:cs="Times New Roman"/>
                <w:i/>
                <w:iCs/>
                <w:sz w:val="24"/>
                <w:szCs w:val="24"/>
              </w:rPr>
            </w:pPr>
            <w:r w:rsidRPr="00D9164F">
              <w:rPr>
                <w:rFonts w:ascii="Times New Roman" w:hAnsi="Times New Roman" w:cs="Times New Roman"/>
                <w:i/>
                <w:iCs/>
                <w:sz w:val="24"/>
                <w:szCs w:val="24"/>
              </w:rPr>
              <w:t>LARO-TALAS</w:t>
            </w:r>
          </w:p>
        </w:tc>
        <w:tc>
          <w:tcPr>
            <w:tcW w:w="275" w:type="pct"/>
            <w:tcBorders>
              <w:top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41</w:t>
            </w:r>
          </w:p>
        </w:tc>
        <w:tc>
          <w:tcPr>
            <w:tcW w:w="1483" w:type="pct"/>
            <w:gridSpan w:val="2"/>
            <w:tcBorders>
              <w:top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18.83</w:t>
            </w:r>
          </w:p>
        </w:tc>
        <w:tc>
          <w:tcPr>
            <w:tcW w:w="1236" w:type="pct"/>
            <w:tcBorders>
              <w:top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6.47</w:t>
            </w:r>
          </w:p>
        </w:tc>
      </w:tr>
      <w:tr w:rsidR="00625192" w:rsidRPr="00D9164F" w:rsidTr="00625192">
        <w:tc>
          <w:tcPr>
            <w:tcW w:w="848" w:type="pct"/>
            <w:vAlign w:val="center"/>
          </w:tcPr>
          <w:p w:rsidR="00625192" w:rsidRPr="00D9164F" w:rsidRDefault="00625192" w:rsidP="00B53AC6">
            <w:pPr>
              <w:spacing w:after="0" w:line="240" w:lineRule="auto"/>
              <w:rPr>
                <w:rFonts w:ascii="Times New Roman" w:hAnsi="Times New Roman" w:cs="Times New Roman"/>
                <w:sz w:val="24"/>
                <w:szCs w:val="24"/>
              </w:rPr>
            </w:pPr>
          </w:p>
        </w:tc>
        <w:tc>
          <w:tcPr>
            <w:tcW w:w="1158" w:type="pct"/>
            <w:vAlign w:val="center"/>
          </w:tcPr>
          <w:p w:rsidR="00625192" w:rsidRPr="00D9164F" w:rsidRDefault="00625192" w:rsidP="00B53AC6">
            <w:pPr>
              <w:spacing w:after="0" w:line="240" w:lineRule="auto"/>
              <w:rPr>
                <w:rFonts w:ascii="Times New Roman" w:hAnsi="Times New Roman" w:cs="Times New Roman"/>
                <w:i/>
                <w:iCs/>
                <w:sz w:val="24"/>
                <w:szCs w:val="24"/>
              </w:rPr>
            </w:pPr>
            <w:r w:rsidRPr="00D9164F">
              <w:rPr>
                <w:rFonts w:ascii="Times New Roman" w:hAnsi="Times New Roman" w:cs="Times New Roman"/>
                <w:i/>
                <w:iCs/>
                <w:sz w:val="24"/>
                <w:szCs w:val="24"/>
              </w:rPr>
              <w:t>Non-LARO-TALAS</w:t>
            </w:r>
          </w:p>
        </w:tc>
        <w:tc>
          <w:tcPr>
            <w:tcW w:w="275" w:type="pct"/>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41</w:t>
            </w:r>
          </w:p>
        </w:tc>
        <w:tc>
          <w:tcPr>
            <w:tcW w:w="1483" w:type="pct"/>
            <w:gridSpan w:val="2"/>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18.63</w:t>
            </w:r>
          </w:p>
        </w:tc>
        <w:tc>
          <w:tcPr>
            <w:tcW w:w="1236" w:type="pct"/>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5.24</w:t>
            </w:r>
          </w:p>
        </w:tc>
      </w:tr>
      <w:tr w:rsidR="00625192" w:rsidRPr="00D9164F" w:rsidTr="00625192">
        <w:trPr>
          <w:trHeight w:val="243"/>
        </w:trPr>
        <w:tc>
          <w:tcPr>
            <w:tcW w:w="848" w:type="pct"/>
            <w:vAlign w:val="center"/>
          </w:tcPr>
          <w:p w:rsidR="00625192" w:rsidRPr="00D9164F" w:rsidRDefault="00625192" w:rsidP="00B53AC6">
            <w:pPr>
              <w:spacing w:after="0" w:line="240" w:lineRule="auto"/>
              <w:rPr>
                <w:rFonts w:ascii="Times New Roman" w:hAnsi="Times New Roman" w:cs="Times New Roman"/>
                <w:sz w:val="24"/>
                <w:szCs w:val="24"/>
              </w:rPr>
            </w:pPr>
            <w:r w:rsidRPr="00D9164F">
              <w:rPr>
                <w:rFonts w:ascii="Times New Roman" w:hAnsi="Times New Roman" w:cs="Times New Roman"/>
                <w:sz w:val="24"/>
                <w:szCs w:val="24"/>
              </w:rPr>
              <w:t>Post-Test</w:t>
            </w:r>
          </w:p>
        </w:tc>
        <w:tc>
          <w:tcPr>
            <w:tcW w:w="1158" w:type="pct"/>
            <w:vAlign w:val="center"/>
          </w:tcPr>
          <w:p w:rsidR="00625192" w:rsidRPr="00D9164F" w:rsidRDefault="00625192" w:rsidP="00B53AC6">
            <w:pPr>
              <w:spacing w:after="0" w:line="240" w:lineRule="auto"/>
              <w:rPr>
                <w:rFonts w:ascii="Times New Roman" w:hAnsi="Times New Roman" w:cs="Times New Roman"/>
                <w:sz w:val="24"/>
                <w:szCs w:val="24"/>
              </w:rPr>
            </w:pPr>
            <w:r w:rsidRPr="00D9164F">
              <w:rPr>
                <w:rFonts w:ascii="Times New Roman" w:hAnsi="Times New Roman" w:cs="Times New Roman"/>
                <w:i/>
                <w:iCs/>
                <w:sz w:val="24"/>
                <w:szCs w:val="24"/>
              </w:rPr>
              <w:t>LARO-TALAS</w:t>
            </w:r>
          </w:p>
        </w:tc>
        <w:tc>
          <w:tcPr>
            <w:tcW w:w="275" w:type="pct"/>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41</w:t>
            </w:r>
          </w:p>
        </w:tc>
        <w:tc>
          <w:tcPr>
            <w:tcW w:w="1483" w:type="pct"/>
            <w:gridSpan w:val="2"/>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35.17</w:t>
            </w:r>
          </w:p>
        </w:tc>
        <w:tc>
          <w:tcPr>
            <w:tcW w:w="1236" w:type="pct"/>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3.66</w:t>
            </w:r>
          </w:p>
        </w:tc>
      </w:tr>
      <w:tr w:rsidR="00625192" w:rsidRPr="00D9164F" w:rsidTr="00625192">
        <w:trPr>
          <w:trHeight w:val="80"/>
        </w:trPr>
        <w:tc>
          <w:tcPr>
            <w:tcW w:w="848" w:type="pct"/>
            <w:tcBorders>
              <w:bottom w:val="single" w:sz="2" w:space="0" w:color="auto"/>
            </w:tcBorders>
            <w:vAlign w:val="center"/>
          </w:tcPr>
          <w:p w:rsidR="00625192" w:rsidRPr="00D9164F" w:rsidRDefault="00625192" w:rsidP="00B53AC6">
            <w:pPr>
              <w:spacing w:after="0" w:line="240" w:lineRule="auto"/>
              <w:rPr>
                <w:rFonts w:ascii="Times New Roman" w:hAnsi="Times New Roman" w:cs="Times New Roman"/>
                <w:sz w:val="24"/>
                <w:szCs w:val="24"/>
              </w:rPr>
            </w:pPr>
          </w:p>
        </w:tc>
        <w:tc>
          <w:tcPr>
            <w:tcW w:w="1158" w:type="pct"/>
            <w:tcBorders>
              <w:bottom w:val="single" w:sz="2" w:space="0" w:color="auto"/>
            </w:tcBorders>
            <w:vAlign w:val="center"/>
          </w:tcPr>
          <w:p w:rsidR="00625192" w:rsidRPr="00D9164F" w:rsidRDefault="00625192" w:rsidP="00B53AC6">
            <w:pPr>
              <w:spacing w:after="0" w:line="240" w:lineRule="auto"/>
              <w:rPr>
                <w:rFonts w:ascii="Times New Roman" w:hAnsi="Times New Roman" w:cs="Times New Roman"/>
                <w:sz w:val="24"/>
                <w:szCs w:val="24"/>
              </w:rPr>
            </w:pPr>
            <w:r w:rsidRPr="00D9164F">
              <w:rPr>
                <w:rFonts w:ascii="Times New Roman" w:hAnsi="Times New Roman" w:cs="Times New Roman"/>
                <w:i/>
                <w:iCs/>
                <w:sz w:val="24"/>
                <w:szCs w:val="24"/>
              </w:rPr>
              <w:t>Non-LARO-TALAS</w:t>
            </w:r>
          </w:p>
        </w:tc>
        <w:tc>
          <w:tcPr>
            <w:tcW w:w="275" w:type="pct"/>
            <w:tcBorders>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41</w:t>
            </w:r>
          </w:p>
        </w:tc>
        <w:tc>
          <w:tcPr>
            <w:tcW w:w="1483" w:type="pct"/>
            <w:gridSpan w:val="2"/>
            <w:tcBorders>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30.02</w:t>
            </w:r>
          </w:p>
        </w:tc>
        <w:tc>
          <w:tcPr>
            <w:tcW w:w="1236" w:type="pct"/>
            <w:tcBorders>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3.74</w:t>
            </w:r>
          </w:p>
        </w:tc>
      </w:tr>
      <w:tr w:rsidR="00625192" w:rsidRPr="00D9164F" w:rsidTr="00625192">
        <w:tc>
          <w:tcPr>
            <w:tcW w:w="848" w:type="pct"/>
            <w:tcBorders>
              <w:top w:val="single" w:sz="2" w:space="0" w:color="auto"/>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p>
        </w:tc>
        <w:tc>
          <w:tcPr>
            <w:tcW w:w="1158" w:type="pct"/>
            <w:tcBorders>
              <w:top w:val="single" w:sz="2" w:space="0" w:color="auto"/>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p>
        </w:tc>
        <w:tc>
          <w:tcPr>
            <w:tcW w:w="275" w:type="pct"/>
            <w:tcBorders>
              <w:top w:val="single" w:sz="2" w:space="0" w:color="auto"/>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p>
        </w:tc>
        <w:tc>
          <w:tcPr>
            <w:tcW w:w="1483" w:type="pct"/>
            <w:gridSpan w:val="2"/>
            <w:tcBorders>
              <w:top w:val="single" w:sz="2" w:space="0" w:color="auto"/>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p>
        </w:tc>
        <w:tc>
          <w:tcPr>
            <w:tcW w:w="1236" w:type="pct"/>
            <w:tcBorders>
              <w:top w:val="single" w:sz="2" w:space="0" w:color="auto"/>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p>
        </w:tc>
      </w:tr>
      <w:tr w:rsidR="00625192" w:rsidRPr="00D9164F" w:rsidTr="00625192">
        <w:tc>
          <w:tcPr>
            <w:tcW w:w="848" w:type="pct"/>
            <w:tcBorders>
              <w:top w:val="single" w:sz="2" w:space="0" w:color="auto"/>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Source</w:t>
            </w:r>
          </w:p>
        </w:tc>
        <w:tc>
          <w:tcPr>
            <w:tcW w:w="1158" w:type="pct"/>
            <w:tcBorders>
              <w:top w:val="single" w:sz="2" w:space="0" w:color="auto"/>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Sum of Squares</w:t>
            </w:r>
          </w:p>
        </w:tc>
        <w:tc>
          <w:tcPr>
            <w:tcW w:w="275" w:type="pct"/>
            <w:tcBorders>
              <w:top w:val="single" w:sz="2" w:space="0" w:color="auto"/>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m:oMathPara>
              <m:oMath>
                <m:r>
                  <w:rPr>
                    <w:rFonts w:ascii="Cambria Math" w:hAnsi="Cambria Math" w:cs="Times New Roman"/>
                    <w:sz w:val="24"/>
                    <w:szCs w:val="24"/>
                  </w:rPr>
                  <m:t>df</m:t>
                </m:r>
              </m:oMath>
            </m:oMathPara>
          </w:p>
        </w:tc>
        <w:tc>
          <w:tcPr>
            <w:tcW w:w="866" w:type="pct"/>
            <w:tcBorders>
              <w:top w:val="single" w:sz="2" w:space="0" w:color="auto"/>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Mean Square</w:t>
            </w:r>
          </w:p>
        </w:tc>
        <w:tc>
          <w:tcPr>
            <w:tcW w:w="617" w:type="pct"/>
            <w:tcBorders>
              <w:top w:val="single" w:sz="2" w:space="0" w:color="auto"/>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F-Value</w:t>
            </w:r>
          </w:p>
        </w:tc>
        <w:tc>
          <w:tcPr>
            <w:tcW w:w="1236" w:type="pct"/>
            <w:tcBorders>
              <w:top w:val="single" w:sz="2" w:space="0" w:color="auto"/>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p</m:t>
              </m:r>
            </m:oMath>
            <w:r w:rsidRPr="00D9164F">
              <w:rPr>
                <w:rFonts w:ascii="Times New Roman" w:hAnsi="Times New Roman" w:cs="Times New Roman"/>
                <w:sz w:val="24"/>
                <w:szCs w:val="24"/>
              </w:rPr>
              <w:t>-value</w:t>
            </w:r>
          </w:p>
        </w:tc>
      </w:tr>
      <w:tr w:rsidR="00625192" w:rsidRPr="00D9164F" w:rsidTr="00625192">
        <w:tc>
          <w:tcPr>
            <w:tcW w:w="848" w:type="pct"/>
            <w:tcBorders>
              <w:top w:val="single" w:sz="2" w:space="0" w:color="auto"/>
            </w:tcBorders>
            <w:vAlign w:val="center"/>
          </w:tcPr>
          <w:p w:rsidR="00625192" w:rsidRPr="00D9164F" w:rsidRDefault="00625192" w:rsidP="00B53AC6">
            <w:pPr>
              <w:spacing w:after="0" w:line="240" w:lineRule="auto"/>
              <w:rPr>
                <w:rFonts w:ascii="Times New Roman" w:hAnsi="Times New Roman" w:cs="Times New Roman"/>
                <w:sz w:val="24"/>
                <w:szCs w:val="24"/>
              </w:rPr>
            </w:pPr>
            <w:r w:rsidRPr="00D9164F">
              <w:rPr>
                <w:rFonts w:ascii="Times New Roman" w:hAnsi="Times New Roman" w:cs="Times New Roman"/>
                <w:sz w:val="24"/>
                <w:szCs w:val="24"/>
              </w:rPr>
              <w:t>Overall Model</w:t>
            </w:r>
          </w:p>
        </w:tc>
        <w:tc>
          <w:tcPr>
            <w:tcW w:w="1158" w:type="pct"/>
            <w:tcBorders>
              <w:top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911</w:t>
            </w:r>
          </w:p>
        </w:tc>
        <w:tc>
          <w:tcPr>
            <w:tcW w:w="275" w:type="pct"/>
            <w:tcBorders>
              <w:top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2</w:t>
            </w:r>
          </w:p>
        </w:tc>
        <w:tc>
          <w:tcPr>
            <w:tcW w:w="866" w:type="pct"/>
            <w:tcBorders>
              <w:top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455.64</w:t>
            </w:r>
          </w:p>
        </w:tc>
        <w:tc>
          <w:tcPr>
            <w:tcW w:w="617" w:type="pct"/>
            <w:tcBorders>
              <w:top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51.3</w:t>
            </w:r>
          </w:p>
        </w:tc>
        <w:tc>
          <w:tcPr>
            <w:tcW w:w="1236" w:type="pct"/>
            <w:tcBorders>
              <w:top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&lt;0.001**</w:t>
            </w:r>
          </w:p>
        </w:tc>
      </w:tr>
      <w:tr w:rsidR="00625192" w:rsidRPr="00D9164F" w:rsidTr="00625192">
        <w:tc>
          <w:tcPr>
            <w:tcW w:w="848" w:type="pct"/>
            <w:vAlign w:val="center"/>
          </w:tcPr>
          <w:p w:rsidR="00625192" w:rsidRPr="00D9164F" w:rsidRDefault="00625192" w:rsidP="00B53AC6">
            <w:pPr>
              <w:spacing w:after="0" w:line="240" w:lineRule="auto"/>
              <w:rPr>
                <w:rFonts w:ascii="Times New Roman" w:hAnsi="Times New Roman" w:cs="Times New Roman"/>
                <w:sz w:val="24"/>
                <w:szCs w:val="24"/>
              </w:rPr>
            </w:pPr>
            <w:r w:rsidRPr="00D9164F">
              <w:rPr>
                <w:rFonts w:ascii="Times New Roman" w:hAnsi="Times New Roman" w:cs="Times New Roman"/>
                <w:sz w:val="24"/>
                <w:szCs w:val="24"/>
              </w:rPr>
              <w:t>Covariate</w:t>
            </w:r>
          </w:p>
        </w:tc>
        <w:tc>
          <w:tcPr>
            <w:tcW w:w="1158" w:type="pct"/>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384</w:t>
            </w:r>
          </w:p>
        </w:tc>
        <w:tc>
          <w:tcPr>
            <w:tcW w:w="275" w:type="pct"/>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1</w:t>
            </w:r>
          </w:p>
        </w:tc>
        <w:tc>
          <w:tcPr>
            <w:tcW w:w="866" w:type="pct"/>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383.70</w:t>
            </w:r>
          </w:p>
        </w:tc>
        <w:tc>
          <w:tcPr>
            <w:tcW w:w="617" w:type="pct"/>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42.5</w:t>
            </w:r>
          </w:p>
        </w:tc>
        <w:tc>
          <w:tcPr>
            <w:tcW w:w="1236" w:type="pct"/>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&lt;0.001**</w:t>
            </w:r>
          </w:p>
        </w:tc>
      </w:tr>
      <w:tr w:rsidR="00625192" w:rsidRPr="00D9164F" w:rsidTr="00625192">
        <w:tc>
          <w:tcPr>
            <w:tcW w:w="848" w:type="pct"/>
            <w:vAlign w:val="center"/>
          </w:tcPr>
          <w:p w:rsidR="00625192" w:rsidRPr="00D9164F" w:rsidRDefault="00625192" w:rsidP="00B53AC6">
            <w:pPr>
              <w:spacing w:after="0" w:line="240" w:lineRule="auto"/>
              <w:rPr>
                <w:rFonts w:ascii="Times New Roman" w:hAnsi="Times New Roman" w:cs="Times New Roman"/>
                <w:sz w:val="24"/>
                <w:szCs w:val="24"/>
              </w:rPr>
            </w:pPr>
            <w:r w:rsidRPr="00D9164F">
              <w:rPr>
                <w:rFonts w:ascii="Times New Roman" w:hAnsi="Times New Roman" w:cs="Times New Roman"/>
                <w:sz w:val="24"/>
                <w:szCs w:val="24"/>
              </w:rPr>
              <w:t>Group</w:t>
            </w:r>
          </w:p>
        </w:tc>
        <w:tc>
          <w:tcPr>
            <w:tcW w:w="1158" w:type="pct"/>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528</w:t>
            </w:r>
          </w:p>
        </w:tc>
        <w:tc>
          <w:tcPr>
            <w:tcW w:w="275" w:type="pct"/>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1</w:t>
            </w:r>
          </w:p>
        </w:tc>
        <w:tc>
          <w:tcPr>
            <w:tcW w:w="866" w:type="pct"/>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527.58</w:t>
            </w:r>
          </w:p>
        </w:tc>
        <w:tc>
          <w:tcPr>
            <w:tcW w:w="617" w:type="pct"/>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58.4</w:t>
            </w:r>
          </w:p>
        </w:tc>
        <w:tc>
          <w:tcPr>
            <w:tcW w:w="1236" w:type="pct"/>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&lt;0.001**</w:t>
            </w:r>
          </w:p>
        </w:tc>
      </w:tr>
      <w:tr w:rsidR="00625192" w:rsidRPr="00D9164F" w:rsidTr="00625192">
        <w:tc>
          <w:tcPr>
            <w:tcW w:w="848" w:type="pct"/>
            <w:tcBorders>
              <w:bottom w:val="single" w:sz="2" w:space="0" w:color="auto"/>
            </w:tcBorders>
            <w:vAlign w:val="center"/>
          </w:tcPr>
          <w:p w:rsidR="00625192" w:rsidRPr="00D9164F" w:rsidRDefault="00625192" w:rsidP="00B53AC6">
            <w:pPr>
              <w:spacing w:after="0" w:line="240" w:lineRule="auto"/>
              <w:rPr>
                <w:rFonts w:ascii="Times New Roman" w:hAnsi="Times New Roman" w:cs="Times New Roman"/>
                <w:sz w:val="24"/>
                <w:szCs w:val="24"/>
              </w:rPr>
            </w:pPr>
            <w:r w:rsidRPr="00D9164F">
              <w:rPr>
                <w:rFonts w:ascii="Times New Roman" w:hAnsi="Times New Roman" w:cs="Times New Roman"/>
                <w:sz w:val="24"/>
                <w:szCs w:val="24"/>
              </w:rPr>
              <w:t>Residuals</w:t>
            </w:r>
          </w:p>
        </w:tc>
        <w:tc>
          <w:tcPr>
            <w:tcW w:w="1158" w:type="pct"/>
            <w:tcBorders>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713</w:t>
            </w:r>
          </w:p>
        </w:tc>
        <w:tc>
          <w:tcPr>
            <w:tcW w:w="275" w:type="pct"/>
            <w:tcBorders>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79</w:t>
            </w:r>
          </w:p>
        </w:tc>
        <w:tc>
          <w:tcPr>
            <w:tcW w:w="866" w:type="pct"/>
            <w:tcBorders>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r w:rsidRPr="00D9164F">
              <w:rPr>
                <w:rFonts w:ascii="Times New Roman" w:hAnsi="Times New Roman" w:cs="Times New Roman"/>
                <w:sz w:val="24"/>
                <w:szCs w:val="24"/>
              </w:rPr>
              <w:t>9.03</w:t>
            </w:r>
          </w:p>
        </w:tc>
        <w:tc>
          <w:tcPr>
            <w:tcW w:w="617" w:type="pct"/>
            <w:tcBorders>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p>
        </w:tc>
        <w:tc>
          <w:tcPr>
            <w:tcW w:w="1236" w:type="pct"/>
            <w:tcBorders>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p>
        </w:tc>
      </w:tr>
      <w:tr w:rsidR="00625192" w:rsidRPr="00D9164F" w:rsidTr="00625192">
        <w:tc>
          <w:tcPr>
            <w:tcW w:w="848" w:type="pct"/>
            <w:tcBorders>
              <w:bottom w:val="single" w:sz="2" w:space="0" w:color="auto"/>
            </w:tcBorders>
            <w:vAlign w:val="center"/>
          </w:tcPr>
          <w:p w:rsidR="00625192" w:rsidRPr="00D9164F" w:rsidRDefault="006C4BBA" w:rsidP="00B53AC6">
            <w:pPr>
              <w:spacing w:after="0" w:line="240" w:lineRule="auto"/>
              <w:rPr>
                <w:rFonts w:ascii="Times New Roman" w:hAnsi="Times New Roman" w:cs="Times New Roman"/>
                <w:sz w:val="24"/>
                <w:szCs w:val="24"/>
              </w:rPr>
            </w:pPr>
            <m:oMath>
              <m:sSup>
                <m:sSupPr>
                  <m:ctrlPr>
                    <w:rPr>
                      <w:rFonts w:ascii="Cambria Math" w:hAnsi="Times New Roman" w:cs="Times New Roman"/>
                      <w:i/>
                      <w:sz w:val="24"/>
                      <w:szCs w:val="24"/>
                    </w:rPr>
                  </m:ctrlPr>
                </m:sSupPr>
                <m:e>
                  <m:r>
                    <w:rPr>
                      <w:rFonts w:ascii="Cambria Math" w:hAnsi="Cambria Math" w:cs="Times New Roman"/>
                      <w:sz w:val="24"/>
                      <w:szCs w:val="24"/>
                    </w:rPr>
                    <m:t>η</m:t>
                  </m:r>
                </m:e>
                <m:sup>
                  <m:r>
                    <w:rPr>
                      <w:rFonts w:ascii="Cambria Math" w:hAnsi="Times New Roman" w:cs="Times New Roman"/>
                      <w:sz w:val="24"/>
                      <w:szCs w:val="24"/>
                    </w:rPr>
                    <m:t>2</m:t>
                  </m:r>
                </m:sup>
              </m:sSup>
            </m:oMath>
            <w:r w:rsidR="00625192" w:rsidRPr="00D9164F">
              <w:rPr>
                <w:rFonts w:ascii="Times New Roman" w:eastAsiaTheme="minorEastAsia" w:hAnsi="Times New Roman" w:cs="Times New Roman"/>
                <w:sz w:val="24"/>
                <w:szCs w:val="24"/>
              </w:rPr>
              <w:t>= 0.325</w:t>
            </w:r>
          </w:p>
        </w:tc>
        <w:tc>
          <w:tcPr>
            <w:tcW w:w="1158" w:type="pct"/>
            <w:tcBorders>
              <w:bottom w:val="single" w:sz="2" w:space="0" w:color="auto"/>
            </w:tcBorders>
            <w:vAlign w:val="center"/>
          </w:tcPr>
          <w:p w:rsidR="00625192" w:rsidRPr="00D9164F" w:rsidRDefault="006C4BBA" w:rsidP="00B53AC6">
            <w:pPr>
              <w:spacing w:after="0" w:line="240" w:lineRule="auto"/>
              <w:jc w:val="center"/>
              <w:rPr>
                <w:rFonts w:ascii="Times New Roman" w:hAnsi="Times New Roman" w:cs="Times New Roman"/>
                <w:sz w:val="24"/>
                <w:szCs w:val="24"/>
              </w:rPr>
            </w:pPr>
            <m:oMath>
              <m:sSup>
                <m:sSupPr>
                  <m:ctrlPr>
                    <w:rPr>
                      <w:rFonts w:ascii="Cambria Math" w:hAnsi="Times New Roman" w:cs="Times New Roman"/>
                      <w:i/>
                      <w:sz w:val="24"/>
                      <w:szCs w:val="24"/>
                    </w:rPr>
                  </m:ctrlPr>
                </m:sSupPr>
                <m:e>
                  <m:r>
                    <w:rPr>
                      <w:rFonts w:ascii="Cambria Math" w:hAnsi="Cambria Math" w:cs="Times New Roman"/>
                      <w:sz w:val="24"/>
                      <w:szCs w:val="24"/>
                    </w:rPr>
                    <m:t>η</m:t>
                  </m:r>
                </m:e>
                <m:sup>
                  <m:r>
                    <w:rPr>
                      <w:rFonts w:ascii="Cambria Math" w:hAnsi="Times New Roman" w:cs="Times New Roman"/>
                      <w:sz w:val="24"/>
                      <w:szCs w:val="24"/>
                    </w:rPr>
                    <m:t>2</m:t>
                  </m:r>
                </m:sup>
              </m:sSup>
              <m:r>
                <w:rPr>
                  <w:rFonts w:ascii="Cambria Math" w:hAnsi="Cambria Math" w:cs="Times New Roman"/>
                  <w:sz w:val="24"/>
                  <w:szCs w:val="24"/>
                </w:rPr>
                <m:t>p</m:t>
              </m:r>
            </m:oMath>
            <w:r w:rsidR="00625192" w:rsidRPr="00D9164F">
              <w:rPr>
                <w:rFonts w:ascii="Times New Roman" w:eastAsiaTheme="minorEastAsia" w:hAnsi="Times New Roman" w:cs="Times New Roman"/>
                <w:sz w:val="24"/>
                <w:szCs w:val="24"/>
              </w:rPr>
              <w:t xml:space="preserve"> = 0.425</w:t>
            </w:r>
          </w:p>
        </w:tc>
        <w:tc>
          <w:tcPr>
            <w:tcW w:w="275" w:type="pct"/>
            <w:tcBorders>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p>
        </w:tc>
        <w:tc>
          <w:tcPr>
            <w:tcW w:w="866" w:type="pct"/>
            <w:tcBorders>
              <w:bottom w:val="single" w:sz="2" w:space="0" w:color="auto"/>
            </w:tcBorders>
            <w:vAlign w:val="center"/>
          </w:tcPr>
          <w:p w:rsidR="00625192" w:rsidRPr="00D9164F" w:rsidRDefault="006C4BBA" w:rsidP="00B53AC6">
            <w:pPr>
              <w:spacing w:after="0" w:line="240" w:lineRule="auto"/>
              <w:jc w:val="center"/>
              <w:rPr>
                <w:rFonts w:ascii="Times New Roman" w:hAnsi="Times New Roman" w:cs="Times New Roman"/>
                <w:sz w:val="24"/>
                <w:szCs w:val="24"/>
              </w:rPr>
            </w:pPr>
            <m:oMath>
              <m:sSup>
                <m:sSupPr>
                  <m:ctrlPr>
                    <w:rPr>
                      <w:rFonts w:ascii="Cambria Math" w:hAnsi="Times New Roman" w:cs="Times New Roman"/>
                      <w:i/>
                      <w:sz w:val="24"/>
                      <w:szCs w:val="24"/>
                    </w:rPr>
                  </m:ctrlPr>
                </m:sSupPr>
                <m:e>
                  <m:r>
                    <w:rPr>
                      <w:rFonts w:ascii="Cambria Math" w:hAnsi="Cambria Math" w:cs="Times New Roman"/>
                      <w:sz w:val="24"/>
                      <w:szCs w:val="24"/>
                    </w:rPr>
                    <m:t>ω</m:t>
                  </m:r>
                </m:e>
                <m:sup>
                  <m:r>
                    <w:rPr>
                      <w:rFonts w:ascii="Cambria Math" w:hAnsi="Times New Roman" w:cs="Times New Roman"/>
                      <w:sz w:val="24"/>
                      <w:szCs w:val="24"/>
                    </w:rPr>
                    <m:t>2</m:t>
                  </m:r>
                </m:sup>
              </m:sSup>
            </m:oMath>
            <w:r w:rsidR="00625192" w:rsidRPr="00D9164F">
              <w:rPr>
                <w:rFonts w:ascii="Times New Roman" w:eastAsiaTheme="minorEastAsia" w:hAnsi="Times New Roman" w:cs="Times New Roman"/>
                <w:sz w:val="24"/>
                <w:szCs w:val="24"/>
              </w:rPr>
              <w:t xml:space="preserve"> = 0.317</w:t>
            </w:r>
          </w:p>
        </w:tc>
        <w:tc>
          <w:tcPr>
            <w:tcW w:w="617" w:type="pct"/>
            <w:tcBorders>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p>
        </w:tc>
        <w:tc>
          <w:tcPr>
            <w:tcW w:w="1236" w:type="pct"/>
            <w:tcBorders>
              <w:bottom w:val="single" w:sz="2" w:space="0" w:color="auto"/>
            </w:tcBorders>
            <w:vAlign w:val="center"/>
          </w:tcPr>
          <w:p w:rsidR="00625192" w:rsidRPr="00D9164F" w:rsidRDefault="00625192" w:rsidP="00B53AC6">
            <w:pPr>
              <w:spacing w:after="0" w:line="240" w:lineRule="auto"/>
              <w:jc w:val="center"/>
              <w:rPr>
                <w:rFonts w:ascii="Times New Roman" w:hAnsi="Times New Roman" w:cs="Times New Roman"/>
                <w:sz w:val="24"/>
                <w:szCs w:val="24"/>
              </w:rPr>
            </w:pPr>
          </w:p>
        </w:tc>
      </w:tr>
      <w:tr w:rsidR="00625192" w:rsidRPr="00D9164F" w:rsidTr="00B53AC6">
        <w:trPr>
          <w:trHeight w:val="546"/>
        </w:trPr>
        <w:tc>
          <w:tcPr>
            <w:tcW w:w="5000" w:type="pct"/>
            <w:gridSpan w:val="6"/>
            <w:tcBorders>
              <w:top w:val="single" w:sz="2" w:space="0" w:color="auto"/>
            </w:tcBorders>
            <w:vAlign w:val="center"/>
          </w:tcPr>
          <w:p w:rsidR="00625192" w:rsidRPr="00D9164F" w:rsidRDefault="00625192" w:rsidP="00B53AC6">
            <w:pPr>
              <w:rPr>
                <w:rFonts w:ascii="Times New Roman" w:hAnsi="Times New Roman" w:cs="Times New Roman"/>
                <w:i/>
                <w:iCs/>
                <w:sz w:val="24"/>
                <w:szCs w:val="24"/>
              </w:rPr>
            </w:pPr>
            <w:r w:rsidRPr="00D9164F">
              <w:rPr>
                <w:rFonts w:ascii="Times New Roman" w:hAnsi="Times New Roman" w:cs="Times New Roman"/>
                <w:i/>
                <w:iCs/>
                <w:sz w:val="24"/>
                <w:szCs w:val="24"/>
              </w:rPr>
              <w:t>Note: **-significantly different at 0.01 level of significance</w:t>
            </w:r>
          </w:p>
          <w:p w:rsidR="00625192" w:rsidRPr="00D9164F" w:rsidRDefault="00625192" w:rsidP="00B53AC6">
            <w:pPr>
              <w:spacing w:after="0" w:line="240" w:lineRule="auto"/>
              <w:rPr>
                <w:rFonts w:ascii="Times New Roman" w:hAnsi="Times New Roman" w:cs="Times New Roman"/>
                <w:sz w:val="24"/>
                <w:szCs w:val="24"/>
              </w:rPr>
            </w:pPr>
          </w:p>
        </w:tc>
      </w:tr>
    </w:tbl>
    <w:p w:rsidR="00625192" w:rsidRPr="00D9164F" w:rsidRDefault="00B53AC6" w:rsidP="000C1450">
      <w:pPr>
        <w:pStyle w:val="my-2"/>
        <w:jc w:val="both"/>
      </w:pPr>
      <w:r w:rsidRPr="00D9164F">
        <w:lastRenderedPageBreak/>
        <w:t>Table 3</w:t>
      </w:r>
      <w:r w:rsidR="00625192" w:rsidRPr="00D9164F">
        <w:t xml:space="preserve"> shows </w:t>
      </w:r>
      <w:r w:rsidR="00625192" w:rsidRPr="00D9164F">
        <w:rPr>
          <w:rStyle w:val="mord"/>
        </w:rPr>
        <w:t>F</w:t>
      </w:r>
      <w:r w:rsidR="00625192" w:rsidRPr="00D9164F">
        <w:rPr>
          <w:rStyle w:val="mrel"/>
        </w:rPr>
        <w:t>=</w:t>
      </w:r>
      <w:r w:rsidR="00625192" w:rsidRPr="00D9164F">
        <w:rPr>
          <w:rStyle w:val="mord"/>
        </w:rPr>
        <w:t>58.4</w:t>
      </w:r>
      <w:r w:rsidR="00625192" w:rsidRPr="00D9164F">
        <w:t>,</w:t>
      </w:r>
      <w:r w:rsidR="00625192" w:rsidRPr="00D9164F">
        <w:rPr>
          <w:rStyle w:val="mord"/>
        </w:rPr>
        <w:t>p</w:t>
      </w:r>
      <w:r w:rsidR="00625192" w:rsidRPr="00D9164F">
        <w:rPr>
          <w:rStyle w:val="mrel"/>
        </w:rPr>
        <w:t>&lt;</w:t>
      </w:r>
      <w:r w:rsidR="00625192" w:rsidRPr="00D9164F">
        <w:rPr>
          <w:rStyle w:val="mord"/>
        </w:rPr>
        <w:t>0.001</w:t>
      </w:r>
      <w:r w:rsidR="00625192" w:rsidRPr="00D9164F">
        <w:t xml:space="preserve">, confirming a significant difference between </w:t>
      </w:r>
      <w:r w:rsidR="00625192" w:rsidRPr="00D9164F">
        <w:rPr>
          <w:i/>
        </w:rPr>
        <w:t>the LARO-TALAS</w:t>
      </w:r>
      <w:r w:rsidR="00625192" w:rsidRPr="00D9164F">
        <w:t xml:space="preserve"> and </w:t>
      </w:r>
      <w:r w:rsidR="00625192" w:rsidRPr="00D9164F">
        <w:rPr>
          <w:i/>
        </w:rPr>
        <w:t>Non-LARO-TALAS</w:t>
      </w:r>
      <w:r w:rsidR="00625192" w:rsidRPr="00D9164F">
        <w:t xml:space="preserve"> groups.</w:t>
      </w:r>
    </w:p>
    <w:p w:rsidR="00625192" w:rsidRPr="00D9164F" w:rsidRDefault="00625192" w:rsidP="000C1450">
      <w:pPr>
        <w:pStyle w:val="my-2"/>
        <w:jc w:val="both"/>
      </w:pPr>
      <w:r w:rsidRPr="00D9164F">
        <w:t xml:space="preserve">Both groups showed significant pre- to post-test gains. The </w:t>
      </w:r>
      <w:r w:rsidRPr="00D9164F">
        <w:rPr>
          <w:i/>
        </w:rPr>
        <w:t>Non-LARO-TALAS</w:t>
      </w:r>
      <w:r w:rsidRPr="00D9164F">
        <w:t xml:space="preserve"> group had a mean difference of 11.39 but remained at low proficiency (post-test mean = 30.02), suggesting insufficient practical improvement. This aligns with Sacal et al. (2023) and Salering et al. (2025), who found traditional methods yield statistical gains but limited functional language improvement.</w:t>
      </w:r>
    </w:p>
    <w:p w:rsidR="00625192" w:rsidRPr="00D9164F" w:rsidRDefault="00625192" w:rsidP="000C1450">
      <w:pPr>
        <w:pStyle w:val="my-2"/>
        <w:jc w:val="both"/>
      </w:pPr>
      <w:r w:rsidRPr="00D9164F">
        <w:t xml:space="preserve">The </w:t>
      </w:r>
      <w:r w:rsidRPr="00D9164F">
        <w:rPr>
          <w:i/>
        </w:rPr>
        <w:t>LARO-TALAS</w:t>
      </w:r>
      <w:r w:rsidRPr="00D9164F">
        <w:t xml:space="preserve"> group showed a larger mean difference of 16.34, reflecting meaningful gains. This supports Hamari et al. (2014), Bolaton and Mabit (2025), and Barredo (2020), who found gamification boosts engagement, motivation, and language mastery.</w:t>
      </w:r>
    </w:p>
    <w:p w:rsidR="00625192" w:rsidRPr="00D9164F" w:rsidRDefault="00625192" w:rsidP="000C1450">
      <w:pPr>
        <w:pStyle w:val="my-2"/>
        <w:jc w:val="both"/>
      </w:pPr>
      <w:r w:rsidRPr="00D9164F">
        <w:t xml:space="preserve">The group effect sum of squares (527.58) exceeded the covariate (383.70) and residuals (9.03), indicating </w:t>
      </w:r>
      <w:r w:rsidRPr="00D9164F">
        <w:rPr>
          <w:i/>
        </w:rPr>
        <w:t>LARO-TALAS</w:t>
      </w:r>
      <w:r w:rsidRPr="00D9164F">
        <w:t xml:space="preserve"> explained substantial variance beyond pre-test scores. Philippine studies confirm this: Guisadio et al. (2025) found gamification improves outcomes and engagement; Lomibao et al. (2024) showed superior achievement in language learning; Caballero et al. (2022) reported enhanced Filipino performance; and Mangulian (2025) noted significant gains in motivation and mastery.</w:t>
      </w:r>
    </w:p>
    <w:p w:rsidR="00B53AC6" w:rsidRPr="00D9164F" w:rsidRDefault="00625192" w:rsidP="000B2211">
      <w:pPr>
        <w:pStyle w:val="my-2"/>
        <w:jc w:val="both"/>
      </w:pPr>
      <w:r w:rsidRPr="00D9164F">
        <w:t xml:space="preserve">These results confirm </w:t>
      </w:r>
      <w:r w:rsidRPr="00D9164F">
        <w:rPr>
          <w:i/>
        </w:rPr>
        <w:t>LARO-TALAS</w:t>
      </w:r>
      <w:r w:rsidRPr="00D9164F">
        <w:t xml:space="preserve"> as an effective gamified strategy for Filipino grammar mastery</w:t>
      </w:r>
      <w:r w:rsidR="00934BB8" w:rsidRPr="00D9164F">
        <w:t>.</w:t>
      </w:r>
    </w:p>
    <w:p w:rsidR="00B53AC6" w:rsidRPr="00D9164F" w:rsidRDefault="00B53AC6" w:rsidP="00625192">
      <w:pPr>
        <w:pStyle w:val="my-2"/>
        <w:rPr>
          <w:b/>
        </w:rPr>
      </w:pPr>
      <w:r w:rsidRPr="00D9164F">
        <w:rPr>
          <w:b/>
        </w:rPr>
        <w:t>CONCLUSIONS</w:t>
      </w:r>
    </w:p>
    <w:p w:rsidR="00B53AC6" w:rsidRPr="00D9164F" w:rsidRDefault="00B53AC6" w:rsidP="00B53AC6">
      <w:pPr>
        <w:pStyle w:val="NormalWeb"/>
        <w:ind w:firstLine="720"/>
        <w:jc w:val="both"/>
      </w:pPr>
      <w:r w:rsidRPr="00D9164F">
        <w:t>Based on the findings, both the LARO-TALAS and Non-LARO-TALAS groups demonstrated very low levels of mastery in Filipino grammar during the pre-test, with mean scores of 18.83 and 18.63, respectively. This indicates that both groups had comparable prior knowledge and limited proficiency in Filipino grammar before the intervention. After the implementation of the instructional strategies, both groups showed improvement. However, the group exposed to the LARO-TALAS strategy achieved a mean post-test score of 35.17, which corresponds to a high level of mastery. In contrast, the Non-LARO-TALAS group obtained a mean post-test score of 30.02, which falls under the low level of mastery. These results indicate that while conventional instruction contributed to some improvement, the LARO-TALAS strategy was far more effective in elevating students' mastery of Filipino grammar from very low to high proficiency.</w:t>
      </w:r>
    </w:p>
    <w:p w:rsidR="00B53AC6" w:rsidRPr="00D9164F" w:rsidRDefault="00B53AC6" w:rsidP="00B53AC6">
      <w:pPr>
        <w:pStyle w:val="NormalWeb"/>
        <w:ind w:firstLine="720"/>
        <w:jc w:val="both"/>
      </w:pPr>
      <w:r w:rsidRPr="00D9164F">
        <w:t>Furthermore, the results revealed a statistically significant difference between the Filipino grammar mastery of students exposed to the LARO-TALAS strategy and those taught using the Non-LARO-TALAS approach. The ANCOVA results yielded an F-value of 58.4 with a p-value of less than 0.001, leading to the rejection of the null hypothesis. This confirms that the LARO-TALAS strategy had a significant positive effect on students' Filipino grammar mastery beyond what could be achieved through conventional teaching methods alone. Therefore, LARO-TALAS is an effective and innovative instructional strategy that substantially enhances Filipino grammar mastery among Grade 7 students.</w:t>
      </w:r>
    </w:p>
    <w:p w:rsidR="00B53AC6" w:rsidRPr="00D9164F" w:rsidRDefault="00B53AC6" w:rsidP="00B53AC6">
      <w:pPr>
        <w:spacing w:line="240" w:lineRule="auto"/>
        <w:ind w:firstLine="720"/>
        <w:jc w:val="both"/>
        <w:rPr>
          <w:rFonts w:ascii="Times New Roman" w:eastAsia="Times New Roman" w:hAnsi="Times New Roman" w:cs="Times New Roman"/>
          <w:sz w:val="24"/>
          <w:szCs w:val="24"/>
        </w:rPr>
      </w:pPr>
      <w:r w:rsidRPr="00D9164F">
        <w:rPr>
          <w:rFonts w:ascii="Times New Roman" w:eastAsia="Times New Roman" w:hAnsi="Times New Roman" w:cs="Times New Roman"/>
          <w:sz w:val="24"/>
          <w:szCs w:val="24"/>
        </w:rPr>
        <w:t xml:space="preserve">Both groups started at comparable pre-test levels, ensuring a fair basis for comparison. However, the </w:t>
      </w:r>
      <w:r w:rsidRPr="00D9164F">
        <w:rPr>
          <w:rFonts w:ascii="Times New Roman" w:eastAsia="Times New Roman" w:hAnsi="Times New Roman" w:cs="Times New Roman"/>
          <w:i/>
          <w:iCs/>
          <w:sz w:val="24"/>
          <w:szCs w:val="24"/>
        </w:rPr>
        <w:t>LARO-TALAS</w:t>
      </w:r>
      <w:r w:rsidRPr="00D9164F">
        <w:rPr>
          <w:rFonts w:ascii="Times New Roman" w:eastAsia="Times New Roman" w:hAnsi="Times New Roman" w:cs="Times New Roman"/>
          <w:sz w:val="24"/>
          <w:szCs w:val="24"/>
        </w:rPr>
        <w:t xml:space="preserve"> group significantly outperformed the </w:t>
      </w:r>
      <w:r w:rsidRPr="00D9164F">
        <w:rPr>
          <w:rFonts w:ascii="Times New Roman" w:eastAsia="Times New Roman" w:hAnsi="Times New Roman" w:cs="Times New Roman"/>
          <w:i/>
          <w:iCs/>
          <w:sz w:val="24"/>
          <w:szCs w:val="24"/>
        </w:rPr>
        <w:t>NON-LARO-TALAS</w:t>
      </w:r>
      <w:r w:rsidRPr="00D9164F">
        <w:rPr>
          <w:rFonts w:ascii="Times New Roman" w:eastAsia="Times New Roman" w:hAnsi="Times New Roman" w:cs="Times New Roman"/>
          <w:sz w:val="24"/>
          <w:szCs w:val="24"/>
        </w:rPr>
        <w:t xml:space="preserve"> group, as confirmed by the ANCOVA results (F = 58.4, p &lt; 0.001). This indicates that the </w:t>
      </w:r>
      <w:r w:rsidRPr="00D9164F">
        <w:rPr>
          <w:rFonts w:ascii="Times New Roman" w:eastAsia="Times New Roman" w:hAnsi="Times New Roman" w:cs="Times New Roman"/>
          <w:i/>
          <w:sz w:val="24"/>
          <w:szCs w:val="24"/>
        </w:rPr>
        <w:t>LARO-TALAS</w:t>
      </w:r>
      <w:r w:rsidRPr="00D9164F">
        <w:rPr>
          <w:rFonts w:ascii="Times New Roman" w:eastAsia="Times New Roman" w:hAnsi="Times New Roman" w:cs="Times New Roman"/>
          <w:sz w:val="24"/>
          <w:szCs w:val="24"/>
        </w:rPr>
        <w:t xml:space="preserve"> strategy had a statistically and educationally significant impact on </w:t>
      </w:r>
      <w:r w:rsidRPr="00D9164F">
        <w:rPr>
          <w:rFonts w:ascii="Times New Roman" w:eastAsia="Times New Roman" w:hAnsi="Times New Roman" w:cs="Times New Roman"/>
          <w:sz w:val="24"/>
          <w:szCs w:val="24"/>
        </w:rPr>
        <w:lastRenderedPageBreak/>
        <w:t>improving Filipino grammar mastery in Grade 7 students at Bukidnon National School of Home Industries beyond what traditional teaching methods could achieve.</w:t>
      </w:r>
    </w:p>
    <w:p w:rsidR="00B53AC6" w:rsidRPr="00D9164F" w:rsidRDefault="00B53AC6" w:rsidP="00B53AC6">
      <w:pPr>
        <w:spacing w:line="240" w:lineRule="auto"/>
        <w:jc w:val="both"/>
        <w:rPr>
          <w:rFonts w:ascii="Times New Roman" w:eastAsia="Times New Roman" w:hAnsi="Times New Roman" w:cs="Times New Roman"/>
          <w:sz w:val="24"/>
          <w:szCs w:val="24"/>
        </w:rPr>
      </w:pPr>
    </w:p>
    <w:p w:rsidR="00B53AC6" w:rsidRPr="00D9164F" w:rsidRDefault="00B53AC6" w:rsidP="00B53AC6">
      <w:pPr>
        <w:pStyle w:val="NormalWeb"/>
        <w:spacing w:before="0" w:beforeAutospacing="0" w:after="0" w:afterAutospacing="0"/>
        <w:jc w:val="both"/>
        <w:rPr>
          <w:b/>
          <w:bCs/>
          <w:color w:val="000000"/>
        </w:rPr>
      </w:pPr>
      <w:r w:rsidRPr="00D9164F">
        <w:rPr>
          <w:b/>
          <w:bCs/>
          <w:color w:val="000000"/>
        </w:rPr>
        <w:t>RECOMMENDATIONS</w:t>
      </w:r>
    </w:p>
    <w:p w:rsidR="00B53AC6" w:rsidRPr="00D9164F" w:rsidRDefault="00B53AC6" w:rsidP="00B53AC6">
      <w:pPr>
        <w:pStyle w:val="NormalWeb"/>
        <w:spacing w:before="0" w:beforeAutospacing="0" w:after="0" w:afterAutospacing="0"/>
        <w:jc w:val="both"/>
      </w:pPr>
    </w:p>
    <w:p w:rsidR="00B53AC6" w:rsidRPr="00D9164F" w:rsidRDefault="00B53AC6" w:rsidP="00B53AC6">
      <w:pPr>
        <w:pStyle w:val="NormalWeb"/>
        <w:spacing w:before="0" w:beforeAutospacing="0" w:after="160" w:afterAutospacing="0"/>
      </w:pPr>
      <w:r w:rsidRPr="00D9164F">
        <w:rPr>
          <w:color w:val="000000"/>
        </w:rPr>
        <w:t>Based on these findings, the following recommendations are suggested:</w:t>
      </w:r>
    </w:p>
    <w:p w:rsidR="00B53AC6" w:rsidRPr="00D9164F" w:rsidRDefault="00B53AC6" w:rsidP="00B53AC6">
      <w:pPr>
        <w:pStyle w:val="NormalWeb"/>
        <w:spacing w:before="0" w:beforeAutospacing="0" w:after="160" w:afterAutospacing="0"/>
        <w:jc w:val="both"/>
      </w:pPr>
      <w:r w:rsidRPr="00D9164F">
        <w:rPr>
          <w:color w:val="000000"/>
        </w:rPr>
        <w:t xml:space="preserve">1. The principal may embed the </w:t>
      </w:r>
      <w:r w:rsidRPr="00D9164F">
        <w:rPr>
          <w:i/>
          <w:iCs/>
          <w:color w:val="000000"/>
        </w:rPr>
        <w:t xml:space="preserve">LARO-TALAS </w:t>
      </w:r>
      <w:r w:rsidRPr="00D9164F">
        <w:rPr>
          <w:color w:val="000000"/>
        </w:rPr>
        <w:t>strategy in the Learning Action Cell (LAC) session.</w:t>
      </w:r>
    </w:p>
    <w:p w:rsidR="00B53AC6" w:rsidRPr="00D9164F" w:rsidRDefault="00B53AC6" w:rsidP="00B53AC6">
      <w:pPr>
        <w:pStyle w:val="NormalWeb"/>
        <w:spacing w:before="0" w:beforeAutospacing="0" w:after="160" w:afterAutospacing="0"/>
        <w:jc w:val="both"/>
      </w:pPr>
      <w:r w:rsidRPr="00D9164F">
        <w:rPr>
          <w:color w:val="000000"/>
        </w:rPr>
        <w:t xml:space="preserve">2. Filipino teachers may adopt the </w:t>
      </w:r>
      <w:r w:rsidRPr="00D9164F">
        <w:rPr>
          <w:i/>
          <w:iCs/>
          <w:color w:val="000000"/>
        </w:rPr>
        <w:t xml:space="preserve">LARO-TALAS </w:t>
      </w:r>
      <w:r w:rsidRPr="00D9164F">
        <w:rPr>
          <w:color w:val="000000"/>
        </w:rPr>
        <w:t>strategy into classroom instruction. Its effectiveness in improving grammar mastery, learner engagement, and motivation highlights its potential applicability not only in Filipino but also across other subject areas.</w:t>
      </w:r>
    </w:p>
    <w:p w:rsidR="00B53AC6" w:rsidRPr="00D9164F" w:rsidRDefault="00B53AC6" w:rsidP="00B53AC6">
      <w:pPr>
        <w:pStyle w:val="NormalWeb"/>
        <w:spacing w:before="0" w:beforeAutospacing="0" w:after="160" w:afterAutospacing="0"/>
        <w:jc w:val="both"/>
      </w:pPr>
      <w:r w:rsidRPr="00D9164F">
        <w:rPr>
          <w:color w:val="000000"/>
        </w:rPr>
        <w:t>3. Curriculum developers may incorporate game-based learning principles in instructional design to promote active, meaningful, and student-centered learning experiences.</w:t>
      </w:r>
    </w:p>
    <w:p w:rsidR="00B53AC6" w:rsidRPr="00D9164F" w:rsidRDefault="00B53AC6" w:rsidP="00B53AC6">
      <w:pPr>
        <w:pStyle w:val="NormalWeb"/>
        <w:spacing w:before="0" w:beforeAutospacing="0" w:after="160" w:afterAutospacing="0"/>
        <w:jc w:val="both"/>
      </w:pPr>
      <w:r w:rsidRPr="00D9164F">
        <w:rPr>
          <w:color w:val="000000"/>
        </w:rPr>
        <w:t>4. Future researchers may explore other game mechanics and examine the long-term effects of gamified instruction on academic achievement.</w:t>
      </w:r>
    </w:p>
    <w:p w:rsidR="00B53AC6" w:rsidRPr="00D9164F" w:rsidRDefault="00B53AC6" w:rsidP="00B53AC6">
      <w:pPr>
        <w:pStyle w:val="NormalWeb"/>
        <w:spacing w:before="0" w:beforeAutospacing="0" w:after="160" w:afterAutospacing="0"/>
        <w:jc w:val="both"/>
        <w:rPr>
          <w:color w:val="000000"/>
        </w:rPr>
      </w:pPr>
      <w:r w:rsidRPr="00D9164F">
        <w:rPr>
          <w:color w:val="000000"/>
        </w:rPr>
        <w:t>By fostering interactive and learner-centered environments, educators can promote deeper understanding, sustained engagement, and improved academic performance, reinforcing the value of gamified instructional strategies in contemporary education.</w:t>
      </w:r>
    </w:p>
    <w:p w:rsidR="000B2211" w:rsidRPr="00D9164F" w:rsidRDefault="000B2211" w:rsidP="00B53AC6">
      <w:pPr>
        <w:pStyle w:val="NormalWeb"/>
        <w:spacing w:before="0" w:beforeAutospacing="0" w:after="160" w:afterAutospacing="0"/>
        <w:jc w:val="both"/>
      </w:pPr>
    </w:p>
    <w:p w:rsidR="00B53AC6" w:rsidRPr="00D9164F" w:rsidRDefault="00B53AC6" w:rsidP="00B53AC6">
      <w:pPr>
        <w:pStyle w:val="NormalWeb"/>
        <w:spacing w:before="0" w:beforeAutospacing="0" w:after="0" w:afterAutospacing="0"/>
        <w:jc w:val="both"/>
        <w:rPr>
          <w:b/>
          <w:bCs/>
          <w:color w:val="000000"/>
        </w:rPr>
      </w:pPr>
      <w:r w:rsidRPr="00D9164F">
        <w:rPr>
          <w:b/>
          <w:bCs/>
          <w:color w:val="000000"/>
        </w:rPr>
        <w:t>ACKNOWLEDGEMENTS</w:t>
      </w:r>
    </w:p>
    <w:p w:rsidR="000B2211" w:rsidRPr="00D9164F" w:rsidRDefault="000B2211" w:rsidP="00B53AC6">
      <w:pPr>
        <w:pStyle w:val="NormalWeb"/>
        <w:spacing w:before="0" w:beforeAutospacing="0" w:after="0" w:afterAutospacing="0"/>
        <w:jc w:val="both"/>
      </w:pPr>
    </w:p>
    <w:p w:rsidR="00B53AC6" w:rsidRPr="00D9164F" w:rsidRDefault="00B53AC6" w:rsidP="00B53AC6">
      <w:pPr>
        <w:pStyle w:val="NormalWeb"/>
        <w:spacing w:before="0" w:beforeAutospacing="0" w:after="0" w:afterAutospacing="0"/>
        <w:jc w:val="both"/>
      </w:pPr>
      <w:r w:rsidRPr="00D9164F">
        <w:rPr>
          <w:color w:val="000000"/>
        </w:rPr>
        <w:t>The researchers extend their gratitude to Dr. Rubillinda A. Paglinawan, Educ 98 instructor, for her valuable guidance in improving the quality of this study, and to Dr. James L. Paglinawan for his support and encouragement. Appreciation is also given to Dr. Grace T. Pahalang, Principal of Bukidnon National School of Home Industries, for allowing the conduct of this study, as well as to the student participants for their cooperation. </w:t>
      </w:r>
    </w:p>
    <w:p w:rsidR="00B53AC6" w:rsidRPr="00D9164F" w:rsidRDefault="00B53AC6" w:rsidP="00B53AC6">
      <w:pPr>
        <w:pStyle w:val="NormalWeb"/>
        <w:spacing w:before="0" w:beforeAutospacing="0" w:after="0" w:afterAutospacing="0"/>
        <w:jc w:val="both"/>
      </w:pPr>
      <w:r w:rsidRPr="00D9164F">
        <w:rPr>
          <w:color w:val="000000"/>
        </w:rPr>
        <w:t> </w:t>
      </w:r>
    </w:p>
    <w:p w:rsidR="00B53AC6" w:rsidRPr="00D9164F" w:rsidRDefault="00B53AC6" w:rsidP="00B53AC6">
      <w:pPr>
        <w:pStyle w:val="NormalWeb"/>
        <w:spacing w:before="0" w:beforeAutospacing="0" w:after="0" w:afterAutospacing="0"/>
        <w:jc w:val="both"/>
        <w:rPr>
          <w:b/>
          <w:bCs/>
          <w:color w:val="000000"/>
        </w:rPr>
      </w:pPr>
      <w:r w:rsidRPr="00D9164F">
        <w:rPr>
          <w:b/>
          <w:bCs/>
          <w:color w:val="000000"/>
        </w:rPr>
        <w:t>LITERATURE CITED</w:t>
      </w:r>
    </w:p>
    <w:p w:rsidR="00B53AC6" w:rsidRPr="00D9164F" w:rsidRDefault="00B53AC6" w:rsidP="00B53AC6">
      <w:pPr>
        <w:pStyle w:val="NormalWeb"/>
        <w:spacing w:before="0" w:beforeAutospacing="0" w:after="0" w:afterAutospacing="0"/>
        <w:jc w:val="both"/>
      </w:pPr>
    </w:p>
    <w:p w:rsidR="00B53AC6" w:rsidRPr="00D9164F" w:rsidRDefault="00B53AC6"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[1]</w:t>
      </w:r>
      <w:r w:rsidRPr="00D9164F">
        <w:rPr>
          <w:rFonts w:ascii="Times New Roman" w:hAnsi="Times New Roman" w:cs="Times New Roman"/>
          <w:sz w:val="24"/>
          <w:szCs w:val="24"/>
        </w:rPr>
        <w:tab/>
        <w:t xml:space="preserve">Agni, J. M. V., Basaca, D. L. R., &amp; Basalo, R. M. (2025). UNLOCKING FILIPINO GRAMMAR MASTERY (GRADUAL EXPOSURE THROUGH STRUCTURED ACTIVITIES): PAGPAPAHUSAY NG KAALAMAN SA WASTONG GRAMATIKA NG MGA MAG-AARAL SA IKA-11 NA BAITANG. EPRA International Journal of Multidisciplinary Research (IJMR), 1258–1269. </w:t>
      </w:r>
      <w:hyperlink r:id="rId9" w:history="1">
        <w:r w:rsidRPr="00D9164F">
          <w:rPr>
            <w:rStyle w:val="Hyperlink"/>
            <w:rFonts w:ascii="Times New Roman" w:hAnsi="Times New Roman" w:cs="Times New Roman"/>
            <w:color w:val="auto"/>
            <w:sz w:val="24"/>
            <w:szCs w:val="24"/>
            <w:u w:val="none"/>
          </w:rPr>
          <w:t>https://doi.org/10.36713/epra22604</w:t>
        </w:r>
      </w:hyperlink>
    </w:p>
    <w:p w:rsidR="00B53AC6" w:rsidRPr="00D9164F" w:rsidRDefault="00B53AC6"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[2]</w:t>
      </w:r>
      <w:r w:rsidRPr="00D9164F">
        <w:rPr>
          <w:rFonts w:ascii="Times New Roman" w:hAnsi="Times New Roman" w:cs="Times New Roman"/>
          <w:sz w:val="24"/>
          <w:szCs w:val="24"/>
        </w:rPr>
        <w:tab/>
        <w:t>Allen, M. (2017) The SAGE Encyclopedia of Communication Research Methods. https://doi.org/10.4135/9781483381411</w:t>
      </w:r>
    </w:p>
    <w:p w:rsidR="00B53AC6" w:rsidRPr="00D9164F" w:rsidRDefault="00B53AC6"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[3]</w:t>
      </w:r>
      <w:r w:rsidRPr="00D9164F">
        <w:rPr>
          <w:rFonts w:ascii="Times New Roman" w:hAnsi="Times New Roman" w:cs="Times New Roman"/>
          <w:sz w:val="24"/>
          <w:szCs w:val="24"/>
        </w:rPr>
        <w:tab/>
        <w:t xml:space="preserve">Aratea, M. L., &amp; Pasubillo, M. a. C. (2024). Effects of Game-Based Learning on improving Grammar skills of Grade 9 students. Journal of English as a Foreign Language Teaching and Research, 4(2), 43–60. </w:t>
      </w:r>
      <w:hyperlink r:id="rId10" w:history="1">
        <w:r w:rsidRPr="00D9164F">
          <w:rPr>
            <w:rStyle w:val="Hyperlink"/>
            <w:rFonts w:ascii="Times New Roman" w:hAnsi="Times New Roman" w:cs="Times New Roman"/>
            <w:color w:val="auto"/>
            <w:sz w:val="24"/>
            <w:szCs w:val="24"/>
            <w:u w:val="none"/>
          </w:rPr>
          <w:t>https://doi.org/10.31098/jefltr.v4i2.2445</w:t>
        </w:r>
      </w:hyperlink>
    </w:p>
    <w:p w:rsidR="00B53AC6" w:rsidRPr="00D9164F" w:rsidRDefault="00B53AC6"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 xml:space="preserve">[4] </w:t>
      </w:r>
      <w:r w:rsidRPr="00D9164F">
        <w:rPr>
          <w:rFonts w:ascii="Times New Roman" w:hAnsi="Times New Roman" w:cs="Times New Roman"/>
          <w:sz w:val="24"/>
          <w:szCs w:val="24"/>
        </w:rPr>
        <w:tab/>
        <w:t>Barredo, Cheryl &amp; Saavedra, Analyn (2020). Factors that Contribute to the Poor Writing Skills in Filipino and English of the Elementary Pupils. 14. 1090-1106.</w:t>
      </w:r>
    </w:p>
    <w:p w:rsidR="00B53AC6" w:rsidRPr="00D9164F" w:rsidRDefault="00B53AC6"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lastRenderedPageBreak/>
        <w:t>[5]</w:t>
      </w:r>
      <w:r w:rsidRPr="00D9164F">
        <w:rPr>
          <w:rFonts w:ascii="Times New Roman" w:hAnsi="Times New Roman" w:cs="Times New Roman"/>
          <w:sz w:val="24"/>
          <w:szCs w:val="24"/>
        </w:rPr>
        <w:tab/>
        <w:t>Bolaton, J. L. S., &amp; Mabit, A. C. (2025). FILIPINO GRAMMAR QUEST GAME: ISANG INTERBENSYON SA PAGLINANG NG KAALAMAN SA WASTONG GAMIT NG MGA SALITA SA FILIPINO NG MGA MAG-AARAL SA IKA-9 NA BAITANG. EPRA International Journal of Multidisciplinary Research (IJMR), 1607–1621. https://doi.org/10.36713/epra22654</w:t>
      </w:r>
    </w:p>
    <w:p w:rsidR="00B53AC6" w:rsidRPr="00D9164F" w:rsidRDefault="00B53AC6"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[6]</w:t>
      </w:r>
      <w:r w:rsidRPr="00D9164F">
        <w:rPr>
          <w:rFonts w:ascii="Times New Roman" w:hAnsi="Times New Roman" w:cs="Times New Roman"/>
          <w:sz w:val="24"/>
          <w:szCs w:val="24"/>
        </w:rPr>
        <w:tab/>
        <w:t>Chan S and Lo N (2024) Enhancing EFL/ESL instruction through gamification: a comprehensive review of empirical evidence. Front. Educ. 9:1395155. doi: 10.3389/feduc.2024.1395155</w:t>
      </w:r>
    </w:p>
    <w:p w:rsidR="00B53AC6" w:rsidRPr="00D9164F" w:rsidRDefault="00B53AC6"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[7]</w:t>
      </w:r>
      <w:r w:rsidRPr="00D9164F">
        <w:rPr>
          <w:rFonts w:ascii="Times New Roman" w:hAnsi="Times New Roman" w:cs="Times New Roman"/>
          <w:sz w:val="24"/>
          <w:szCs w:val="24"/>
        </w:rPr>
        <w:tab/>
        <w:t>Cook, Vivian. (2000). Second Language Learning and Language Teaching (2nd edition). Beijing: Foreign Language Teaching and Research Press.</w:t>
      </w:r>
    </w:p>
    <w:p w:rsidR="00B53AC6" w:rsidRPr="00D9164F" w:rsidRDefault="00B53AC6"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[8]</w:t>
      </w:r>
      <w:r w:rsidRPr="00D9164F">
        <w:rPr>
          <w:rFonts w:ascii="Times New Roman" w:hAnsi="Times New Roman" w:cs="Times New Roman"/>
          <w:sz w:val="24"/>
          <w:szCs w:val="24"/>
        </w:rPr>
        <w:tab/>
        <w:t>Defilippi, Alban &amp; Teresa, María &amp; Alarcón, Estrada &amp; Estrada, Diana Xiomara &amp; Fajardo, Aroca &amp; Lizeth, Romina &amp; Sánchez, Yazmín &amp; Lisseth, Yazmín. (2025). Gamification-based strategies to improve motivation in English learning in university students. Journal of Computational Analysis and Applications. 34(1):2025. </w:t>
      </w:r>
    </w:p>
    <w:p w:rsidR="00B53AC6" w:rsidRPr="00D9164F" w:rsidRDefault="00B53AC6"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[9]</w:t>
      </w:r>
      <w:r w:rsidRPr="00D9164F">
        <w:rPr>
          <w:rFonts w:ascii="Times New Roman" w:hAnsi="Times New Roman" w:cs="Times New Roman"/>
          <w:sz w:val="24"/>
          <w:szCs w:val="24"/>
        </w:rPr>
        <w:tab/>
        <w:t>Deterding, S., Dixon, D., Khaled, R., &amp; Nacke, L. (2011). Gamification: Toward a definition. CHI 2011 Gamification Workshop.</w:t>
      </w:r>
      <w:hyperlink r:id="rId11" w:history="1">
        <w:r w:rsidRPr="00D9164F">
          <w:rPr>
            <w:rStyle w:val="Hyperlink"/>
            <w:rFonts w:ascii="Times New Roman" w:hAnsi="Times New Roman" w:cs="Times New Roman"/>
            <w:color w:val="auto"/>
            <w:sz w:val="24"/>
            <w:szCs w:val="24"/>
            <w:u w:val="none"/>
          </w:rPr>
          <w:t xml:space="preserve"> https://doi.org/10.1145/1979742.1979575</w:t>
        </w:r>
      </w:hyperlink>
    </w:p>
    <w:p w:rsidR="00B53AC6" w:rsidRPr="00D9164F" w:rsidRDefault="00B53AC6"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[10]</w:t>
      </w:r>
      <w:r w:rsidRPr="00D9164F">
        <w:rPr>
          <w:rFonts w:ascii="Times New Roman" w:hAnsi="Times New Roman" w:cs="Times New Roman"/>
          <w:sz w:val="24"/>
          <w:szCs w:val="24"/>
        </w:rPr>
        <w:tab/>
        <w:t>Garcia, Manuel. (2017). E-Learning Technology Adoption in the Philippines: An Investigation of Factors Affecting Filipino College Students' Acceptance of Learning Management Systems. The International Journal of E-Learning and Educational Technologies in the Digital Media. 3. 118-130.</w:t>
      </w:r>
    </w:p>
    <w:p w:rsidR="00B53AC6" w:rsidRPr="00D9164F" w:rsidRDefault="00B53AC6"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[11]</w:t>
      </w:r>
      <w:r w:rsidRPr="00D9164F">
        <w:rPr>
          <w:rFonts w:ascii="Times New Roman" w:hAnsi="Times New Roman" w:cs="Times New Roman"/>
          <w:sz w:val="24"/>
          <w:szCs w:val="24"/>
        </w:rPr>
        <w:tab/>
        <w:t xml:space="preserve">Guisadio, R. G., Tordos, A. J., Pocdol, M., Taboada, F. L., Petin, Y. K., Asentista, L., Sumampong, L. J., Catacutan, F., Catamco, E. G., Delatado, K., Lerio, A., Villanueva, M. L., &amp; Cabello, C. (2025). Gamified Elements in Philippine Education: A Systematic review. Psychology and Education a Multidisciplinary Journal, 44(1), 142–152. </w:t>
      </w:r>
      <w:hyperlink r:id="rId12" w:history="1">
        <w:r w:rsidRPr="00D9164F">
          <w:rPr>
            <w:rStyle w:val="Hyperlink"/>
            <w:rFonts w:ascii="Times New Roman" w:hAnsi="Times New Roman" w:cs="Times New Roman"/>
            <w:color w:val="auto"/>
            <w:sz w:val="24"/>
            <w:szCs w:val="24"/>
            <w:u w:val="none"/>
          </w:rPr>
          <w:t>https://doi.org/10.70838/pemj.440109</w:t>
        </w:r>
      </w:hyperlink>
    </w:p>
    <w:p w:rsidR="00B53AC6" w:rsidRPr="00D9164F" w:rsidRDefault="00B53AC6"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[12]</w:t>
      </w:r>
      <w:r w:rsidRPr="00D9164F">
        <w:rPr>
          <w:rFonts w:ascii="Times New Roman" w:hAnsi="Times New Roman" w:cs="Times New Roman"/>
          <w:sz w:val="24"/>
          <w:szCs w:val="24"/>
        </w:rPr>
        <w:tab/>
        <w:t>Hamari, Juho &amp; Koivisto, Jonna &amp; Sarsa, Harri. (2014). Does Gamification Work? — A Literature Review of Empirical Studies on Gamification. Proceedings of the Annual Hawaii International Conference on System Sciences. 10.1109/HICSS.2014.377.</w:t>
      </w:r>
    </w:p>
    <w:p w:rsidR="00B53AC6" w:rsidRPr="00D9164F" w:rsidRDefault="00B53AC6"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[13]</w:t>
      </w:r>
      <w:r w:rsidRPr="00D9164F">
        <w:rPr>
          <w:rFonts w:ascii="Times New Roman" w:hAnsi="Times New Roman" w:cs="Times New Roman"/>
          <w:sz w:val="24"/>
          <w:szCs w:val="24"/>
        </w:rPr>
        <w:tab/>
        <w:t>Harmer, J. (2015). The Practice of English Language Teaching (5th ed.). Essex, England:</w:t>
      </w:r>
    </w:p>
    <w:p w:rsidR="00B53AC6" w:rsidRPr="00D9164F" w:rsidRDefault="00B53AC6"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[14]</w:t>
      </w:r>
      <w:r w:rsidRPr="00D9164F">
        <w:rPr>
          <w:rFonts w:ascii="Times New Roman" w:hAnsi="Times New Roman" w:cs="Times New Roman"/>
          <w:sz w:val="24"/>
          <w:szCs w:val="24"/>
        </w:rPr>
        <w:tab/>
        <w:t>Hicana, Maria Fe. (2020). PAGSIPAT AT PAGSUSURI: ANG PROF TO PICK NG MGA ESTUDYANTE SA DLSU REVIEW AND ANALYSIS: THE PROF TO PICK OF DLSU STUDENTS DALUMAT E-JOURNAL. 5. 51-59.</w:t>
      </w:r>
    </w:p>
    <w:p w:rsidR="00B53AC6" w:rsidRPr="00D9164F" w:rsidRDefault="000C1450"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[15]</w:t>
      </w:r>
      <w:r w:rsidRPr="00D9164F">
        <w:rPr>
          <w:rFonts w:ascii="Times New Roman" w:hAnsi="Times New Roman" w:cs="Times New Roman"/>
          <w:sz w:val="24"/>
          <w:szCs w:val="24"/>
        </w:rPr>
        <w:tab/>
      </w:r>
      <w:r w:rsidR="00B53AC6" w:rsidRPr="00D9164F">
        <w:rPr>
          <w:rFonts w:ascii="Times New Roman" w:hAnsi="Times New Roman" w:cs="Times New Roman"/>
          <w:sz w:val="24"/>
          <w:szCs w:val="24"/>
        </w:rPr>
        <w:t>Kapp, K. M. (2012). The gamification of learning and instruction.</w:t>
      </w:r>
      <w:r w:rsidRPr="00D9164F">
        <w:rPr>
          <w:rFonts w:ascii="Times New Roman" w:hAnsi="Times New Roman" w:cs="Times New Roman"/>
          <w:sz w:val="24"/>
          <w:szCs w:val="24"/>
        </w:rPr>
        <w:t xml:space="preserve"> ISBN</w:t>
      </w:r>
      <w:r w:rsidRPr="00D9164F">
        <w:rPr>
          <w:rFonts w:ascii="Times New Roman" w:hAnsi="Times New Roman" w:cs="Times New Roman"/>
          <w:spacing w:val="-4"/>
          <w:sz w:val="24"/>
          <w:szCs w:val="24"/>
          <w:shd w:val="clear" w:color="auto" w:fill="FFFFFF"/>
        </w:rPr>
        <w:t>-</w:t>
      </w:r>
      <w:r w:rsidR="00B53AC6" w:rsidRPr="00D9164F">
        <w:rPr>
          <w:rFonts w:ascii="Times New Roman" w:hAnsi="Times New Roman" w:cs="Times New Roman"/>
          <w:spacing w:val="-4"/>
          <w:sz w:val="24"/>
          <w:szCs w:val="24"/>
          <w:shd w:val="clear" w:color="auto" w:fill="FFFFFF"/>
        </w:rPr>
        <w:t>978-1-118-09634-5</w:t>
      </w:r>
    </w:p>
    <w:p w:rsidR="00B53AC6" w:rsidRPr="00D9164F" w:rsidRDefault="000C1450"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[16]</w:t>
      </w:r>
      <w:r w:rsidRPr="00D9164F">
        <w:rPr>
          <w:rFonts w:ascii="Times New Roman" w:hAnsi="Times New Roman" w:cs="Times New Roman"/>
          <w:sz w:val="24"/>
          <w:szCs w:val="24"/>
        </w:rPr>
        <w:tab/>
      </w:r>
      <w:r w:rsidR="00B53AC6" w:rsidRPr="00D9164F">
        <w:rPr>
          <w:rFonts w:ascii="Times New Roman" w:hAnsi="Times New Roman" w:cs="Times New Roman"/>
          <w:sz w:val="24"/>
          <w:szCs w:val="24"/>
        </w:rPr>
        <w:t xml:space="preserve">Lilibeth E. Caballero, Mary Ann M. Ferrer, Renato A. Tiria , (2022). The Role of Gamification </w:t>
      </w:r>
      <w:r w:rsidRPr="00D9164F">
        <w:rPr>
          <w:rFonts w:ascii="Times New Roman" w:hAnsi="Times New Roman" w:cs="Times New Roman"/>
          <w:sz w:val="24"/>
          <w:szCs w:val="24"/>
        </w:rPr>
        <w:t>i</w:t>
      </w:r>
      <w:r w:rsidR="00B53AC6" w:rsidRPr="00D9164F">
        <w:rPr>
          <w:rFonts w:ascii="Times New Roman" w:hAnsi="Times New Roman" w:cs="Times New Roman"/>
          <w:sz w:val="24"/>
          <w:szCs w:val="24"/>
        </w:rPr>
        <w:t>n the Academic Performance of Junior High School Students in Language Subject. International Journal of Scientific Research in Multidisciplinary Studies , 8(3), 1-4.</w:t>
      </w:r>
    </w:p>
    <w:p w:rsidR="00B53AC6" w:rsidRPr="00D9164F" w:rsidRDefault="000C1450"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[17]</w:t>
      </w:r>
      <w:r w:rsidRPr="00D9164F">
        <w:rPr>
          <w:rFonts w:ascii="Times New Roman" w:hAnsi="Times New Roman" w:cs="Times New Roman"/>
          <w:sz w:val="24"/>
          <w:szCs w:val="24"/>
        </w:rPr>
        <w:tab/>
      </w:r>
      <w:r w:rsidR="00B53AC6" w:rsidRPr="00D9164F">
        <w:rPr>
          <w:rFonts w:ascii="Times New Roman" w:hAnsi="Times New Roman" w:cs="Times New Roman"/>
          <w:sz w:val="24"/>
          <w:szCs w:val="24"/>
        </w:rPr>
        <w:t>The Gamification of Learning and instruction: Game-based Methods and Strategies for Training and education. (n.d.). Wiley.com. https://www.wiley.com/en-us/The+Gamification+of+Learning+and+Instruction-p-9781118096345</w:t>
      </w:r>
    </w:p>
    <w:p w:rsidR="00B53AC6" w:rsidRPr="00D9164F" w:rsidRDefault="000C1450"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lastRenderedPageBreak/>
        <w:t>[18]</w:t>
      </w:r>
      <w:r w:rsidRPr="00D9164F">
        <w:rPr>
          <w:rFonts w:ascii="Times New Roman" w:hAnsi="Times New Roman" w:cs="Times New Roman"/>
          <w:sz w:val="24"/>
          <w:szCs w:val="24"/>
        </w:rPr>
        <w:tab/>
      </w:r>
      <w:r w:rsidR="00B53AC6" w:rsidRPr="00D9164F">
        <w:rPr>
          <w:rFonts w:ascii="Times New Roman" w:hAnsi="Times New Roman" w:cs="Times New Roman"/>
          <w:sz w:val="24"/>
          <w:szCs w:val="24"/>
        </w:rPr>
        <w:t>Landers, R. N. (2015). Developing a theory of gamified learning: Linking serious games and gamification of learning. Simulation &amp; Gaming, 45(6), 752–768.</w:t>
      </w:r>
      <w:hyperlink r:id="rId13" w:history="1">
        <w:r w:rsidR="00B53AC6" w:rsidRPr="00D9164F">
          <w:rPr>
            <w:rStyle w:val="Hyperlink"/>
            <w:rFonts w:ascii="Times New Roman" w:hAnsi="Times New Roman" w:cs="Times New Roman"/>
            <w:color w:val="auto"/>
            <w:sz w:val="24"/>
            <w:szCs w:val="24"/>
            <w:u w:val="none"/>
          </w:rPr>
          <w:t xml:space="preserve"> https://doi.org/10.1177/1046878114563660</w:t>
        </w:r>
      </w:hyperlink>
    </w:p>
    <w:p w:rsidR="00B53AC6" w:rsidRPr="00D9164F" w:rsidRDefault="000C1450"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[19]</w:t>
      </w:r>
      <w:r w:rsidRPr="00D9164F">
        <w:rPr>
          <w:rFonts w:ascii="Times New Roman" w:hAnsi="Times New Roman" w:cs="Times New Roman"/>
          <w:sz w:val="24"/>
          <w:szCs w:val="24"/>
        </w:rPr>
        <w:tab/>
      </w:r>
      <w:r w:rsidR="00B53AC6" w:rsidRPr="00D9164F">
        <w:rPr>
          <w:rFonts w:ascii="Times New Roman" w:hAnsi="Times New Roman" w:cs="Times New Roman"/>
          <w:sz w:val="24"/>
          <w:szCs w:val="24"/>
        </w:rPr>
        <w:t>Lomibao, Laila &amp; Roble, Dennis &amp; Nob, Jun Mark Rey. (2024). Unveiling the Effects of Gamification on Math Learning: A Literature Review in the Philippine Context. Journal on Innovations in Teaching and Learning. 4. 3. 10.12691/jitl-4-1-3.</w:t>
      </w:r>
    </w:p>
    <w:p w:rsidR="00B53AC6" w:rsidRPr="00D9164F" w:rsidRDefault="000C1450"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[20]</w:t>
      </w:r>
      <w:r w:rsidRPr="00D9164F">
        <w:rPr>
          <w:rFonts w:ascii="Times New Roman" w:hAnsi="Times New Roman" w:cs="Times New Roman"/>
          <w:sz w:val="24"/>
          <w:szCs w:val="24"/>
        </w:rPr>
        <w:tab/>
      </w:r>
      <w:r w:rsidR="00B53AC6" w:rsidRPr="00D9164F">
        <w:rPr>
          <w:rFonts w:ascii="Times New Roman" w:hAnsi="Times New Roman" w:cs="Times New Roman"/>
          <w:sz w:val="24"/>
          <w:szCs w:val="24"/>
        </w:rPr>
        <w:t xml:space="preserve">Mangulian, A. B. (2025). The impact of gamified instruction on Filipino language acquisition in Grade 10. Asian Journal of Education and Social Studies, 51(6), 802–811. </w:t>
      </w:r>
      <w:hyperlink r:id="rId14" w:history="1">
        <w:r w:rsidR="00B53AC6" w:rsidRPr="00D9164F">
          <w:rPr>
            <w:rStyle w:val="Hyperlink"/>
            <w:rFonts w:ascii="Times New Roman" w:hAnsi="Times New Roman" w:cs="Times New Roman"/>
            <w:color w:val="auto"/>
            <w:sz w:val="24"/>
            <w:szCs w:val="24"/>
            <w:u w:val="none"/>
          </w:rPr>
          <w:t>https://doi.org/10.9734/ajess/2025/v51i62036</w:t>
        </w:r>
      </w:hyperlink>
    </w:p>
    <w:p w:rsidR="00B53AC6" w:rsidRPr="00D9164F" w:rsidRDefault="000C1450"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[21]</w:t>
      </w:r>
      <w:r w:rsidRPr="00D9164F">
        <w:rPr>
          <w:rFonts w:ascii="Times New Roman" w:hAnsi="Times New Roman" w:cs="Times New Roman"/>
          <w:sz w:val="24"/>
          <w:szCs w:val="24"/>
        </w:rPr>
        <w:tab/>
      </w:r>
      <w:r w:rsidR="00B53AC6" w:rsidRPr="00D9164F">
        <w:rPr>
          <w:rFonts w:ascii="Times New Roman" w:hAnsi="Times New Roman" w:cs="Times New Roman"/>
          <w:sz w:val="24"/>
          <w:szCs w:val="24"/>
        </w:rPr>
        <w:t>Magulod, Gilbert. (2019). Learning styles, study habits and academic performance of Filipino University students in applied science courses: Implications for instruction. Journal of Technology and Science Education. 9. 184. 10.3926/jotse.504.</w:t>
      </w:r>
    </w:p>
    <w:p w:rsidR="00B53AC6" w:rsidRPr="00D9164F" w:rsidRDefault="000C1450"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[22]</w:t>
      </w:r>
      <w:r w:rsidRPr="00D9164F">
        <w:rPr>
          <w:rFonts w:ascii="Times New Roman" w:hAnsi="Times New Roman" w:cs="Times New Roman"/>
          <w:sz w:val="24"/>
          <w:szCs w:val="24"/>
        </w:rPr>
        <w:tab/>
      </w:r>
      <w:r w:rsidR="00B53AC6" w:rsidRPr="00D9164F">
        <w:rPr>
          <w:rFonts w:ascii="Times New Roman" w:hAnsi="Times New Roman" w:cs="Times New Roman"/>
          <w:sz w:val="24"/>
          <w:szCs w:val="24"/>
        </w:rPr>
        <w:t>Pagente, Aler &amp; Crisologo, Bernardo &amp; Doncillo, Ma. Liberty &amp; Doncillo, B &amp; Leopoldo, Nadeth. (2024). Gamifying Technology and Livelihood Education: Instructors' Lived Experiences with Technology Applications in Core Subject Teaching. International Journal of Research and Innovation in Social Science. 8. 1079-1088. 10.47772/IJRISS.2024.8110087.</w:t>
      </w:r>
    </w:p>
    <w:p w:rsidR="00B53AC6" w:rsidRPr="00D9164F" w:rsidRDefault="000C1450"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[23]</w:t>
      </w:r>
      <w:r w:rsidRPr="00D9164F">
        <w:rPr>
          <w:rFonts w:ascii="Times New Roman" w:hAnsi="Times New Roman" w:cs="Times New Roman"/>
          <w:sz w:val="24"/>
          <w:szCs w:val="24"/>
        </w:rPr>
        <w:tab/>
      </w:r>
      <w:r w:rsidR="00B53AC6" w:rsidRPr="00D9164F">
        <w:rPr>
          <w:rFonts w:ascii="Times New Roman" w:hAnsi="Times New Roman" w:cs="Times New Roman"/>
          <w:sz w:val="24"/>
          <w:szCs w:val="24"/>
        </w:rPr>
        <w:t xml:space="preserve">Sacal, P. G. Y., &amp; Potane, J. D. (2023). Students’ Mastery of English Grammar towards Effective Writing and Speaking Competence. International Journal of Multidisciplinary Applied Business and Education Research, 4(8), 2894–2904. </w:t>
      </w:r>
      <w:hyperlink r:id="rId15" w:history="1">
        <w:r w:rsidR="00B53AC6" w:rsidRPr="00D9164F">
          <w:rPr>
            <w:rStyle w:val="Hyperlink"/>
            <w:rFonts w:ascii="Times New Roman" w:hAnsi="Times New Roman" w:cs="Times New Roman"/>
            <w:color w:val="auto"/>
            <w:sz w:val="24"/>
            <w:szCs w:val="24"/>
            <w:u w:val="none"/>
          </w:rPr>
          <w:t>https://doi.org/10.11594/ijmaber04.08.27</w:t>
        </w:r>
      </w:hyperlink>
    </w:p>
    <w:p w:rsidR="00B53AC6" w:rsidRPr="00D9164F" w:rsidRDefault="000C1450"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[24]</w:t>
      </w:r>
      <w:r w:rsidRPr="00D9164F">
        <w:rPr>
          <w:rFonts w:ascii="Times New Roman" w:hAnsi="Times New Roman" w:cs="Times New Roman"/>
          <w:sz w:val="24"/>
          <w:szCs w:val="24"/>
        </w:rPr>
        <w:tab/>
      </w:r>
      <w:r w:rsidR="00B53AC6" w:rsidRPr="00D9164F">
        <w:rPr>
          <w:rFonts w:ascii="Times New Roman" w:hAnsi="Times New Roman" w:cs="Times New Roman"/>
          <w:sz w:val="24"/>
          <w:szCs w:val="24"/>
        </w:rPr>
        <w:t xml:space="preserve">Salering, M. D. (2025). Students’ English Grammar Competencies and their Self-Efficacy. INTERNATIONAL JOURNAL OF MULTIDISCIPLINARY RESEARCH AND ANALYSIS, 08(11). </w:t>
      </w:r>
      <w:hyperlink r:id="rId16" w:history="1">
        <w:r w:rsidR="00B53AC6" w:rsidRPr="00D9164F">
          <w:rPr>
            <w:rStyle w:val="Hyperlink"/>
            <w:rFonts w:ascii="Times New Roman" w:hAnsi="Times New Roman" w:cs="Times New Roman"/>
            <w:color w:val="auto"/>
            <w:sz w:val="24"/>
            <w:szCs w:val="24"/>
            <w:u w:val="none"/>
          </w:rPr>
          <w:t>https://doi.org/10.47191/ijmra/v8-i11-46</w:t>
        </w:r>
      </w:hyperlink>
    </w:p>
    <w:p w:rsidR="00B53AC6" w:rsidRPr="00D9164F" w:rsidRDefault="000C1450" w:rsidP="000C1450">
      <w:pPr>
        <w:spacing w:line="240" w:lineRule="auto"/>
        <w:jc w:val="both"/>
        <w:rPr>
          <w:rFonts w:ascii="Times New Roman" w:hAnsi="Times New Roman" w:cs="Times New Roman"/>
          <w:sz w:val="24"/>
          <w:szCs w:val="24"/>
        </w:rPr>
      </w:pPr>
      <w:r w:rsidRPr="00D9164F">
        <w:rPr>
          <w:rFonts w:ascii="Times New Roman" w:hAnsi="Times New Roman" w:cs="Times New Roman"/>
          <w:sz w:val="24"/>
          <w:szCs w:val="24"/>
        </w:rPr>
        <w:t>[25]</w:t>
      </w:r>
      <w:r w:rsidRPr="00D9164F">
        <w:rPr>
          <w:rFonts w:ascii="Times New Roman" w:hAnsi="Times New Roman" w:cs="Times New Roman"/>
          <w:sz w:val="24"/>
          <w:szCs w:val="24"/>
        </w:rPr>
        <w:tab/>
      </w:r>
      <w:r w:rsidR="00B53AC6" w:rsidRPr="00D9164F">
        <w:rPr>
          <w:rFonts w:ascii="Times New Roman" w:hAnsi="Times New Roman" w:cs="Times New Roman"/>
          <w:sz w:val="24"/>
          <w:szCs w:val="24"/>
        </w:rPr>
        <w:t xml:space="preserve">Rossiter, A. (2021). The importance of grammar. </w:t>
      </w:r>
      <w:hyperlink r:id="rId17" w:history="1">
        <w:r w:rsidR="00B53AC6" w:rsidRPr="00D9164F">
          <w:rPr>
            <w:rStyle w:val="Hyperlink"/>
            <w:rFonts w:ascii="Times New Roman" w:hAnsi="Times New Roman" w:cs="Times New Roman"/>
            <w:color w:val="auto"/>
            <w:sz w:val="24"/>
            <w:szCs w:val="24"/>
            <w:u w:val="none"/>
          </w:rPr>
          <w:t>https://eric.ed.gov/?id=ED613321</w:t>
        </w:r>
      </w:hyperlink>
    </w:p>
    <w:p w:rsidR="00B53AC6" w:rsidRPr="00D9164F" w:rsidRDefault="000C1450" w:rsidP="000C1450">
      <w:pPr>
        <w:spacing w:line="240" w:lineRule="auto"/>
        <w:ind w:left="720" w:hanging="720"/>
        <w:jc w:val="both"/>
        <w:rPr>
          <w:rFonts w:ascii="Times New Roman" w:hAnsi="Times New Roman" w:cs="Times New Roman"/>
          <w:sz w:val="24"/>
          <w:szCs w:val="24"/>
        </w:rPr>
      </w:pPr>
      <w:r w:rsidRPr="00D9164F">
        <w:rPr>
          <w:rFonts w:ascii="Times New Roman" w:hAnsi="Times New Roman" w:cs="Times New Roman"/>
          <w:sz w:val="24"/>
          <w:szCs w:val="24"/>
        </w:rPr>
        <w:t>[26]</w:t>
      </w:r>
      <w:r w:rsidRPr="00D9164F">
        <w:rPr>
          <w:rFonts w:ascii="Times New Roman" w:hAnsi="Times New Roman" w:cs="Times New Roman"/>
          <w:sz w:val="24"/>
          <w:szCs w:val="24"/>
        </w:rPr>
        <w:tab/>
      </w:r>
      <w:r w:rsidR="00B53AC6" w:rsidRPr="00D9164F">
        <w:rPr>
          <w:rFonts w:ascii="Times New Roman" w:hAnsi="Times New Roman" w:cs="Times New Roman"/>
          <w:sz w:val="24"/>
          <w:szCs w:val="24"/>
        </w:rPr>
        <w:t xml:space="preserve">Wardoyo, E., &amp; Herda, R. K. (2025). Reframing Play as Pedagogy: A Systematic Literature Review on Gamification Strategies in ESL Grammar Learning. International Journal Online of Humanities, 11(6), 129–155. </w:t>
      </w:r>
      <w:hyperlink r:id="rId18" w:history="1">
        <w:r w:rsidR="00B53AC6" w:rsidRPr="00D9164F">
          <w:rPr>
            <w:rStyle w:val="Hyperlink"/>
            <w:rFonts w:ascii="Times New Roman" w:hAnsi="Times New Roman" w:cs="Times New Roman"/>
            <w:color w:val="auto"/>
            <w:sz w:val="24"/>
            <w:szCs w:val="24"/>
            <w:u w:val="none"/>
          </w:rPr>
          <w:t>https://doi.org/10.24113/ijohmn.v11i6.345</w:t>
        </w:r>
      </w:hyperlink>
    </w:p>
    <w:p w:rsidR="00B53AC6" w:rsidRPr="00D9164F" w:rsidRDefault="00B53AC6" w:rsidP="000C1450">
      <w:pPr>
        <w:spacing w:line="240" w:lineRule="auto"/>
        <w:jc w:val="both"/>
        <w:rPr>
          <w:rFonts w:ascii="Times New Roman" w:hAnsi="Times New Roman" w:cs="Times New Roman"/>
          <w:sz w:val="24"/>
          <w:szCs w:val="24"/>
        </w:rPr>
      </w:pPr>
    </w:p>
    <w:p w:rsidR="00625192" w:rsidRPr="00D9164F" w:rsidRDefault="00625192" w:rsidP="00625192">
      <w:pPr>
        <w:spacing w:after="0" w:line="360" w:lineRule="auto"/>
        <w:rPr>
          <w:rFonts w:ascii="Times New Roman" w:hAnsi="Times New Roman" w:cs="Times New Roman"/>
          <w:bCs/>
          <w:sz w:val="24"/>
          <w:szCs w:val="24"/>
        </w:rPr>
      </w:pPr>
    </w:p>
    <w:p w:rsidR="000F400D" w:rsidRPr="00D9164F" w:rsidRDefault="000F400D" w:rsidP="00942406">
      <w:pPr>
        <w:spacing w:after="0" w:line="360" w:lineRule="auto"/>
        <w:jc w:val="center"/>
        <w:rPr>
          <w:rFonts w:ascii="Times New Roman" w:hAnsi="Times New Roman" w:cs="Times New Roman"/>
          <w:b/>
          <w:bCs/>
          <w:sz w:val="24"/>
          <w:szCs w:val="24"/>
        </w:rPr>
      </w:pPr>
    </w:p>
    <w:p w:rsidR="00D9164F" w:rsidRPr="00D9164F" w:rsidRDefault="00D9164F">
      <w:pPr>
        <w:spacing w:after="0" w:line="360" w:lineRule="auto"/>
        <w:jc w:val="center"/>
        <w:rPr>
          <w:rFonts w:ascii="Times New Roman" w:hAnsi="Times New Roman" w:cs="Times New Roman"/>
          <w:b/>
          <w:bCs/>
          <w:sz w:val="24"/>
          <w:szCs w:val="24"/>
        </w:rPr>
      </w:pPr>
    </w:p>
    <w:sectPr w:rsidR="00D9164F" w:rsidRPr="00D9164F" w:rsidSect="00625192">
      <w:footerReference w:type="default" r:id="rId19"/>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BBA" w:rsidRDefault="006C4BBA" w:rsidP="00942406">
      <w:pPr>
        <w:spacing w:after="0" w:line="240" w:lineRule="auto"/>
      </w:pPr>
      <w:r>
        <w:separator/>
      </w:r>
    </w:p>
  </w:endnote>
  <w:endnote w:type="continuationSeparator" w:id="0">
    <w:p w:rsidR="006C4BBA" w:rsidRDefault="006C4BBA" w:rsidP="0094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838717"/>
      <w:docPartObj>
        <w:docPartGallery w:val="Page Numbers (Bottom of Page)"/>
        <w:docPartUnique/>
      </w:docPartObj>
    </w:sdtPr>
    <w:sdtEndPr>
      <w:rPr>
        <w:noProof/>
      </w:rPr>
    </w:sdtEndPr>
    <w:sdtContent>
      <w:p w:rsidR="00B53AC6" w:rsidRDefault="006C4BBA">
        <w:pPr>
          <w:pStyle w:val="Footer"/>
          <w:jc w:val="right"/>
        </w:pPr>
        <w:r>
          <w:fldChar w:fldCharType="begin"/>
        </w:r>
        <w:r>
          <w:instrText xml:space="preserve"> PAGE   \* MERGEFORMAT </w:instrText>
        </w:r>
        <w:r>
          <w:fldChar w:fldCharType="separate"/>
        </w:r>
        <w:r w:rsidR="00BA49AA">
          <w:rPr>
            <w:noProof/>
          </w:rPr>
          <w:t>1</w:t>
        </w:r>
        <w:r>
          <w:rPr>
            <w:noProof/>
          </w:rPr>
          <w:fldChar w:fldCharType="end"/>
        </w:r>
      </w:p>
    </w:sdtContent>
  </w:sdt>
  <w:p w:rsidR="00B53AC6" w:rsidRDefault="00B53A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BBA" w:rsidRDefault="006C4BBA" w:rsidP="00942406">
      <w:pPr>
        <w:spacing w:after="0" w:line="240" w:lineRule="auto"/>
      </w:pPr>
      <w:r>
        <w:separator/>
      </w:r>
    </w:p>
  </w:footnote>
  <w:footnote w:type="continuationSeparator" w:id="0">
    <w:p w:rsidR="006C4BBA" w:rsidRDefault="006C4BBA" w:rsidP="00942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83DDC"/>
    <w:multiLevelType w:val="hybridMultilevel"/>
    <w:tmpl w:val="390AB62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F4F4DC6"/>
    <w:multiLevelType w:val="multilevel"/>
    <w:tmpl w:val="DBF4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4D14D2"/>
    <w:multiLevelType w:val="multilevel"/>
    <w:tmpl w:val="C6C2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363AB1"/>
    <w:multiLevelType w:val="hybridMultilevel"/>
    <w:tmpl w:val="72C434E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42DE0510"/>
    <w:multiLevelType w:val="multilevel"/>
    <w:tmpl w:val="DAF2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5477F6"/>
    <w:multiLevelType w:val="hybridMultilevel"/>
    <w:tmpl w:val="94201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434CA6"/>
    <w:multiLevelType w:val="multilevel"/>
    <w:tmpl w:val="8BA6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080259"/>
    <w:multiLevelType w:val="multilevel"/>
    <w:tmpl w:val="6754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B40000"/>
    <w:multiLevelType w:val="multilevel"/>
    <w:tmpl w:val="473A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0F4294"/>
    <w:multiLevelType w:val="multilevel"/>
    <w:tmpl w:val="D4B0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B116F7"/>
    <w:multiLevelType w:val="multilevel"/>
    <w:tmpl w:val="6A4A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0"/>
  </w:num>
  <w:num w:numId="4">
    <w:abstractNumId w:val="1"/>
  </w:num>
  <w:num w:numId="5">
    <w:abstractNumId w:val="6"/>
  </w:num>
  <w:num w:numId="6">
    <w:abstractNumId w:val="4"/>
  </w:num>
  <w:num w:numId="7">
    <w:abstractNumId w:val="2"/>
  </w:num>
  <w:num w:numId="8">
    <w:abstractNumId w:val="9"/>
  </w:num>
  <w:num w:numId="9">
    <w:abstractNumId w:val="8"/>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A02DE"/>
    <w:rsid w:val="00026C61"/>
    <w:rsid w:val="000505D3"/>
    <w:rsid w:val="00082117"/>
    <w:rsid w:val="0008765C"/>
    <w:rsid w:val="000B2211"/>
    <w:rsid w:val="000C1450"/>
    <w:rsid w:val="000F400D"/>
    <w:rsid w:val="001139E4"/>
    <w:rsid w:val="001248AF"/>
    <w:rsid w:val="00155DD3"/>
    <w:rsid w:val="00161C61"/>
    <w:rsid w:val="00177B40"/>
    <w:rsid w:val="001B5053"/>
    <w:rsid w:val="001D2918"/>
    <w:rsid w:val="00202D0D"/>
    <w:rsid w:val="00206CD8"/>
    <w:rsid w:val="003636F5"/>
    <w:rsid w:val="003B2EE1"/>
    <w:rsid w:val="003F05A5"/>
    <w:rsid w:val="00463182"/>
    <w:rsid w:val="00464AD1"/>
    <w:rsid w:val="0047523E"/>
    <w:rsid w:val="00524129"/>
    <w:rsid w:val="00542B5C"/>
    <w:rsid w:val="005E260D"/>
    <w:rsid w:val="00604821"/>
    <w:rsid w:val="00613138"/>
    <w:rsid w:val="00625192"/>
    <w:rsid w:val="00670F05"/>
    <w:rsid w:val="006A7D20"/>
    <w:rsid w:val="006C4BBA"/>
    <w:rsid w:val="006F38F8"/>
    <w:rsid w:val="006F6F17"/>
    <w:rsid w:val="00710832"/>
    <w:rsid w:val="00741A1D"/>
    <w:rsid w:val="00774CCE"/>
    <w:rsid w:val="00775412"/>
    <w:rsid w:val="007C6E39"/>
    <w:rsid w:val="007E7D44"/>
    <w:rsid w:val="008373EF"/>
    <w:rsid w:val="00886CFB"/>
    <w:rsid w:val="00910505"/>
    <w:rsid w:val="00915966"/>
    <w:rsid w:val="00934BB8"/>
    <w:rsid w:val="00942406"/>
    <w:rsid w:val="00965E59"/>
    <w:rsid w:val="009A02DE"/>
    <w:rsid w:val="009F7970"/>
    <w:rsid w:val="00A016A6"/>
    <w:rsid w:val="00A679FC"/>
    <w:rsid w:val="00AA6F12"/>
    <w:rsid w:val="00AC4407"/>
    <w:rsid w:val="00AF16E6"/>
    <w:rsid w:val="00B13A29"/>
    <w:rsid w:val="00B5348C"/>
    <w:rsid w:val="00B53AC6"/>
    <w:rsid w:val="00B81C90"/>
    <w:rsid w:val="00BA49AA"/>
    <w:rsid w:val="00BB1C73"/>
    <w:rsid w:val="00BE22D1"/>
    <w:rsid w:val="00C3167F"/>
    <w:rsid w:val="00C41253"/>
    <w:rsid w:val="00C464C2"/>
    <w:rsid w:val="00C92937"/>
    <w:rsid w:val="00CB1E7B"/>
    <w:rsid w:val="00CC4099"/>
    <w:rsid w:val="00CF24EB"/>
    <w:rsid w:val="00D00E52"/>
    <w:rsid w:val="00D9164F"/>
    <w:rsid w:val="00DF5634"/>
    <w:rsid w:val="00E2073C"/>
    <w:rsid w:val="00E20A99"/>
    <w:rsid w:val="00E36DE4"/>
    <w:rsid w:val="00EA65A0"/>
    <w:rsid w:val="00ED794E"/>
    <w:rsid w:val="00F012DD"/>
    <w:rsid w:val="00F074C7"/>
    <w:rsid w:val="00FB5041"/>
    <w:rsid w:val="00FD4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DB6DC"/>
  <w15:docId w15:val="{73BEB819-05B2-47D7-990A-F55C67C5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505"/>
  </w:style>
  <w:style w:type="paragraph" w:styleId="Heading1">
    <w:name w:val="heading 1"/>
    <w:basedOn w:val="Normal"/>
    <w:next w:val="Normal"/>
    <w:link w:val="Heading1Char"/>
    <w:uiPriority w:val="9"/>
    <w:qFormat/>
    <w:rsid w:val="000821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B2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167F"/>
    <w:pPr>
      <w:spacing w:after="0" w:line="240" w:lineRule="auto"/>
    </w:pPr>
  </w:style>
  <w:style w:type="paragraph" w:styleId="NormalWeb">
    <w:name w:val="Normal (Web)"/>
    <w:basedOn w:val="Normal"/>
    <w:uiPriority w:val="99"/>
    <w:unhideWhenUsed/>
    <w:rsid w:val="0046318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Emphasis">
    <w:name w:val="Emphasis"/>
    <w:basedOn w:val="DefaultParagraphFont"/>
    <w:uiPriority w:val="20"/>
    <w:qFormat/>
    <w:rsid w:val="00463182"/>
    <w:rPr>
      <w:i/>
      <w:iCs/>
    </w:rPr>
  </w:style>
  <w:style w:type="character" w:customStyle="1" w:styleId="Heading1Char">
    <w:name w:val="Heading 1 Char"/>
    <w:basedOn w:val="DefaultParagraphFont"/>
    <w:link w:val="Heading1"/>
    <w:uiPriority w:val="9"/>
    <w:rsid w:val="00082117"/>
    <w:rPr>
      <w:rFonts w:asciiTheme="majorHAnsi" w:eastAsiaTheme="majorEastAsia" w:hAnsiTheme="majorHAnsi" w:cstheme="majorBidi"/>
      <w:color w:val="2F5496" w:themeColor="accent1" w:themeShade="BF"/>
      <w:sz w:val="40"/>
      <w:szCs w:val="40"/>
    </w:rPr>
  </w:style>
  <w:style w:type="character" w:styleId="Hyperlink">
    <w:name w:val="Hyperlink"/>
    <w:basedOn w:val="DefaultParagraphFont"/>
    <w:uiPriority w:val="99"/>
    <w:unhideWhenUsed/>
    <w:qFormat/>
    <w:rsid w:val="00082117"/>
    <w:rPr>
      <w:color w:val="0563C1" w:themeColor="hyperlink"/>
      <w:u w:val="single"/>
    </w:rPr>
  </w:style>
  <w:style w:type="paragraph" w:styleId="ListParagraph">
    <w:name w:val="List Paragraph"/>
    <w:basedOn w:val="Normal"/>
    <w:uiPriority w:val="34"/>
    <w:qFormat/>
    <w:rsid w:val="000505D3"/>
    <w:pPr>
      <w:ind w:left="720"/>
      <w:contextualSpacing/>
    </w:pPr>
  </w:style>
  <w:style w:type="paragraph" w:styleId="Header">
    <w:name w:val="header"/>
    <w:basedOn w:val="Normal"/>
    <w:link w:val="HeaderChar"/>
    <w:uiPriority w:val="99"/>
    <w:unhideWhenUsed/>
    <w:rsid w:val="00942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406"/>
  </w:style>
  <w:style w:type="paragraph" w:styleId="Footer">
    <w:name w:val="footer"/>
    <w:basedOn w:val="Normal"/>
    <w:link w:val="FooterChar"/>
    <w:uiPriority w:val="99"/>
    <w:unhideWhenUsed/>
    <w:rsid w:val="00942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406"/>
  </w:style>
  <w:style w:type="character" w:customStyle="1" w:styleId="apple-tab-span">
    <w:name w:val="apple-tab-span"/>
    <w:basedOn w:val="DefaultParagraphFont"/>
    <w:rsid w:val="00625192"/>
  </w:style>
  <w:style w:type="paragraph" w:styleId="BalloonText">
    <w:name w:val="Balloon Text"/>
    <w:basedOn w:val="Normal"/>
    <w:link w:val="BalloonTextChar"/>
    <w:uiPriority w:val="99"/>
    <w:semiHidden/>
    <w:unhideWhenUsed/>
    <w:rsid w:val="00625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192"/>
    <w:rPr>
      <w:rFonts w:ascii="Tahoma" w:hAnsi="Tahoma" w:cs="Tahoma"/>
      <w:sz w:val="16"/>
      <w:szCs w:val="16"/>
    </w:rPr>
  </w:style>
  <w:style w:type="paragraph" w:customStyle="1" w:styleId="my-2">
    <w:name w:val="my-2"/>
    <w:basedOn w:val="Normal"/>
    <w:rsid w:val="006251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25192"/>
    <w:rPr>
      <w:b/>
      <w:bCs/>
    </w:rPr>
  </w:style>
  <w:style w:type="character" w:customStyle="1" w:styleId="katex-mathml">
    <w:name w:val="katex-mathml"/>
    <w:basedOn w:val="DefaultParagraphFont"/>
    <w:rsid w:val="00625192"/>
  </w:style>
  <w:style w:type="character" w:customStyle="1" w:styleId="mord">
    <w:name w:val="mord"/>
    <w:basedOn w:val="DefaultParagraphFont"/>
    <w:rsid w:val="00625192"/>
  </w:style>
  <w:style w:type="character" w:customStyle="1" w:styleId="mrel">
    <w:name w:val="mrel"/>
    <w:basedOn w:val="DefaultParagraphFont"/>
    <w:rsid w:val="0062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425">
      <w:bodyDiv w:val="1"/>
      <w:marLeft w:val="0"/>
      <w:marRight w:val="0"/>
      <w:marTop w:val="0"/>
      <w:marBottom w:val="0"/>
      <w:divBdr>
        <w:top w:val="none" w:sz="0" w:space="0" w:color="auto"/>
        <w:left w:val="none" w:sz="0" w:space="0" w:color="auto"/>
        <w:bottom w:val="none" w:sz="0" w:space="0" w:color="auto"/>
        <w:right w:val="none" w:sz="0" w:space="0" w:color="auto"/>
      </w:divBdr>
    </w:div>
    <w:div w:id="35131205">
      <w:bodyDiv w:val="1"/>
      <w:marLeft w:val="0"/>
      <w:marRight w:val="0"/>
      <w:marTop w:val="0"/>
      <w:marBottom w:val="0"/>
      <w:divBdr>
        <w:top w:val="none" w:sz="0" w:space="0" w:color="auto"/>
        <w:left w:val="none" w:sz="0" w:space="0" w:color="auto"/>
        <w:bottom w:val="none" w:sz="0" w:space="0" w:color="auto"/>
        <w:right w:val="none" w:sz="0" w:space="0" w:color="auto"/>
      </w:divBdr>
    </w:div>
    <w:div w:id="43995119">
      <w:bodyDiv w:val="1"/>
      <w:marLeft w:val="0"/>
      <w:marRight w:val="0"/>
      <w:marTop w:val="0"/>
      <w:marBottom w:val="0"/>
      <w:divBdr>
        <w:top w:val="none" w:sz="0" w:space="0" w:color="auto"/>
        <w:left w:val="none" w:sz="0" w:space="0" w:color="auto"/>
        <w:bottom w:val="none" w:sz="0" w:space="0" w:color="auto"/>
        <w:right w:val="none" w:sz="0" w:space="0" w:color="auto"/>
      </w:divBdr>
    </w:div>
    <w:div w:id="82263903">
      <w:bodyDiv w:val="1"/>
      <w:marLeft w:val="0"/>
      <w:marRight w:val="0"/>
      <w:marTop w:val="0"/>
      <w:marBottom w:val="0"/>
      <w:divBdr>
        <w:top w:val="none" w:sz="0" w:space="0" w:color="auto"/>
        <w:left w:val="none" w:sz="0" w:space="0" w:color="auto"/>
        <w:bottom w:val="none" w:sz="0" w:space="0" w:color="auto"/>
        <w:right w:val="none" w:sz="0" w:space="0" w:color="auto"/>
      </w:divBdr>
    </w:div>
    <w:div w:id="155802156">
      <w:bodyDiv w:val="1"/>
      <w:marLeft w:val="0"/>
      <w:marRight w:val="0"/>
      <w:marTop w:val="0"/>
      <w:marBottom w:val="0"/>
      <w:divBdr>
        <w:top w:val="none" w:sz="0" w:space="0" w:color="auto"/>
        <w:left w:val="none" w:sz="0" w:space="0" w:color="auto"/>
        <w:bottom w:val="none" w:sz="0" w:space="0" w:color="auto"/>
        <w:right w:val="none" w:sz="0" w:space="0" w:color="auto"/>
      </w:divBdr>
    </w:div>
    <w:div w:id="183517163">
      <w:bodyDiv w:val="1"/>
      <w:marLeft w:val="0"/>
      <w:marRight w:val="0"/>
      <w:marTop w:val="0"/>
      <w:marBottom w:val="0"/>
      <w:divBdr>
        <w:top w:val="none" w:sz="0" w:space="0" w:color="auto"/>
        <w:left w:val="none" w:sz="0" w:space="0" w:color="auto"/>
        <w:bottom w:val="none" w:sz="0" w:space="0" w:color="auto"/>
        <w:right w:val="none" w:sz="0" w:space="0" w:color="auto"/>
      </w:divBdr>
      <w:divsChild>
        <w:div w:id="1572422210">
          <w:marLeft w:val="0"/>
          <w:marRight w:val="0"/>
          <w:marTop w:val="0"/>
          <w:marBottom w:val="0"/>
          <w:divBdr>
            <w:top w:val="none" w:sz="0" w:space="0" w:color="auto"/>
            <w:left w:val="none" w:sz="0" w:space="0" w:color="auto"/>
            <w:bottom w:val="none" w:sz="0" w:space="0" w:color="auto"/>
            <w:right w:val="none" w:sz="0" w:space="0" w:color="auto"/>
          </w:divBdr>
        </w:div>
      </w:divsChild>
    </w:div>
    <w:div w:id="291012155">
      <w:bodyDiv w:val="1"/>
      <w:marLeft w:val="0"/>
      <w:marRight w:val="0"/>
      <w:marTop w:val="0"/>
      <w:marBottom w:val="0"/>
      <w:divBdr>
        <w:top w:val="none" w:sz="0" w:space="0" w:color="auto"/>
        <w:left w:val="none" w:sz="0" w:space="0" w:color="auto"/>
        <w:bottom w:val="none" w:sz="0" w:space="0" w:color="auto"/>
        <w:right w:val="none" w:sz="0" w:space="0" w:color="auto"/>
      </w:divBdr>
    </w:div>
    <w:div w:id="565452249">
      <w:bodyDiv w:val="1"/>
      <w:marLeft w:val="0"/>
      <w:marRight w:val="0"/>
      <w:marTop w:val="0"/>
      <w:marBottom w:val="0"/>
      <w:divBdr>
        <w:top w:val="none" w:sz="0" w:space="0" w:color="auto"/>
        <w:left w:val="none" w:sz="0" w:space="0" w:color="auto"/>
        <w:bottom w:val="none" w:sz="0" w:space="0" w:color="auto"/>
        <w:right w:val="none" w:sz="0" w:space="0" w:color="auto"/>
      </w:divBdr>
    </w:div>
    <w:div w:id="614143215">
      <w:bodyDiv w:val="1"/>
      <w:marLeft w:val="0"/>
      <w:marRight w:val="0"/>
      <w:marTop w:val="0"/>
      <w:marBottom w:val="0"/>
      <w:divBdr>
        <w:top w:val="none" w:sz="0" w:space="0" w:color="auto"/>
        <w:left w:val="none" w:sz="0" w:space="0" w:color="auto"/>
        <w:bottom w:val="none" w:sz="0" w:space="0" w:color="auto"/>
        <w:right w:val="none" w:sz="0" w:space="0" w:color="auto"/>
      </w:divBdr>
    </w:div>
    <w:div w:id="775370966">
      <w:bodyDiv w:val="1"/>
      <w:marLeft w:val="0"/>
      <w:marRight w:val="0"/>
      <w:marTop w:val="0"/>
      <w:marBottom w:val="0"/>
      <w:divBdr>
        <w:top w:val="none" w:sz="0" w:space="0" w:color="auto"/>
        <w:left w:val="none" w:sz="0" w:space="0" w:color="auto"/>
        <w:bottom w:val="none" w:sz="0" w:space="0" w:color="auto"/>
        <w:right w:val="none" w:sz="0" w:space="0" w:color="auto"/>
      </w:divBdr>
    </w:div>
    <w:div w:id="784541457">
      <w:bodyDiv w:val="1"/>
      <w:marLeft w:val="0"/>
      <w:marRight w:val="0"/>
      <w:marTop w:val="0"/>
      <w:marBottom w:val="0"/>
      <w:divBdr>
        <w:top w:val="none" w:sz="0" w:space="0" w:color="auto"/>
        <w:left w:val="none" w:sz="0" w:space="0" w:color="auto"/>
        <w:bottom w:val="none" w:sz="0" w:space="0" w:color="auto"/>
        <w:right w:val="none" w:sz="0" w:space="0" w:color="auto"/>
      </w:divBdr>
    </w:div>
    <w:div w:id="836504059">
      <w:bodyDiv w:val="1"/>
      <w:marLeft w:val="0"/>
      <w:marRight w:val="0"/>
      <w:marTop w:val="0"/>
      <w:marBottom w:val="0"/>
      <w:divBdr>
        <w:top w:val="none" w:sz="0" w:space="0" w:color="auto"/>
        <w:left w:val="none" w:sz="0" w:space="0" w:color="auto"/>
        <w:bottom w:val="none" w:sz="0" w:space="0" w:color="auto"/>
        <w:right w:val="none" w:sz="0" w:space="0" w:color="auto"/>
      </w:divBdr>
    </w:div>
    <w:div w:id="890338852">
      <w:bodyDiv w:val="1"/>
      <w:marLeft w:val="0"/>
      <w:marRight w:val="0"/>
      <w:marTop w:val="0"/>
      <w:marBottom w:val="0"/>
      <w:divBdr>
        <w:top w:val="none" w:sz="0" w:space="0" w:color="auto"/>
        <w:left w:val="none" w:sz="0" w:space="0" w:color="auto"/>
        <w:bottom w:val="none" w:sz="0" w:space="0" w:color="auto"/>
        <w:right w:val="none" w:sz="0" w:space="0" w:color="auto"/>
      </w:divBdr>
      <w:divsChild>
        <w:div w:id="2052925301">
          <w:marLeft w:val="0"/>
          <w:marRight w:val="0"/>
          <w:marTop w:val="0"/>
          <w:marBottom w:val="0"/>
          <w:divBdr>
            <w:top w:val="none" w:sz="0" w:space="0" w:color="auto"/>
            <w:left w:val="none" w:sz="0" w:space="0" w:color="auto"/>
            <w:bottom w:val="none" w:sz="0" w:space="0" w:color="auto"/>
            <w:right w:val="none" w:sz="0" w:space="0" w:color="auto"/>
          </w:divBdr>
          <w:divsChild>
            <w:div w:id="142279810">
              <w:marLeft w:val="0"/>
              <w:marRight w:val="0"/>
              <w:marTop w:val="0"/>
              <w:marBottom w:val="0"/>
              <w:divBdr>
                <w:top w:val="none" w:sz="0" w:space="0" w:color="auto"/>
                <w:left w:val="none" w:sz="0" w:space="0" w:color="auto"/>
                <w:bottom w:val="none" w:sz="0" w:space="0" w:color="auto"/>
                <w:right w:val="none" w:sz="0" w:space="0" w:color="auto"/>
              </w:divBdr>
              <w:divsChild>
                <w:div w:id="1252619903">
                  <w:marLeft w:val="0"/>
                  <w:marRight w:val="0"/>
                  <w:marTop w:val="0"/>
                  <w:marBottom w:val="0"/>
                  <w:divBdr>
                    <w:top w:val="none" w:sz="0" w:space="0" w:color="auto"/>
                    <w:left w:val="none" w:sz="0" w:space="0" w:color="auto"/>
                    <w:bottom w:val="none" w:sz="0" w:space="0" w:color="auto"/>
                    <w:right w:val="none" w:sz="0" w:space="0" w:color="auto"/>
                  </w:divBdr>
                  <w:divsChild>
                    <w:div w:id="204685332">
                      <w:marLeft w:val="0"/>
                      <w:marRight w:val="0"/>
                      <w:marTop w:val="0"/>
                      <w:marBottom w:val="0"/>
                      <w:divBdr>
                        <w:top w:val="none" w:sz="0" w:space="0" w:color="auto"/>
                        <w:left w:val="none" w:sz="0" w:space="0" w:color="auto"/>
                        <w:bottom w:val="none" w:sz="0" w:space="0" w:color="auto"/>
                        <w:right w:val="none" w:sz="0" w:space="0" w:color="auto"/>
                      </w:divBdr>
                      <w:divsChild>
                        <w:div w:id="105732446">
                          <w:marLeft w:val="0"/>
                          <w:marRight w:val="0"/>
                          <w:marTop w:val="0"/>
                          <w:marBottom w:val="0"/>
                          <w:divBdr>
                            <w:top w:val="none" w:sz="0" w:space="0" w:color="auto"/>
                            <w:left w:val="none" w:sz="0" w:space="0" w:color="auto"/>
                            <w:bottom w:val="none" w:sz="0" w:space="0" w:color="auto"/>
                            <w:right w:val="none" w:sz="0" w:space="0" w:color="auto"/>
                          </w:divBdr>
                          <w:divsChild>
                            <w:div w:id="858010147">
                              <w:marLeft w:val="0"/>
                              <w:marRight w:val="0"/>
                              <w:marTop w:val="0"/>
                              <w:marBottom w:val="0"/>
                              <w:divBdr>
                                <w:top w:val="none" w:sz="0" w:space="0" w:color="auto"/>
                                <w:left w:val="none" w:sz="0" w:space="0" w:color="auto"/>
                                <w:bottom w:val="none" w:sz="0" w:space="0" w:color="auto"/>
                                <w:right w:val="none" w:sz="0" w:space="0" w:color="auto"/>
                              </w:divBdr>
                              <w:divsChild>
                                <w:div w:id="9308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908967">
      <w:bodyDiv w:val="1"/>
      <w:marLeft w:val="0"/>
      <w:marRight w:val="0"/>
      <w:marTop w:val="0"/>
      <w:marBottom w:val="0"/>
      <w:divBdr>
        <w:top w:val="none" w:sz="0" w:space="0" w:color="auto"/>
        <w:left w:val="none" w:sz="0" w:space="0" w:color="auto"/>
        <w:bottom w:val="none" w:sz="0" w:space="0" w:color="auto"/>
        <w:right w:val="none" w:sz="0" w:space="0" w:color="auto"/>
      </w:divBdr>
    </w:div>
    <w:div w:id="1040939049">
      <w:bodyDiv w:val="1"/>
      <w:marLeft w:val="0"/>
      <w:marRight w:val="0"/>
      <w:marTop w:val="0"/>
      <w:marBottom w:val="0"/>
      <w:divBdr>
        <w:top w:val="none" w:sz="0" w:space="0" w:color="auto"/>
        <w:left w:val="none" w:sz="0" w:space="0" w:color="auto"/>
        <w:bottom w:val="none" w:sz="0" w:space="0" w:color="auto"/>
        <w:right w:val="none" w:sz="0" w:space="0" w:color="auto"/>
      </w:divBdr>
    </w:div>
    <w:div w:id="1067262848">
      <w:bodyDiv w:val="1"/>
      <w:marLeft w:val="0"/>
      <w:marRight w:val="0"/>
      <w:marTop w:val="0"/>
      <w:marBottom w:val="0"/>
      <w:divBdr>
        <w:top w:val="none" w:sz="0" w:space="0" w:color="auto"/>
        <w:left w:val="none" w:sz="0" w:space="0" w:color="auto"/>
        <w:bottom w:val="none" w:sz="0" w:space="0" w:color="auto"/>
        <w:right w:val="none" w:sz="0" w:space="0" w:color="auto"/>
      </w:divBdr>
      <w:divsChild>
        <w:div w:id="376508439">
          <w:marLeft w:val="0"/>
          <w:marRight w:val="0"/>
          <w:marTop w:val="0"/>
          <w:marBottom w:val="0"/>
          <w:divBdr>
            <w:top w:val="none" w:sz="0" w:space="0" w:color="auto"/>
            <w:left w:val="none" w:sz="0" w:space="0" w:color="auto"/>
            <w:bottom w:val="none" w:sz="0" w:space="0" w:color="auto"/>
            <w:right w:val="none" w:sz="0" w:space="0" w:color="auto"/>
          </w:divBdr>
          <w:divsChild>
            <w:div w:id="30960898">
              <w:marLeft w:val="0"/>
              <w:marRight w:val="0"/>
              <w:marTop w:val="0"/>
              <w:marBottom w:val="0"/>
              <w:divBdr>
                <w:top w:val="none" w:sz="0" w:space="0" w:color="auto"/>
                <w:left w:val="none" w:sz="0" w:space="0" w:color="auto"/>
                <w:bottom w:val="none" w:sz="0" w:space="0" w:color="auto"/>
                <w:right w:val="none" w:sz="0" w:space="0" w:color="auto"/>
              </w:divBdr>
              <w:divsChild>
                <w:div w:id="1910656669">
                  <w:marLeft w:val="0"/>
                  <w:marRight w:val="0"/>
                  <w:marTop w:val="0"/>
                  <w:marBottom w:val="0"/>
                  <w:divBdr>
                    <w:top w:val="none" w:sz="0" w:space="0" w:color="auto"/>
                    <w:left w:val="none" w:sz="0" w:space="0" w:color="auto"/>
                    <w:bottom w:val="none" w:sz="0" w:space="0" w:color="auto"/>
                    <w:right w:val="none" w:sz="0" w:space="0" w:color="auto"/>
                  </w:divBdr>
                  <w:divsChild>
                    <w:div w:id="1940525317">
                      <w:marLeft w:val="0"/>
                      <w:marRight w:val="0"/>
                      <w:marTop w:val="0"/>
                      <w:marBottom w:val="0"/>
                      <w:divBdr>
                        <w:top w:val="none" w:sz="0" w:space="0" w:color="auto"/>
                        <w:left w:val="none" w:sz="0" w:space="0" w:color="auto"/>
                        <w:bottom w:val="none" w:sz="0" w:space="0" w:color="auto"/>
                        <w:right w:val="none" w:sz="0" w:space="0" w:color="auto"/>
                      </w:divBdr>
                      <w:divsChild>
                        <w:div w:id="151453886">
                          <w:marLeft w:val="0"/>
                          <w:marRight w:val="0"/>
                          <w:marTop w:val="0"/>
                          <w:marBottom w:val="0"/>
                          <w:divBdr>
                            <w:top w:val="none" w:sz="0" w:space="0" w:color="auto"/>
                            <w:left w:val="none" w:sz="0" w:space="0" w:color="auto"/>
                            <w:bottom w:val="none" w:sz="0" w:space="0" w:color="auto"/>
                            <w:right w:val="none" w:sz="0" w:space="0" w:color="auto"/>
                          </w:divBdr>
                          <w:divsChild>
                            <w:div w:id="968584904">
                              <w:marLeft w:val="0"/>
                              <w:marRight w:val="0"/>
                              <w:marTop w:val="0"/>
                              <w:marBottom w:val="0"/>
                              <w:divBdr>
                                <w:top w:val="none" w:sz="0" w:space="0" w:color="auto"/>
                                <w:left w:val="none" w:sz="0" w:space="0" w:color="auto"/>
                                <w:bottom w:val="none" w:sz="0" w:space="0" w:color="auto"/>
                                <w:right w:val="none" w:sz="0" w:space="0" w:color="auto"/>
                              </w:divBdr>
                              <w:divsChild>
                                <w:div w:id="5693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98054">
      <w:bodyDiv w:val="1"/>
      <w:marLeft w:val="0"/>
      <w:marRight w:val="0"/>
      <w:marTop w:val="0"/>
      <w:marBottom w:val="0"/>
      <w:divBdr>
        <w:top w:val="none" w:sz="0" w:space="0" w:color="auto"/>
        <w:left w:val="none" w:sz="0" w:space="0" w:color="auto"/>
        <w:bottom w:val="none" w:sz="0" w:space="0" w:color="auto"/>
        <w:right w:val="none" w:sz="0" w:space="0" w:color="auto"/>
      </w:divBdr>
    </w:div>
    <w:div w:id="1279606696">
      <w:bodyDiv w:val="1"/>
      <w:marLeft w:val="0"/>
      <w:marRight w:val="0"/>
      <w:marTop w:val="0"/>
      <w:marBottom w:val="0"/>
      <w:divBdr>
        <w:top w:val="none" w:sz="0" w:space="0" w:color="auto"/>
        <w:left w:val="none" w:sz="0" w:space="0" w:color="auto"/>
        <w:bottom w:val="none" w:sz="0" w:space="0" w:color="auto"/>
        <w:right w:val="none" w:sz="0" w:space="0" w:color="auto"/>
      </w:divBdr>
    </w:div>
    <w:div w:id="1317762137">
      <w:bodyDiv w:val="1"/>
      <w:marLeft w:val="0"/>
      <w:marRight w:val="0"/>
      <w:marTop w:val="0"/>
      <w:marBottom w:val="0"/>
      <w:divBdr>
        <w:top w:val="none" w:sz="0" w:space="0" w:color="auto"/>
        <w:left w:val="none" w:sz="0" w:space="0" w:color="auto"/>
        <w:bottom w:val="none" w:sz="0" w:space="0" w:color="auto"/>
        <w:right w:val="none" w:sz="0" w:space="0" w:color="auto"/>
      </w:divBdr>
    </w:div>
    <w:div w:id="1446581448">
      <w:bodyDiv w:val="1"/>
      <w:marLeft w:val="0"/>
      <w:marRight w:val="0"/>
      <w:marTop w:val="0"/>
      <w:marBottom w:val="0"/>
      <w:divBdr>
        <w:top w:val="none" w:sz="0" w:space="0" w:color="auto"/>
        <w:left w:val="none" w:sz="0" w:space="0" w:color="auto"/>
        <w:bottom w:val="none" w:sz="0" w:space="0" w:color="auto"/>
        <w:right w:val="none" w:sz="0" w:space="0" w:color="auto"/>
      </w:divBdr>
    </w:div>
    <w:div w:id="1749425770">
      <w:bodyDiv w:val="1"/>
      <w:marLeft w:val="0"/>
      <w:marRight w:val="0"/>
      <w:marTop w:val="0"/>
      <w:marBottom w:val="0"/>
      <w:divBdr>
        <w:top w:val="none" w:sz="0" w:space="0" w:color="auto"/>
        <w:left w:val="none" w:sz="0" w:space="0" w:color="auto"/>
        <w:bottom w:val="none" w:sz="0" w:space="0" w:color="auto"/>
        <w:right w:val="none" w:sz="0" w:space="0" w:color="auto"/>
      </w:divBdr>
    </w:div>
    <w:div w:id="1800688900">
      <w:bodyDiv w:val="1"/>
      <w:marLeft w:val="0"/>
      <w:marRight w:val="0"/>
      <w:marTop w:val="0"/>
      <w:marBottom w:val="0"/>
      <w:divBdr>
        <w:top w:val="none" w:sz="0" w:space="0" w:color="auto"/>
        <w:left w:val="none" w:sz="0" w:space="0" w:color="auto"/>
        <w:bottom w:val="none" w:sz="0" w:space="0" w:color="auto"/>
        <w:right w:val="none" w:sz="0" w:space="0" w:color="auto"/>
      </w:divBdr>
    </w:div>
    <w:div w:id="1888226283">
      <w:bodyDiv w:val="1"/>
      <w:marLeft w:val="0"/>
      <w:marRight w:val="0"/>
      <w:marTop w:val="0"/>
      <w:marBottom w:val="0"/>
      <w:divBdr>
        <w:top w:val="none" w:sz="0" w:space="0" w:color="auto"/>
        <w:left w:val="none" w:sz="0" w:space="0" w:color="auto"/>
        <w:bottom w:val="none" w:sz="0" w:space="0" w:color="auto"/>
        <w:right w:val="none" w:sz="0" w:space="0" w:color="auto"/>
      </w:divBdr>
    </w:div>
    <w:div w:id="1921405645">
      <w:bodyDiv w:val="1"/>
      <w:marLeft w:val="0"/>
      <w:marRight w:val="0"/>
      <w:marTop w:val="0"/>
      <w:marBottom w:val="0"/>
      <w:divBdr>
        <w:top w:val="none" w:sz="0" w:space="0" w:color="auto"/>
        <w:left w:val="none" w:sz="0" w:space="0" w:color="auto"/>
        <w:bottom w:val="none" w:sz="0" w:space="0" w:color="auto"/>
        <w:right w:val="none" w:sz="0" w:space="0" w:color="auto"/>
      </w:divBdr>
    </w:div>
    <w:div w:id="1944340101">
      <w:bodyDiv w:val="1"/>
      <w:marLeft w:val="0"/>
      <w:marRight w:val="0"/>
      <w:marTop w:val="0"/>
      <w:marBottom w:val="0"/>
      <w:divBdr>
        <w:top w:val="none" w:sz="0" w:space="0" w:color="auto"/>
        <w:left w:val="none" w:sz="0" w:space="0" w:color="auto"/>
        <w:bottom w:val="none" w:sz="0" w:space="0" w:color="auto"/>
        <w:right w:val="none" w:sz="0" w:space="0" w:color="auto"/>
      </w:divBdr>
    </w:div>
    <w:div w:id="1948197928">
      <w:bodyDiv w:val="1"/>
      <w:marLeft w:val="0"/>
      <w:marRight w:val="0"/>
      <w:marTop w:val="0"/>
      <w:marBottom w:val="0"/>
      <w:divBdr>
        <w:top w:val="none" w:sz="0" w:space="0" w:color="auto"/>
        <w:left w:val="none" w:sz="0" w:space="0" w:color="auto"/>
        <w:bottom w:val="none" w:sz="0" w:space="0" w:color="auto"/>
        <w:right w:val="none" w:sz="0" w:space="0" w:color="auto"/>
      </w:divBdr>
    </w:div>
    <w:div w:id="1959876959">
      <w:bodyDiv w:val="1"/>
      <w:marLeft w:val="0"/>
      <w:marRight w:val="0"/>
      <w:marTop w:val="0"/>
      <w:marBottom w:val="0"/>
      <w:divBdr>
        <w:top w:val="none" w:sz="0" w:space="0" w:color="auto"/>
        <w:left w:val="none" w:sz="0" w:space="0" w:color="auto"/>
        <w:bottom w:val="none" w:sz="0" w:space="0" w:color="auto"/>
        <w:right w:val="none" w:sz="0" w:space="0" w:color="auto"/>
      </w:divBdr>
    </w:div>
    <w:div w:id="1979987655">
      <w:bodyDiv w:val="1"/>
      <w:marLeft w:val="0"/>
      <w:marRight w:val="0"/>
      <w:marTop w:val="0"/>
      <w:marBottom w:val="0"/>
      <w:divBdr>
        <w:top w:val="none" w:sz="0" w:space="0" w:color="auto"/>
        <w:left w:val="none" w:sz="0" w:space="0" w:color="auto"/>
        <w:bottom w:val="none" w:sz="0" w:space="0" w:color="auto"/>
        <w:right w:val="none" w:sz="0" w:space="0" w:color="auto"/>
      </w:divBdr>
    </w:div>
    <w:div w:id="2042129029">
      <w:bodyDiv w:val="1"/>
      <w:marLeft w:val="0"/>
      <w:marRight w:val="0"/>
      <w:marTop w:val="0"/>
      <w:marBottom w:val="0"/>
      <w:divBdr>
        <w:top w:val="none" w:sz="0" w:space="0" w:color="auto"/>
        <w:left w:val="none" w:sz="0" w:space="0" w:color="auto"/>
        <w:bottom w:val="none" w:sz="0" w:space="0" w:color="auto"/>
        <w:right w:val="none" w:sz="0" w:space="0" w:color="auto"/>
      </w:divBdr>
    </w:div>
    <w:div w:id="2073304876">
      <w:bodyDiv w:val="1"/>
      <w:marLeft w:val="0"/>
      <w:marRight w:val="0"/>
      <w:marTop w:val="0"/>
      <w:marBottom w:val="0"/>
      <w:divBdr>
        <w:top w:val="none" w:sz="0" w:space="0" w:color="auto"/>
        <w:left w:val="none" w:sz="0" w:space="0" w:color="auto"/>
        <w:bottom w:val="none" w:sz="0" w:space="0" w:color="auto"/>
        <w:right w:val="none" w:sz="0" w:space="0" w:color="auto"/>
      </w:divBdr>
    </w:div>
    <w:div w:id="208857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paglinawan@cmu.edu.ph" TargetMode="External"/><Relationship Id="rId13" Type="http://schemas.openxmlformats.org/officeDocument/2006/relationships/hyperlink" Target="%20https://doi.org/10.1177/1046878114563660" TargetMode="External"/><Relationship Id="rId18" Type="http://schemas.openxmlformats.org/officeDocument/2006/relationships/hyperlink" Target="https://doi.org/10.24113/ijohmn.v11i6.34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70838/pemj.440109" TargetMode="External"/><Relationship Id="rId17" Type="http://schemas.openxmlformats.org/officeDocument/2006/relationships/hyperlink" Target="https://eric.ed.gov/?id=ED613321" TargetMode="External"/><Relationship Id="rId2" Type="http://schemas.openxmlformats.org/officeDocument/2006/relationships/numbering" Target="numbering.xml"/><Relationship Id="rId16" Type="http://schemas.openxmlformats.org/officeDocument/2006/relationships/hyperlink" Target="https://doi.org/10.47191/ijmra/v8-i11-4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45/1979742.1979575" TargetMode="External"/><Relationship Id="rId5" Type="http://schemas.openxmlformats.org/officeDocument/2006/relationships/webSettings" Target="webSettings.xml"/><Relationship Id="rId15" Type="http://schemas.openxmlformats.org/officeDocument/2006/relationships/hyperlink" Target="https://doi.org/10.11594/ijmaber04.08.27" TargetMode="External"/><Relationship Id="rId10" Type="http://schemas.openxmlformats.org/officeDocument/2006/relationships/hyperlink" Target="https://doi.org/10.31098/jefltr.v4i2.244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6713/epra22604" TargetMode="External"/><Relationship Id="rId14" Type="http://schemas.openxmlformats.org/officeDocument/2006/relationships/hyperlink" Target="https://doi.org/10.9734/ajess/2025/v51i62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0829-1297-4C38-9096-8B92D4597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3692</Words>
  <Characters>21051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Lee Mae Madulara</dc:creator>
  <cp:keywords/>
  <dc:description/>
  <cp:lastModifiedBy>Admin</cp:lastModifiedBy>
  <cp:revision>6</cp:revision>
  <dcterms:created xsi:type="dcterms:W3CDTF">2026-04-28T10:52:00Z</dcterms:created>
  <dcterms:modified xsi:type="dcterms:W3CDTF">2026-06-11T03:14:00Z</dcterms:modified>
</cp:coreProperties>
</file>